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wpsCustomData="http://www.wps.cn/officeDocument/2013/wpsCustomData" mc:Ignorable="w14 w15 wp14">
  <w:body>
    <w:sdt>
      <w:sdtPr>
        <w:rPr>
          <w:rFonts w:ascii="Times New Roman" w:cstheme="minorBidi" w:eastAsia="宋体" w:hAnsi="Times New Roman"/>
          <w:color w:val="auto"/>
          <w:kern w:val="2"/>
          <w:sz w:val="24"/>
          <w:szCs w:val="24"/>
          <w:lang w:val="zh-CN"/>
        </w:rPr>
        <w:id w:val="-1808235238"/>
        <w:docPartObj>
          <w:docPartGallery w:val="Table of Contents"/>
          <w:docPartUnique/>
        </w:docPartObj>
      </w:sdtPr>
      <w:sdtEndPr>
        <w:rPr>
          <w:rFonts w:ascii="Times New Roman" w:cstheme="minorBidi" w:eastAsia="宋体" w:hAnsi="Times New Roman"/>
          <w:b/>
          <w:bCs/>
          <w:color w:val="auto"/>
          <w:kern w:val="2"/>
          <w:sz w:val="24"/>
          <w:szCs w:val="24"/>
          <w:lang w:val="zh-CN"/>
        </w:rPr>
      </w:sdtEndPr>
      <w:sdtContent>
        <w:p w14:paraId="7C8816EE">
          <w:pPr>
            <w:pStyle w:val="30"/>
            <w:numPr>
              <w:ilvl w:val="0"/>
              <w:numId w:val="0"/>
            </w:numPr>
            <w:ind w:hanging="442" w:left="442"/>
            <w:jc w:val="center"/>
            <w:rPr>
              <w:rFonts w:ascii="宋体" w:eastAsia="宋体" w:hAnsi="宋体" w:hint="eastAsia"/>
              <w:color w:val="auto"/>
            </w:rPr>
          </w:pPr>
          <w:bookmarkStart w:id="0" w:name="_Hlk187956178"/>
          <w:bookmarkEnd w:id="0"/>
          <w:r>
            <w:rPr>
              <w:rFonts w:ascii="宋体" w:eastAsia="宋体" w:hAnsi="宋体"/>
              <w:color w:val="auto"/>
              <w:lang w:val="zh-CN"/>
            </w:rPr>
            <w:t>目录</w:t>
          </w:r>
        </w:p>
        <w:p w14:paraId="5246B283">
          <w:pPr>
            <w:pStyle w:val="13"/>
            <w:tabs>
              <w:tab w:leader="dot" w:pos="8976" w:val="right"/>
            </w:tabs>
            <w:rPr>
              <w:rFonts w:cstheme="minorBidi" w:eastAsiaTheme="minorEastAsia" w:hint="eastAsia"/>
              <w:kern w:val="2"/>
              <w:szCs w:val="24"/>
              <w14:ligatures w14:val="standardContextual"/>
            </w:rPr>
          </w:pPr>
          <w:r>
            <w:fldChar w:fldCharType="begin"/>
          </w:r>
          <w:r>
            <w:instrText xml:space="preserve"> TOC \o "1-3" \h \z \u </w:instrText>
          </w:r>
          <w:r>
            <w:fldChar w:fldCharType="separate"/>
          </w:r>
          <w:r>
            <w:fldChar w:fldCharType="begin"/>
          </w:r>
          <w:r>
            <w:instrText xml:space="preserve"> HYPERLINK \l "_Toc187956695" </w:instrText>
          </w:r>
          <w:r>
            <w:fldChar w:fldCharType="separate"/>
          </w:r>
          <w:r>
            <w:rPr>
              <w:rStyle w:val="20"/>
              <w:rFonts w:hint="eastAsia"/>
            </w:rPr>
            <w:t>1 编制说明</w:t>
          </w:r>
          <w:r>
            <w:rPr>
              <w:rFonts w:hint="eastAsia"/>
            </w:rPr>
            <w:tab/>
          </w:r>
          <w:r>
            <w:rPr>
              <w:rFonts w:hint="eastAsia"/>
            </w:rPr>
            <w:fldChar w:fldCharType="begin"/>
          </w:r>
          <w:r>
            <w:rPr>
              <w:rFonts w:hint="eastAsia"/>
            </w:rPr>
            <w:instrText xml:space="preserve"> </w:instrText>
          </w:r>
          <w:r>
            <w:instrText xml:space="preserve">PAGEREF _Toc187956695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7D3B4040">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"_Toc187956696" </w:instrText>
          </w:r>
          <w:r>
            <w:fldChar w:fldCharType="separate"/>
          </w:r>
          <w:r>
            <w:rPr>
              <w:rStyle w:val="20"/>
              <w:rFonts w:hint="eastAsia"/>
            </w:rPr>
            <w:t>1.1 编制依据</w:t>
          </w:r>
          <w:r>
            <w:rPr>
              <w:rFonts w:hint="eastAsia"/>
            </w:rPr>
            <w:tab/>
          </w:r>
          <w:r>
            <w:rPr>
              <w:rFonts w:hint="eastAsia"/>
            </w:rPr>
            <w:fldChar w:fldCharType="begin"/>
          </w:r>
          <w:r>
            <w:rPr>
              <w:rFonts w:hint="eastAsia"/>
            </w:rPr>
            <w:instrText xml:space="preserve"> </w:instrText>
          </w:r>
          <w:r>
            <w:instrText xml:space="preserve">PAGEREF _Toc187956696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51CD055">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"_Toc187956697" </w:instrText>
          </w:r>
          <w:r>
            <w:fldChar w:fldCharType="separate"/>
          </w:r>
          <w:r>
            <w:rPr>
              <w:rStyle w:val="20"/>
              <w:rFonts w:hint="eastAsia"/>
            </w:rPr>
            <w:t>1.1.1 法律依据</w:t>
          </w:r>
          <w:r>
            <w:rPr>
              <w:rFonts w:hint="eastAsia"/>
            </w:rPr>
            <w:tab/>
          </w:r>
          <w:r>
            <w:rPr>
              <w:rFonts w:hint="eastAsia"/>
            </w:rPr>
            <w:fldChar w:fldCharType="begin"/>
          </w:r>
          <w:r>
            <w:rPr>
              <w:rFonts w:hint="eastAsia"/>
            </w:rPr>
            <w:instrText xml:space="preserve"> </w:instrText>
          </w:r>
          <w:r>
            <w:instrText xml:space="preserve">PAGEREF _Toc187956697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D713B1A">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"_Toc187956698" </w:instrText>
          </w:r>
          <w:r>
            <w:fldChar w:fldCharType="separate"/>
          </w:r>
          <w:r>
            <w:rPr>
              <w:rStyle w:val="20"/>
              <w:rFonts w:hint="eastAsia"/>
            </w:rPr>
            <w:t>1.1.2 标准规范</w:t>
          </w:r>
          <w:r>
            <w:rPr>
              <w:rFonts w:hint="eastAsia"/>
            </w:rPr>
            <w:tab/>
          </w:r>
          <w:r>
            <w:rPr>
              <w:rFonts w:hint="eastAsia"/>
            </w:rPr>
            <w:fldChar w:fldCharType="begin"/>
          </w:r>
          <w:r>
            <w:rPr>
              <w:rFonts w:hint="eastAsia"/>
            </w:rPr>
            <w:instrText xml:space="preserve"> </w:instrText>
          </w:r>
          <w:r>
            <w:instrText xml:space="preserve">PAGEREF _Toc187956698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BF50F57">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"_Toc187956699" </w:instrText>
          </w:r>
          <w:r>
            <w:fldChar w:fldCharType="separate"/>
          </w:r>
          <w:r>
            <w:rPr>
              <w:rStyle w:val="20"/>
              <w:rFonts w:hint="eastAsia"/>
            </w:rPr>
            <w:t>1.1.3 规范性文件</w:t>
          </w:r>
          <w:r>
            <w:rPr>
              <w:rFonts w:hint="eastAsia"/>
            </w:rPr>
            <w:tab/>
          </w:r>
          <w:r>
            <w:rPr>
              <w:rFonts w:hint="eastAsia"/>
            </w:rPr>
            <w:fldChar w:fldCharType="begin"/>
          </w:r>
          <w:r>
            <w:rPr>
              <w:rFonts w:hint="eastAsia"/>
            </w:rPr>
            <w:instrText xml:space="preserve"> </w:instrText>
          </w:r>
          <w:r>
            <w:instrText xml:space="preserve">PAGEREF _Toc187956699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235A4D9B">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"_Toc187956700" </w:instrText>
          </w:r>
          <w:r>
            <w:fldChar w:fldCharType="separate"/>
          </w:r>
          <w:r>
            <w:rPr>
              <w:rStyle w:val="20"/>
              <w:rFonts w:hint="eastAsia"/>
            </w:rPr>
            <w:t>1.1.4 项目相关资料</w:t>
          </w:r>
          <w:r>
            <w:rPr>
              <w:rFonts w:hint="eastAsia"/>
            </w:rPr>
            <w:tab/>
          </w:r>
          <w:r>
            <w:rPr>
              <w:rFonts w:hint="eastAsia"/>
            </w:rPr>
            <w:fldChar w:fldCharType="begin"/>
          </w:r>
          <w:r>
            <w:rPr>
              <w:rFonts w:hint="eastAsia"/>
            </w:rPr>
            <w:instrText xml:space="preserve"> </w:instrText>
          </w:r>
          <w:r>
            <w:instrText xml:space="preserve">PAGEREF _Toc187956700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5A5FF458">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"_Toc187956701" </w:instrText>
          </w:r>
          <w:r>
            <w:fldChar w:fldCharType="separate"/>
          </w:r>
          <w:r>
            <w:rPr>
              <w:rStyle w:val="20"/>
              <w:rFonts w:hint="eastAsia"/>
            </w:rPr>
            <w:t>1.2 编制目的</w:t>
          </w:r>
          <w:r>
            <w:rPr>
              <w:rFonts w:hint="eastAsia"/>
            </w:rPr>
            <w:tab/>
          </w:r>
          <w:r>
            <w:rPr>
              <w:rFonts w:hint="eastAsia"/>
            </w:rPr>
            <w:fldChar w:fldCharType="begin"/>
          </w:r>
          <w:r>
            <w:rPr>
              <w:rFonts w:hint="eastAsia"/>
            </w:rPr>
            <w:instrText xml:space="preserve"> </w:instrText>
          </w:r>
          <w:r>
            <w:instrText xml:space="preserve">PAGEREF _Toc187956701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2E2DC749">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"_Toc187956702" </w:instrText>
          </w:r>
          <w:r>
            <w:fldChar w:fldCharType="separate"/>
          </w:r>
          <w:r>
            <w:rPr>
              <w:rStyle w:val="20"/>
              <w:rFonts w:hint="eastAsia"/>
            </w:rPr>
            <w:t>1.3 适用范围</w:t>
          </w:r>
          <w:r>
            <w:rPr>
              <w:rFonts w:hint="eastAsia"/>
            </w:rPr>
            <w:tab/>
          </w:r>
          <w:r>
            <w:rPr>
              <w:rFonts w:hint="eastAsia"/>
            </w:rPr>
            <w:fldChar w:fldCharType="begin"/>
          </w:r>
          <w:r>
            <w:rPr>
              <w:rFonts w:hint="eastAsia"/>
            </w:rPr>
            <w:instrText xml:space="preserve"> </w:instrText>
          </w:r>
          <w:r>
            <w:instrText xml:space="preserve">PAGEREF _Toc187956702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2D4303E7">
          <w:pPr>
            <w:pStyle w:val="13"/>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"_Toc187956703" </w:instrText>
          </w:r>
          <w:r>
            <w:fldChar w:fldCharType="separate"/>
          </w:r>
          <w:r>
            <w:rPr>
              <w:rStyle w:val="20"/>
              <w:rFonts w:hint="eastAsia"/>
            </w:rPr>
            <w:t>2 工程概况</w:t>
          </w:r>
          <w:r>
            <w:rPr>
              <w:rFonts w:hint="eastAsia"/>
            </w:rPr>
            <w:tab/>
          </w:r>
          <w:r>
            <w:rPr>
              <w:rFonts w:hint="eastAsia"/>
            </w:rPr>
            <w:fldChar w:fldCharType="begin"/>
          </w:r>
          <w:r>
            <w:rPr>
              <w:rFonts w:hint="eastAsia"/>
            </w:rPr>
            <w:instrText xml:space="preserve"> </w:instrText>
          </w:r>
          <w:r>
            <w:instrText xml:space="preserve">PAGEREF _Toc187956703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EF97A39">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"_Toc187956704" </w:instrText>
          </w:r>
          <w:r>
            <w:fldChar w:fldCharType="separate"/>
          </w:r>
          <w:r>
            <w:rPr>
              <w:rStyle w:val="20"/>
              <w:rFonts w:hint="eastAsia"/>
            </w:rPr>
            <w:t>2.1 项目总体概况</w:t>
          </w:r>
          <w:r>
            <w:rPr>
              <w:rFonts w:hint="eastAsia"/>
            </w:rPr>
            <w:tab/>
          </w:r>
          <w:r>
            <w:rPr>
              <w:rFonts w:hint="eastAsia"/>
            </w:rPr>
            <w:fldChar w:fldCharType="begin"/>
          </w:r>
          <w:r>
            <w:rPr>
              <w:rFonts w:hint="eastAsia"/>
            </w:rPr>
            <w:instrText xml:space="preserve"> </w:instrText>
          </w:r>
          <w:r>
            <w:instrText xml:space="preserve">PAGEREF _Toc187956704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43D2DD95">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"_Toc187956705" </w:instrText>
          </w:r>
          <w:r>
            <w:fldChar w:fldCharType="separate"/>
          </w:r>
          <w:r>
            <w:rPr>
              <w:rStyle w:val="20"/>
              <w:rFonts w:hint="eastAsia"/>
            </w:rPr>
            <w:t>2.2 下穿工程概况</w:t>
          </w:r>
          <w:r>
            <w:rPr>
              <w:rFonts w:hint="eastAsia"/>
            </w:rPr>
            <w:tab/>
          </w:r>
          <w:r>
            <w:rPr>
              <w:rFonts w:hint="eastAsia"/>
            </w:rPr>
            <w:fldChar w:fldCharType="begin"/>
          </w:r>
          <w:r>
            <w:rPr>
              <w:rFonts w:hint="eastAsia"/>
            </w:rPr>
            <w:instrText xml:space="preserve"> </w:instrText>
          </w:r>
          <w:r>
            <w:instrText xml:space="preserve">PAGEREF _Toc187956705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B8B8728">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"_Toc187956706" </w:instrText>
          </w:r>
          <w:r>
            <w:fldChar w:fldCharType="separate"/>
          </w:r>
          <w:r>
            <w:rPr>
              <w:rStyle w:val="20"/>
              <w:rFonts w:hint="eastAsia"/>
            </w:rPr>
            <w:t>2.2.1 楼仔大桥（已建）</w:t>
          </w:r>
          <w:r>
            <w:rPr>
              <w:rFonts w:hint="eastAsia"/>
            </w:rPr>
            <w:tab/>
          </w:r>
          <w:r>
            <w:rPr>
              <w:rFonts w:hint="eastAsia"/>
            </w:rPr>
            <w:fldChar w:fldCharType="begin"/>
          </w:r>
          <w:r>
            <w:rPr>
              <w:rFonts w:hint="eastAsia"/>
            </w:rPr>
            <w:instrText xml:space="preserve"> </w:instrText>
          </w:r>
          <w:r>
            <w:instrText xml:space="preserve">PAGEREF _Toc187956706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2CCBDD6">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"_Toc187956707" </w:instrText>
          </w:r>
          <w:r>
            <w:fldChar w:fldCharType="separate"/>
          </w:r>
          <w:r>
            <w:rPr>
              <w:rStyle w:val="20"/>
              <w:rFonts w:hint="eastAsia"/>
            </w:rPr>
            <w:t>2.2.2 炭坑溪大桥（本项目）</w:t>
          </w:r>
          <w:r>
            <w:rPr>
              <w:rFonts w:hint="eastAsia"/>
            </w:rPr>
            <w:tab/>
          </w:r>
          <w:r>
            <w:rPr>
              <w:rFonts w:hint="eastAsia"/>
            </w:rPr>
            <w:fldChar w:fldCharType="begin"/>
          </w:r>
          <w:r>
            <w:rPr>
              <w:rFonts w:hint="eastAsia"/>
            </w:rPr>
            <w:instrText xml:space="preserve"> </w:instrText>
          </w:r>
          <w:r>
            <w:instrText xml:space="preserve">PAGEREF _Toc187956707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039B65FB">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"_Toc187956708" </w:instrText>
          </w:r>
          <w:r>
            <w:fldChar w:fldCharType="separate"/>
          </w:r>
          <w:r>
            <w:rPr>
              <w:rStyle w:val="20"/>
              <w:rFonts w:hint="eastAsia"/>
            </w:rPr>
            <w:t>2.2.3 桥下高填方处理</w:t>
          </w:r>
          <w:r>
            <w:rPr>
              <w:rFonts w:hint="eastAsia"/>
            </w:rPr>
            <w:tab/>
          </w:r>
          <w:r>
            <w:rPr>
              <w:rFonts w:hint="eastAsia"/>
            </w:rPr>
            <w:fldChar w:fldCharType="begin"/>
          </w:r>
          <w:r>
            <w:rPr>
              <w:rFonts w:hint="eastAsia"/>
            </w:rPr>
            <w:instrText xml:space="preserve"> </w:instrText>
          </w:r>
          <w:r>
            <w:instrText xml:space="preserve">PAGEREF _Toc187956708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BA3FA3E">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"_Toc187956709" </w:instrText>
          </w:r>
          <w:r>
            <w:fldChar w:fldCharType="separate"/>
          </w:r>
          <w:r>
            <w:rPr>
              <w:rStyle w:val="20"/>
              <w:rFonts w:hint="eastAsia"/>
            </w:rPr>
            <w:t>2.2.4 楼仔大桥防抛及排水改造</w:t>
          </w:r>
          <w:r>
            <w:rPr>
              <w:rFonts w:hint="eastAsia"/>
            </w:rPr>
            <w:tab/>
          </w:r>
          <w:r>
            <w:rPr>
              <w:rFonts w:hint="eastAsia"/>
            </w:rPr>
            <w:fldChar w:fldCharType="begin"/>
          </w:r>
          <w:r>
            <w:rPr>
              <w:rFonts w:hint="eastAsia"/>
            </w:rPr>
            <w:instrText xml:space="preserve"> </w:instrText>
          </w:r>
          <w:r>
            <w:instrText xml:space="preserve">PAGEREF _Toc187956709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CC405DD">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"_Toc187956710" </w:instrText>
          </w:r>
          <w:r>
            <w:fldChar w:fldCharType="separate"/>
          </w:r>
          <w:r>
            <w:rPr>
              <w:rStyle w:val="20"/>
              <w:rFonts w:hint="eastAsia"/>
            </w:rPr>
            <w:t>2.3 气象水文地质条件</w:t>
          </w:r>
          <w:r>
            <w:rPr>
              <w:rFonts w:hint="eastAsia"/>
            </w:rPr>
            <w:tab/>
          </w:r>
          <w:r>
            <w:rPr>
              <w:rFonts w:hint="eastAsia"/>
            </w:rPr>
            <w:fldChar w:fldCharType="begin"/>
          </w:r>
          <w:r>
            <w:rPr>
              <w:rFonts w:hint="eastAsia"/>
            </w:rPr>
            <w:instrText xml:space="preserve"> </w:instrText>
          </w:r>
          <w:r>
            <w:instrText xml:space="preserve">PAGEREF _Toc187956710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6721C8D3">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"_Toc187956711" </w:instrText>
          </w:r>
          <w:r>
            <w:fldChar w:fldCharType="separate"/>
          </w:r>
          <w:r>
            <w:rPr>
              <w:rStyle w:val="20"/>
              <w:rFonts w:hint="eastAsia"/>
            </w:rPr>
            <w:t>2.3.1 气象</w:t>
          </w:r>
          <w:r>
            <w:rPr>
              <w:rFonts w:hint="eastAsia"/>
            </w:rPr>
            <w:tab/>
          </w:r>
          <w:r>
            <w:rPr>
              <w:rFonts w:hint="eastAsia"/>
            </w:rPr>
            <w:fldChar w:fldCharType="begin"/>
          </w:r>
          <w:r>
            <w:rPr>
              <w:rFonts w:hint="eastAsia"/>
            </w:rPr>
            <w:instrText xml:space="preserve"> </w:instrText>
          </w:r>
          <w:r>
            <w:instrText xml:space="preserve">PAGEREF _Toc187956711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162222D1">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"_Toc187956712" </w:instrText>
          </w:r>
          <w:r>
            <w:fldChar w:fldCharType="separate"/>
          </w:r>
          <w:r>
            <w:rPr>
              <w:rStyle w:val="20"/>
              <w:rFonts w:hint="eastAsia"/>
            </w:rPr>
            <w:t>2.3.2 水文</w:t>
          </w:r>
          <w:r>
            <w:rPr>
              <w:rFonts w:hint="eastAsia"/>
            </w:rPr>
            <w:tab/>
          </w:r>
          <w:r>
            <w:rPr>
              <w:rFonts w:hint="eastAsia"/>
            </w:rPr>
            <w:fldChar w:fldCharType="begin"/>
          </w:r>
          <w:r>
            <w:rPr>
              <w:rFonts w:hint="eastAsia"/>
            </w:rPr>
            <w:instrText xml:space="preserve"> </w:instrText>
          </w:r>
          <w:r>
            <w:instrText xml:space="preserve">PAGEREF _Toc187956712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69E6F70">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"_Toc187956713" </w:instrText>
          </w:r>
          <w:r>
            <w:fldChar w:fldCharType="separate"/>
          </w:r>
          <w:r>
            <w:rPr>
              <w:rStyle w:val="20"/>
              <w:rFonts w:hint="eastAsia"/>
            </w:rPr>
            <w:t>2.3.3 地质条件</w:t>
          </w:r>
          <w:r>
            <w:rPr>
              <w:rFonts w:hint="eastAsia"/>
            </w:rPr>
            <w:tab/>
          </w:r>
          <w:r>
            <w:rPr>
              <w:rFonts w:hint="eastAsia"/>
            </w:rPr>
            <w:fldChar w:fldCharType="begin"/>
          </w:r>
          <w:r>
            <w:rPr>
              <w:rFonts w:hint="eastAsia"/>
            </w:rPr>
            <w:instrText xml:space="preserve"> </w:instrText>
          </w:r>
          <w:r>
            <w:instrText xml:space="preserve">PAGEREF _Toc187956713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725E869">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"_Toc187956714" </w:instrText>
          </w:r>
          <w:r>
            <w:fldChar w:fldCharType="separate"/>
          </w:r>
          <w:r>
            <w:rPr>
              <w:rStyle w:val="20"/>
              <w:rFonts w:hint="eastAsia"/>
            </w:rPr>
            <w:t>2.4 周边环境</w:t>
          </w:r>
          <w:r>
            <w:rPr>
              <w:rFonts w:hint="eastAsia"/>
            </w:rPr>
            <w:tab/>
          </w:r>
          <w:r>
            <w:rPr>
              <w:rFonts w:hint="eastAsia"/>
            </w:rPr>
            <w:fldChar w:fldCharType="begin"/>
          </w:r>
          <w:r>
            <w:rPr>
              <w:rFonts w:hint="eastAsia"/>
            </w:rPr>
            <w:instrText xml:space="preserve"> </w:instrText>
          </w:r>
          <w:r>
            <w:instrText xml:space="preserve">PAGEREF _Toc187956714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0452045A">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"_Toc187956715" </w:instrText>
          </w:r>
          <w:r>
            <w:fldChar w:fldCharType="separate"/>
          </w:r>
          <w:r>
            <w:rPr>
              <w:rStyle w:val="20"/>
              <w:rFonts w:hint="eastAsia"/>
            </w:rPr>
            <w:t>2.5 施工平面布置</w:t>
          </w:r>
          <w:r>
            <w:rPr>
              <w:rFonts w:hint="eastAsia"/>
            </w:rPr>
            <w:tab/>
          </w:r>
          <w:r>
            <w:rPr>
              <w:rFonts w:hint="eastAsia"/>
            </w:rPr>
            <w:fldChar w:fldCharType="begin"/>
          </w:r>
          <w:r>
            <w:rPr>
              <w:rFonts w:hint="eastAsia"/>
            </w:rPr>
            <w:instrText xml:space="preserve"> </w:instrText>
          </w:r>
          <w:r>
            <w:instrText xml:space="preserve">PAGEREF _Toc187956715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597D9C14">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"_Toc187956716" </w:instrText>
          </w:r>
          <w:r>
            <w:fldChar w:fldCharType="separate"/>
          </w:r>
          <w:r>
            <w:rPr>
              <w:rStyle w:val="20"/>
              <w:rFonts w:hint="eastAsia"/>
            </w:rPr>
            <w:t>2.6 施工重难点</w:t>
          </w:r>
          <w:r>
            <w:rPr>
              <w:rFonts w:hint="eastAsia"/>
            </w:rPr>
            <w:tab/>
          </w:r>
          <w:r>
            <w:rPr>
              <w:rFonts w:hint="eastAsia"/>
            </w:rPr>
            <w:fldChar w:fldCharType="begin"/>
          </w:r>
          <w:r>
            <w:rPr>
              <w:rFonts w:hint="eastAsia"/>
            </w:rPr>
            <w:instrText xml:space="preserve"> </w:instrText>
          </w:r>
          <w:r>
            <w:instrText xml:space="preserve">PAGEREF _Toc187956716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42D98BA0">
          <w:pPr>
            <w:pStyle w:val="13"/>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"_Toc187956717" </w:instrText>
          </w:r>
          <w:r>
            <w:fldChar w:fldCharType="separate"/>
          </w:r>
          <w:r>
            <w:rPr>
              <w:rStyle w:val="20"/>
              <w:rFonts w:hint="eastAsia"/>
            </w:rPr>
            <w:t>3 施工工艺</w:t>
          </w:r>
          <w:r>
            <w:rPr>
              <w:rFonts w:hint="eastAsia"/>
            </w:rPr>
            <w:tab/>
          </w:r>
          <w:r>
            <w:rPr>
              <w:rFonts w:hint="eastAsia"/>
            </w:rPr>
            <w:fldChar w:fldCharType="begin"/>
          </w:r>
          <w:r>
            <w:rPr>
              <w:rFonts w:hint="eastAsia"/>
            </w:rPr>
            <w:instrText xml:space="preserve"> </w:instrText>
          </w:r>
          <w:r>
            <w:instrText xml:space="preserve">PAGEREF _Toc187956717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2ECE433B">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"_Toc187956718" </w:instrText>
          </w:r>
          <w:r>
            <w:fldChar w:fldCharType="separate"/>
          </w:r>
          <w:r>
            <w:rPr>
              <w:rStyle w:val="20"/>
              <w:rFonts w:hint="eastAsia"/>
            </w:rPr>
            <w:t>3.1 施工工艺概述</w:t>
          </w:r>
          <w:r>
            <w:rPr>
              <w:rFonts w:hint="eastAsia"/>
            </w:rPr>
            <w:tab/>
          </w:r>
          <w:r>
            <w:rPr>
              <w:rFonts w:hint="eastAsia"/>
            </w:rPr>
            <w:fldChar w:fldCharType="begin"/>
          </w:r>
          <w:r>
            <w:rPr>
              <w:rFonts w:hint="eastAsia"/>
            </w:rPr>
            <w:instrText xml:space="preserve"> </w:instrText>
          </w:r>
          <w:r>
            <w:instrText xml:space="preserve">PAGEREF _Toc187956718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9F5FA90">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"_Toc187956719" </w:instrText>
          </w:r>
          <w:r>
            <w:fldChar w:fldCharType="separate"/>
          </w:r>
          <w:r>
            <w:rPr>
              <w:rStyle w:val="20"/>
              <w:rFonts w:hint="eastAsia"/>
            </w:rPr>
            <w:t>3.2 施工工艺流程</w:t>
          </w:r>
          <w:r>
            <w:rPr>
              <w:rFonts w:hint="eastAsia"/>
            </w:rPr>
            <w:tab/>
          </w:r>
          <w:r>
            <w:rPr>
              <w:rFonts w:hint="eastAsia"/>
            </w:rPr>
            <w:fldChar w:fldCharType="begin"/>
          </w:r>
          <w:r>
            <w:rPr>
              <w:rFonts w:hint="eastAsia"/>
            </w:rPr>
            <w:instrText xml:space="preserve"> </w:instrText>
          </w:r>
          <w:r>
            <w:instrText xml:space="preserve">PAGEREF _Toc187956719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2C9A2EC5">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"_Toc187956720" </w:instrText>
          </w:r>
          <w:r>
            <w:fldChar w:fldCharType="separate"/>
          </w:r>
          <w:r>
            <w:rPr>
              <w:rStyle w:val="20"/>
              <w:rFonts w:hint="eastAsia"/>
            </w:rPr>
            <w:t>3.3 施工方法</w:t>
          </w:r>
          <w:r>
            <w:rPr>
              <w:rFonts w:hint="eastAsia"/>
            </w:rPr>
            <w:tab/>
          </w:r>
          <w:r>
            <w:rPr>
              <w:rFonts w:hint="eastAsia"/>
            </w:rPr>
            <w:fldChar w:fldCharType="begin"/>
          </w:r>
          <w:r>
            <w:rPr>
              <w:rFonts w:hint="eastAsia"/>
            </w:rPr>
            <w:instrText xml:space="preserve"> </w:instrText>
          </w:r>
          <w:r>
            <w:instrText xml:space="preserve">PAGEREF _Toc187956720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20107D8">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"_Toc187956721" </w:instrText>
          </w:r>
          <w:r>
            <w:fldChar w:fldCharType="separate"/>
          </w:r>
          <w:r>
            <w:rPr>
              <w:rStyle w:val="20"/>
              <w:rFonts w:hint="eastAsia"/>
            </w:rPr>
            <w:t>3.3.1 清表、清理河道</w:t>
          </w:r>
          <w:r>
            <w:rPr>
              <w:rFonts w:hint="eastAsia"/>
            </w:rPr>
            <w:tab/>
          </w:r>
          <w:r>
            <w:rPr>
              <w:rFonts w:hint="eastAsia"/>
            </w:rPr>
            <w:fldChar w:fldCharType="begin"/>
          </w:r>
          <w:r>
            <w:rPr>
              <w:rFonts w:hint="eastAsia"/>
            </w:rPr>
            <w:instrText xml:space="preserve"> </w:instrText>
          </w:r>
          <w:r>
            <w:instrText xml:space="preserve">PAGEREF _Toc187956721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6C96BFDC">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"_Toc187956722" </w:instrText>
          </w:r>
          <w:r>
            <w:fldChar w:fldCharType="separate"/>
          </w:r>
          <w:r>
            <w:rPr>
              <w:rStyle w:val="20"/>
              <w:rFonts w:hint="eastAsia"/>
            </w:rPr>
            <w:t>3.3.2 便道施工、改河道</w:t>
          </w:r>
          <w:r>
            <w:rPr>
              <w:rFonts w:hint="eastAsia"/>
            </w:rPr>
            <w:tab/>
          </w:r>
          <w:r>
            <w:rPr>
              <w:rFonts w:hint="eastAsia"/>
            </w:rPr>
            <w:fldChar w:fldCharType="begin"/>
          </w:r>
          <w:r>
            <w:rPr>
              <w:rFonts w:hint="eastAsia"/>
            </w:rPr>
            <w:instrText xml:space="preserve"> </w:instrText>
          </w:r>
          <w:r>
            <w:instrText xml:space="preserve">PAGEREF _Toc187956722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6E4B4551">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"_Toc187956723" </w:instrText>
          </w:r>
          <w:r>
            <w:fldChar w:fldCharType="separate"/>
          </w:r>
          <w:r>
            <w:rPr>
              <w:rStyle w:val="20"/>
              <w:rFonts w:hint="eastAsia"/>
            </w:rPr>
            <w:t>3.3.3 桥墩防护、监测</w:t>
          </w:r>
          <w:r>
            <w:rPr>
              <w:rFonts w:hint="eastAsia"/>
            </w:rPr>
            <w:tab/>
          </w:r>
          <w:r>
            <w:rPr>
              <w:rFonts w:hint="eastAsia"/>
            </w:rPr>
            <w:fldChar w:fldCharType="begin"/>
          </w:r>
          <w:r>
            <w:rPr>
              <w:rFonts w:hint="eastAsia"/>
            </w:rPr>
            <w:instrText xml:space="preserve"> </w:instrText>
          </w:r>
          <w:r>
            <w:instrText xml:space="preserve">PAGEREF _Toc187956723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58AF31EE">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"_Toc187956724" </w:instrText>
          </w:r>
          <w:r>
            <w:fldChar w:fldCharType="separate"/>
          </w:r>
          <w:r>
            <w:rPr>
              <w:rStyle w:val="20"/>
              <w:rFonts w:hint="eastAsia"/>
            </w:rPr>
            <w:t>3.3.4 级配碎石垫层施工</w:t>
          </w:r>
          <w:r>
            <w:rPr>
              <w:rFonts w:hint="eastAsia"/>
            </w:rPr>
            <w:tab/>
          </w:r>
          <w:r>
            <w:rPr>
              <w:rFonts w:hint="eastAsia"/>
            </w:rPr>
            <w:fldChar w:fldCharType="begin"/>
          </w:r>
          <w:r>
            <w:rPr>
              <w:rFonts w:hint="eastAsia"/>
            </w:rPr>
            <w:instrText xml:space="preserve"> </w:instrText>
          </w:r>
          <w:r>
            <w:instrText xml:space="preserve">PAGEREF _Toc187956724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541B5AE4">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"_Toc187956725" </w:instrText>
          </w:r>
          <w:r>
            <w:fldChar w:fldCharType="separate"/>
          </w:r>
          <w:r>
            <w:rPr>
              <w:rStyle w:val="20"/>
              <w:rFonts w:hint="eastAsia"/>
            </w:rPr>
            <w:t>3.3.5 桩基施工</w:t>
          </w:r>
          <w:r>
            <w:rPr>
              <w:rFonts w:hint="eastAsia"/>
            </w:rPr>
            <w:tab/>
          </w:r>
          <w:r>
            <w:rPr>
              <w:rFonts w:hint="eastAsia"/>
            </w:rPr>
            <w:fldChar w:fldCharType="begin"/>
          </w:r>
          <w:r>
            <w:rPr>
              <w:rFonts w:hint="eastAsia"/>
            </w:rPr>
            <w:instrText xml:space="preserve"> </w:instrText>
          </w:r>
          <w:r>
            <w:instrText xml:space="preserve">PAGEREF _Toc187956725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387AB817">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"_Toc187956726" </w:instrText>
          </w:r>
          <w:r>
            <w:fldChar w:fldCharType="separate"/>
          </w:r>
          <w:r>
            <w:rPr>
              <w:rStyle w:val="20"/>
              <w:rFonts w:hint="eastAsia"/>
            </w:rPr>
            <w:t>3.3.6 桥梁下部结构施工</w:t>
          </w:r>
          <w:r>
            <w:rPr>
              <w:rFonts w:hint="eastAsia"/>
            </w:rPr>
            <w:tab/>
          </w:r>
          <w:r>
            <w:rPr>
              <w:rFonts w:hint="eastAsia"/>
            </w:rPr>
            <w:fldChar w:fldCharType="begin"/>
          </w:r>
          <w:r>
            <w:rPr>
              <w:rFonts w:hint="eastAsia"/>
            </w:rPr>
            <w:instrText xml:space="preserve"> </w:instrText>
          </w:r>
          <w:r>
            <w:instrText xml:space="preserve">PAGEREF _Toc187956726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56F52D56">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"_Toc187956727" </w:instrText>
          </w:r>
          <w:r>
            <w:fldChar w:fldCharType="separate"/>
          </w:r>
          <w:r>
            <w:rPr>
              <w:rStyle w:val="20"/>
              <w:rFonts w:hint="eastAsia"/>
            </w:rPr>
            <w:t>3.3.7 高速桥防抛排水</w:t>
          </w:r>
          <w:r>
            <w:rPr>
              <w:rFonts w:hint="eastAsia"/>
            </w:rPr>
            <w:tab/>
          </w:r>
          <w:r>
            <w:rPr>
              <w:rFonts w:hint="eastAsia"/>
            </w:rPr>
            <w:fldChar w:fldCharType="begin"/>
          </w:r>
          <w:r>
            <w:rPr>
              <w:rFonts w:hint="eastAsia"/>
            </w:rPr>
            <w:instrText xml:space="preserve"> </w:instrText>
          </w:r>
          <w:r>
            <w:instrText xml:space="preserve">PAGEREF _Toc187956727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16D91410">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"_Toc187956728" </w:instrText>
          </w:r>
          <w:r>
            <w:fldChar w:fldCharType="separate"/>
          </w:r>
          <w:r>
            <w:rPr>
              <w:rStyle w:val="20"/>
              <w:rFonts w:hint="eastAsia"/>
            </w:rPr>
            <w:t>3.3.8 泡沫砼</w:t>
          </w:r>
          <w:r>
            <w:rPr>
              <w:rFonts w:hint="eastAsia"/>
            </w:rPr>
            <w:tab/>
          </w:r>
          <w:r>
            <w:rPr>
              <w:rFonts w:hint="eastAsia"/>
            </w:rPr>
            <w:fldChar w:fldCharType="begin"/>
          </w:r>
          <w:r>
            <w:rPr>
              <w:rFonts w:hint="eastAsia"/>
            </w:rPr>
            <w:instrText xml:space="preserve"> </w:instrText>
          </w:r>
          <w:r>
            <w:instrText xml:space="preserve">PAGEREF _Toc187956728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20E358CB">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"_Toc187956729" </w:instrText>
          </w:r>
          <w:r>
            <w:fldChar w:fldCharType="separate"/>
          </w:r>
          <w:r>
            <w:rPr>
              <w:rStyle w:val="20"/>
              <w:rFonts w:hint="eastAsia"/>
            </w:rPr>
            <w:t>3.3.9 桥梁上部结构施工</w:t>
          </w:r>
          <w:r>
            <w:rPr>
              <w:rFonts w:hint="eastAsia"/>
            </w:rPr>
            <w:tab/>
          </w:r>
          <w:r>
            <w:rPr>
              <w:rFonts w:hint="eastAsia"/>
            </w:rPr>
            <w:fldChar w:fldCharType="begin"/>
          </w:r>
          <w:r>
            <w:rPr>
              <w:rFonts w:hint="eastAsia"/>
            </w:rPr>
            <w:instrText xml:space="preserve"> </w:instrText>
          </w:r>
          <w:r>
            <w:instrText xml:space="preserve">PAGEREF _Toc187956729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4CD23950">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"_Toc187956730" </w:instrText>
          </w:r>
          <w:r>
            <w:fldChar w:fldCharType="separate"/>
          </w:r>
          <w:r>
            <w:rPr>
              <w:rStyle w:val="20"/>
              <w:rFonts w:hint="eastAsia"/>
            </w:rPr>
            <w:t>3.3.10 桥面及附属施工</w:t>
          </w:r>
          <w:r>
            <w:rPr>
              <w:rFonts w:hint="eastAsia"/>
            </w:rPr>
            <w:tab/>
          </w:r>
          <w:r>
            <w:rPr>
              <w:rFonts w:hint="eastAsia"/>
            </w:rPr>
            <w:fldChar w:fldCharType="begin"/>
          </w:r>
          <w:r>
            <w:rPr>
              <w:rFonts w:hint="eastAsia"/>
            </w:rPr>
            <w:instrText xml:space="preserve"> </w:instrText>
          </w:r>
          <w:r>
            <w:instrText xml:space="preserve">PAGEREF _Toc187956730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37ED9C89">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"_Toc187956731" </w:instrText>
          </w:r>
          <w:r>
            <w:fldChar w:fldCharType="separate"/>
          </w:r>
          <w:r>
            <w:rPr>
              <w:rStyle w:val="20"/>
              <w:rFonts w:hint="eastAsia"/>
            </w:rPr>
            <w:t>3.3.11 交安、市政施工</w:t>
          </w:r>
          <w:r>
            <w:rPr>
              <w:rFonts w:hint="eastAsia"/>
            </w:rPr>
            <w:tab/>
          </w:r>
          <w:r>
            <w:rPr>
              <w:rFonts w:hint="eastAsia"/>
            </w:rPr>
            <w:fldChar w:fldCharType="begin"/>
          </w:r>
          <w:r>
            <w:rPr>
              <w:rFonts w:hint="eastAsia"/>
            </w:rPr>
            <w:instrText xml:space="preserve"> </w:instrText>
          </w:r>
          <w:r>
            <w:instrText xml:space="preserve">PAGEREF _Toc187956731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319B11E1">
          <w:pPr>
            <w:pStyle w:val="13"/>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"_Toc187956732" </w:instrText>
          </w:r>
          <w:r>
            <w:fldChar w:fldCharType="separate"/>
          </w:r>
          <w:r>
            <w:rPr>
              <w:rStyle w:val="20"/>
              <w:rFonts w:hint="eastAsia"/>
            </w:rPr>
            <w:t>4 施工计划</w:t>
          </w:r>
          <w:r>
            <w:rPr>
              <w:rFonts w:hint="eastAsia"/>
            </w:rPr>
            <w:tab/>
          </w:r>
          <w:r>
            <w:rPr>
              <w:rFonts w:hint="eastAsia"/>
            </w:rPr>
            <w:fldChar w:fldCharType="begin"/>
          </w:r>
          <w:r>
            <w:rPr>
              <w:rFonts w:hint="eastAsia"/>
            </w:rPr>
            <w:instrText xml:space="preserve"> </w:instrText>
          </w:r>
          <w:r>
            <w:instrText xml:space="preserve">PAGEREF _Toc187956732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2509C3F9">
          <w:pPr>
            <w:pStyle w:val="13"/>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"_Toc187956733" </w:instrText>
          </w:r>
          <w:r>
            <w:fldChar w:fldCharType="separate"/>
          </w:r>
          <w:r>
            <w:rPr>
              <w:rStyle w:val="20"/>
              <w:rFonts w:hint="eastAsia"/>
            </w:rPr>
            <w:t>5 交通组织保证措施</w:t>
          </w:r>
          <w:r>
            <w:rPr>
              <w:rFonts w:hint="eastAsia"/>
            </w:rPr>
            <w:tab/>
          </w:r>
          <w:r>
            <w:rPr>
              <w:rFonts w:hint="eastAsia"/>
            </w:rPr>
            <w:fldChar w:fldCharType="begin"/>
          </w:r>
          <w:r>
            <w:rPr>
              <w:rFonts w:hint="eastAsia"/>
            </w:rPr>
            <w:instrText xml:space="preserve"> </w:instrText>
          </w:r>
          <w:r>
            <w:instrText xml:space="preserve">PAGEREF _Toc187956733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02AFFC21">
          <w:pPr>
            <w:pStyle w:val="13"/>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"_Toc187956734" </w:instrText>
          </w:r>
          <w:r>
            <w:fldChar w:fldCharType="separate"/>
          </w:r>
          <w:r>
            <w:rPr>
              <w:rStyle w:val="20"/>
              <w:rFonts w:hint="eastAsia"/>
            </w:rPr>
            <w:t>6 交通导改</w:t>
          </w:r>
          <w:r>
            <w:rPr>
              <w:rFonts w:hint="eastAsia"/>
            </w:rPr>
            <w:tab/>
          </w:r>
          <w:r>
            <w:rPr>
              <w:rFonts w:hint="eastAsia"/>
            </w:rPr>
            <w:fldChar w:fldCharType="begin"/>
          </w:r>
          <w:r>
            <w:rPr>
              <w:rFonts w:hint="eastAsia"/>
            </w:rPr>
            <w:instrText xml:space="preserve"> </w:instrText>
          </w:r>
          <w:r>
            <w:instrText xml:space="preserve">PAGEREF _Toc187956734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34683B35">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"_Toc187956735" </w:instrText>
          </w:r>
          <w:r>
            <w:fldChar w:fldCharType="separate"/>
          </w:r>
          <w:r>
            <w:rPr>
              <w:rStyle w:val="20"/>
              <w:rFonts w:hint="eastAsia"/>
            </w:rPr>
            <w:t>6.1 车道封闭施工</w:t>
          </w:r>
          <w:r>
            <w:rPr>
              <w:rFonts w:hint="eastAsia"/>
            </w:rPr>
            <w:tab/>
          </w:r>
          <w:r>
            <w:rPr>
              <w:rFonts w:hint="eastAsia"/>
            </w:rPr>
            <w:fldChar w:fldCharType="begin"/>
          </w:r>
          <w:r>
            <w:rPr>
              <w:rFonts w:hint="eastAsia"/>
            </w:rPr>
            <w:instrText xml:space="preserve"> </w:instrText>
          </w:r>
          <w:r>
            <w:instrText xml:space="preserve">PAGEREF _Toc187956735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1DB42318">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"_Toc187956736" </w:instrText>
          </w:r>
          <w:r>
            <w:fldChar w:fldCharType="separate"/>
          </w:r>
          <w:r>
            <w:rPr>
              <w:rStyle w:val="20"/>
              <w:rFonts w:hint="eastAsia"/>
            </w:rPr>
            <w:t>6.2 封闭道路施工时间计划安排</w:t>
          </w:r>
          <w:r>
            <w:rPr>
              <w:rFonts w:hint="eastAsia"/>
            </w:rPr>
            <w:tab/>
          </w:r>
          <w:r>
            <w:rPr>
              <w:rFonts w:hint="eastAsia"/>
            </w:rPr>
            <w:fldChar w:fldCharType="begin"/>
          </w:r>
          <w:r>
            <w:rPr>
              <w:rFonts w:hint="eastAsia"/>
            </w:rPr>
            <w:instrText xml:space="preserve"> </w:instrText>
          </w:r>
          <w:r>
            <w:instrText xml:space="preserve">PAGEREF _Toc187956736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22B31B19">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"_Toc187956737" </w:instrText>
          </w:r>
          <w:r>
            <w:fldChar w:fldCharType="separate"/>
          </w:r>
          <w:r>
            <w:rPr>
              <w:rStyle w:val="20"/>
              <w:rFonts w:hint="eastAsia"/>
            </w:rPr>
            <w:t>6.3 交通安全防护布控方案</w:t>
          </w:r>
          <w:r>
            <w:rPr>
              <w:rFonts w:hint="eastAsia"/>
            </w:rPr>
            <w:tab/>
          </w:r>
          <w:r>
            <w:rPr>
              <w:rFonts w:hint="eastAsia"/>
            </w:rPr>
            <w:fldChar w:fldCharType="begin"/>
          </w:r>
          <w:r>
            <w:rPr>
              <w:rFonts w:hint="eastAsia"/>
            </w:rPr>
            <w:instrText xml:space="preserve"> </w:instrText>
          </w:r>
          <w:r>
            <w:instrText xml:space="preserve">PAGEREF _Toc187956737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4C235D95">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"_Toc187956738" </w:instrText>
          </w:r>
          <w:r>
            <w:fldChar w:fldCharType="separate"/>
          </w:r>
          <w:r>
            <w:rPr>
              <w:rStyle w:val="20"/>
              <w:rFonts w:hint="eastAsia"/>
            </w:rPr>
            <w:t>6.4 布控实施方案</w:t>
          </w:r>
          <w:r>
            <w:rPr>
              <w:rFonts w:hint="eastAsia"/>
            </w:rPr>
            <w:tab/>
          </w:r>
          <w:r>
            <w:rPr>
              <w:rFonts w:hint="eastAsia"/>
            </w:rPr>
            <w:fldChar w:fldCharType="begin"/>
          </w:r>
          <w:r>
            <w:rPr>
              <w:rFonts w:hint="eastAsia"/>
            </w:rPr>
            <w:instrText xml:space="preserve"> </w:instrText>
          </w:r>
          <w:r>
            <w:instrText xml:space="preserve">PAGEREF _Toc187956738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03C9EC42">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"_Toc187956739" </w:instrText>
          </w:r>
          <w:r>
            <w:fldChar w:fldCharType="separate"/>
          </w:r>
          <w:r>
            <w:rPr>
              <w:rStyle w:val="20"/>
              <w:rFonts w:hint="eastAsia"/>
            </w:rPr>
            <w:t>6.5 具体布控方法</w:t>
          </w:r>
          <w:r>
            <w:rPr>
              <w:rFonts w:hint="eastAsia"/>
            </w:rPr>
            <w:tab/>
          </w:r>
          <w:r>
            <w:rPr>
              <w:rFonts w:hint="eastAsia"/>
            </w:rPr>
            <w:fldChar w:fldCharType="begin"/>
          </w:r>
          <w:r>
            <w:rPr>
              <w:rFonts w:hint="eastAsia"/>
            </w:rPr>
            <w:instrText xml:space="preserve"> </w:instrText>
          </w:r>
          <w:r>
            <w:instrText xml:space="preserve">PAGEREF _Toc187956739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74794C42">
          <w:pPr>
            <w:pStyle w:val="13"/>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"_Toc187956740" </w:instrText>
          </w:r>
          <w:r>
            <w:fldChar w:fldCharType="separate"/>
          </w:r>
          <w:r>
            <w:rPr>
              <w:rStyle w:val="20"/>
              <w:rFonts w:hint="eastAsia"/>
            </w:rPr>
            <w:t>7 安全应急预案</w:t>
          </w:r>
          <w:r>
            <w:rPr>
              <w:rFonts w:hint="eastAsia"/>
            </w:rPr>
            <w:tab/>
          </w:r>
          <w:r>
            <w:rPr>
              <w:rFonts w:hint="eastAsia"/>
            </w:rPr>
            <w:fldChar w:fldCharType="begin"/>
          </w:r>
          <w:r>
            <w:rPr>
              <w:rFonts w:hint="eastAsia"/>
            </w:rPr>
            <w:instrText xml:space="preserve"> </w:instrText>
          </w:r>
          <w:r>
            <w:instrText xml:space="preserve">PAGEREF _Toc187956740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6C6F673A">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"_Toc187956741" </w:instrText>
          </w:r>
          <w:r>
            <w:fldChar w:fldCharType="separate"/>
          </w:r>
          <w:r>
            <w:rPr>
              <w:rStyle w:val="20"/>
              <w:rFonts w:hint="eastAsia"/>
            </w:rPr>
            <w:t>7.1 方针与目标</w:t>
          </w:r>
          <w:r>
            <w:rPr>
              <w:rFonts w:hint="eastAsia"/>
            </w:rPr>
            <w:tab/>
          </w:r>
          <w:r>
            <w:rPr>
              <w:rFonts w:hint="eastAsia"/>
            </w:rPr>
            <w:fldChar w:fldCharType="begin"/>
          </w:r>
          <w:r>
            <w:rPr>
              <w:rFonts w:hint="eastAsia"/>
            </w:rPr>
            <w:instrText xml:space="preserve"> </w:instrText>
          </w:r>
          <w:r>
            <w:instrText xml:space="preserve">PAGEREF _Toc187956741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08D8019A">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"_Toc187956742" </w:instrText>
          </w:r>
          <w:r>
            <w:fldChar w:fldCharType="separate"/>
          </w:r>
          <w:r>
            <w:rPr>
              <w:rStyle w:val="20"/>
              <w:rFonts w:hint="eastAsia"/>
            </w:rPr>
            <w:t>7.2 应急策划</w:t>
          </w:r>
          <w:r>
            <w:rPr>
              <w:rFonts w:hint="eastAsia"/>
            </w:rPr>
            <w:tab/>
          </w:r>
          <w:r>
            <w:rPr>
              <w:rFonts w:hint="eastAsia"/>
            </w:rPr>
            <w:fldChar w:fldCharType="begin"/>
          </w:r>
          <w:r>
            <w:rPr>
              <w:rFonts w:hint="eastAsia"/>
            </w:rPr>
            <w:instrText xml:space="preserve"> </w:instrText>
          </w:r>
          <w:r>
            <w:instrText xml:space="preserve">PAGEREF _Toc187956742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61C22937">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"_Toc187956743" </w:instrText>
          </w:r>
          <w:r>
            <w:fldChar w:fldCharType="separate"/>
          </w:r>
          <w:r>
            <w:rPr>
              <w:rStyle w:val="20"/>
              <w:rFonts w:hint="eastAsia"/>
            </w:rPr>
            <w:t>7.2.1 应急预案工作流程</w:t>
          </w:r>
          <w:r>
            <w:rPr>
              <w:rFonts w:hint="eastAsia"/>
            </w:rPr>
            <w:tab/>
          </w:r>
          <w:r>
            <w:rPr>
              <w:rFonts w:hint="eastAsia"/>
            </w:rPr>
            <w:fldChar w:fldCharType="begin"/>
          </w:r>
          <w:r>
            <w:rPr>
              <w:rFonts w:hint="eastAsia"/>
            </w:rPr>
            <w:instrText xml:space="preserve"> </w:instrText>
          </w:r>
          <w:r>
            <w:instrText xml:space="preserve">PAGEREF _Toc187956743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70B40CA0">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"_Toc187956744" </w:instrText>
          </w:r>
          <w:r>
            <w:fldChar w:fldCharType="separate"/>
          </w:r>
          <w:r>
            <w:rPr>
              <w:rStyle w:val="20"/>
              <w:rFonts w:hint="eastAsia"/>
            </w:rPr>
            <w:t>7.2.2 突发事件风险分析和预防</w:t>
          </w:r>
          <w:r>
            <w:rPr>
              <w:rFonts w:hint="eastAsia"/>
            </w:rPr>
            <w:tab/>
          </w:r>
          <w:r>
            <w:rPr>
              <w:rFonts w:hint="eastAsia"/>
            </w:rPr>
            <w:fldChar w:fldCharType="begin"/>
          </w:r>
          <w:r>
            <w:rPr>
              <w:rFonts w:hint="eastAsia"/>
            </w:rPr>
            <w:instrText xml:space="preserve"> </w:instrText>
          </w:r>
          <w:r>
            <w:instrText xml:space="preserve">PAGEREF _Toc187956744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46555AAC">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"_Toc187956745" </w:instrText>
          </w:r>
          <w:r>
            <w:fldChar w:fldCharType="separate"/>
          </w:r>
          <w:r>
            <w:rPr>
              <w:rStyle w:val="20"/>
              <w:rFonts w:hint="eastAsia"/>
            </w:rPr>
            <w:t>7.2.3 现场安全防范措施</w:t>
          </w:r>
          <w:r>
            <w:rPr>
              <w:rFonts w:hint="eastAsia"/>
            </w:rPr>
            <w:tab/>
          </w:r>
          <w:r>
            <w:rPr>
              <w:rFonts w:hint="eastAsia"/>
            </w:rPr>
            <w:fldChar w:fldCharType="begin"/>
          </w:r>
          <w:r>
            <w:rPr>
              <w:rFonts w:hint="eastAsia"/>
            </w:rPr>
            <w:instrText xml:space="preserve"> </w:instrText>
          </w:r>
          <w:r>
            <w:instrText xml:space="preserve">PAGEREF _Toc187956745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53845EC3">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"_Toc187956746" </w:instrText>
          </w:r>
          <w:r>
            <w:fldChar w:fldCharType="separate"/>
          </w:r>
          <w:r>
            <w:rPr>
              <w:rStyle w:val="20"/>
              <w:rFonts w:hint="eastAsia"/>
            </w:rPr>
            <w:t>7.3 应急救援组织</w:t>
          </w:r>
          <w:r>
            <w:rPr>
              <w:rFonts w:hint="eastAsia"/>
            </w:rPr>
            <w:tab/>
          </w:r>
          <w:r>
            <w:rPr>
              <w:rFonts w:hint="eastAsia"/>
            </w:rPr>
            <w:fldChar w:fldCharType="begin"/>
          </w:r>
          <w:r>
            <w:rPr>
              <w:rFonts w:hint="eastAsia"/>
            </w:rPr>
            <w:instrText xml:space="preserve"> </w:instrText>
          </w:r>
          <w:r>
            <w:instrText xml:space="preserve">PAGEREF _Toc187956746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1834365C">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"_Toc187956747" </w:instrText>
          </w:r>
          <w:r>
            <w:fldChar w:fldCharType="separate"/>
          </w:r>
          <w:r>
            <w:rPr>
              <w:rStyle w:val="20"/>
              <w:rFonts w:hint="eastAsia"/>
            </w:rPr>
            <w:t>7.3.1 组长职责</w:t>
          </w:r>
          <w:r>
            <w:rPr>
              <w:rFonts w:hint="eastAsia"/>
            </w:rPr>
            <w:tab/>
          </w:r>
          <w:r>
            <w:rPr>
              <w:rFonts w:hint="eastAsia"/>
            </w:rPr>
            <w:fldChar w:fldCharType="begin"/>
          </w:r>
          <w:r>
            <w:rPr>
              <w:rFonts w:hint="eastAsia"/>
            </w:rPr>
            <w:instrText xml:space="preserve"> </w:instrText>
          </w:r>
          <w:r>
            <w:instrText xml:space="preserve">PAGEREF _Toc187956747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261620E5">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"_Toc187956748" </w:instrText>
          </w:r>
          <w:r>
            <w:fldChar w:fldCharType="separate"/>
          </w:r>
          <w:r>
            <w:rPr>
              <w:rStyle w:val="20"/>
              <w:rFonts w:hint="eastAsia"/>
            </w:rPr>
            <w:t>7.3.2 副组长职责</w:t>
          </w:r>
          <w:r>
            <w:rPr>
              <w:rFonts w:hint="eastAsia"/>
            </w:rPr>
            <w:tab/>
          </w:r>
          <w:r>
            <w:rPr>
              <w:rFonts w:hint="eastAsia"/>
            </w:rPr>
            <w:fldChar w:fldCharType="begin"/>
          </w:r>
          <w:r>
            <w:rPr>
              <w:rFonts w:hint="eastAsia"/>
            </w:rPr>
            <w:instrText xml:space="preserve"> </w:instrText>
          </w:r>
          <w:r>
            <w:instrText xml:space="preserve">PAGEREF _Toc187956748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39F8B0E2">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"_Toc187956749" </w:instrText>
          </w:r>
          <w:r>
            <w:fldChar w:fldCharType="separate"/>
          </w:r>
          <w:r>
            <w:rPr>
              <w:rStyle w:val="20"/>
              <w:rFonts w:hint="eastAsia"/>
            </w:rPr>
            <w:t>7.3.3 各专项小组职责</w:t>
          </w:r>
          <w:r>
            <w:rPr>
              <w:rFonts w:hint="eastAsia"/>
            </w:rPr>
            <w:tab/>
          </w:r>
          <w:r>
            <w:rPr>
              <w:rFonts w:hint="eastAsia"/>
            </w:rPr>
            <w:fldChar w:fldCharType="begin"/>
          </w:r>
          <w:r>
            <w:rPr>
              <w:rFonts w:hint="eastAsia"/>
            </w:rPr>
            <w:instrText xml:space="preserve"> </w:instrText>
          </w:r>
          <w:r>
            <w:instrText xml:space="preserve">PAGEREF _Toc187956749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14A690B7">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"_Toc187956750" </w:instrText>
          </w:r>
          <w:r>
            <w:fldChar w:fldCharType="separate"/>
          </w:r>
          <w:r>
            <w:rPr>
              <w:rStyle w:val="20"/>
              <w:rFonts w:hint="eastAsia"/>
            </w:rPr>
            <w:t>7.4 应急救援实施程序</w:t>
          </w:r>
          <w:r>
            <w:rPr>
              <w:rFonts w:hint="eastAsia"/>
            </w:rPr>
            <w:tab/>
          </w:r>
          <w:r>
            <w:rPr>
              <w:rFonts w:hint="eastAsia"/>
            </w:rPr>
            <w:fldChar w:fldCharType="begin"/>
          </w:r>
          <w:r>
            <w:rPr>
              <w:rFonts w:hint="eastAsia"/>
            </w:rPr>
            <w:instrText xml:space="preserve"> </w:instrText>
          </w:r>
          <w:r>
            <w:instrText xml:space="preserve">PAGEREF _Toc187956750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550A8250">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"_Toc187956751" </w:instrText>
          </w:r>
          <w:r>
            <w:fldChar w:fldCharType="separate"/>
          </w:r>
          <w:r>
            <w:rPr>
              <w:rStyle w:val="20"/>
              <w:rFonts w:hint="eastAsia"/>
            </w:rPr>
            <w:t>7.4.1 报告程序和内容</w:t>
          </w:r>
          <w:r>
            <w:rPr>
              <w:rFonts w:hint="eastAsia"/>
            </w:rPr>
            <w:tab/>
          </w:r>
          <w:r>
            <w:rPr>
              <w:rFonts w:hint="eastAsia"/>
            </w:rPr>
            <w:fldChar w:fldCharType="begin"/>
          </w:r>
          <w:r>
            <w:rPr>
              <w:rFonts w:hint="eastAsia"/>
            </w:rPr>
            <w:instrText xml:space="preserve"> </w:instrText>
          </w:r>
          <w:r>
            <w:instrText xml:space="preserve">PAGEREF _Toc187956751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0F361BFF">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"_Toc187956752" </w:instrText>
          </w:r>
          <w:r>
            <w:fldChar w:fldCharType="separate"/>
          </w:r>
          <w:r>
            <w:rPr>
              <w:rStyle w:val="20"/>
              <w:rFonts w:hint="eastAsia"/>
            </w:rPr>
            <w:t>7.4.2 应急指挥机构启动</w:t>
          </w:r>
          <w:r>
            <w:rPr>
              <w:rFonts w:hint="eastAsia"/>
            </w:rPr>
            <w:tab/>
          </w:r>
          <w:r>
            <w:rPr>
              <w:rFonts w:hint="eastAsia"/>
            </w:rPr>
            <w:fldChar w:fldCharType="begin"/>
          </w:r>
          <w:r>
            <w:rPr>
              <w:rFonts w:hint="eastAsia"/>
            </w:rPr>
            <w:instrText xml:space="preserve"> </w:instrText>
          </w:r>
          <w:r>
            <w:instrText xml:space="preserve">PAGEREF _Toc187956752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29DCAC74">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"_Toc187956753" </w:instrText>
          </w:r>
          <w:r>
            <w:fldChar w:fldCharType="separate"/>
          </w:r>
          <w:r>
            <w:rPr>
              <w:rStyle w:val="20"/>
              <w:rFonts w:hint="eastAsia"/>
            </w:rPr>
            <w:t>7.4.3 应急指挥</w:t>
          </w:r>
          <w:r>
            <w:rPr>
              <w:rFonts w:hint="eastAsia"/>
            </w:rPr>
            <w:tab/>
          </w:r>
          <w:r>
            <w:rPr>
              <w:rFonts w:hint="eastAsia"/>
            </w:rPr>
            <w:fldChar w:fldCharType="begin"/>
          </w:r>
          <w:r>
            <w:rPr>
              <w:rFonts w:hint="eastAsia"/>
            </w:rPr>
            <w:instrText xml:space="preserve"> </w:instrText>
          </w:r>
          <w:r>
            <w:instrText xml:space="preserve">PAGEREF _Toc187956753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11D09511">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"_Toc187956754" </w:instrText>
          </w:r>
          <w:r>
            <w:fldChar w:fldCharType="separate"/>
          </w:r>
          <w:r>
            <w:rPr>
              <w:rStyle w:val="20"/>
              <w:rFonts w:hint="eastAsia"/>
            </w:rPr>
            <w:t>7.4.4 资源调配</w:t>
          </w:r>
          <w:r>
            <w:rPr>
              <w:rFonts w:hint="eastAsia"/>
            </w:rPr>
            <w:tab/>
          </w:r>
          <w:r>
            <w:rPr>
              <w:rFonts w:hint="eastAsia"/>
            </w:rPr>
            <w:fldChar w:fldCharType="begin"/>
          </w:r>
          <w:r>
            <w:rPr>
              <w:rFonts w:hint="eastAsia"/>
            </w:rPr>
            <w:instrText xml:space="preserve"> </w:instrText>
          </w:r>
          <w:r>
            <w:instrText xml:space="preserve">PAGEREF _Toc187956754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09F36620">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"_Toc187956755" </w:instrText>
          </w:r>
          <w:r>
            <w:fldChar w:fldCharType="separate"/>
          </w:r>
          <w:r>
            <w:rPr>
              <w:rStyle w:val="20"/>
              <w:rFonts w:hint="eastAsia"/>
            </w:rPr>
            <w:t>7.4.5 应急救援</w:t>
          </w:r>
          <w:r>
            <w:rPr>
              <w:rFonts w:hint="eastAsia"/>
            </w:rPr>
            <w:tab/>
          </w:r>
          <w:r>
            <w:rPr>
              <w:rFonts w:hint="eastAsia"/>
            </w:rPr>
            <w:fldChar w:fldCharType="begin"/>
          </w:r>
          <w:r>
            <w:rPr>
              <w:rFonts w:hint="eastAsia"/>
            </w:rPr>
            <w:instrText xml:space="preserve"> </w:instrText>
          </w:r>
          <w:r>
            <w:instrText xml:space="preserve">PAGEREF _Toc187956755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59A18EE6">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"_Toc187956756" </w:instrText>
          </w:r>
          <w:r>
            <w:fldChar w:fldCharType="separate"/>
          </w:r>
          <w:r>
            <w:rPr>
              <w:rStyle w:val="20"/>
              <w:rFonts w:hint="eastAsia"/>
            </w:rPr>
            <w:t>7.4.6 应急扩大</w:t>
          </w:r>
          <w:r>
            <w:rPr>
              <w:rFonts w:hint="eastAsia"/>
            </w:rPr>
            <w:tab/>
          </w:r>
          <w:r>
            <w:rPr>
              <w:rFonts w:hint="eastAsia"/>
            </w:rPr>
            <w:fldChar w:fldCharType="begin"/>
          </w:r>
          <w:r>
            <w:rPr>
              <w:rFonts w:hint="eastAsia"/>
            </w:rPr>
            <w:instrText xml:space="preserve"> </w:instrText>
          </w:r>
          <w:r>
            <w:instrText xml:space="preserve">PAGEREF _Toc187956756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25F3ED04">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"_Toc187956757" </w:instrText>
          </w:r>
          <w:r>
            <w:fldChar w:fldCharType="separate"/>
          </w:r>
          <w:r>
            <w:rPr>
              <w:rStyle w:val="20"/>
              <w:rFonts w:hint="eastAsia"/>
            </w:rPr>
            <w:t>7.5 事故应急措施</w:t>
          </w:r>
          <w:r>
            <w:rPr>
              <w:rFonts w:hint="eastAsia"/>
            </w:rPr>
            <w:tab/>
          </w:r>
          <w:r>
            <w:rPr>
              <w:rFonts w:hint="eastAsia"/>
            </w:rPr>
            <w:fldChar w:fldCharType="begin"/>
          </w:r>
          <w:r>
            <w:rPr>
              <w:rFonts w:hint="eastAsia"/>
            </w:rPr>
            <w:instrText xml:space="preserve"> </w:instrText>
          </w:r>
          <w:r>
            <w:instrText xml:space="preserve">PAGEREF _Toc187956757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19D875AB">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"_Toc187956758" </w:instrText>
          </w:r>
          <w:r>
            <w:fldChar w:fldCharType="separate"/>
          </w:r>
          <w:r>
            <w:rPr>
              <w:rStyle w:val="20"/>
              <w:rFonts w:hint="eastAsia"/>
            </w:rPr>
            <w:t>7.5.1 应急处置基本原则</w:t>
          </w:r>
          <w:r>
            <w:rPr>
              <w:rFonts w:hint="eastAsia"/>
            </w:rPr>
            <w:tab/>
          </w:r>
          <w:r>
            <w:rPr>
              <w:rFonts w:hint="eastAsia"/>
            </w:rPr>
            <w:fldChar w:fldCharType="begin"/>
          </w:r>
          <w:r>
            <w:rPr>
              <w:rFonts w:hint="eastAsia"/>
            </w:rPr>
            <w:instrText xml:space="preserve"> </w:instrText>
          </w:r>
          <w:r>
            <w:instrText xml:space="preserve">PAGEREF _Toc187956758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2026D1FA">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"_Toc187956759" </w:instrText>
          </w:r>
          <w:r>
            <w:fldChar w:fldCharType="separate"/>
          </w:r>
          <w:r>
            <w:rPr>
              <w:rStyle w:val="20"/>
              <w:rFonts w:hint="eastAsia"/>
            </w:rPr>
            <w:t>7.5.2 应急处置措施</w:t>
          </w:r>
          <w:r>
            <w:rPr>
              <w:rFonts w:hint="eastAsia"/>
            </w:rPr>
            <w:tab/>
          </w:r>
          <w:r>
            <w:rPr>
              <w:rFonts w:hint="eastAsia"/>
            </w:rPr>
            <w:fldChar w:fldCharType="begin"/>
          </w:r>
          <w:r>
            <w:rPr>
              <w:rFonts w:hint="eastAsia"/>
            </w:rPr>
            <w:instrText xml:space="preserve"> </w:instrText>
          </w:r>
          <w:r>
            <w:instrText xml:space="preserve">PAGEREF _Toc187956759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0C5227C9">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"_Toc187956760" </w:instrText>
          </w:r>
          <w:r>
            <w:fldChar w:fldCharType="separate"/>
          </w:r>
          <w:r>
            <w:rPr>
              <w:rStyle w:val="20"/>
              <w:rFonts w:hint="eastAsia"/>
            </w:rPr>
            <w:t>7.6 应急物资</w:t>
          </w:r>
          <w:r>
            <w:rPr>
              <w:rFonts w:hint="eastAsia"/>
            </w:rPr>
            <w:tab/>
          </w:r>
          <w:r>
            <w:rPr>
              <w:rFonts w:hint="eastAsia"/>
            </w:rPr>
            <w:fldChar w:fldCharType="begin"/>
          </w:r>
          <w:r>
            <w:rPr>
              <w:rFonts w:hint="eastAsia"/>
            </w:rPr>
            <w:instrText xml:space="preserve"> </w:instrText>
          </w:r>
          <w:r>
            <w:instrText xml:space="preserve">PAGEREF _Toc187956760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46CCF3D4">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"_Toc187956761" </w:instrText>
          </w:r>
          <w:r>
            <w:fldChar w:fldCharType="separate"/>
          </w:r>
          <w:r>
            <w:rPr>
              <w:rStyle w:val="20"/>
              <w:rFonts w:hint="eastAsia"/>
            </w:rPr>
            <w:t>7.7 培训和演练</w:t>
          </w:r>
          <w:r>
            <w:rPr>
              <w:rFonts w:hint="eastAsia"/>
            </w:rPr>
            <w:tab/>
          </w:r>
          <w:r>
            <w:rPr>
              <w:rFonts w:hint="eastAsia"/>
            </w:rPr>
            <w:fldChar w:fldCharType="begin"/>
          </w:r>
          <w:r>
            <w:rPr>
              <w:rFonts w:hint="eastAsia"/>
            </w:rPr>
            <w:instrText xml:space="preserve"> </w:instrText>
          </w:r>
          <w:r>
            <w:instrText xml:space="preserve">PAGEREF _Toc187956761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3FB2F37E">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"_Toc187956762" </w:instrText>
          </w:r>
          <w:r>
            <w:fldChar w:fldCharType="separate"/>
          </w:r>
          <w:r>
            <w:rPr>
              <w:rStyle w:val="20"/>
              <w:rFonts w:hint="eastAsia"/>
            </w:rPr>
            <w:t>7.7.1 培训</w:t>
          </w:r>
          <w:r>
            <w:rPr>
              <w:rFonts w:hint="eastAsia"/>
            </w:rPr>
            <w:tab/>
          </w:r>
          <w:r>
            <w:rPr>
              <w:rFonts w:hint="eastAsia"/>
            </w:rPr>
            <w:fldChar w:fldCharType="begin"/>
          </w:r>
          <w:r>
            <w:rPr>
              <w:rFonts w:hint="eastAsia"/>
            </w:rPr>
            <w:instrText xml:space="preserve"> </w:instrText>
          </w:r>
          <w:r>
            <w:instrText xml:space="preserve">PAGEREF _Toc187956762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4F33FCB1">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"_Toc187956763" </w:instrText>
          </w:r>
          <w:r>
            <w:fldChar w:fldCharType="separate"/>
          </w:r>
          <w:r>
            <w:rPr>
              <w:rStyle w:val="20"/>
              <w:rFonts w:hint="eastAsia"/>
            </w:rPr>
            <w:t>7.7.2 演练</w:t>
          </w:r>
          <w:r>
            <w:rPr>
              <w:rFonts w:hint="eastAsia"/>
            </w:rPr>
            <w:tab/>
          </w:r>
          <w:r>
            <w:rPr>
              <w:rFonts w:hint="eastAsia"/>
            </w:rPr>
            <w:fldChar w:fldCharType="begin"/>
          </w:r>
          <w:r>
            <w:rPr>
              <w:rFonts w:hint="eastAsia"/>
            </w:rPr>
            <w:instrText xml:space="preserve"> </w:instrText>
          </w:r>
          <w:r>
            <w:instrText xml:space="preserve">PAGEREF _Toc187956763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1871FCED">
          <w:pPr>
            <w:pStyle w:val="10"/>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"_Toc187956764" </w:instrText>
          </w:r>
          <w:r>
            <w:fldChar w:fldCharType="separate"/>
          </w:r>
          <w:r>
            <w:rPr>
              <w:rStyle w:val="20"/>
              <w:rFonts w:hint="eastAsia"/>
            </w:rPr>
            <w:t>7.7.3 应急结束</w:t>
          </w:r>
          <w:r>
            <w:rPr>
              <w:rFonts w:hint="eastAsia"/>
            </w:rPr>
            <w:tab/>
          </w:r>
          <w:r>
            <w:rPr>
              <w:rFonts w:hint="eastAsia"/>
            </w:rPr>
            <w:fldChar w:fldCharType="begin"/>
          </w:r>
          <w:r>
            <w:rPr>
              <w:rFonts w:hint="eastAsia"/>
            </w:rPr>
            <w:instrText xml:space="preserve"> </w:instrText>
          </w:r>
          <w:r>
            <w:instrText xml:space="preserve">PAGEREF _Toc187956764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6800D5C7">
          <w:pPr>
            <w:pStyle w:val="14"/>
            <w:tabs>
              <w:tab w:leader="dot" w:pos="8976" w:val="right"/>
            </w:tabs>
            <w:rPr>
              <w:rFonts w:cstheme="minorBidi" w:eastAsiaTheme="minorEastAsia" w:hint="eastAsia"/>
              <w:kern w:val="2"/>
              <w:szCs w:val="24"/>
              <w14:ligatures w14:val="standardContextual"/>
            </w:rPr>
          </w:pPr>
          <w:r>
            <w:fldChar w:fldCharType="begin"/>
          </w:r>
          <w:r>
            <w:instrText xml:space="preserve"> HYPERLINK \l "_Toc187956765" </w:instrText>
          </w:r>
          <w:r>
            <w:fldChar w:fldCharType="separate"/>
          </w:r>
          <w:r>
            <w:rPr>
              <w:rStyle w:val="20"/>
              <w:rFonts w:hint="eastAsia"/>
            </w:rPr>
            <w:t>7.8 外部救援机构</w:t>
          </w:r>
          <w:r>
            <w:rPr>
              <w:rFonts w:hint="eastAsia"/>
            </w:rPr>
            <w:tab/>
          </w:r>
          <w:r>
            <w:rPr>
              <w:rFonts w:hint="eastAsia"/>
            </w:rPr>
            <w:fldChar w:fldCharType="begin"/>
          </w:r>
          <w:r>
            <w:rPr>
              <w:rFonts w:hint="eastAsia"/>
            </w:rPr>
            <w:instrText xml:space="preserve"> </w:instrText>
          </w:r>
          <w:r>
            <w:instrText xml:space="preserve">PAGEREF _Toc187956765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0BE49EB4">
          <w:pPr>
            <w:ind w:firstLine="482"/>
          </w:pPr>
          <w:r>
            <w:rPr>
              <w:b/>
              <w:bCs/>
              <w:lang w:val="zh-CN"/>
            </w:rPr>
            <w:fldChar w:fldCharType="end"/>
          </w:r>
        </w:p>
      </w:sdtContent>
    </w:sdt>
    <w:p w14:paraId="6DDE8804">
      <w:pPr>
        <w:ind w:firstLine="480"/>
        <w:jc w:val="left"/>
        <w:sectPr>
          <w:headerReference r:id="rId7" w:type="first"/>
          <w:footerReference r:id="rId10" w:type="first"/>
          <w:headerReference r:id="rId5" w:type="default"/>
          <w:footerReference r:id="rId8" w:type="default"/>
          <w:headerReference r:id="rId6" w:type="even"/>
          <w:footerReference r:id="rId9" w:type="even"/>
          <w:pgSz w:h="16838" w:w="11906"/>
          <w:pgMar w:bottom="1418" w:footer="454" w:gutter="0" w:header="964" w:left="1616" w:right="1304" w:top="1418"/>
          <w:cols w:num="1" w:space="425"/>
          <w:docGrid w:charSpace="0" w:linePitch="326" w:type="lines"/>
        </w:sectPr>
      </w:pPr>
    </w:p>
    <w:p w14:paraId="6C6D30D3">
      <w:pPr>
        <w:pStyle w:val="2"/>
      </w:pPr>
      <w:bookmarkStart w:id="1" w:name="_Toc187956695"/>
      <w:r>
        <w:t>编制说明</w:t>
      </w:r>
      <w:bookmarkEnd w:id="1"/>
    </w:p>
    <w:p w14:paraId="33F6F5D4">
      <w:pPr>
        <w:pStyle w:val="3"/>
        <w:ind w:left="480"/>
      </w:pPr>
      <w:bookmarkStart w:id="2" w:name="_Toc187956696"/>
      <w:r>
        <w:t>编制依据</w:t>
      </w:r>
      <w:bookmarkEnd w:id="2"/>
    </w:p>
    <w:p w14:paraId="05509E37">
      <w:pPr>
        <w:pStyle w:val="4"/>
      </w:pPr>
      <w:bookmarkStart w:id="3" w:name="_Toc187956697"/>
      <w:r>
        <w:t>法律依据</w:t>
      </w:r>
      <w:bookmarkEnd w:id="3"/>
    </w:p>
    <w:p w14:paraId="0E5ED38A">
      <w:pPr>
        <w:ind w:firstLine="480"/>
      </w:pPr>
      <w:r>
        <w:rPr>
          <w:rFonts w:hint="eastAsia"/>
        </w:rPr>
        <w:t>1、《中华人民共和国安全生产法》（主席令[2021]第88号）</w:t>
      </w:r>
    </w:p>
    <w:p w14:paraId="46FDA680">
      <w:pPr>
        <w:ind w:firstLine="480"/>
      </w:pPr>
      <w:r>
        <w:rPr>
          <w:rFonts w:hint="eastAsia"/>
        </w:rPr>
        <w:t>2、《危险性较大的分部分项工程安全管理规定》（住建部令[2018]第37号）</w:t>
      </w:r>
    </w:p>
    <w:p w14:paraId="2254DF73">
      <w:pPr>
        <w:pStyle w:val="4"/>
      </w:pPr>
      <w:bookmarkStart w:id="4" w:name="_Toc187956698"/>
      <w:r>
        <w:t>标准规范</w:t>
      </w:r>
      <w:bookmarkEnd w:id="4"/>
    </w:p>
    <w:p w14:paraId="4AF882D3">
      <w:pPr>
        <w:ind w:firstLine="480"/>
        <w:rPr>
          <w:rFonts w:cs="Times New Roman"/>
        </w:rPr>
      </w:pPr>
      <w:r>
        <w:rPr>
          <w:rFonts w:cs="Times New Roman" w:hint="eastAsia"/>
        </w:rPr>
        <w:t>1、《公路养护安全作业规程》JTG H30-2015</w:t>
      </w:r>
    </w:p>
    <w:p w14:paraId="47EFA7C1">
      <w:pPr>
        <w:ind w:firstLine="480"/>
        <w:rPr>
          <w:rFonts w:cs="Times New Roman"/>
        </w:rPr>
      </w:pPr>
      <w:r>
        <w:rPr>
          <w:rFonts w:cs="Times New Roman" w:hint="eastAsia"/>
        </w:rPr>
        <w:t>2、《公路桥涵施工技术规范》</w:t>
      </w:r>
      <w:r>
        <w:rPr>
          <w:rFonts w:cs="Times New Roman"/>
        </w:rPr>
        <w:t>JTG/TF50-2011‌‌</w:t>
      </w:r>
    </w:p>
    <w:p w14:paraId="3B44C495">
      <w:pPr>
        <w:ind w:firstLine="480"/>
        <w:rPr>
          <w:rFonts w:cs="Times New Roman"/>
        </w:rPr>
      </w:pPr>
      <w:r>
        <w:rPr>
          <w:rFonts w:cs="Times New Roman" w:hint="eastAsia"/>
        </w:rPr>
        <w:t>3、公路工程泡沫混凝土应用技术规范（</w:t>
      </w:r>
      <w:r>
        <w:rPr>
          <w:rFonts w:cs="Times New Roman"/>
        </w:rPr>
        <w:t>DB33/T 996—2015</w:t>
      </w:r>
      <w:r>
        <w:rPr>
          <w:rFonts w:cs="Times New Roman" w:hint="eastAsia"/>
        </w:rPr>
        <w:t>）</w:t>
      </w:r>
    </w:p>
    <w:p w14:paraId="3B224434">
      <w:pPr>
        <w:ind w:firstLine="480"/>
        <w:rPr>
          <w:rFonts w:cs="Times New Roman"/>
        </w:rPr>
      </w:pPr>
      <w:r>
        <w:rPr>
          <w:rFonts w:cs="Times New Roman" w:hint="eastAsia"/>
        </w:rPr>
        <w:t>4、气泡混合轻质土填筑工程技术规程（CJJ/T 177-2012）</w:t>
      </w:r>
    </w:p>
    <w:p w14:paraId="69A45A5B">
      <w:pPr>
        <w:pStyle w:val="4"/>
      </w:pPr>
      <w:bookmarkStart w:id="5" w:name="_Toc187956699"/>
      <w:r>
        <w:t>规范性文件</w:t>
      </w:r>
      <w:bookmarkEnd w:id="5"/>
    </w:p>
    <w:p w14:paraId="612B3EDB">
      <w:pPr>
        <w:ind w:firstLine="480"/>
        <w:rPr>
          <w:rFonts w:cs="Times New Roman"/>
        </w:rPr>
      </w:pPr>
      <w:r>
        <w:rPr>
          <w:rFonts w:cs="Times New Roman" w:hint="eastAsia"/>
        </w:rPr>
        <w:t>1、《福建省高速公路施工作业管理规定》</w:t>
      </w:r>
    </w:p>
    <w:p w14:paraId="723472BB">
      <w:pPr>
        <w:ind w:firstLine="480"/>
        <w:rPr>
          <w:rFonts w:cs="Times New Roman" w:hint="eastAsia"/>
        </w:rPr>
      </w:pPr>
      <w:r>
        <w:rPr>
          <w:rFonts w:cs="Times New Roman" w:hint="eastAsia"/>
        </w:rPr>
        <w:t>2、《建筑结构荷载规范》（GB50009-2012）</w:t>
      </w:r>
    </w:p>
    <w:p w14:paraId="6298C632">
      <w:pPr>
        <w:ind w:firstLine="480"/>
        <w:rPr>
          <w:rFonts w:cs="Times New Roman" w:eastAsia="宋体" w:hint="eastAsia"/>
          <w:lang w:eastAsia="zh-CN" w:val="en-US"/>
        </w:rPr>
      </w:pPr>
      <w:r>
        <w:rPr>
          <w:rFonts w:cs="Times New Roman" w:hint="eastAsia"/>
          <w:lang w:eastAsia="zh-CN" w:val="en-US"/>
        </w:rPr>
        <w:t>3、《公路水运危险性较大工程专项施工方案编制审查规程》（JT/T 1495-2024）</w:t>
      </w:r>
    </w:p>
    <w:p w14:paraId="531743AE">
      <w:pPr>
        <w:pStyle w:val="4"/>
      </w:pPr>
      <w:bookmarkStart w:id="6" w:name="_Toc187956700"/>
      <w:r>
        <w:t>项目相关资料</w:t>
      </w:r>
      <w:bookmarkEnd w:id="6"/>
    </w:p>
    <w:p w14:paraId="7563B89D">
      <w:pPr>
        <w:ind w:firstLine="480"/>
        <w:rPr>
          <w:rFonts w:cs="Times New Roman"/>
        </w:rPr>
      </w:pPr>
      <w:r>
        <w:rPr>
          <w:rFonts w:cs="Times New Roman" w:hint="eastAsia"/>
        </w:rPr>
        <w:t>1、《招标文件》</w:t>
      </w:r>
    </w:p>
    <w:p w14:paraId="73D94C4E">
      <w:pPr>
        <w:ind w:firstLine="480"/>
        <w:rPr>
          <w:rFonts w:cs="Times New Roman"/>
        </w:rPr>
      </w:pPr>
      <w:r>
        <w:rPr>
          <w:rFonts w:cs="Times New Roman" w:hint="eastAsia"/>
        </w:rPr>
        <w:t>2、《施工合同文件》</w:t>
      </w:r>
    </w:p>
    <w:p w14:paraId="010FF705">
      <w:pPr>
        <w:ind w:firstLine="480"/>
        <w:rPr>
          <w:rFonts w:cs="Times New Roman"/>
        </w:rPr>
      </w:pPr>
      <w:r>
        <w:rPr>
          <w:rFonts w:cs="Times New Roman" w:hint="eastAsia"/>
        </w:rPr>
        <w:t>3、《施工图设计》</w:t>
      </w:r>
    </w:p>
    <w:p w14:paraId="4841BD3F">
      <w:pPr>
        <w:ind w:firstLine="480"/>
        <w:rPr>
          <w:rFonts w:cs="Times New Roman"/>
        </w:rPr>
      </w:pPr>
      <w:r>
        <w:rPr>
          <w:rFonts w:cs="Times New Roman" w:hint="eastAsia"/>
        </w:rPr>
        <w:t>4、《岩土工程详细勘察报告》</w:t>
      </w:r>
    </w:p>
    <w:p w14:paraId="048DBD6D">
      <w:pPr>
        <w:ind w:firstLine="480"/>
        <w:rPr>
          <w:rFonts w:cs="Times New Roman"/>
        </w:rPr>
      </w:pPr>
      <w:r>
        <w:rPr>
          <w:rFonts w:cs="Times New Roman" w:hint="eastAsia"/>
        </w:rPr>
        <w:t>5、《安溪县三安大桥连接线延伸段下穿甬莞高速方案设计》</w:t>
      </w:r>
    </w:p>
    <w:p w14:paraId="3B63758A">
      <w:pPr>
        <w:ind w:firstLine="480"/>
        <w:rPr>
          <w:rFonts w:cs="Times New Roman"/>
        </w:rPr>
      </w:pPr>
      <w:r>
        <w:rPr>
          <w:rFonts w:cs="Times New Roman" w:hint="eastAsia"/>
        </w:rPr>
        <w:t>6、《安溪县三安大桥连接线延伸段下穿甬莞高速公路设计方案安全影响评价报告》</w:t>
      </w:r>
    </w:p>
    <w:p w14:paraId="130A6045">
      <w:pPr>
        <w:ind w:firstLine="480"/>
        <w:rPr>
          <w:rFonts w:cs="Times New Roman"/>
        </w:rPr>
      </w:pPr>
      <w:r>
        <w:rPr>
          <w:rFonts w:cs="Times New Roman" w:hint="eastAsia"/>
        </w:rPr>
        <w:t>7、《实施性施组》</w:t>
      </w:r>
    </w:p>
    <w:p w14:paraId="30DF885B">
      <w:pPr>
        <w:ind w:firstLine="480"/>
        <w:rPr>
          <w:rFonts w:cs="Times New Roman"/>
        </w:rPr>
      </w:pPr>
      <w:r>
        <w:rPr>
          <w:rFonts w:cs="Times New Roman" w:hint="eastAsia"/>
        </w:rPr>
        <w:t>8、《甬莞高速楼仔大桥部分图纸》</w:t>
      </w:r>
    </w:p>
    <w:p w14:paraId="26B99149">
      <w:pPr>
        <w:pStyle w:val="3"/>
        <w:ind w:left="480"/>
      </w:pPr>
      <w:bookmarkStart w:id="7" w:name="_Toc187956701"/>
      <w:r>
        <w:t>编制目的</w:t>
      </w:r>
      <w:bookmarkEnd w:id="7"/>
    </w:p>
    <w:p w14:paraId="38075411">
      <w:pPr>
        <w:ind w:firstLine="480"/>
        <w:rPr>
          <w:rFonts w:cs="Times New Roman"/>
        </w:rPr>
      </w:pPr>
      <w:r>
        <w:rPr>
          <w:rFonts w:cs="Times New Roman" w:hint="eastAsia"/>
        </w:rPr>
        <w:t>为管控连接线下穿甬莞高速施工的施工安全、质量，切实执行有关建设工程法律法规、技术标准、规范，加强安全、质量管理，有效防止安全、质量事故发生，保障人身和财产安全，确保连接线下穿甬莞高速各工序顺利进行，特编制此方案，以指导施工</w:t>
      </w:r>
      <w:r>
        <w:rPr>
          <w:rFonts w:cs="Times New Roman"/>
        </w:rPr>
        <w:t>。</w:t>
      </w:r>
    </w:p>
    <w:p w14:paraId="0C30F302">
      <w:pPr>
        <w:pStyle w:val="3"/>
        <w:ind w:left="480"/>
      </w:pPr>
      <w:bookmarkStart w:id="8" w:name="_Toc187956702"/>
      <w:r>
        <w:t>适用范围</w:t>
      </w:r>
      <w:bookmarkEnd w:id="8"/>
    </w:p>
    <w:p w14:paraId="4CE75D9B">
      <w:pPr>
        <w:ind w:firstLine="480"/>
        <w:rPr>
          <w:rFonts w:cs="Times New Roman"/>
        </w:rPr>
      </w:pPr>
      <w:r>
        <w:rPr>
          <w:rFonts w:cs="Times New Roman" w:hint="eastAsia"/>
        </w:rPr>
        <w:t>本方案适用范围为本项目的连接线下穿甬莞高速施工</w:t>
      </w:r>
      <w:r>
        <w:rPr>
          <w:rFonts w:cs="Times New Roman"/>
        </w:rPr>
        <w:t>。</w:t>
      </w:r>
    </w:p>
    <w:p w14:paraId="62FEE0E4">
      <w:pPr>
        <w:pStyle w:val="2"/>
      </w:pPr>
      <w:bookmarkStart w:id="9" w:name="_Toc187956703"/>
      <w:r>
        <w:t>工程概况</w:t>
      </w:r>
      <w:bookmarkEnd w:id="9"/>
    </w:p>
    <w:p w14:paraId="3198300C">
      <w:pPr>
        <w:pStyle w:val="3"/>
        <w:ind w:left="480"/>
      </w:pPr>
      <w:bookmarkStart w:id="10" w:name="_Toc187956704"/>
      <w:r>
        <w:rPr>
          <w:rFonts w:hint="eastAsia"/>
        </w:rPr>
        <w:t>项目</w:t>
      </w:r>
      <w:r>
        <w:t>总体概况</w:t>
      </w:r>
      <w:bookmarkEnd w:id="10"/>
    </w:p>
    <w:p w14:paraId="2D48AE80">
      <w:pPr>
        <w:ind w:firstLine="480"/>
      </w:pPr>
      <w:r>
        <w:rPr>
          <w:rFonts w:hint="eastAsia"/>
        </w:rPr>
        <w:t>国道G358 线安溪城厢至官桥段公路工程及市政配套工程（第Ⅳ标段）起点位于古山村，起点桩号K102+700，接第Ⅲ标段终点，于古山村设置古山大桥上跨三安大桥连接线延伸段，之后路线由东向西布设，设阆苑隧道至同美村，设置阆苑互通衔接西三环连接线，而后路线往西南方向展线，于K106+300顺接第Ⅴ标段，全长3.6km，全线设桥梁大桥574.5米/2座，通道涵114.5米/2座，排水涵266.4米/7座，隧道647.5m/1座，菱形立交1座。采用一级公路兼城市主干路标准建设，设计速度60km/h。</w:t>
      </w:r>
    </w:p>
    <w:p w14:paraId="21770DBE">
      <w:pPr>
        <w:pStyle w:val="34"/>
        <w:rPr>
          <w:rFonts w:cs="Times New Roman"/>
        </w:rPr>
      </w:pPr>
      <w:r>
        <w:drawing>
          <wp:inline distB="0" distL="0" distR="0" distT="0">
            <wp:extent cx="5699760" cy="2287270"/>
            <wp:effectExtent b="0" l="0" r="0" t="0"/>
            <wp:docPr id="710673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73928" name="图片 1"/>
                    <pic:cNvPicPr>
                      <a:picLocks noChangeAspect="1"/>
                    </pic:cNvPicPr>
                  </pic:nvPicPr>
                  <pic:blipFill>
                    <a:blip r:embed="rId13"/>
                    <a:srcRect b="206" t="-2"/>
                    <a:stretch>
                      <a:fillRect/>
                    </a:stretch>
                  </pic:blipFill>
                  <pic:spPr>
                    <a:xfrm>
                      <a:off x="0" y="0"/>
                      <a:ext cx="5706110" cy="2290163"/>
                    </a:xfrm>
                    <a:prstGeom prst="rect">
                      <a:avLst/>
                    </a:prstGeom>
                    <a:ln>
                      <a:noFill/>
                    </a:ln>
                  </pic:spPr>
                </pic:pic>
              </a:graphicData>
            </a:graphic>
          </wp:inline>
        </w:drawing>
      </w:r>
    </w:p>
    <w:p w14:paraId="1F9CBA14">
      <w:pPr>
        <w:pStyle w:val="34"/>
      </w:pPr>
      <w:r>
        <w:rPr>
          <w:rFonts w:hint="eastAsia"/>
        </w:rPr>
        <w:t>图2.1-1 总体平面图</w:t>
      </w:r>
    </w:p>
    <w:p w14:paraId="1168F1F4">
      <w:pPr>
        <w:ind w:firstLine="480"/>
      </w:pPr>
      <w:r>
        <w:rPr>
          <w:rFonts w:hint="eastAsia"/>
        </w:rPr>
        <w:t>连接线延伸段及配套工程起点桩号SK2+277.317，与同南路平面交叉，路线由北往南布线，设置碳坑溪大桥下穿甬莞高速，终点与南三环辅路平面交叉，终点桩号SK3+008.547，路线全长0.731km。路线左侧设置箱涵和排洪渠等。</w:t>
      </w:r>
    </w:p>
    <w:p w14:paraId="09338466">
      <w:pPr>
        <w:pStyle w:val="34"/>
      </w:pPr>
      <w:r>
        <w:drawing>
          <wp:inline distB="0" distL="0" distR="0" distT="0">
            <wp:extent cx="5705475" cy="2074545"/>
            <wp:effectExtent b="1905" l="0" r="0" t="0"/>
            <wp:docPr id="783204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4274" name="图片 1"/>
                    <pic:cNvPicPr>
                      <a:picLocks noChangeAspect="1"/>
                    </pic:cNvPicPr>
                  </pic:nvPicPr>
                  <pic:blipFill>
                    <a:blip r:embed="rId14"/>
                    <a:srcRect b="519"/>
                    <a:stretch>
                      <a:fillRect/>
                    </a:stretch>
                  </pic:blipFill>
                  <pic:spPr>
                    <a:xfrm>
                      <a:off x="0" y="0"/>
                      <a:ext cx="5706110" cy="2075133"/>
                    </a:xfrm>
                    <a:prstGeom prst="rect">
                      <a:avLst/>
                    </a:prstGeom>
                    <a:ln>
                      <a:noFill/>
                    </a:ln>
                  </pic:spPr>
                </pic:pic>
              </a:graphicData>
            </a:graphic>
          </wp:inline>
        </w:drawing>
      </w:r>
    </w:p>
    <w:p w14:paraId="29BC8C45">
      <w:pPr>
        <w:pStyle w:val="34"/>
      </w:pPr>
      <w:r>
        <w:rPr>
          <w:rFonts w:hint="eastAsia"/>
        </w:rPr>
        <w:t>图2.1-2 连接线路线平面图</w:t>
      </w:r>
    </w:p>
    <w:p w14:paraId="069DAE93">
      <w:pPr>
        <w:ind w:firstLine="480"/>
      </w:pPr>
      <w:r>
        <w:rPr>
          <w:rFonts w:hint="eastAsia"/>
        </w:rPr>
        <w:t xml:space="preserve">主要工程技术指标： </w:t>
      </w:r>
    </w:p>
    <w:p w14:paraId="6A3EDF58">
      <w:pPr>
        <w:ind w:firstLine="480"/>
      </w:pPr>
      <w:r>
        <w:rPr>
          <w:rFonts w:hint="eastAsia"/>
        </w:rPr>
        <w:t>道路等级：二级公路兼城市道功能标准</w:t>
      </w:r>
    </w:p>
    <w:p w14:paraId="090B17AD">
      <w:pPr>
        <w:ind w:firstLine="480"/>
      </w:pPr>
      <w:r>
        <w:rPr>
          <w:rFonts w:hint="eastAsia"/>
        </w:rPr>
        <w:t>设计速度：40km/h</w:t>
      </w:r>
    </w:p>
    <w:p w14:paraId="46DB45AA">
      <w:pPr>
        <w:ind w:firstLine="480"/>
      </w:pPr>
      <w:r>
        <w:rPr>
          <w:rFonts w:hint="eastAsia"/>
        </w:rPr>
        <w:t>行车道数：双向 6车道</w:t>
      </w:r>
    </w:p>
    <w:p w14:paraId="658FBB01">
      <w:pPr>
        <w:ind w:firstLine="480"/>
      </w:pPr>
      <w:r>
        <w:rPr>
          <w:rFonts w:hint="eastAsia"/>
        </w:rPr>
        <w:t>路基宽度：52m</w:t>
      </w:r>
    </w:p>
    <w:p w14:paraId="5606126B">
      <w:pPr>
        <w:ind w:firstLine="480"/>
      </w:pPr>
      <w:r>
        <w:rPr>
          <w:rFonts w:hint="eastAsia"/>
        </w:rPr>
        <w:t>桥梁宽度：26.5m（单幅13.25m）</w:t>
      </w:r>
    </w:p>
    <w:p w14:paraId="41FD72C8">
      <w:pPr>
        <w:ind w:firstLine="480"/>
      </w:pPr>
      <w:r>
        <w:rPr>
          <w:rFonts w:hint="eastAsia"/>
        </w:rPr>
        <w:t>设计荷载：路面：BZZ-100     桥梁：公路-Ⅰ级（城Ⅰ级（城-A级校核）</w:t>
      </w:r>
    </w:p>
    <w:p w14:paraId="33292951">
      <w:pPr>
        <w:ind w:firstLine="480"/>
      </w:pPr>
      <w:r>
        <w:rPr>
          <w:rFonts w:hint="eastAsia"/>
        </w:rPr>
        <w:t>设计洪水频率：大、中小桥涵洞1/100</w:t>
      </w:r>
    </w:p>
    <w:p w14:paraId="4D22C6EA">
      <w:pPr>
        <w:ind w:firstLine="480"/>
      </w:pPr>
      <w:r>
        <w:rPr>
          <w:rFonts w:hint="eastAsia"/>
        </w:rPr>
        <w:t>抗震设防标准：动峰值加速度为 0.1g，抗震设防烈度为Ⅶ度</w:t>
      </w:r>
    </w:p>
    <w:p w14:paraId="1177DE58">
      <w:pPr>
        <w:ind w:firstLine="480"/>
      </w:pPr>
      <w:r>
        <w:rPr>
          <w:rFonts w:hint="eastAsia"/>
        </w:rPr>
        <w:t>路面结构类型 ：沥青混凝土</w:t>
      </w:r>
    </w:p>
    <w:p w14:paraId="1652EE08">
      <w:pPr>
        <w:pStyle w:val="34"/>
      </w:pPr>
    </w:p>
    <w:p w14:paraId="0E1D6B6C">
      <w:pPr>
        <w:pStyle w:val="34"/>
        <w:rPr>
          <w:rFonts w:cs="Times New Roman"/>
        </w:rPr>
      </w:pPr>
      <w:r>
        <w:drawing>
          <wp:inline distB="0" distL="0" distR="0" distT="0">
            <wp:extent cx="5507990" cy="2475865"/>
            <wp:effectExtent b="635" l="0" r="0" t="0"/>
            <wp:docPr id="233790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90239" name="图片 1"/>
                    <pic:cNvPicPr>
                      <a:picLocks noChangeAspect="1"/>
                    </pic:cNvPicPr>
                  </pic:nvPicPr>
                  <pic:blipFill>
                    <a:blip r:embed="rId15"/>
                    <a:srcRect b="208"/>
                    <a:stretch>
                      <a:fillRect/>
                    </a:stretch>
                  </pic:blipFill>
                  <pic:spPr>
                    <a:xfrm>
                      <a:off x="0" y="0"/>
                      <a:ext cx="5508000" cy="2476074"/>
                    </a:xfrm>
                    <a:prstGeom prst="rect">
                      <a:avLst/>
                    </a:prstGeom>
                    <a:ln>
                      <a:noFill/>
                    </a:ln>
                  </pic:spPr>
                </pic:pic>
              </a:graphicData>
            </a:graphic>
          </wp:inline>
        </w:drawing>
      </w:r>
    </w:p>
    <w:p w14:paraId="468E909E">
      <w:pPr>
        <w:pStyle w:val="34"/>
      </w:pPr>
      <w:r>
        <w:rPr>
          <w:rFonts w:hint="eastAsia"/>
        </w:rPr>
        <w:t>图2.1-3 连接线路基标准横断面图</w:t>
      </w:r>
    </w:p>
    <w:p w14:paraId="253DE1BB">
      <w:pPr>
        <w:pStyle w:val="34"/>
      </w:pPr>
    </w:p>
    <w:p w14:paraId="4F42D73D">
      <w:pPr>
        <w:pStyle w:val="34"/>
      </w:pPr>
      <w:r>
        <w:drawing>
          <wp:inline distB="0" distL="0" distR="0" distT="0">
            <wp:extent cx="5706110" cy="2216150"/>
            <wp:effectExtent b="0" l="0" r="8890" t="0"/>
            <wp:docPr id="1701619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19993" name="图片 1"/>
                    <pic:cNvPicPr>
                      <a:picLocks noChangeAspect="1"/>
                    </pic:cNvPicPr>
                  </pic:nvPicPr>
                  <pic:blipFill>
                    <a:blip r:embed="rId16"/>
                    <a:stretch>
                      <a:fillRect/>
                    </a:stretch>
                  </pic:blipFill>
                  <pic:spPr>
                    <a:xfrm>
                      <a:off x="0" y="0"/>
                      <a:ext cx="5706110" cy="2216150"/>
                    </a:xfrm>
                    <a:prstGeom prst="rect">
                      <a:avLst/>
                    </a:prstGeom>
                  </pic:spPr>
                </pic:pic>
              </a:graphicData>
            </a:graphic>
          </wp:inline>
        </w:drawing>
      </w:r>
      <w:r>
        <w:rPr>
          <w:rFonts w:hint="eastAsia"/>
        </w:rPr>
        <w:t>图2.1-4 碳坑溪大桥桥型布置图</w:t>
      </w:r>
    </w:p>
    <w:p w14:paraId="4FF74DCE">
      <w:pPr>
        <w:pStyle w:val="34"/>
      </w:pPr>
      <w:r>
        <w:drawing>
          <wp:inline distB="0" distL="0" distR="0" distT="0">
            <wp:extent cx="5706110" cy="2713355"/>
            <wp:effectExtent b="0" l="0" r="8890" t="0"/>
            <wp:docPr id="1001710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0999" name="图片 1"/>
                    <pic:cNvPicPr>
                      <a:picLocks noChangeAspect="1"/>
                    </pic:cNvPicPr>
                  </pic:nvPicPr>
                  <pic:blipFill>
                    <a:blip r:embed="rId17"/>
                    <a:stretch>
                      <a:fillRect/>
                    </a:stretch>
                  </pic:blipFill>
                  <pic:spPr>
                    <a:xfrm>
                      <a:off x="0" y="0"/>
                      <a:ext cx="5706110" cy="2713355"/>
                    </a:xfrm>
                    <a:prstGeom prst="rect">
                      <a:avLst/>
                    </a:prstGeom>
                  </pic:spPr>
                </pic:pic>
              </a:graphicData>
            </a:graphic>
          </wp:inline>
        </w:drawing>
      </w:r>
      <w:r>
        <w:rPr>
          <w:rFonts w:hint="eastAsia"/>
        </w:rPr>
        <w:t>图2.1-5 碳坑溪大桥横断面图</w:t>
      </w:r>
    </w:p>
    <w:p w14:paraId="4783B8E0">
      <w:pPr>
        <w:pStyle w:val="3"/>
        <w:ind w:left="480"/>
      </w:pPr>
      <w:bookmarkStart w:id="11" w:name="_Toc187956705"/>
      <w:r>
        <w:rPr>
          <w:rFonts w:hint="eastAsia"/>
        </w:rPr>
        <w:t>下穿</w:t>
      </w:r>
      <w:r>
        <w:t>工程概况</w:t>
      </w:r>
      <w:bookmarkEnd w:id="11"/>
    </w:p>
    <w:p w14:paraId="1750ED16">
      <w:pPr>
        <w:ind w:firstLine="480"/>
      </w:pPr>
      <w:r>
        <w:rPr>
          <w:rFonts w:hint="eastAsia"/>
        </w:rPr>
        <w:t>本项目以桥梁形式下穿甬莞高速公路楼仔大桥第二联第七孔和第八孔，交叉角度约85°，桥下最小净空约19.6m，防撞护栏与高速公路桥墩的最小水平距离1.96m，交叉位置甬莞高速公路运营桩号约K867+964，对应高速公路设计桩号约K26+445。</w:t>
      </w:r>
    </w:p>
    <w:p w14:paraId="0A054082">
      <w:pPr>
        <w:pStyle w:val="34"/>
      </w:pPr>
      <w:r>
        <w:drawing>
          <wp:inline distB="0" distL="0" distR="0" distT="0">
            <wp:extent cx="5706110" cy="2794000"/>
            <wp:effectExtent b="6350" l="0" r="8890" t="0"/>
            <wp:docPr id="640653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53472" name="图片 1"/>
                    <pic:cNvPicPr>
                      <a:picLocks noChangeAspect="1"/>
                    </pic:cNvPicPr>
                  </pic:nvPicPr>
                  <pic:blipFill>
                    <a:blip r:embed="rId18"/>
                    <a:stretch>
                      <a:fillRect/>
                    </a:stretch>
                  </pic:blipFill>
                  <pic:spPr>
                    <a:xfrm>
                      <a:off x="0" y="0"/>
                      <a:ext cx="5706110" cy="2794000"/>
                    </a:xfrm>
                    <a:prstGeom prst="rect">
                      <a:avLst/>
                    </a:prstGeom>
                  </pic:spPr>
                </pic:pic>
              </a:graphicData>
            </a:graphic>
          </wp:inline>
        </w:drawing>
      </w:r>
      <w:r>
        <w:rPr>
          <w:rFonts w:hint="eastAsia"/>
        </w:rPr>
        <w:t>图2.2-1 下穿交叉平面示意图</w:t>
      </w:r>
    </w:p>
    <w:p w14:paraId="29B64B0E">
      <w:pPr>
        <w:pStyle w:val="4"/>
      </w:pPr>
      <w:bookmarkStart w:id="12" w:name="_Toc187956706"/>
      <w:bookmarkStart w:id="13" w:name="OLE_LINK1"/>
      <w:r>
        <w:rPr>
          <w:rFonts w:hint="eastAsia"/>
        </w:rPr>
        <w:t>楼仔大桥（已建）</w:t>
      </w:r>
      <w:bookmarkEnd w:id="12"/>
    </w:p>
    <w:bookmarkEnd w:id="13"/>
    <w:p w14:paraId="420C1081">
      <w:pPr>
        <w:ind w:firstLine="480"/>
      </w:pPr>
      <w:r>
        <w:rPr>
          <w:rFonts w:hint="eastAsia"/>
        </w:rPr>
        <w:t>楼仔大桥全长317m，左右幅布置，单幅桥宽13.75m。全桥共2联：5</w:t>
      </w:r>
      <w:r>
        <w:rPr>
          <w:rFonts w:ascii="宋体" w:hAnsi="宋体" w:hint="eastAsia"/>
        </w:rPr>
        <w:t>×</w:t>
      </w:r>
      <w:r>
        <w:rPr>
          <w:rFonts w:hint="eastAsia"/>
        </w:rPr>
        <w:t>30+4</w:t>
      </w:r>
      <w:r>
        <w:rPr>
          <w:rFonts w:ascii="宋体" w:hAnsi="宋体" w:hint="eastAsia"/>
        </w:rPr>
        <w:t>×</w:t>
      </w:r>
      <w:r>
        <w:rPr>
          <w:rFonts w:hint="eastAsia"/>
        </w:rPr>
        <w:t>40m；上部结构采用预应力砼（后张）T 梁，先简支后连续（刚构）；下部结构桥台采用柱式台，6号桥墩采用薄壁墩，7号墩采用空心墩，其余桥墩采用柱式墩，基础为桩基础。</w:t>
      </w:r>
    </w:p>
    <w:p w14:paraId="7FE39D2A">
      <w:pPr>
        <w:pStyle w:val="34"/>
      </w:pPr>
      <w:r>
        <w:drawing>
          <wp:inline distB="0" distL="0" distR="0" distT="0">
            <wp:extent cx="5706110" cy="1651635"/>
            <wp:effectExtent b="5715" l="0" r="8890" t="0"/>
            <wp:docPr id="59054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4937" name="图片 1"/>
                    <pic:cNvPicPr>
                      <a:picLocks noChangeAspect="1"/>
                    </pic:cNvPicPr>
                  </pic:nvPicPr>
                  <pic:blipFill>
                    <a:blip r:embed="rId19"/>
                    <a:stretch>
                      <a:fillRect/>
                    </a:stretch>
                  </pic:blipFill>
                  <pic:spPr>
                    <a:xfrm>
                      <a:off x="0" y="0"/>
                      <a:ext cx="5706110" cy="1651635"/>
                    </a:xfrm>
                    <a:prstGeom prst="rect">
                      <a:avLst/>
                    </a:prstGeom>
                  </pic:spPr>
                </pic:pic>
              </a:graphicData>
            </a:graphic>
          </wp:inline>
        </w:drawing>
      </w:r>
    </w:p>
    <w:p w14:paraId="3D97F4CC">
      <w:pPr>
        <w:pStyle w:val="34"/>
        <w:ind w:firstLine="480"/>
      </w:pPr>
      <w:r>
        <w:rPr>
          <w:rFonts w:hint="eastAsia"/>
        </w:rPr>
        <w:t>图2.2.1-1 楼仔大桥桥型布置图</w:t>
      </w:r>
    </w:p>
    <w:p w14:paraId="1E34EC35">
      <w:pPr>
        <w:pStyle w:val="4"/>
      </w:pPr>
      <w:bookmarkStart w:id="14" w:name="_Toc187956707"/>
      <w:r>
        <w:rPr>
          <w:rFonts w:hint="eastAsia"/>
        </w:rPr>
        <w:t>炭坑溪大桥（本项目）</w:t>
      </w:r>
      <w:bookmarkEnd w:id="14"/>
    </w:p>
    <w:p w14:paraId="48AC2BFD">
      <w:pPr>
        <w:ind w:firstLine="480"/>
      </w:pPr>
      <w:r>
        <w:rPr>
          <w:rFonts w:hint="eastAsia"/>
        </w:rPr>
        <w:t>炭坑溪大桥标准断面按四幅布置，主线桥宽13m，辅道桥宽12.25m。跨径布置均为5x40m，桥梁全长207.16m。本桥位于R=450的圆曲线及直线段上，纵面位于3.95%的上坡段。桥梁上部结构采用预应力砼连续小箱梁，梁高2.0m。下部结构采用柱式墩，桥台采用肋板式桥台。桩基采用钻孔灌注桩。</w:t>
      </w:r>
    </w:p>
    <w:p w14:paraId="4CF97DFE">
      <w:pPr>
        <w:pStyle w:val="34"/>
      </w:pPr>
      <w:r>
        <w:drawing>
          <wp:inline distB="0" distL="0" distR="0" distT="0">
            <wp:extent cx="5672455" cy="3867150"/>
            <wp:effectExtent b="0" l="0" r="4445" t="0"/>
            <wp:docPr id="1402664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64723" name="图片 1"/>
                    <pic:cNvPicPr>
                      <a:picLocks noChangeAspect="1"/>
                    </pic:cNvPicPr>
                  </pic:nvPicPr>
                  <pic:blipFill>
                    <a:blip r:embed="rId20"/>
                    <a:srcRect t="4064"/>
                    <a:stretch>
                      <a:fillRect/>
                    </a:stretch>
                  </pic:blipFill>
                  <pic:spPr>
                    <a:xfrm>
                      <a:off x="0" y="0"/>
                      <a:ext cx="5673589" cy="3868132"/>
                    </a:xfrm>
                    <a:prstGeom prst="rect">
                      <a:avLst/>
                    </a:prstGeom>
                    <a:ln>
                      <a:noFill/>
                    </a:ln>
                  </pic:spPr>
                </pic:pic>
              </a:graphicData>
            </a:graphic>
          </wp:inline>
        </w:drawing>
      </w:r>
    </w:p>
    <w:p w14:paraId="1A635A02">
      <w:pPr>
        <w:pStyle w:val="34"/>
      </w:pPr>
      <w:r>
        <w:rPr>
          <w:rFonts w:hint="eastAsia"/>
        </w:rPr>
        <w:t>图2.2.2-1 炭坑溪大桥下穿横断面图</w:t>
      </w:r>
    </w:p>
    <w:p w14:paraId="072A0FE2">
      <w:pPr>
        <w:ind w:firstLine="480"/>
      </w:pPr>
    </w:p>
    <w:p w14:paraId="30902383">
      <w:pPr>
        <w:pStyle w:val="34"/>
      </w:pPr>
      <w:r>
        <w:drawing>
          <wp:inline distB="0" distL="0" distR="0" distT="0">
            <wp:extent cx="3428365" cy="2663825"/>
            <wp:effectExtent b="3175" l="0" r="635" t="0"/>
            <wp:docPr id="451346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46064" name="图片 1"/>
                    <pic:cNvPicPr>
                      <a:picLocks noChangeAspect="1"/>
                    </pic:cNvPicPr>
                  </pic:nvPicPr>
                  <pic:blipFill>
                    <a:blip r:embed="rId21"/>
                    <a:stretch>
                      <a:fillRect/>
                    </a:stretch>
                  </pic:blipFill>
                  <pic:spPr>
                    <a:xfrm>
                      <a:off x="0" y="0"/>
                      <a:ext cx="3428625" cy="2664000"/>
                    </a:xfrm>
                    <a:prstGeom prst="rect">
                      <a:avLst/>
                    </a:prstGeom>
                  </pic:spPr>
                </pic:pic>
              </a:graphicData>
            </a:graphic>
          </wp:inline>
        </w:drawing>
      </w:r>
    </w:p>
    <w:p w14:paraId="24AF2CF6">
      <w:pPr>
        <w:pStyle w:val="34"/>
      </w:pPr>
      <w:r>
        <w:rPr>
          <w:rFonts w:hint="eastAsia"/>
        </w:rPr>
        <w:t>图2.2.2-2 下穿纵断面图</w:t>
      </w:r>
    </w:p>
    <w:p w14:paraId="7117238D">
      <w:pPr>
        <w:pStyle w:val="4"/>
      </w:pPr>
      <w:bookmarkStart w:id="15" w:name="_Toc187956708"/>
      <w:bookmarkStart w:id="16" w:name="_Toc24187"/>
      <w:r>
        <w:rPr>
          <w:rFonts w:hint="eastAsia"/>
        </w:rPr>
        <w:t>桥下高填方处理</w:t>
      </w:r>
      <w:bookmarkEnd w:id="15"/>
    </w:p>
    <w:p w14:paraId="08C8C7D9">
      <w:pPr>
        <w:ind w:firstLine="480"/>
      </w:pPr>
      <w:r>
        <w:rPr>
          <w:rFonts w:hint="eastAsia"/>
        </w:rPr>
        <w:t>交叉点下方原为炭坑溪河道，48.8m宽度内采用级配碎石填筑至89.5m标高（级配碎石厚度2~7m），上方填筑泡沫砼至104m标高，泡沫混凝土顶面设置C30混凝土封面（并设置钢筋网）来保证泡沫混凝土的耐久性（泡沫砼总厚度14.5m）。</w:t>
      </w:r>
    </w:p>
    <w:p w14:paraId="4170717B">
      <w:pPr>
        <w:pStyle w:val="34"/>
      </w:pPr>
      <w:r>
        <w:drawing>
          <wp:inline distB="0" distL="0" distR="0" distT="0">
            <wp:extent cx="3801745" cy="2879725"/>
            <wp:effectExtent b="0" l="0" r="8255" t="0"/>
            <wp:docPr id="606215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15417" name="图片 1"/>
                    <pic:cNvPicPr>
                      <a:picLocks noChangeAspect="1"/>
                    </pic:cNvPicPr>
                  </pic:nvPicPr>
                  <pic:blipFill>
                    <a:blip r:embed="rId22"/>
                    <a:stretch>
                      <a:fillRect/>
                    </a:stretch>
                  </pic:blipFill>
                  <pic:spPr>
                    <a:xfrm>
                      <a:off x="0" y="0"/>
                      <a:ext cx="3801923" cy="2880000"/>
                    </a:xfrm>
                    <a:prstGeom prst="rect">
                      <a:avLst/>
                    </a:prstGeom>
                  </pic:spPr>
                </pic:pic>
              </a:graphicData>
            </a:graphic>
          </wp:inline>
        </w:drawing>
      </w:r>
    </w:p>
    <w:p w14:paraId="5F87DA72">
      <w:pPr>
        <w:pStyle w:val="34"/>
        <w:ind w:firstLine="480"/>
      </w:pPr>
      <w:r>
        <w:rPr>
          <w:rFonts w:hint="eastAsia"/>
        </w:rPr>
        <w:t>图2.2.3-1 下穿纵断面图</w:t>
      </w:r>
    </w:p>
    <w:p w14:paraId="7118D68B">
      <w:pPr>
        <w:pStyle w:val="4"/>
      </w:pPr>
      <w:bookmarkStart w:id="17" w:name="_Toc187956709"/>
      <w:r>
        <w:rPr>
          <w:rFonts w:hint="eastAsia"/>
        </w:rPr>
        <w:t>楼仔大桥防抛及排水改造</w:t>
      </w:r>
      <w:bookmarkEnd w:id="17"/>
    </w:p>
    <w:p w14:paraId="14623A16">
      <w:pPr>
        <w:ind w:firstLine="480"/>
      </w:pPr>
      <w:r>
        <w:rPr>
          <w:rFonts w:hint="eastAsia"/>
        </w:rPr>
        <w:t>楼仔大桥外边两侧护栏加设防抛网，长度范围为炭坑溪大桥外边缘线各延伸 20m。</w:t>
      </w:r>
    </w:p>
    <w:p w14:paraId="4FF53408">
      <w:pPr>
        <w:ind w:firstLine="480"/>
      </w:pPr>
      <w:r>
        <w:rPr>
          <w:rFonts w:hint="eastAsia"/>
        </w:rPr>
        <w:t>楼仔大桥现状排水为直排，为避免对所下穿的新建桥梁造成影响，对楼仔大桥第二联排水进行改造。改造方案为利用现状桥梁的竖向排水管，于管口出水口处增设三通排水管，由直径150mm的纵向PVC管将桥面水引至9号桥台处，排至道路排水系统。</w:t>
      </w:r>
    </w:p>
    <w:p w14:paraId="7E79BB7A">
      <w:pPr>
        <w:pStyle w:val="3"/>
        <w:numPr>
          <w:ilvl w:val="1"/>
          <w:numId w:val="3"/>
        </w:numPr>
      </w:pPr>
      <w:bookmarkStart w:id="18" w:name="_Toc187956710"/>
      <w:r>
        <w:t>气象水文地质条件</w:t>
      </w:r>
      <w:bookmarkEnd w:id="16"/>
      <w:bookmarkEnd w:id="18"/>
    </w:p>
    <w:p w14:paraId="1F1A2518">
      <w:pPr>
        <w:pStyle w:val="4"/>
      </w:pPr>
      <w:bookmarkStart w:id="19" w:name="_Toc187956711"/>
      <w:r>
        <w:t>气象</w:t>
      </w:r>
      <w:bookmarkEnd w:id="19"/>
    </w:p>
    <w:p w14:paraId="03DC3391">
      <w:pPr>
        <w:ind w:firstLine="480"/>
        <w:rPr>
          <w:rFonts w:cs="Times New Roman"/>
        </w:rPr>
      </w:pPr>
      <w:r>
        <w:rPr>
          <w:rFonts w:cs="Times New Roman" w:hint="eastAsia"/>
        </w:rPr>
        <w:t>安溪县属南、中亚热带海洋性季风气候。东部外安溪属南亚热带，年平均温度19～21℃，年降雨量1600mm，夏季长而炎热，冬季短暂而无严寒，夏秋局部多雷阵雨。</w:t>
      </w:r>
      <w:r>
        <w:rPr>
          <w:rFonts w:cs="Times New Roman"/>
        </w:rPr>
        <w:t xml:space="preserve"> </w:t>
      </w:r>
    </w:p>
    <w:p w14:paraId="2FBB31DB">
      <w:pPr>
        <w:pStyle w:val="4"/>
      </w:pPr>
      <w:bookmarkStart w:id="20" w:name="_Toc187956712"/>
      <w:r>
        <w:t>水文</w:t>
      </w:r>
      <w:bookmarkEnd w:id="20"/>
    </w:p>
    <w:p w14:paraId="247D10CC">
      <w:pPr>
        <w:ind w:firstLine="480"/>
        <w:rPr>
          <w:rFonts w:cs="Times New Roman"/>
        </w:rPr>
      </w:pPr>
      <w:r>
        <w:rPr>
          <w:rFonts w:cs="Times New Roman" w:hint="eastAsia"/>
        </w:rPr>
        <w:t>炭坑溪大桥位于炭坑溪河道，河道底标高82~88m，河道经桥宽度8~20m。原河道设计水位87.4m，受炭坑溪水利项目建成影响，汇水量少，主要以雨季路面汇水和河道内渗水为主。水面宽度仅1~2m，夏季及雨季时水量增大。</w:t>
      </w:r>
      <w:r>
        <w:rPr>
          <w:rFonts w:cs="Times New Roman"/>
        </w:rPr>
        <w:t xml:space="preserve"> </w:t>
      </w:r>
    </w:p>
    <w:p w14:paraId="2A7AEED8">
      <w:pPr>
        <w:pStyle w:val="34"/>
        <w:rPr>
          <w:rFonts w:cs="Times New Roman"/>
        </w:rPr>
      </w:pPr>
      <w:r>
        <w:drawing>
          <wp:inline distB="0" distL="0" distR="0" distT="0">
            <wp:extent cx="5706110" cy="2865120"/>
            <wp:effectExtent b="0" l="0" r="8890" t="0"/>
            <wp:docPr id="1927304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4988" name="图片 1"/>
                    <pic:cNvPicPr>
                      <a:picLocks noChangeAspect="1"/>
                    </pic:cNvPicPr>
                  </pic:nvPicPr>
                  <pic:blipFill>
                    <a:blip r:embed="rId23"/>
                    <a:stretch>
                      <a:fillRect/>
                    </a:stretch>
                  </pic:blipFill>
                  <pic:spPr>
                    <a:xfrm>
                      <a:off x="0" y="0"/>
                      <a:ext cx="5706110" cy="2865120"/>
                    </a:xfrm>
                    <a:prstGeom prst="rect">
                      <a:avLst/>
                    </a:prstGeom>
                  </pic:spPr>
                </pic:pic>
              </a:graphicData>
            </a:graphic>
          </wp:inline>
        </w:drawing>
      </w:r>
    </w:p>
    <w:p w14:paraId="0FA74752">
      <w:pPr>
        <w:pStyle w:val="34"/>
      </w:pPr>
      <w:r>
        <w:rPr>
          <w:rFonts w:hint="eastAsia"/>
        </w:rPr>
        <w:t>图2.3.2-1 炭坑溪河道平面示意图</w:t>
      </w:r>
    </w:p>
    <w:p w14:paraId="2592F152">
      <w:pPr>
        <w:pStyle w:val="4"/>
      </w:pPr>
      <w:bookmarkStart w:id="21" w:name="_Toc187956713"/>
      <w:r>
        <w:t>地质条件</w:t>
      </w:r>
      <w:bookmarkEnd w:id="21"/>
    </w:p>
    <w:p w14:paraId="7901F14E">
      <w:pPr>
        <w:ind w:firstLine="480"/>
      </w:pPr>
      <w:r>
        <w:rPr>
          <w:rFonts w:hint="eastAsia"/>
        </w:rPr>
        <w:t>场地在钻孔揭露深度范围内所分布的地层主要为素填土、中砂、碎石粉质黏土、砂土状强风化凝灰熔岩、碎块状强风化凝灰熔岩、中风化凝灰熔岩等组成。</w:t>
      </w:r>
    </w:p>
    <w:p w14:paraId="2F1D235B">
      <w:pPr>
        <w:ind w:firstLine="480"/>
      </w:pPr>
      <w:r>
        <w:rPr>
          <w:rFonts w:hint="eastAsia"/>
        </w:rPr>
        <w:t>勘察在各风化层中均未发现有洞穴、临空面及软弱夹层分布。场地残积土、全-强风化岩中存在不均匀风化现象，埋藏有球状孤石及硬夹层，其分布存在随机性。</w:t>
      </w:r>
    </w:p>
    <w:p w14:paraId="41CD5F48">
      <w:pPr>
        <w:pStyle w:val="3"/>
        <w:ind w:left="480"/>
      </w:pPr>
      <w:bookmarkStart w:id="22" w:name="_Toc187956714"/>
      <w:r>
        <w:t>周边环境</w:t>
      </w:r>
      <w:bookmarkEnd w:id="22"/>
    </w:p>
    <w:p w14:paraId="7E263EAD">
      <w:pPr>
        <w:ind w:firstLine="480"/>
        <w:rPr>
          <w:rFonts w:cs="Times New Roman"/>
        </w:rPr>
      </w:pPr>
      <w:r>
        <w:rPr>
          <w:rFonts w:cs="Times New Roman" w:hint="eastAsia"/>
        </w:rPr>
        <w:t>周边有三安大桥连接线和古山村村道，交通便利。受河道两侧较陡和红线区域影响，需打设便道从炭坑溪大桥两头进入河道施工场地。</w:t>
      </w:r>
    </w:p>
    <w:p w14:paraId="6DC0CFCA">
      <w:pPr>
        <w:pStyle w:val="34"/>
      </w:pPr>
      <w:r>
        <w:drawing>
          <wp:inline distB="0" distL="0" distR="0" distT="0">
            <wp:extent cx="5706110" cy="3209925"/>
            <wp:effectExtent b="9525" l="0" r="8890" t="0"/>
            <wp:docPr id="75981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11849" name="图片 1"/>
                    <pic:cNvPicPr>
                      <a:picLocks noChangeAspect="1"/>
                    </pic:cNvPicPr>
                  </pic:nvPicPr>
                  <pic:blipFill>
                    <a:blip r:embed="rId24"/>
                    <a:stretch>
                      <a:fillRect/>
                    </a:stretch>
                  </pic:blipFill>
                  <pic:spPr>
                    <a:xfrm>
                      <a:off x="0" y="0"/>
                      <a:ext cx="5706110" cy="3209925"/>
                    </a:xfrm>
                    <a:prstGeom prst="rect">
                      <a:avLst/>
                    </a:prstGeom>
                  </pic:spPr>
                </pic:pic>
              </a:graphicData>
            </a:graphic>
          </wp:inline>
        </w:drawing>
      </w:r>
      <w:r>
        <w:t xml:space="preserve"> </w:t>
      </w:r>
    </w:p>
    <w:p w14:paraId="772F224E">
      <w:pPr>
        <w:pStyle w:val="34"/>
      </w:pPr>
      <w:r>
        <w:rPr>
          <w:rFonts w:hint="eastAsia"/>
        </w:rPr>
        <w:t>图2.4-1 航拍向北视角</w:t>
      </w:r>
    </w:p>
    <w:p w14:paraId="4B2A5481">
      <w:pPr>
        <w:pStyle w:val="34"/>
      </w:pPr>
      <w:r>
        <w:drawing>
          <wp:inline distB="0" distL="0" distR="0" distT="0">
            <wp:extent cx="5706110" cy="3209925"/>
            <wp:effectExtent b="9525" l="0" r="8890" t="0"/>
            <wp:docPr id="443094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4457" name="图片 1"/>
                    <pic:cNvPicPr>
                      <a:picLocks noChangeAspect="1"/>
                    </pic:cNvPicPr>
                  </pic:nvPicPr>
                  <pic:blipFill>
                    <a:blip r:embed="rId25"/>
                    <a:stretch>
                      <a:fillRect/>
                    </a:stretch>
                  </pic:blipFill>
                  <pic:spPr>
                    <a:xfrm>
                      <a:off x="0" y="0"/>
                      <a:ext cx="5706110" cy="3209925"/>
                    </a:xfrm>
                    <a:prstGeom prst="rect">
                      <a:avLst/>
                    </a:prstGeom>
                  </pic:spPr>
                </pic:pic>
              </a:graphicData>
            </a:graphic>
          </wp:inline>
        </w:drawing>
      </w:r>
    </w:p>
    <w:p w14:paraId="7F6B71E2">
      <w:pPr>
        <w:pStyle w:val="34"/>
      </w:pPr>
      <w:r>
        <w:rPr>
          <w:rFonts w:hint="eastAsia"/>
        </w:rPr>
        <w:t>图2.4-2 航拍向南视角</w:t>
      </w:r>
    </w:p>
    <w:p w14:paraId="144D9575">
      <w:pPr>
        <w:ind w:firstLine="480"/>
      </w:pPr>
      <w:r>
        <w:rPr>
          <w:rFonts w:hint="eastAsia"/>
        </w:rPr>
        <w:t>施工用水等可由河道上游抽取或洒水车带入。</w:t>
      </w:r>
    </w:p>
    <w:p w14:paraId="07C4E5B3">
      <w:pPr>
        <w:ind w:firstLine="480"/>
      </w:pPr>
      <w:r>
        <w:rPr>
          <w:rFonts w:hint="eastAsia"/>
        </w:rPr>
        <w:t>施工用电通过连接线边设置变压器接入。</w:t>
      </w:r>
    </w:p>
    <w:p w14:paraId="24553772">
      <w:pPr>
        <w:pStyle w:val="34"/>
      </w:pPr>
      <w:r>
        <w:drawing>
          <wp:inline distB="0" distL="0" distR="0" distT="0">
            <wp:extent cx="5705475" cy="3594100"/>
            <wp:effectExtent b="6350" l="0" r="9525" t="0"/>
            <wp:docPr id="1956412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12223" name="图片 1"/>
                    <pic:cNvPicPr>
                      <a:picLocks noChangeArrowheads="1" noChangeAspect="1"/>
                    </pic:cNvPicPr>
                  </pic:nvPicPr>
                  <pic:blipFill>
                    <a:blip r:embed="rId26">
                      <a:extLst>
                        <a:ext uri="{28A0092B-C50C-407E-A947-70E740481C1C}">
                          <a14:useLocalDpi xmlns:a14="http://schemas.microsoft.com/office/drawing/2010/main" val="0"/>
                        </a:ext>
                      </a:extLst>
                    </a:blip>
                    <a:srcRect b="4211" t="11547"/>
                    <a:stretch>
                      <a:fillRect/>
                    </a:stretch>
                  </pic:blipFill>
                  <pic:spPr>
                    <a:xfrm>
                      <a:off x="0" y="0"/>
                      <a:ext cx="5706110" cy="3594251"/>
                    </a:xfrm>
                    <a:prstGeom prst="rect">
                      <a:avLst/>
                    </a:prstGeom>
                    <a:noFill/>
                    <a:ln>
                      <a:noFill/>
                    </a:ln>
                  </pic:spPr>
                </pic:pic>
              </a:graphicData>
            </a:graphic>
          </wp:inline>
        </w:drawing>
      </w:r>
    </w:p>
    <w:p w14:paraId="7C8183D6">
      <w:pPr>
        <w:pStyle w:val="34"/>
      </w:pPr>
      <w:r>
        <w:rPr>
          <w:rFonts w:hint="eastAsia"/>
        </w:rPr>
        <w:t>图2.4-2 河道照片</w:t>
      </w:r>
    </w:p>
    <w:p w14:paraId="7ECD2365">
      <w:pPr>
        <w:ind w:firstLine="480"/>
        <w:rPr>
          <w:rFonts w:cs="Times New Roman"/>
        </w:rPr>
      </w:pPr>
      <w:r>
        <w:rPr>
          <w:rFonts w:cs="Times New Roman" w:hint="eastAsia"/>
        </w:rPr>
        <w:t>施工场地内无地埋线管，施工高度内无干扰的高压通信线缆等</w:t>
      </w:r>
      <w:r>
        <w:rPr>
          <w:rFonts w:cs="Times New Roman"/>
        </w:rPr>
        <w:t>。</w:t>
      </w:r>
    </w:p>
    <w:p w14:paraId="31AB3BB9">
      <w:pPr>
        <w:ind w:firstLine="480"/>
        <w:rPr>
          <w:rFonts w:cs="Times New Roman"/>
        </w:rPr>
      </w:pPr>
      <w:r>
        <w:rPr>
          <w:rFonts w:cs="Times New Roman" w:hint="eastAsia"/>
        </w:rPr>
        <w:t>河道两岸未清表，暂未发现坟墓，古迹等。</w:t>
      </w:r>
    </w:p>
    <w:p w14:paraId="40BF937D">
      <w:pPr>
        <w:pStyle w:val="3"/>
        <w:ind w:left="480"/>
      </w:pPr>
      <w:bookmarkStart w:id="23" w:name="_Toc187956715"/>
      <w:r>
        <w:t>施工平面布置</w:t>
      </w:r>
      <w:bookmarkEnd w:id="23"/>
    </w:p>
    <w:p w14:paraId="1089EC98">
      <w:pPr>
        <w:pStyle w:val="34"/>
        <w:rPr>
          <w:highlight w:val="yellow"/>
        </w:rPr>
      </w:pPr>
      <w:r>
        <w:drawing>
          <wp:inline distB="0" distL="0" distR="0" distT="0">
            <wp:extent cx="5706110" cy="3149600"/>
            <wp:effectExtent b="0" l="0" r="8890" t="0"/>
            <wp:docPr id="1284227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7830" name="图片 1"/>
                    <pic:cNvPicPr>
                      <a:picLocks noChangeAspect="1"/>
                    </pic:cNvPicPr>
                  </pic:nvPicPr>
                  <pic:blipFill>
                    <a:blip r:embed="rId27"/>
                    <a:stretch>
                      <a:fillRect/>
                    </a:stretch>
                  </pic:blipFill>
                  <pic:spPr>
                    <a:xfrm>
                      <a:off x="0" y="0"/>
                      <a:ext cx="5706110" cy="3149600"/>
                    </a:xfrm>
                    <a:prstGeom prst="rect">
                      <a:avLst/>
                    </a:prstGeom>
                  </pic:spPr>
                </pic:pic>
              </a:graphicData>
            </a:graphic>
          </wp:inline>
        </w:drawing>
      </w:r>
    </w:p>
    <w:p w14:paraId="46E539C5">
      <w:pPr>
        <w:pStyle w:val="34"/>
      </w:pPr>
      <w:r>
        <w:rPr>
          <w:rFonts w:hint="eastAsia"/>
        </w:rPr>
        <w:t>图2.5-1 施工平面布置示意图</w:t>
      </w:r>
    </w:p>
    <w:p w14:paraId="2432AB60">
      <w:pPr>
        <w:ind w:firstLine="480"/>
        <w:rPr>
          <w:highlight w:val="yellow"/>
        </w:rPr>
      </w:pPr>
    </w:p>
    <w:p w14:paraId="1DAA67FA">
      <w:pPr>
        <w:pStyle w:val="3"/>
        <w:ind w:left="480"/>
      </w:pPr>
      <w:bookmarkStart w:id="24" w:name="_Toc187956716"/>
      <w:r>
        <w:t>施工重难点</w:t>
      </w:r>
      <w:bookmarkEnd w:id="24"/>
    </w:p>
    <w:p w14:paraId="15670744">
      <w:pPr>
        <w:ind w:firstLine="530"/>
        <w:rPr>
          <w:rFonts w:cs="Times New Roman"/>
          <w:b/>
          <w:bCs/>
          <w:color w:val="000000"/>
          <w:spacing w:val="12"/>
          <w:kern w:val="0"/>
          <w:szCs w:val="28"/>
        </w:rPr>
      </w:pPr>
      <w:r>
        <w:rPr>
          <w:rFonts w:cs="Times New Roman" w:hint="eastAsia"/>
          <w:b/>
          <w:bCs/>
          <w:color w:val="000000"/>
          <w:spacing w:val="12"/>
          <w:kern w:val="0"/>
          <w:szCs w:val="28"/>
        </w:rPr>
        <w:t>河道涉水施工</w:t>
      </w:r>
    </w:p>
    <w:p w14:paraId="6776EC3C">
      <w:pPr>
        <w:ind w:firstLine="528"/>
        <w:rPr>
          <w:rFonts w:cs="Times New Roman"/>
          <w:color w:val="000000"/>
          <w:spacing w:val="12"/>
          <w:kern w:val="0"/>
          <w:szCs w:val="28"/>
        </w:rPr>
      </w:pPr>
      <w:r>
        <w:rPr>
          <w:rFonts w:cs="Times New Roman" w:hint="eastAsia"/>
          <w:color w:val="000000"/>
          <w:spacing w:val="12"/>
          <w:kern w:val="0"/>
          <w:szCs w:val="28"/>
        </w:rPr>
        <w:t>河道内长年有水流，排水层施工过程中，需注意排水引导，避免场地内积水或渗水，给整个连接线提供良好的施工环境，保证施工质量。</w:t>
      </w:r>
    </w:p>
    <w:p w14:paraId="73203D48">
      <w:pPr>
        <w:ind w:firstLine="530"/>
        <w:rPr>
          <w:rFonts w:cs="Times New Roman"/>
          <w:b/>
          <w:bCs/>
          <w:color w:val="000000"/>
          <w:spacing w:val="12"/>
          <w:kern w:val="0"/>
          <w:szCs w:val="28"/>
        </w:rPr>
      </w:pPr>
      <w:r>
        <w:rPr>
          <w:rFonts w:cs="Times New Roman" w:hint="eastAsia"/>
          <w:b/>
          <w:bCs/>
          <w:color w:val="000000"/>
          <w:spacing w:val="12"/>
          <w:kern w:val="0"/>
          <w:szCs w:val="28"/>
        </w:rPr>
        <w:t>高速桥梁保护</w:t>
      </w:r>
    </w:p>
    <w:p w14:paraId="07ADE3D3">
      <w:pPr>
        <w:ind w:firstLine="528"/>
        <w:rPr>
          <w:rFonts w:cs="Times New Roman"/>
          <w:color w:val="000000"/>
          <w:spacing w:val="12"/>
          <w:kern w:val="0"/>
          <w:szCs w:val="28"/>
        </w:rPr>
      </w:pPr>
      <w:r>
        <w:rPr>
          <w:rFonts w:cs="Times New Roman" w:hint="eastAsia"/>
          <w:color w:val="000000"/>
          <w:spacing w:val="12"/>
          <w:kern w:val="0"/>
          <w:szCs w:val="28"/>
        </w:rPr>
        <w:t>连接线涉高速段有级配碎石垫层、泡沫砼、桥梁等施工内容，施工过程距高速桥墩较近或将改变原桥梁环境，需注意施工避让和监控，保证高速桥梁及通行安全。并提前办理高速施工许可等手续。</w:t>
      </w:r>
    </w:p>
    <w:p w14:paraId="3AA1F8D7">
      <w:pPr>
        <w:ind w:firstLine="530"/>
        <w:rPr>
          <w:rFonts w:cs="Times New Roman"/>
          <w:b/>
          <w:bCs/>
          <w:color w:val="000000"/>
          <w:spacing w:val="12"/>
          <w:kern w:val="0"/>
          <w:szCs w:val="28"/>
        </w:rPr>
      </w:pPr>
      <w:r>
        <w:rPr>
          <w:rFonts w:cs="Times New Roman" w:hint="eastAsia"/>
          <w:b/>
          <w:bCs/>
          <w:color w:val="000000"/>
          <w:spacing w:val="12"/>
          <w:kern w:val="0"/>
          <w:szCs w:val="28"/>
        </w:rPr>
        <w:t>高速桥上施工</w:t>
      </w:r>
    </w:p>
    <w:p w14:paraId="234F79B9">
      <w:pPr>
        <w:ind w:firstLine="528"/>
        <w:rPr>
          <w:rFonts w:cs="Times New Roman"/>
          <w:color w:val="000000"/>
          <w:spacing w:val="12"/>
          <w:kern w:val="0"/>
          <w:szCs w:val="28"/>
        </w:rPr>
      </w:pPr>
      <w:r>
        <w:rPr>
          <w:rFonts w:cs="Times New Roman" w:hint="eastAsia"/>
          <w:color w:val="000000"/>
          <w:spacing w:val="12"/>
          <w:kern w:val="0"/>
          <w:szCs w:val="28"/>
        </w:rPr>
        <w:t>高速桥梁防抛及排水改造需在高速上施工，施工前需办理施工手续，并注意施工期间高速通行安全。</w:t>
      </w:r>
    </w:p>
    <w:p w14:paraId="1A5CDCD0">
      <w:pPr>
        <w:pStyle w:val="2"/>
      </w:pPr>
      <w:bookmarkStart w:id="25" w:name="_Toc187956717"/>
      <w:r>
        <w:t>施工工艺</w:t>
      </w:r>
      <w:bookmarkEnd w:id="25"/>
    </w:p>
    <w:p w14:paraId="624D71BA">
      <w:pPr>
        <w:pStyle w:val="3"/>
        <w:ind w:left="480"/>
      </w:pPr>
      <w:bookmarkStart w:id="26" w:name="_Toc187956718"/>
      <w:r>
        <w:t>施工工艺概述</w:t>
      </w:r>
      <w:bookmarkEnd w:id="26"/>
    </w:p>
    <w:p w14:paraId="5010CD01">
      <w:pPr>
        <w:ind w:firstLine="480"/>
        <w:rPr>
          <w:rFonts w:cs="Times New Roman"/>
        </w:rPr>
      </w:pPr>
      <w:r>
        <w:rPr>
          <w:rFonts w:cs="Times New Roman" w:hint="eastAsia"/>
        </w:rPr>
        <w:t>河道内施工，需先清理并改造河道，避开桥梁桩位。进场后及时对高速桥墩进行区域保护，再填筑级配碎石，埋设桩基护筒，施工桥梁桩基及下部结构。下部结构施工完成后，填筑泡沫砼，架设桥梁上部，施工桥面及附属。高速桥上防抛网和排水改造宜在泡沫砼施工及雨季前完成</w:t>
      </w:r>
      <w:r>
        <w:rPr>
          <w:rFonts w:cs="Times New Roman"/>
        </w:rPr>
        <w:t>。</w:t>
      </w:r>
    </w:p>
    <w:p w14:paraId="2F957070">
      <w:pPr>
        <w:pStyle w:val="3"/>
        <w:ind w:left="480"/>
      </w:pPr>
      <w:bookmarkStart w:id="27" w:name="_Toc187956719"/>
      <w:r>
        <w:t>施工工艺流程</w:t>
      </w:r>
      <w:bookmarkEnd w:id="27"/>
    </w:p>
    <w:p w14:paraId="28783CAB">
      <w:pPr>
        <w:pStyle w:val="34"/>
      </w:pPr>
      <w:r>
        <mc:AlternateContent>
          <mc:Choice Requires="wpc">
            <w:drawing>
              <wp:inline distB="0" distL="0" distR="0" distT="0">
                <wp:extent cx="4885055" cy="5198745"/>
                <wp:effectExtent b="1905" l="0" r="0" t="0"/>
                <wp:docPr id="474004177"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6090024" name="文本框 1406090024"/>
                        <wps:cNvSpPr txBox="1"/>
                        <wps:spPr>
                          <a:xfrm>
                            <a:off x="1100802" y="0"/>
                            <a:ext cx="1368000" cy="302312"/>
                          </a:xfrm>
                          <a:prstGeom prst="rect">
                            <a:avLst/>
                          </a:prstGeom>
                          <a:solidFill>
                            <a:schemeClr val="lt1"/>
                          </a:solidFill>
                          <a:ln w="6350">
                            <a:solidFill>
                              <a:prstClr val="black"/>
                            </a:solidFill>
                          </a:ln>
                        </wps:spPr>
                        <wps:txbx>
                          <w:txbxContent>
                            <w:p w14:paraId="5050D325">
                              <w:pPr>
                                <w:pStyle w:val="34"/>
                              </w:pPr>
                              <w:r>
                                <w:rPr>
                                  <w:rFonts w:hint="eastAsia"/>
                                </w:rPr>
                                <w:t>清表、清理河道</w:t>
                              </w:r>
                            </w:p>
                          </w:txbxContent>
                        </wps:txbx>
                        <wps:bodyPr anchor="ctr" anchorCtr="0" bIns="45720" compatLnSpc="1" forceAA="0" fromWordArt="0" horzOverflow="overflow" lIns="91440" numCol="1" rIns="91440" rot="0" rtlCol="0" spcCol="0" spcFirstLastPara="0" tIns="45720" vert="horz" vertOverflow="overflow" wrap="square">
                          <a:noAutofit/>
                        </wps:bodyPr>
                      </wps:wsp>
                      <wps:wsp>
                        <wps:cNvPr id="781670653" name="直接箭头连接符 781670653"/>
                        <wps:cNvCnPr>
                          <a:stCxn id="1406090024" idx="2"/>
                          <a:endCxn id="1807307627" idx="0"/>
                        </wps:cNvCnPr>
                        <wps:spPr>
                          <a:xfrm>
                            <a:off x="1784802" y="302312"/>
                            <a:ext cx="210" cy="2380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7307627" name="文本框 1"/>
                        <wps:cNvSpPr txBox="1"/>
                        <wps:spPr>
                          <a:xfrm>
                            <a:off x="1101012" y="540385"/>
                            <a:ext cx="1368000" cy="302400"/>
                          </a:xfrm>
                          <a:prstGeom prst="rect">
                            <a:avLst/>
                          </a:prstGeom>
                          <a:solidFill>
                            <a:schemeClr val="lt1"/>
                          </a:solidFill>
                          <a:ln w="6350">
                            <a:solidFill>
                              <a:prstClr val="black"/>
                            </a:solidFill>
                          </a:ln>
                        </wps:spPr>
                        <wps:txbx>
                          <w:txbxContent>
                            <w:p w14:paraId="6693EB33">
                              <w:pPr>
                                <w:pStyle w:val="34"/>
                              </w:pPr>
                              <w:r>
                                <w:rPr>
                                  <w:rFonts w:hint="eastAsia"/>
                                </w:rPr>
                                <w:t>便道施工、改河道</w:t>
                              </w:r>
                            </w:p>
                          </w:txbxContent>
                        </wps:txbx>
                        <wps:bodyPr anchor="t" anchorCtr="0" bIns="45720" compatLnSpc="1" forceAA="0" fromWordArt="0" lIns="91440" numCol="1" rIns="91440" rot="0" rtlCol="0" spcCol="0" spcFirstLastPara="0" tIns="45720" vert="horz" wrap="square">
                          <a:noAutofit/>
                        </wps:bodyPr>
                      </wps:wsp>
                      <wps:wsp>
                        <wps:cNvPr id="1479993721" name="文本框 1"/>
                        <wps:cNvSpPr txBox="1"/>
                        <wps:spPr>
                          <a:xfrm>
                            <a:off x="1101012" y="1080134"/>
                            <a:ext cx="1368000" cy="302400"/>
                          </a:xfrm>
                          <a:prstGeom prst="rect">
                            <a:avLst/>
                          </a:prstGeom>
                          <a:solidFill>
                            <a:schemeClr val="lt1"/>
                          </a:solidFill>
                          <a:ln w="6350">
                            <a:solidFill>
                              <a:prstClr val="black"/>
                            </a:solidFill>
                          </a:ln>
                        </wps:spPr>
                        <wps:txbx>
                          <w:txbxContent>
                            <w:p w14:paraId="2FFAD2C7">
                              <w:pPr>
                                <w:pStyle w:val="34"/>
                                <w:rPr>
                                  <w14:ligatures w14:val="none"/>
                                </w:rPr>
                              </w:pPr>
                              <w:r>
                                <w:rPr>
                                  <w:rFonts w:hint="eastAsia"/>
                                </w:rPr>
                                <w:t>桥墩防护、监测</w:t>
                              </w:r>
                            </w:p>
                          </w:txbxContent>
                        </wps:txbx>
                        <wps:bodyPr anchor="t" anchorCtr="0" bIns="45720" compatLnSpc="1" forceAA="0" fromWordArt="0" lIns="91440" numCol="1" rIns="91440" rot="0" rtlCol="0" spcCol="0" spcFirstLastPara="0" tIns="45720" vert="horz" wrap="square">
                          <a:noAutofit/>
                        </wps:bodyPr>
                      </wps:wsp>
                      <wps:wsp>
                        <wps:cNvPr id="1437718772" name="文本框 1"/>
                        <wps:cNvSpPr txBox="1"/>
                        <wps:spPr>
                          <a:xfrm>
                            <a:off x="1101012" y="1620519"/>
                            <a:ext cx="1368000" cy="302400"/>
                          </a:xfrm>
                          <a:prstGeom prst="rect">
                            <a:avLst/>
                          </a:prstGeom>
                          <a:solidFill>
                            <a:schemeClr val="lt1"/>
                          </a:solidFill>
                          <a:ln w="6350">
                            <a:solidFill>
                              <a:prstClr val="black"/>
                            </a:solidFill>
                          </a:ln>
                        </wps:spPr>
                        <wps:txbx>
                          <w:txbxContent>
                            <w:p w14:paraId="571541D0">
                              <w:pPr>
                                <w:pStyle w:val="34"/>
                                <w:rPr>
                                  <w14:ligatures w14:val="none"/>
                                </w:rPr>
                              </w:pPr>
                              <w:r>
                                <w:rPr>
                                  <w:rFonts w:hint="eastAsia"/>
                                </w:rPr>
                                <w:t>级配碎石垫层施工</w:t>
                              </w:r>
                            </w:p>
                          </w:txbxContent>
                        </wps:txbx>
                        <wps:bodyPr anchor="t" anchorCtr="0" bIns="45720" compatLnSpc="1" forceAA="0" fromWordArt="0" lIns="91440" numCol="1" rIns="91440" rot="0" rtlCol="0" spcCol="0" spcFirstLastPara="0" tIns="45720" vert="horz" wrap="square">
                          <a:noAutofit/>
                        </wps:bodyPr>
                      </wps:wsp>
                      <wps:wsp>
                        <wps:cNvPr id="307733776" name="文本框 1"/>
                        <wps:cNvSpPr txBox="1"/>
                        <wps:spPr>
                          <a:xfrm>
                            <a:off x="1100675" y="2160269"/>
                            <a:ext cx="1368000" cy="302400"/>
                          </a:xfrm>
                          <a:prstGeom prst="rect">
                            <a:avLst/>
                          </a:prstGeom>
                          <a:solidFill>
                            <a:schemeClr val="lt1"/>
                          </a:solidFill>
                          <a:ln w="6350">
                            <a:solidFill>
                              <a:prstClr val="black"/>
                            </a:solidFill>
                          </a:ln>
                        </wps:spPr>
                        <wps:txbx>
                          <w:txbxContent>
                            <w:p w14:paraId="622ECF2C">
                              <w:pPr>
                                <w:pStyle w:val="34"/>
                                <w:rPr>
                                  <w14:ligatures w14:val="none"/>
                                </w:rPr>
                              </w:pPr>
                              <w:r>
                                <w:rPr>
                                  <w:rFonts w:hint="eastAsia"/>
                                </w:rPr>
                                <w:t>桩基施工</w:t>
                              </w:r>
                            </w:p>
                          </w:txbxContent>
                        </wps:txbx>
                        <wps:bodyPr anchor="t" anchorCtr="0" bIns="45720" compatLnSpc="1" forceAA="0" fromWordArt="0" lIns="91440" numCol="1" rIns="91440" rot="0" rtlCol="0" spcCol="0" spcFirstLastPara="0" tIns="45720" vert="horz" wrap="square">
                          <a:noAutofit/>
                        </wps:bodyPr>
                      </wps:wsp>
                      <wps:wsp>
                        <wps:cNvPr id="468471794" name="文本框 1"/>
                        <wps:cNvSpPr txBox="1"/>
                        <wps:spPr>
                          <a:xfrm>
                            <a:off x="1100675" y="2700655"/>
                            <a:ext cx="1368000" cy="302400"/>
                          </a:xfrm>
                          <a:prstGeom prst="rect">
                            <a:avLst/>
                          </a:prstGeom>
                          <a:solidFill>
                            <a:schemeClr val="lt1"/>
                          </a:solidFill>
                          <a:ln w="6350">
                            <a:solidFill>
                              <a:prstClr val="black"/>
                            </a:solidFill>
                          </a:ln>
                        </wps:spPr>
                        <wps:txbx>
                          <w:txbxContent>
                            <w:p w14:paraId="2BFDCC62">
                              <w:pPr>
                                <w:pStyle w:val="34"/>
                                <w:rPr>
                                  <w14:ligatures w14:val="none"/>
                                </w:rPr>
                              </w:pPr>
                              <w:r>
                                <w:rPr>
                                  <w:rFonts w:hint="eastAsia"/>
                                </w:rPr>
                                <w:t>桥梁下部结构施工</w:t>
                              </w:r>
                            </w:p>
                          </w:txbxContent>
                        </wps:txbx>
                        <wps:bodyPr anchor="t" anchorCtr="0" bIns="45720" compatLnSpc="1" forceAA="0" fromWordArt="0" lIns="91440" numCol="1" rIns="91440" rot="0" rtlCol="0" spcCol="0" spcFirstLastPara="0" tIns="45720" vert="horz" wrap="square">
                          <a:noAutofit/>
                        </wps:bodyPr>
                      </wps:wsp>
                      <wps:wsp>
                        <wps:cNvPr id="679389217" name="文本框 1"/>
                        <wps:cNvSpPr txBox="1"/>
                        <wps:spPr>
                          <a:xfrm>
                            <a:off x="1101222" y="3240405"/>
                            <a:ext cx="1368000" cy="302400"/>
                          </a:xfrm>
                          <a:prstGeom prst="rect">
                            <a:avLst/>
                          </a:prstGeom>
                          <a:solidFill>
                            <a:schemeClr val="lt1"/>
                          </a:solidFill>
                          <a:ln w="6350">
                            <a:solidFill>
                              <a:prstClr val="black"/>
                            </a:solidFill>
                          </a:ln>
                        </wps:spPr>
                        <wps:txbx>
                          <w:txbxContent>
                            <w:p w14:paraId="4E44A08F">
                              <w:pPr>
                                <w:pStyle w:val="34"/>
                                <w:rPr>
                                  <w14:ligatures w14:val="none"/>
                                </w:rPr>
                              </w:pPr>
                              <w:r>
                                <w:rPr>
                                  <w:rFonts w:hint="eastAsia"/>
                                </w:rPr>
                                <w:t>泡沫砼施工</w:t>
                              </w:r>
                            </w:p>
                          </w:txbxContent>
                        </wps:txbx>
                        <wps:bodyPr anchor="t" anchorCtr="0" bIns="45720" compatLnSpc="1" forceAA="0" fromWordArt="0" lIns="91440" numCol="1" rIns="91440" rot="0" rtlCol="0" spcCol="0" spcFirstLastPara="0" tIns="45720" vert="horz" wrap="square">
                          <a:noAutofit/>
                        </wps:bodyPr>
                      </wps:wsp>
                      <wps:wsp>
                        <wps:cNvPr id="1230040533" name="文本框 1"/>
                        <wps:cNvSpPr txBox="1"/>
                        <wps:spPr>
                          <a:xfrm>
                            <a:off x="1100675" y="3780790"/>
                            <a:ext cx="1368000" cy="302400"/>
                          </a:xfrm>
                          <a:prstGeom prst="rect">
                            <a:avLst/>
                          </a:prstGeom>
                          <a:solidFill>
                            <a:schemeClr val="lt1"/>
                          </a:solidFill>
                          <a:ln w="6350">
                            <a:solidFill>
                              <a:prstClr val="black"/>
                            </a:solidFill>
                          </a:ln>
                        </wps:spPr>
                        <wps:txbx>
                          <w:txbxContent>
                            <w:p w14:paraId="39BCDA4C">
                              <w:pPr>
                                <w:pStyle w:val="34"/>
                                <w:rPr>
                                  <w14:ligatures w14:val="none"/>
                                </w:rPr>
                              </w:pPr>
                              <w:r>
                                <w:rPr>
                                  <w:rFonts w:hint="eastAsia"/>
                                </w:rPr>
                                <w:t>桥梁上部结构施工</w:t>
                              </w:r>
                            </w:p>
                          </w:txbxContent>
                        </wps:txbx>
                        <wps:bodyPr anchor="t" anchorCtr="0" bIns="45720" compatLnSpc="1" forceAA="0" fromWordArt="0" lIns="91440" numCol="1" rIns="91440" rot="0" rtlCol="0" spcCol="0" spcFirstLastPara="0" tIns="45720" vert="horz" wrap="square">
                          <a:noAutofit/>
                        </wps:bodyPr>
                      </wps:wsp>
                      <wps:wsp>
                        <wps:cNvPr id="1326998786" name="文本框 1"/>
                        <wps:cNvSpPr txBox="1"/>
                        <wps:spPr>
                          <a:xfrm>
                            <a:off x="1101222" y="4320540"/>
                            <a:ext cx="1368000" cy="302400"/>
                          </a:xfrm>
                          <a:prstGeom prst="rect">
                            <a:avLst/>
                          </a:prstGeom>
                          <a:solidFill>
                            <a:schemeClr val="lt1"/>
                          </a:solidFill>
                          <a:ln w="6350">
                            <a:solidFill>
                              <a:prstClr val="black"/>
                            </a:solidFill>
                          </a:ln>
                        </wps:spPr>
                        <wps:txbx>
                          <w:txbxContent>
                            <w:p w14:paraId="794AD653">
                              <w:pPr>
                                <w:pStyle w:val="34"/>
                                <w:rPr>
                                  <w14:ligatures w14:val="none"/>
                                </w:rPr>
                              </w:pPr>
                              <w:r>
                                <w:rPr>
                                  <w:rFonts w:hint="eastAsia"/>
                                </w:rPr>
                                <w:t>桥面及附属施工</w:t>
                              </w:r>
                            </w:p>
                          </w:txbxContent>
                        </wps:txbx>
                        <wps:bodyPr anchor="t" anchorCtr="0" bIns="45720" compatLnSpc="1" forceAA="0" fromWordArt="0" lIns="91440" numCol="1" rIns="91440" rot="0" rtlCol="0" spcCol="0" spcFirstLastPara="0" tIns="45720" vert="horz" wrap="square">
                          <a:noAutofit/>
                        </wps:bodyPr>
                      </wps:wsp>
                      <wps:wsp>
                        <wps:cNvPr id="74586370" name="文本框 1"/>
                        <wps:cNvSpPr txBox="1"/>
                        <wps:spPr>
                          <a:xfrm>
                            <a:off x="1100675" y="4860925"/>
                            <a:ext cx="1368000" cy="302400"/>
                          </a:xfrm>
                          <a:prstGeom prst="rect">
                            <a:avLst/>
                          </a:prstGeom>
                          <a:solidFill>
                            <a:schemeClr val="lt1"/>
                          </a:solidFill>
                          <a:ln w="6350">
                            <a:solidFill>
                              <a:prstClr val="black"/>
                            </a:solidFill>
                          </a:ln>
                        </wps:spPr>
                        <wps:txbx>
                          <w:txbxContent>
                            <w:p w14:paraId="5B481FCA">
                              <w:pPr>
                                <w:pStyle w:val="34"/>
                                <w:rPr>
                                  <w14:ligatures w14:val="none"/>
                                </w:rPr>
                              </w:pPr>
                              <w:bookmarkStart w:id="145" w:name="_Hlk184396126"/>
                              <w:bookmarkStart w:id="146" w:name="OLE_LINK3"/>
                              <w:bookmarkStart w:id="147" w:name="OLE_LINK2"/>
                              <w:r>
                                <w:rPr>
                                  <w:rFonts w:hint="eastAsia"/>
                                </w:rPr>
                                <w:t>交安、市政施工</w:t>
                              </w:r>
                              <w:bookmarkEnd w:id="145"/>
                              <w:bookmarkEnd w:id="146"/>
                              <w:bookmarkEnd w:id="147"/>
                            </w:p>
                          </w:txbxContent>
                        </wps:txbx>
                        <wps:bodyPr anchor="t" anchorCtr="0" bIns="45720" compatLnSpc="1" forceAA="0" fromWordArt="0" lIns="91440" numCol="1" rIns="91440" rot="0" rtlCol="0" spcCol="0" spcFirstLastPara="0" tIns="45720" vert="horz" wrap="square">
                          <a:noAutofit/>
                        </wps:bodyPr>
                      </wps:wsp>
                      <wps:wsp>
                        <wps:cNvPr id="1947217243" name="直接箭头连接符 1947217243"/>
                        <wps:cNvCnPr>
                          <a:stCxn id="1807307627" idx="2"/>
                          <a:endCxn id="1479993721" idx="0"/>
                        </wps:cNvCnPr>
                        <wps:spPr>
                          <a:xfrm>
                            <a:off x="1785012" y="842741"/>
                            <a:ext cx="0" cy="237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5551488" name="直接箭头连接符 725551488"/>
                        <wps:cNvCnPr>
                          <a:stCxn id="1479993721" idx="2"/>
                          <a:endCxn id="1437718772" idx="0"/>
                        </wps:cNvCnPr>
                        <wps:spPr>
                          <a:xfrm>
                            <a:off x="1785012" y="1382462"/>
                            <a:ext cx="0" cy="2379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4856426" name="直接箭头连接符 1254856426"/>
                        <wps:cNvCnPr>
                          <a:endCxn id="307733776" idx="0"/>
                        </wps:cNvCnPr>
                        <wps:spPr>
                          <a:xfrm flipH="1">
                            <a:off x="1784675" y="1922818"/>
                            <a:ext cx="127" cy="2373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5919832" name="直接箭头连接符 725919832"/>
                        <wps:cNvCnPr>
                          <a:stCxn id="307733776" idx="2"/>
                          <a:endCxn id="468471794" idx="0"/>
                        </wps:cNvCnPr>
                        <wps:spPr>
                          <a:xfrm>
                            <a:off x="1784675" y="2462540"/>
                            <a:ext cx="0" cy="237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4413045" name="直接箭头连接符 414413045"/>
                        <wps:cNvCnPr>
                          <a:stCxn id="468471794" idx="2"/>
                          <a:endCxn id="679389217" idx="0"/>
                        </wps:cNvCnPr>
                        <wps:spPr>
                          <a:xfrm>
                            <a:off x="1784675" y="3002898"/>
                            <a:ext cx="547" cy="2373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5412697" name="直接箭头连接符 615412697"/>
                        <wps:cNvCnPr>
                          <a:stCxn id="679389217" idx="2"/>
                          <a:endCxn id="1230040533" idx="0"/>
                        </wps:cNvCnPr>
                        <wps:spPr>
                          <a:xfrm flipH="1">
                            <a:off x="1784675" y="3542620"/>
                            <a:ext cx="547" cy="2379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2474421" name="直接箭头连接符 642474421"/>
                        <wps:cNvCnPr>
                          <a:endCxn id="1326998786" idx="0"/>
                        </wps:cNvCnPr>
                        <wps:spPr>
                          <a:xfrm>
                            <a:off x="1784675" y="4082976"/>
                            <a:ext cx="547" cy="2373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9701723" name="直接箭头连接符 1559701723"/>
                        <wps:cNvCnPr>
                          <a:stCxn id="1326998786" idx="2"/>
                          <a:endCxn id="74586370" idx="0"/>
                        </wps:cNvCnPr>
                        <wps:spPr>
                          <a:xfrm flipH="1">
                            <a:off x="1784675" y="4622698"/>
                            <a:ext cx="547" cy="237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5508622" name="文本框 1"/>
                        <wps:cNvSpPr txBox="1"/>
                        <wps:spPr>
                          <a:xfrm>
                            <a:off x="3259025" y="2700655"/>
                            <a:ext cx="1368000" cy="302400"/>
                          </a:xfrm>
                          <a:prstGeom prst="rect">
                            <a:avLst/>
                          </a:prstGeom>
                          <a:solidFill>
                            <a:schemeClr val="lt1"/>
                          </a:solidFill>
                          <a:ln w="6350">
                            <a:solidFill>
                              <a:prstClr val="black"/>
                            </a:solidFill>
                          </a:ln>
                        </wps:spPr>
                        <wps:txbx>
                          <w:txbxContent>
                            <w:p w14:paraId="4CE56F3F">
                              <w:pPr>
                                <w:pStyle w:val="34"/>
                                <w:rPr>
                                  <w14:ligatures w14:val="none"/>
                                </w:rPr>
                              </w:pPr>
                              <w:r>
                                <w:rPr>
                                  <w:rFonts w:hint="eastAsia"/>
                                </w:rPr>
                                <w:t>高速桥防抛排水</w:t>
                              </w:r>
                            </w:p>
                          </w:txbxContent>
                        </wps:txbx>
                        <wps:bodyPr anchor="t" anchorCtr="0" bIns="45720" compatLnSpc="1" forceAA="0" fromWordArt="0" lIns="91440" numCol="1" rIns="91440" rot="0" rtlCol="0" spcCol="0" spcFirstLastPara="0" tIns="45720" vert="horz" wrap="square">
                          <a:noAutofit/>
                        </wps:bodyPr>
                      </wps:wsp>
                      <wps:wsp>
                        <wps:cNvPr id="701170031" name="连接符: 肘形 701170031"/>
                        <wps:cNvCnPr>
                          <a:stCxn id="1925508622" idx="2"/>
                          <a:endCxn id="679389217" idx="3"/>
                        </wps:cNvCnPr>
                        <wps:spPr>
                          <a:xfrm rot="5400000">
                            <a:off x="3011849" y="2460429"/>
                            <a:ext cx="388550" cy="147380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985909094" name="文本框 1"/>
                        <wps:cNvSpPr txBox="1"/>
                        <wps:spPr>
                          <a:xfrm>
                            <a:off x="2760641" y="3076218"/>
                            <a:ext cx="1176871" cy="301461"/>
                          </a:xfrm>
                          <a:prstGeom prst="rect">
                            <a:avLst/>
                          </a:prstGeom>
                          <a:solidFill>
                            <a:schemeClr val="lt1"/>
                          </a:solidFill>
                          <a:ln w="6350">
                            <a:noFill/>
                          </a:ln>
                        </wps:spPr>
                        <wps:txbx>
                          <w:txbxContent>
                            <w:p w14:paraId="6BA4D102">
                              <w:pPr>
                                <w:pStyle w:val="34"/>
                                <w:rPr>
                                  <w14:ligatures w14:val="none"/>
                                </w:rPr>
                              </w:pPr>
                              <w:r>
                                <w:rPr>
                                  <w:rFonts w:hint="eastAsia"/>
                                </w:rPr>
                                <w:t>须于此项前完成</w:t>
                              </w:r>
                            </w:p>
                          </w:txbxContent>
                        </wps:txbx>
                        <wps:bodyPr anchor="t" anchorCtr="0" bIns="45720" compatLnSpc="1" forceAA="0" fromWordArt="0" lIns="91440" numCol="1" rIns="91440" rot="0" rtlCol="0" spcCol="0" spcFirstLastPara="0" tIns="45720" vert="horz" wrap="square">
                          <a:noAutofit/>
                        </wps:bodyPr>
                      </wps:wsp>
                      <wps:wsp>
                        <wps:cNvPr id="623651144" name="文本框 1"/>
                        <wps:cNvSpPr txBox="1"/>
                        <wps:spPr>
                          <a:xfrm>
                            <a:off x="3259390" y="3780592"/>
                            <a:ext cx="1368000" cy="302400"/>
                          </a:xfrm>
                          <a:prstGeom prst="rect">
                            <a:avLst/>
                          </a:prstGeom>
                          <a:solidFill>
                            <a:schemeClr val="lt1"/>
                          </a:solidFill>
                          <a:ln w="6350">
                            <a:solidFill>
                              <a:prstClr val="black"/>
                            </a:solidFill>
                          </a:ln>
                        </wps:spPr>
                        <wps:txbx>
                          <w:txbxContent>
                            <w:p w14:paraId="4C7176C3">
                              <w:pPr>
                                <w:pStyle w:val="34"/>
                                <w:rPr>
                                  <w14:ligatures w14:val="none"/>
                                </w:rPr>
                              </w:pPr>
                              <w:r>
                                <w:rPr>
                                  <w:rFonts w:hint="eastAsia"/>
                                </w:rPr>
                                <w:t>梁片预制</w:t>
                              </w:r>
                            </w:p>
                          </w:txbxContent>
                        </wps:txbx>
                        <wps:bodyPr anchor="t" anchorCtr="0" bIns="45720" compatLnSpc="1" forceAA="0" fromWordArt="0" lIns="91440" numCol="1" rIns="91440" rot="0" rtlCol="0" spcCol="0" spcFirstLastPara="0" tIns="45720" vert="horz" wrap="square">
                          <a:noAutofit/>
                        </wps:bodyPr>
                      </wps:wsp>
                      <wps:wsp>
                        <wps:cNvPr id="89138039" name="直接箭头连接符 89138039"/>
                        <wps:cNvCnPr>
                          <a:stCxn id="623651144" idx="1"/>
                          <a:endCxn id="1230040533" idx="3"/>
                        </wps:cNvCnPr>
                        <wps:spPr>
                          <a:xfrm flipH="1">
                            <a:off x="2468675" y="3931792"/>
                            <a:ext cx="790715" cy="1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2894134" name="文本框 1"/>
                        <wps:cNvSpPr txBox="1"/>
                        <wps:spPr>
                          <a:xfrm>
                            <a:off x="3259105" y="1080274"/>
                            <a:ext cx="1368000" cy="302260"/>
                          </a:xfrm>
                          <a:prstGeom prst="rect">
                            <a:avLst/>
                          </a:prstGeom>
                          <a:solidFill>
                            <a:schemeClr val="lt1"/>
                          </a:solidFill>
                          <a:ln w="6350">
                            <a:solidFill>
                              <a:prstClr val="black"/>
                            </a:solidFill>
                          </a:ln>
                        </wps:spPr>
                        <wps:txbx>
                          <w:txbxContent>
                            <w:p w14:paraId="5A9CD880">
                              <w:pPr>
                                <w:pStyle w:val="34"/>
                                <w:rPr>
                                  <w14:ligatures w14:val="none"/>
                                </w:rPr>
                              </w:pPr>
                              <w:r>
                                <w:rPr>
                                  <w:rFonts w:hint="eastAsia"/>
                                </w:rPr>
                                <w:t>高速审批</w:t>
                              </w:r>
                            </w:p>
                          </w:txbxContent>
                        </wps:txbx>
                        <wps:bodyPr anchor="t" anchorCtr="0" bIns="45720" compatLnSpc="1" forceAA="0" fromWordArt="0" lIns="91440" numCol="1" rIns="91440" rot="0" rtlCol="0" spcCol="0" spcFirstLastPara="0" tIns="45720" vert="horz" wrap="square">
                          <a:noAutofit/>
                        </wps:bodyPr>
                      </wps:wsp>
                      <wps:wsp>
                        <wps:cNvPr id="1234177077" name="直接箭头连接符 1234177077"/>
                        <wps:cNvCnPr/>
                        <wps:spPr>
                          <a:xfrm flipH="1">
                            <a:off x="2467895" y="1231404"/>
                            <a:ext cx="7899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coordsize="4885055,5199325" editas="canvas" id="画布 1" o:gfxdata="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JNwig3VAAAABQEAAA8AAAAAAAAAAQAgAAAAIgAAAGRycy9kb3ducmV2LnhtbFBLAQIUABQAAAAI&#10;AIdO4kC/buZzLAgAAHBGAAAOAAAAAAAAAAEAIAAAACQBAABkcnMvZTJvRG9jLnhtbFBLBQYAAAAA&#10;BgAGAFkBAADCCwAAAAA=&#10;" o:spid="_x0000_s1026" o:spt="203" style="height:409.35pt;width:384.65pt;">
                <o:lock aspectratio="f" v:ext="edit"/>
                <v:shape coordsize="21600,21600" fillcolor="#FFFFFF" filled="t" id="画布 1" o:gfxdata="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CTcIoN1QAAAAUBAAAPAAAAAAAA&#10;AAEAIAAAACIAAABkcnMvZG93bnJldi54bWxQSwECFAAUAAAACACHTuJASXH6/N8HAADqRQAADgAA&#10;AAAAAAABACAAAAAkAQAAZHJzL2Uyb0RvYy54bWxQSwUGAAAAAAYABgBZAQAAdQsAAAAA&#10;" o:spid="_x0000_s1026" stroked="f" style="position:absolute;left:0;top:0;height:5199325;width:4885055;">
                  <v:fill focussize="0,0" on="t"/>
                  <v:stroke on="f"/>
                  <v:imagedata o:title=""/>
                  <o:lock aspectratio="t" v:ext="edit"/>
                </v:shape>
                <v:shape coordsize="21600,21600" fillcolor="#FFFFFF [3201]" filled="t" id="_x0000_s1026" o:gfxdata="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8ACtYAAAAFAQAADwAAAAAAAAABACAAAAAiAAAAZHJzL2Rvd25yZXYueG1sUEsBAhQA&#10;FAAAAAgAh07iQAuqxhRmAgAA0QQAAA4AAAAAAAAAAQAgAAAAJQEAAGRycy9lMm9Eb2MueG1sUEsF&#10;BgAAAAAGAAYAWQEAAP0FAAAAAA==&#10;" o:spid="_x0000_s1026" o:spt="202" stroked="t" style="position:absolute;left:1100802;top:0;height:302312;width:1368000;v-text-anchor:middle;" type="#_x0000_t202">
                  <v:fill focussize="0,0" on="t"/>
                  <v:stroke color="#000000" joinstyle="round" weight="0.5pt"/>
                  <v:imagedata o:title=""/>
                  <o:lock aspectratio="f" v:ext="edit"/>
                  <v:textbox>
                    <w:txbxContent>
                      <w:p w14:paraId="5050D325">
                        <w:pPr>
                          <w:pStyle w:val="34"/>
                        </w:pPr>
                        <w:r>
                          <w:rPr>
                            <w:rFonts w:hint="eastAsia"/>
                          </w:rPr>
                          <w:t>清表、清理河道</w:t>
                        </w:r>
                      </w:p>
                    </w:txbxContent>
                  </v:textbox>
                </v:shape>
                <v:shape coordsize="21600,21600" filled="f" id="_x0000_s1026" o:gfxdata="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fQfHTUAAAABQEAAA8AAAAAAAAAAQAgAAAAIgAAAGRycy9k&#10;b3ducmV2LnhtbFBLAQIUABQAAAAIAIdO4kDAj040PwIAAE8EAAAOAAAAAAAAAAEAIAAAACMBAABk&#10;cnMvZTJvRG9jLnhtbFBLBQYAAAAABgAGAFkBAADUBQAAAAA=&#10;" o:spid="_x0000_s1026" o:spt="32" stroked="t" style="position:absolute;left:1784802;top:302312;height:238073;width:210;" type="#_x0000_t32">
                  <v:fill focussize="0,0" on="f"/>
                  <v:stroke color="#000000 [3200]" endarrow="block" joinstyle="miter" miterlimit="8" weight="0.5pt"/>
                  <v:imagedata o:title=""/>
                  <o:lock aspectratio="f" v:ext="edit"/>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Rcx7UAAAABQEA&#10;AA8AAAAAAAAAAQAgAAAAIgAAAGRycy9kb3ducmV2LnhtbFBLAQIUABQAAAAIAIdO4kCAhbWiVwIA&#10;AJsEAAAOAAAAAAAAAAEAIAAAACMBAABkcnMvZTJvRG9jLnhtbFBLBQYAAAAABgAGAFkBAADsBQAA&#10;AAA=&#10;" o:spid="_x0000_s1026" o:spt="202" stroked="t" style="position:absolute;left:1101012;top:540385;height:302400;width:1368000;" type="#_x0000_t202">
                  <v:fill focussize="0,0" on="t"/>
                  <v:stroke color="#000000" joinstyle="round" weight="0.5pt"/>
                  <v:imagedata o:title=""/>
                  <o:lock aspectratio="f" v:ext="edit"/>
                  <v:textbox>
                    <w:txbxContent>
                      <w:p w14:paraId="6693EB33">
                        <w:pPr>
                          <w:pStyle w:val="34"/>
                        </w:pPr>
                        <w:r>
                          <w:rPr>
                            <w:rFonts w:hint="eastAsia"/>
                          </w:rPr>
                          <w:t>便道施工、改河道</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Rcx7UAAAABQEA&#10;AA8AAAAAAAAAAQAgAAAAIgAAAGRycy9kb3ducmV2LnhtbFBLAQIUABQAAAAIAIdO4kCGnbYfVwIA&#10;AJwEAAAOAAAAAAAAAAEAIAAAACMBAABkcnMvZTJvRG9jLnhtbFBLBQYAAAAABgAGAFkBAADsBQAA&#10;AAA=&#10;" o:spid="_x0000_s1026" o:spt="202" stroked="t" style="position:absolute;left:1101012;top:1080134;height:302400;width:1368000;" type="#_x0000_t202">
                  <v:fill focussize="0,0" on="t"/>
                  <v:stroke color="#000000" joinstyle="round" weight="0.5pt"/>
                  <v:imagedata o:title=""/>
                  <o:lock aspectratio="f" v:ext="edit"/>
                  <v:textbox>
                    <w:txbxContent>
                      <w:p w14:paraId="2FFAD2C7">
                        <w:pPr>
                          <w:pStyle w:val="34"/>
                          <w:rPr>
                            <w14:ligatures w14:val="none"/>
                          </w:rPr>
                        </w:pPr>
                        <w:r>
                          <w:rPr>
                            <w:rFonts w:hint="eastAsia"/>
                          </w:rPr>
                          <w:t>桥墩防护、监测</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Rcx7UAAAABQEA&#10;AA8AAAAAAAAAAQAgAAAAIgAAAGRycy9kb3ducmV2LnhtbFBLAQIUABQAAAAIAIdO4kBIuuGbVwIA&#10;AJwEAAAOAAAAAAAAAAEAIAAAACMBAABkcnMvZTJvRG9jLnhtbFBLBQYAAAAABgAGAFkBAADsBQAA&#10;AAA=&#10;" o:spid="_x0000_s1026" o:spt="202" stroked="t" style="position:absolute;left:1101012;top:1620519;height:302400;width:1368000;" type="#_x0000_t202">
                  <v:fill focussize="0,0" on="t"/>
                  <v:stroke color="#000000" joinstyle="round" weight="0.5pt"/>
                  <v:imagedata o:title=""/>
                  <o:lock aspectratio="f" v:ext="edit"/>
                  <v:textbox>
                    <w:txbxContent>
                      <w:p w14:paraId="571541D0">
                        <w:pPr>
                          <w:pStyle w:val="34"/>
                          <w:rPr>
                            <w14:ligatures w14:val="none"/>
                          </w:rPr>
                        </w:pPr>
                        <w:r>
                          <w:rPr>
                            <w:rFonts w:hint="eastAsia"/>
                          </w:rPr>
                          <w:t>级配碎石垫层施工</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oUXMe1AAAAAUB&#10;AAAPAAAAAAAAAAEAIAAAACIAAABkcnMvZG93bnJldi54bWxQSwECFAAUAAAACACHTuJAd8MjoFgC&#10;AACbBAAADgAAAAAAAAABACAAAAAjAQAAZHJzL2Uyb0RvYy54bWxQSwUGAAAAAAYABgBZAQAA7QUA&#10;AAAA&#10;" o:spid="_x0000_s1026" o:spt="202" stroked="t" style="position:absolute;left:1100675;top:2160269;height:302400;width:1368000;" type="#_x0000_t202">
                  <v:fill focussize="0,0" on="t"/>
                  <v:stroke color="#000000" joinstyle="round" weight="0.5pt"/>
                  <v:imagedata o:title=""/>
                  <o:lock aspectratio="f" v:ext="edit"/>
                  <v:textbox>
                    <w:txbxContent>
                      <w:p w14:paraId="622ECF2C">
                        <w:pPr>
                          <w:pStyle w:val="34"/>
                          <w:rPr>
                            <w14:ligatures w14:val="none"/>
                          </w:rPr>
                        </w:pPr>
                        <w:r>
                          <w:rPr>
                            <w:rFonts w:hint="eastAsia"/>
                          </w:rPr>
                          <w:t>桩基施工</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Rcx7UAAAABQEA&#10;AA8AAAAAAAAAAQAgAAAAIgAAAGRycy9kb3ducmV2LnhtbFBLAQIUABQAAAAIAIdO4kBVX6zfVwIA&#10;AJsEAAAOAAAAAAAAAAEAIAAAACMBAABkcnMvZTJvRG9jLnhtbFBLBQYAAAAABgAGAFkBAADsBQAA&#10;AAA=&#10;" o:spid="_x0000_s1026" o:spt="202" stroked="t" style="position:absolute;left:1100675;top:2700655;height:302400;width:1368000;" type="#_x0000_t202">
                  <v:fill focussize="0,0" on="t"/>
                  <v:stroke color="#000000" joinstyle="round" weight="0.5pt"/>
                  <v:imagedata o:title=""/>
                  <o:lock aspectratio="f" v:ext="edit"/>
                  <v:textbox>
                    <w:txbxContent>
                      <w:p w14:paraId="2BFDCC62">
                        <w:pPr>
                          <w:pStyle w:val="34"/>
                          <w:rPr>
                            <w14:ligatures w14:val="none"/>
                          </w:rPr>
                        </w:pPr>
                        <w:r>
                          <w:rPr>
                            <w:rFonts w:hint="eastAsia"/>
                          </w:rPr>
                          <w:t>桥梁下部结构施工</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FFzHtQAAAAF&#10;AQAADwAAAAAAAAABACAAAAAiAAAAZHJzL2Rvd25yZXYueG1sUEsBAhQAFAAAAAgAh07iQKFC9adZ&#10;AgAAmwQAAA4AAAAAAAAAAQAgAAAAIwEAAGRycy9lMm9Eb2MueG1sUEsFBgAAAAAGAAYAWQEAAO4F&#10;AAAAAA==&#10;" o:spid="_x0000_s1026" o:spt="202" stroked="t" style="position:absolute;left:1101222;top:3240405;height:302400;width:1368000;" type="#_x0000_t202">
                  <v:fill focussize="0,0" on="t"/>
                  <v:stroke color="#000000" joinstyle="round" weight="0.5pt"/>
                  <v:imagedata o:title=""/>
                  <o:lock aspectratio="f" v:ext="edit"/>
                  <v:textbox>
                    <w:txbxContent>
                      <w:p w14:paraId="4E44A08F">
                        <w:pPr>
                          <w:pStyle w:val="34"/>
                          <w:rPr>
                            <w14:ligatures w14:val="none"/>
                          </w:rPr>
                        </w:pPr>
                        <w:r>
                          <w:rPr>
                            <w:rFonts w:hint="eastAsia"/>
                          </w:rPr>
                          <w:t>泡沫砼施工</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Rcx7UAAAABQEA&#10;AA8AAAAAAAAAAQAgAAAAIgAAAGRycy9kb3ducmV2LnhtbFBLAQIUABQAAAAIAIdO4kDOxPCbVwIA&#10;AJwEAAAOAAAAAAAAAAEAIAAAACMBAABkcnMvZTJvRG9jLnhtbFBLBQYAAAAABgAGAFkBAADsBQAA&#10;AAA=&#10;" o:spid="_x0000_s1026" o:spt="202" stroked="t" style="position:absolute;left:1100675;top:3780790;height:302400;width:1368000;" type="#_x0000_t202">
                  <v:fill focussize="0,0" on="t"/>
                  <v:stroke color="#000000" joinstyle="round" weight="0.5pt"/>
                  <v:imagedata o:title=""/>
                  <o:lock aspectratio="f" v:ext="edit"/>
                  <v:textbox>
                    <w:txbxContent>
                      <w:p w14:paraId="39BCDA4C">
                        <w:pPr>
                          <w:pStyle w:val="34"/>
                          <w:rPr>
                            <w14:ligatures w14:val="none"/>
                          </w:rPr>
                        </w:pPr>
                        <w:r>
                          <w:rPr>
                            <w:rFonts w:hint="eastAsia"/>
                          </w:rPr>
                          <w:t>桥梁上部结构施工</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FFzHtQAAAAF&#10;AQAADwAAAAAAAAABACAAAAAiAAAAZHJzL2Rvd25yZXYueG1sUEsBAhQAFAAAAAgAh07iQHjwzbFZ&#10;AgAAnAQAAA4AAAAAAAAAAQAgAAAAIwEAAGRycy9lMm9Eb2MueG1sUEsFBgAAAAAGAAYAWQEAAO4F&#10;AAAAAA==&#10;" o:spid="_x0000_s1026" o:spt="202" stroked="t" style="position:absolute;left:1101222;top:4320540;height:302400;width:1368000;" type="#_x0000_t202">
                  <v:fill focussize="0,0" on="t"/>
                  <v:stroke color="#000000" joinstyle="round" weight="0.5pt"/>
                  <v:imagedata o:title=""/>
                  <o:lock aspectratio="f" v:ext="edit"/>
                  <v:textbox>
                    <w:txbxContent>
                      <w:p w14:paraId="794AD653">
                        <w:pPr>
                          <w:pStyle w:val="34"/>
                          <w:rPr>
                            <w14:ligatures w14:val="none"/>
                          </w:rPr>
                        </w:pPr>
                        <w:r>
                          <w:rPr>
                            <w:rFonts w:hint="eastAsia"/>
                          </w:rPr>
                          <w:t>桥面及附属施工</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FFzHtQAAAAFAQAA&#10;DwAAAAAAAAABACAAAAAiAAAAZHJzL2Rvd25yZXYueG1sUEsBAhQAFAAAAAgAh07iQMGd3tNWAgAA&#10;mgQAAA4AAAAAAAAAAQAgAAAAIwEAAGRycy9lMm9Eb2MueG1sUEsFBgAAAAAGAAYAWQEAAOsFAAAA&#10;AA==&#10;" o:spid="_x0000_s1026" o:spt="202" stroked="t" style="position:absolute;left:1100675;top:4860925;height:302400;width:1368000;" type="#_x0000_t202">
                  <v:fill focussize="0,0" on="t"/>
                  <v:stroke color="#000000" joinstyle="round" weight="0.5pt"/>
                  <v:imagedata o:title=""/>
                  <o:lock aspectratio="f" v:ext="edit"/>
                  <v:textbox>
                    <w:txbxContent>
                      <w:p w14:paraId="5B481FCA">
                        <w:pPr>
                          <w:pStyle w:val="34"/>
                          <w:rPr>
                            <w14:ligatures w14:val="none"/>
                          </w:rPr>
                        </w:pPr>
                        <w:bookmarkStart w:id="145" w:name="_Hlk184396126"/>
                        <w:bookmarkStart w:id="146" w:name="OLE_LINK3"/>
                        <w:bookmarkStart w:id="147" w:name="OLE_LINK2"/>
                        <w:r>
                          <w:rPr>
                            <w:rFonts w:hint="eastAsia"/>
                          </w:rPr>
                          <w:t>交安、市政施工</w:t>
                        </w:r>
                        <w:bookmarkEnd w:id="145"/>
                        <w:bookmarkEnd w:id="146"/>
                        <w:bookmarkEnd w:id="147"/>
                      </w:p>
                    </w:txbxContent>
                  </v:textbox>
                </v:shape>
                <v:shape coordsize="21600,21600" filled="f" id="_x0000_s1026" o:gfxdata="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fQfHTUAAAABQEAAA8AAAAAAAAAAQAgAAAAIgAAAGRycy9k&#10;b3ducmV2LnhtbFBLAQIUABQAAAAIAIdO4kDFgSNEPwIAAE8EAAAOAAAAAAAAAAEAIAAAACMBAABk&#10;cnMvZTJvRG9jLnhtbFBLBQYAAAAABgAGAFkBAADUBQAAAAA=&#10;" o:spid="_x0000_s1026" o:spt="32" stroked="t" style="position:absolute;left:1785012;top:842741;height:237337;width:0;"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fQfHTUAAAABQEAAA8AAAAAAAAAAQAgAAAAIgAAAGRycy9k&#10;b3ducmV2LnhtbFBLAQIUABQAAAAIAIdO4kBKj//KPwIAAE4EAAAOAAAAAAAAAAEAIAAAACMBAABk&#10;cnMvZTJvRG9jLnhtbFBLBQYAAAAABgAGAFkBAADUBQAAAAA=&#10;" o:spid="_x0000_s1026" o:spt="32" stroked="t" style="position:absolute;left:1785012;top:1382462;height:237972;width:0;"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E0pW/XAAAABQEAAA8AAAAAAAAAAQAgAAAAIgAAAGRycy9kb3du&#10;cmV2LnhtbFBLAQIUABQAAAAIAIdO4kBUoiCnOQIAADkEAAAOAAAAAAAAAAEAIAAAACYBAABkcnMv&#10;ZTJvRG9jLnhtbFBLBQYAAAAABgAGAFkBAADRBQAAAAA=&#10;" o:spid="_x0000_s1026" o:spt="32" stroked="t" style="position:absolute;left:1784675;top:1922818;flip:x;height:237338;width:127;"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30Hx01AAAAAUBAAAPAAAAAAAAAAEAIAAAACIAAABkcnMv&#10;ZG93bnJldi54bWxQSwECFAAUAAAACACHTuJAmwXULkACAABMBAAADgAAAAAAAAABACAAAAAjAQAA&#10;ZHJzL2Uyb0RvYy54bWxQSwUGAAAAAAYABgBZAQAA1QUAAAAA&#10;" o:spid="_x0000_s1026" o:spt="32" stroked="t" style="position:absolute;left:1784675;top:2462540;height:237974;width:0;"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fQfHTUAAAABQEAAA8AAAAAAAAAAQAgAAAAIgAA&#10;AGRycy9kb3ducmV2LnhtbFBLAQIUABQAAAAIAIdO4kAw0d3iRQIAAE4EAAAOAAAAAAAAAAEAIAAA&#10;ACMBAABkcnMvZTJvRG9jLnhtbFBLBQYAAAAABgAGAFkBAADaBQAAAAA=&#10;" o:spid="_x0000_s1026" o:spt="32" stroked="t" style="position:absolute;left:1784675;top:3002898;height:237338;width:547;"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TSlb9cAAAAFAQAADwAAAAAA&#10;AAABACAAAAAiAAAAZHJzL2Rvd25yZXYueG1sUEsBAhQAFAAAAAgAh07iQDEBh6FNAgAAWQQAAA4A&#10;AAAAAAAAAQAgAAAAJgEAAGRycy9lMm9Eb2MueG1sUEsFBgAAAAAGAAYAWQEAAOUFAAAAAA==&#10;" o:spid="_x0000_s1026" o:spt="32" stroked="t" style="position:absolute;left:1784675;top:3542620;flip:x;height:237972;width:547;"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0Hx01AAAAAUBAAAPAAAAAAAAAAEAIAAAACIAAABkcnMvZG93bnJldi54bWxQ&#10;SwECFAAUAAAACACHTuJAhjLKRjQCAAAuBAAADgAAAAAAAAABACAAAAAjAQAAZHJzL2Uyb0RvYy54&#10;bWxQSwUGAAAAAAYABgBZAQAAyQUAAAAA&#10;" o:spid="_x0000_s1026" o:spt="32" stroked="t" style="position:absolute;left:1784675;top:4082976;height:237338;width:547;" type="#_x0000_t32">
                  <v:fill focussize="0,0" on="f"/>
                  <v:stroke color="#000000 [3200]" endarrow="block" joinstyle="miter" miterlimit="8" weight="0.5pt"/>
                  <v:imagedata o:title=""/>
                  <o:lock aspectratio="f" v:ext="edit"/>
                </v:shape>
                <v:shape coordsize="21600,21600" filled="f" id="_x0000_s1026" o:gfxdata="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E0pW/XAAAABQEAAA8AAAAAAAAA&#10;AQAgAAAAIgAAAGRycy9kb3ducmV2LnhtbFBLAQIUABQAAAAIAIdO4kCV0sq+SwIAAFoEAAAOAAAA&#10;AAAAAAEAIAAAACYBAABkcnMvZTJvRG9jLnhtbFBLBQYAAAAABgAGAFkBAADjBQAAAAA=&#10;" o:spid="_x0000_s1026" o:spt="32" stroked="t" style="position:absolute;left:1784675;top:4622698;flip:x;height:237973;width:547;" type="#_x0000_t32">
                  <v:fill focussize="0,0" on="f"/>
                  <v:stroke color="#000000 [3200]" endarrow="block" joinstyle="miter" miterlimit="8" weight="0.5pt"/>
                  <v:imagedata o:title=""/>
                  <o:lock aspectratio="f" v:ext="edit"/>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hRcx7UAAAA&#10;BQEAAA8AAAAAAAAAAQAgAAAAIgAAAGRycy9kb3ducmV2LnhtbFBLAQIUABQAAAAIAIdO4kA+ntMq&#10;WgIAAJwEAAAOAAAAAAAAAAEAIAAAACMBAABkcnMvZTJvRG9jLnhtbFBLBQYAAAAABgAGAFkBAADv&#10;BQAAAAA=&#10;" o:spid="_x0000_s1026" o:spt="202" stroked="t" style="position:absolute;left:3259025;top:2700655;height:302400;width:1368000;" type="#_x0000_t202">
                  <v:fill focussize="0,0" on="t"/>
                  <v:stroke color="#000000" joinstyle="round" weight="0.5pt"/>
                  <v:imagedata o:title=""/>
                  <o:lock aspectratio="f" v:ext="edit"/>
                  <v:textbox>
                    <w:txbxContent>
                      <w:p w14:paraId="4CE56F3F">
                        <w:pPr>
                          <w:pStyle w:val="34"/>
                          <w:rPr>
                            <w14:ligatures w14:val="none"/>
                          </w:rPr>
                        </w:pPr>
                        <w:r>
                          <w:rPr>
                            <w:rFonts w:hint="eastAsia"/>
                          </w:rPr>
                          <w:t>高速桥防抛排水</w:t>
                        </w:r>
                      </w:p>
                    </w:txbxContent>
                  </v:textbox>
                </v:shape>
                <v:shape coordsize="21600,21600" filled="f" id="连接符: 肘形 701170031" o:gfxdata="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HGBotYAAAAFAQAADwAAAAAAAAABACAA&#10;AAAiAAAAZHJzL2Rvd25yZXYueG1sUEsBAhQAFAAAAAgAh07iQA6Y3epIAgAAWQQAAA4AAAAAAAAA&#10;AQAgAAAAJQEAAGRycy9lMm9Eb2MueG1sUEsFBgAAAAAGAAYAWQEAAN8FAAAAAA==&#10;" o:spid="_x0000_s1026" o:spt="33" stroked="t" style="position:absolute;left:3011849;top:2460429;height:1473803;width:388550;rotation:5898240f;" type="#_x0000_t33">
                  <v:fill focussize="0,0" on="f"/>
                  <v:stroke color="#000000 [3200]" endarrow="block" joinstyle="miter" miterlimit="8" weight="0.5pt"/>
                  <v:imagedata o:title=""/>
                  <o:lock aspectratio="f" v:ext="edit"/>
                </v:shape>
                <v:shape coordsize="21600,21600" fillcolor="#FFFFFF [3201]" filled="t" id="文本框 1" o:gfxdata="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nE5zdMAAAAFAQAADwAAAAAA&#10;AAABACAAAAAiAAAAZHJzL2Rvd25yZXYueG1sUEsBAhQAFAAAAAgAh07iQJO0UZdRAgAAcwQAAA4A&#10;AAAAAAAAAQAgAAAAIgEAAGRycy9lMm9Eb2MueG1sUEsFBgAAAAAGAAYAWQEAAOUFAAAAAA==&#10;" o:spid="_x0000_s1026" o:spt="202" stroked="f" style="position:absolute;left:2760641;top:3076218;height:301461;width:1176871;" type="#_x0000_t202">
                  <v:fill focussize="0,0" on="t"/>
                  <v:stroke on="f" weight="0.5pt"/>
                  <v:imagedata o:title=""/>
                  <o:lock aspectratio="f" v:ext="edit"/>
                  <v:textbox>
                    <w:txbxContent>
                      <w:p w14:paraId="6BA4D102">
                        <w:pPr>
                          <w:pStyle w:val="34"/>
                          <w:rPr>
                            <w14:ligatures w14:val="none"/>
                          </w:rPr>
                        </w:pPr>
                        <w:r>
                          <w:rPr>
                            <w:rFonts w:hint="eastAsia"/>
                          </w:rPr>
                          <w:t>须于此项前完成</w:t>
                        </w:r>
                      </w:p>
                    </w:txbxContent>
                  </v:textbox>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FFzHtQAAAAFAQAA&#10;DwAAAAAAAAABACAAAAAiAAAAZHJzL2Rvd25yZXYueG1sUEsBAhQAFAAAAAgAh07iQAHOKWpWAgAA&#10;mwQAAA4AAAAAAAAAAQAgAAAAIwEAAGRycy9lMm9Eb2MueG1sUEsFBgAAAAAGAAYAWQEAAOsFAAAA&#10;AA==&#10;" o:spid="_x0000_s1026" o:spt="202" stroked="t" style="position:absolute;left:3259390;top:3780592;height:302400;width:1368000;" type="#_x0000_t202">
                  <v:fill focussize="0,0" on="t"/>
                  <v:stroke color="#000000" joinstyle="round" weight="0.5pt"/>
                  <v:imagedata o:title=""/>
                  <o:lock aspectratio="f" v:ext="edit"/>
                  <v:textbox>
                    <w:txbxContent>
                      <w:p w14:paraId="4C7176C3">
                        <w:pPr>
                          <w:pStyle w:val="34"/>
                          <w:rPr>
                            <w14:ligatures w14:val="none"/>
                          </w:rPr>
                        </w:pPr>
                        <w:r>
                          <w:rPr>
                            <w:rFonts w:hint="eastAsia"/>
                          </w:rPr>
                          <w:t>梁片预制</w:t>
                        </w:r>
                      </w:p>
                    </w:txbxContent>
                  </v:textbox>
                </v:shape>
                <v:shape coordsize="21600,21600" filled="f" id="_x0000_s1026" o:gfxdata="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NKVv1wAAAAUBAAAPAAAAAAAAAAEA&#10;IAAAACIAAABkcnMvZG93bnJldi54bWxQSwECFAAUAAAACACHTuJA04pECEkCAABXBAAADgAAAAAA&#10;AAABACAAAAAmAQAAZHJzL2Uyb0RvYy54bWxQSwUGAAAAAAYABgBZAQAA4QUAAAAA&#10;" o:spid="_x0000_s1026" o:spt="32" stroked="t" style="position:absolute;left:2468675;top:3931792;flip:x;height:198;width:790715;" type="#_x0000_t32">
                  <v:fill focussize="0,0" on="f"/>
                  <v:stroke color="#000000 [3200]" endarrow="block" joinstyle="miter" miterlimit="8" weight="0.5pt"/>
                  <v:imagedata o:title=""/>
                  <o:lock aspectratio="f" v:ext="edit"/>
                </v:shape>
                <v:shape coordsize="21600,21600" fillcolor="#FFFFFF [3201]" filled="t" id="文本框 1" o:gfxdata="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hRcx7U&#10;AAAABQEAAA8AAAAAAAAAAQAgAAAAIgAAAGRycy9kb3ducmV2LnhtbFBLAQIUABQAAAAIAIdO4kD+&#10;I11RXQIAAJwEAAAOAAAAAAAAAAEAIAAAACMBAABkcnMvZTJvRG9jLnhtbFBLBQYAAAAABgAGAFkB&#10;AADyBQAAAAA=&#10;" o:spid="_x0000_s1026" o:spt="202" stroked="t" style="position:absolute;left:3259105;top:1080274;height:302260;width:1368000;" type="#_x0000_t202">
                  <v:fill focussize="0,0" on="t"/>
                  <v:stroke color="#000000" joinstyle="round" weight="0.5pt"/>
                  <v:imagedata o:title=""/>
                  <o:lock aspectratio="f" v:ext="edit"/>
                  <v:textbox>
                    <w:txbxContent>
                      <w:p w14:paraId="5A9CD880">
                        <w:pPr>
                          <w:pStyle w:val="34"/>
                          <w:rPr>
                            <w14:ligatures w14:val="none"/>
                          </w:rPr>
                        </w:pPr>
                        <w:r>
                          <w:rPr>
                            <w:rFonts w:hint="eastAsia"/>
                          </w:rPr>
                          <w:t>高速审批</w:t>
                        </w:r>
                      </w:p>
                    </w:txbxContent>
                  </v:textbox>
                </v:shape>
                <v:shape coordsize="21600,21600" filled="f" id="_x0000_s1026" o:gfxdata="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NKVv&#10;1wAAAAUBAAAPAAAAAAAAAAEAIAAAACIAAABkcnMvZG93bnJldi54bWxQSwECFAAUAAAACACHTuJA&#10;08RRkCICAAAIBAAADgAAAAAAAAABACAAAAAmAQAAZHJzL2Uyb0RvYy54bWxQSwUGAAAAAAYABgBZ&#10;AQAAugUAAAAA&#10;" o:spid="_x0000_s1026" o:spt="32" stroked="t" style="position:absolute;left:2467895;top:1231404;flip:x;height:0;width:789940;" type="#_x0000_t32">
                  <v:fill focussize="0,0" on="f"/>
                  <v:stroke color="#000000 [3200]" endarrow="block" joinstyle="miter" miterlimit="8" weight="0.5pt"/>
                  <v:imagedata o:title=""/>
                  <o:lock aspectratio="f" v:ext="edit"/>
                </v:shape>
                <w10:wrap type="none"/>
                <w10:anchorlock/>
              </v:group>
            </w:pict>
          </mc:Fallback>
        </mc:AlternateContent>
      </w:r>
    </w:p>
    <w:p w14:paraId="0D9C0B52">
      <w:pPr>
        <w:pStyle w:val="34"/>
      </w:pPr>
      <w:r>
        <w:rPr>
          <w:rFonts w:hint="eastAsia"/>
        </w:rPr>
        <w:t>图3.2-1 总体施工流程图</w:t>
      </w:r>
    </w:p>
    <w:p w14:paraId="5EC491E4">
      <w:pPr>
        <w:pStyle w:val="3"/>
        <w:ind w:left="480"/>
      </w:pPr>
      <w:bookmarkStart w:id="28" w:name="_Toc187956720"/>
      <w:r>
        <w:t>施工方法</w:t>
      </w:r>
      <w:bookmarkEnd w:id="28"/>
    </w:p>
    <w:p w14:paraId="361DBFFB">
      <w:pPr>
        <w:pStyle w:val="4"/>
      </w:pPr>
      <w:bookmarkStart w:id="29" w:name="_Toc187956721"/>
      <w:r>
        <w:rPr>
          <w:rFonts w:hint="eastAsia"/>
        </w:rPr>
        <w:t>清表、清理河道</w:t>
      </w:r>
      <w:bookmarkEnd w:id="29"/>
    </w:p>
    <w:p w14:paraId="25E0B5EA">
      <w:pPr>
        <w:ind w:firstLine="480"/>
      </w:pPr>
      <w:r>
        <w:rPr>
          <w:rFonts w:hint="eastAsia"/>
        </w:rPr>
        <w:t>征地完成后，测设红线，清除地表及河道树木、杂草和根系等杂物，并且清除地表路基非适用土，清理河道内淤泥，勘查施工内需要迁移的坟墓、房屋及杆线等设施。</w:t>
      </w:r>
    </w:p>
    <w:p w14:paraId="6DDDEA49">
      <w:pPr>
        <w:ind w:firstLine="480"/>
      </w:pPr>
      <w:r>
        <w:rPr>
          <w:rFonts w:hint="eastAsia"/>
        </w:rPr>
        <w:t>在路基开挖填筑范围内做好排水工作，首先在设计路基排水沟或需要引水的位置开挖临时排水沟，根据实际地形，将路基内积水引入临时排水沟，临时排水沟内的水引入河道排出。施工过程中做好排水沟的维护工作，保证水流畅通。</w:t>
      </w:r>
    </w:p>
    <w:p w14:paraId="0F3835B0">
      <w:pPr>
        <w:pStyle w:val="4"/>
      </w:pPr>
      <w:bookmarkStart w:id="30" w:name="_Toc187956722"/>
      <w:r>
        <w:rPr>
          <w:rFonts w:hint="eastAsia"/>
        </w:rPr>
        <w:t>便道施工、改河道</w:t>
      </w:r>
      <w:bookmarkEnd w:id="30"/>
    </w:p>
    <w:p w14:paraId="1790206A">
      <w:pPr>
        <w:ind w:firstLine="480"/>
      </w:pPr>
      <w:r>
        <w:rPr>
          <w:rFonts w:hint="eastAsia"/>
        </w:rPr>
        <w:t>充分利用古山村道及三安大桥连接线，于路基施工区域设置填方缓坡做为施工便道。三安大桥侧便道设置于道路右边，主线侧便道设置于道路左边。</w:t>
      </w:r>
    </w:p>
    <w:p w14:paraId="0E3A9568">
      <w:pPr>
        <w:ind w:firstLine="480"/>
      </w:pPr>
      <w:r>
        <w:rPr>
          <w:rFonts w:hint="eastAsia"/>
        </w:rPr>
        <w:t>放样桥梁桩位，深挖河道，并将离桩位较近的河道适当改远，避免后期桩基施工过程中受流水影响。</w:t>
      </w:r>
    </w:p>
    <w:p w14:paraId="3AA2CCF3">
      <w:pPr>
        <w:pStyle w:val="4"/>
      </w:pPr>
      <w:bookmarkStart w:id="31" w:name="_Toc187956723"/>
      <w:r>
        <w:rPr>
          <w:rFonts w:hint="eastAsia"/>
        </w:rPr>
        <w:t>桥墩防护、监测</w:t>
      </w:r>
      <w:bookmarkEnd w:id="31"/>
    </w:p>
    <w:p w14:paraId="48240330">
      <w:pPr>
        <w:ind w:firstLine="480"/>
        <w:rPr>
          <w:rFonts w:eastAsia="宋体" w:hint="default"/>
          <w:lang w:eastAsia="zh-CN" w:val="en-US"/>
        </w:rPr>
      </w:pPr>
      <w:r>
        <w:rPr>
          <w:rFonts w:hint="eastAsia"/>
          <w:lang w:eastAsia="zh-CN" w:val="en-US"/>
        </w:rPr>
        <w:t>施工前，请第三方检测公司对现状</w:t>
      </w:r>
      <w:r>
        <w:rPr>
          <w:rFonts w:hint="eastAsia"/>
        </w:rPr>
        <w:t>高速楼仔大桥(包括桥墩铅垂度、支座病害等情况)进行必要的现状检测。</w:t>
      </w:r>
    </w:p>
    <w:p w14:paraId="7FC93182">
      <w:pPr>
        <w:ind w:firstLine="480"/>
      </w:pPr>
      <w:r>
        <w:rPr>
          <w:rFonts w:hint="eastAsia"/>
        </w:rPr>
        <w:t>施工前，对桥墩进行放样和测量复核，确认无误后，于承台边外2m范围设置施工保护区域，避免破坏桥墩。每道工序施工前，在桥墩上设置2道红白反光贴。</w:t>
      </w:r>
    </w:p>
    <w:p w14:paraId="0ECEBF5F">
      <w:pPr>
        <w:pStyle w:val="34"/>
      </w:pPr>
      <w:r>
        <w:drawing>
          <wp:inline distB="0" distL="0" distR="0" distT="0">
            <wp:extent cx="3112135" cy="3456305"/>
            <wp:effectExtent b="0" l="0" r="0" t="0"/>
            <wp:docPr id="1647852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52378" name="图片 1"/>
                    <pic:cNvPicPr>
                      <a:picLocks noChangeAspect="1"/>
                    </pic:cNvPicPr>
                  </pic:nvPicPr>
                  <pic:blipFill>
                    <a:blip r:embed="rId28"/>
                    <a:srcRect r="832"/>
                    <a:stretch>
                      <a:fillRect/>
                    </a:stretch>
                  </pic:blipFill>
                  <pic:spPr>
                    <a:xfrm>
                      <a:off x="0" y="0"/>
                      <a:ext cx="3142959" cy="3490278"/>
                    </a:xfrm>
                    <a:prstGeom prst="rect">
                      <a:avLst/>
                    </a:prstGeom>
                    <a:ln>
                      <a:noFill/>
                    </a:ln>
                  </pic:spPr>
                </pic:pic>
              </a:graphicData>
            </a:graphic>
          </wp:inline>
        </w:drawing>
      </w:r>
    </w:p>
    <w:p w14:paraId="0329EB24">
      <w:pPr>
        <w:pStyle w:val="34"/>
      </w:pPr>
      <w:r>
        <w:rPr>
          <w:rFonts w:hint="eastAsia"/>
        </w:rPr>
        <w:t>图3.3.3-1 桥墩防护示意图</w:t>
      </w:r>
    </w:p>
    <w:p w14:paraId="3E4EB913">
      <w:pPr>
        <w:ind w:firstLine="480"/>
      </w:pPr>
      <w:r>
        <w:rPr>
          <w:rFonts w:hint="eastAsia"/>
        </w:rPr>
        <w:t>施工前已由业主委托第三方有检测资质的单位对现状高速楼仔大桥(包括桥墩铅垂度、支座病害等情况)进行必要的现状检测。</w:t>
      </w:r>
    </w:p>
    <w:p w14:paraId="79A80E78">
      <w:pPr>
        <w:ind w:firstLine="480"/>
      </w:pPr>
      <w:r>
        <w:rPr>
          <w:rFonts w:hint="eastAsia"/>
        </w:rPr>
        <w:t>施工中由业主委托第三方有监测资质的单位（福建省建研工程检测有限公司）对楼仔大桥进行监测，炭坑溪大桥施工主要影响到的楼仔大桥 6#、7#、8#桥墩及其范围的桥梁上部，监测布点主要考虑该区域范围内的老桥结构。</w:t>
      </w:r>
    </w:p>
    <w:p w14:paraId="449A91C8">
      <w:pPr>
        <w:pStyle w:val="34"/>
      </w:pPr>
      <w:r>
        <w:drawing>
          <wp:inline distB="0" distL="0" distR="0" distT="0">
            <wp:extent cx="3724910" cy="3543300"/>
            <wp:effectExtent b="0" l="0" r="8890" t="0"/>
            <wp:docPr id="1457681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81625" name="图片 1"/>
                    <pic:cNvPicPr>
                      <a:picLocks noChangeAspect="1"/>
                    </pic:cNvPicPr>
                  </pic:nvPicPr>
                  <pic:blipFill>
                    <a:blip r:embed="rId29"/>
                    <a:stretch>
                      <a:fillRect/>
                    </a:stretch>
                  </pic:blipFill>
                  <pic:spPr>
                    <a:xfrm>
                      <a:off x="0" y="0"/>
                      <a:ext cx="3728392" cy="3547076"/>
                    </a:xfrm>
                    <a:prstGeom prst="rect">
                      <a:avLst/>
                    </a:prstGeom>
                  </pic:spPr>
                </pic:pic>
              </a:graphicData>
            </a:graphic>
          </wp:inline>
        </w:drawing>
      </w:r>
      <w:r>
        <w:t xml:space="preserve"> </w:t>
      </w:r>
      <w:r>
        <w:drawing>
          <wp:inline distB="0" distL="0" distR="0" distT="0">
            <wp:extent cx="1353185" cy="436245"/>
            <wp:effectExtent b="1905" l="0" r="0" t="0"/>
            <wp:docPr id="523327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7043" name="图片 1"/>
                    <pic:cNvPicPr>
                      <a:picLocks noChangeAspect="1"/>
                    </pic:cNvPicPr>
                  </pic:nvPicPr>
                  <pic:blipFill>
                    <a:blip r:embed="rId30"/>
                    <a:stretch>
                      <a:fillRect/>
                    </a:stretch>
                  </pic:blipFill>
                  <pic:spPr>
                    <a:xfrm>
                      <a:off x="0" y="0"/>
                      <a:ext cx="1358753" cy="438049"/>
                    </a:xfrm>
                    <a:prstGeom prst="rect">
                      <a:avLst/>
                    </a:prstGeom>
                  </pic:spPr>
                </pic:pic>
              </a:graphicData>
            </a:graphic>
          </wp:inline>
        </w:drawing>
      </w:r>
    </w:p>
    <w:p w14:paraId="78D76F88">
      <w:pPr>
        <w:pStyle w:val="34"/>
      </w:pPr>
      <w:bookmarkStart w:id="32" w:name="OLE_LINK5"/>
      <w:r>
        <w:rPr>
          <w:rFonts w:hint="eastAsia"/>
        </w:rPr>
        <w:t>图3.3.3-2 设计图中高速桥梁</w:t>
      </w:r>
      <w:r>
        <w:t>监测平面布置图</w:t>
      </w:r>
    </w:p>
    <w:bookmarkEnd w:id="32"/>
    <w:p w14:paraId="28A0FF22">
      <w:pPr>
        <w:ind w:firstLine="480"/>
      </w:pPr>
      <w:r>
        <w:rPr>
          <w:rFonts w:hint="eastAsia"/>
        </w:rPr>
        <w:t>设计图中监测主要项目为现状桥面竖直沉降、水平位移，以及现状桥墩竖直沉降以及倾斜度，桥面监测点布置在桥面护栏内侧，布设间距不大于30m，单个桥墩立柱共布置1个监测点，共计8个监测点。监测的主要项目和要求如下表所示。</w:t>
      </w:r>
    </w:p>
    <w:p w14:paraId="60022F72">
      <w:pPr>
        <w:pStyle w:val="34"/>
      </w:pPr>
      <w:r>
        <w:rPr>
          <w:rFonts w:hint="eastAsia"/>
        </w:rPr>
        <w:t>表3.3.3-1 监测参数表</w:t>
      </w:r>
    </w:p>
    <w:tbl>
      <w:tblPr>
        <w:tblStyle w:val="17"/>
        <w:tblW w:type="dxa" w:w="8926"/>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autofit"/>
        <w:tblCellMar>
          <w:top w:type="dxa" w:w="0"/>
          <w:left w:type="dxa" w:w="108"/>
          <w:bottom w:type="dxa" w:w="0"/>
          <w:right w:type="dxa" w:w="108"/>
        </w:tblCellMar>
      </w:tblPr>
      <w:tblGrid>
        <w:gridCol w:w="703"/>
        <w:gridCol w:w="426"/>
        <w:gridCol w:w="1133"/>
        <w:gridCol w:w="1985"/>
        <w:gridCol w:w="851"/>
        <w:gridCol w:w="1134"/>
        <w:gridCol w:w="426"/>
        <w:gridCol w:w="708"/>
        <w:gridCol w:w="1560"/>
      </w:tblGrid>
      <w:tr w14:paraId="720B7D0A">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703"/>
            <w:vAlign w:val="center"/>
          </w:tcPr>
          <w:p w14:paraId="5784EA91">
            <w:pPr>
              <w:pStyle w:val="34"/>
              <w:rPr>
                <w:b w:val="0"/>
                <w:bCs w:val="0"/>
              </w:rPr>
            </w:pPr>
            <w:r>
              <w:rPr>
                <w:rFonts w:hint="eastAsia"/>
                <w:b w:val="0"/>
                <w:bCs w:val="0"/>
              </w:rPr>
              <w:t>监测对象</w:t>
            </w:r>
          </w:p>
        </w:tc>
        <w:tc>
          <w:tcPr>
            <w:tcW w:type="dxa" w:w="426"/>
            <w:vAlign w:val="center"/>
          </w:tcPr>
          <w:p w14:paraId="21279D1C">
            <w:pPr>
              <w:pStyle w:val="34"/>
              <w:rPr>
                <w:b w:val="0"/>
                <w:bCs w:val="0"/>
              </w:rPr>
            </w:pPr>
            <w:r>
              <w:rPr>
                <w:rFonts w:hint="eastAsia"/>
                <w:b w:val="0"/>
                <w:bCs w:val="0"/>
              </w:rPr>
              <w:t>序号</w:t>
            </w:r>
          </w:p>
        </w:tc>
        <w:tc>
          <w:tcPr>
            <w:tcW w:type="dxa" w:w="1133"/>
            <w:vAlign w:val="center"/>
          </w:tcPr>
          <w:p w14:paraId="07C30C3F">
            <w:pPr>
              <w:pStyle w:val="34"/>
              <w:rPr>
                <w:b w:val="0"/>
                <w:bCs w:val="0"/>
              </w:rPr>
            </w:pPr>
            <w:r>
              <w:rPr>
                <w:rFonts w:hint="eastAsia"/>
                <w:b w:val="0"/>
                <w:bCs w:val="0"/>
              </w:rPr>
              <w:t>监测项目</w:t>
            </w:r>
          </w:p>
        </w:tc>
        <w:tc>
          <w:tcPr>
            <w:tcW w:type="dxa" w:w="1985"/>
            <w:vAlign w:val="center"/>
          </w:tcPr>
          <w:p w14:paraId="60B994E4">
            <w:pPr>
              <w:pStyle w:val="34"/>
              <w:rPr>
                <w:b w:val="0"/>
                <w:bCs w:val="0"/>
              </w:rPr>
            </w:pPr>
            <w:r>
              <w:rPr>
                <w:rFonts w:hint="eastAsia"/>
                <w:b w:val="0"/>
                <w:bCs w:val="0"/>
              </w:rPr>
              <w:t>测点布设原则</w:t>
            </w:r>
          </w:p>
        </w:tc>
        <w:tc>
          <w:tcPr>
            <w:tcW w:type="dxa" w:w="851"/>
            <w:vAlign w:val="center"/>
          </w:tcPr>
          <w:p w14:paraId="5479B9B2">
            <w:pPr>
              <w:pStyle w:val="34"/>
              <w:rPr>
                <w:b w:val="0"/>
                <w:bCs w:val="0"/>
              </w:rPr>
            </w:pPr>
            <w:r>
              <w:rPr>
                <w:rFonts w:hint="eastAsia"/>
                <w:b w:val="0"/>
                <w:bCs w:val="0"/>
              </w:rPr>
              <w:t>监测</w:t>
            </w:r>
          </w:p>
          <w:p w14:paraId="4A91DE05">
            <w:pPr>
              <w:pStyle w:val="34"/>
              <w:rPr>
                <w:b w:val="0"/>
                <w:bCs w:val="0"/>
              </w:rPr>
            </w:pPr>
            <w:r>
              <w:rPr>
                <w:rFonts w:hint="eastAsia"/>
                <w:b w:val="0"/>
                <w:bCs w:val="0"/>
              </w:rPr>
              <w:t>仪器</w:t>
            </w:r>
          </w:p>
        </w:tc>
        <w:tc>
          <w:tcPr>
            <w:tcW w:type="dxa" w:w="1134"/>
            <w:vAlign w:val="center"/>
          </w:tcPr>
          <w:p w14:paraId="58FF54EF">
            <w:pPr>
              <w:pStyle w:val="34"/>
              <w:rPr>
                <w:b w:val="0"/>
                <w:bCs w:val="0"/>
              </w:rPr>
            </w:pPr>
            <w:r>
              <w:rPr>
                <w:rFonts w:hint="eastAsia"/>
                <w:b w:val="0"/>
                <w:bCs w:val="0"/>
              </w:rPr>
              <w:t>监测精度</w:t>
            </w:r>
          </w:p>
        </w:tc>
        <w:tc>
          <w:tcPr>
            <w:tcW w:type="dxa" w:w="426"/>
            <w:vAlign w:val="center"/>
          </w:tcPr>
          <w:p w14:paraId="566A3CF9">
            <w:pPr>
              <w:pStyle w:val="34"/>
              <w:rPr>
                <w:b w:val="0"/>
                <w:bCs w:val="0"/>
              </w:rPr>
            </w:pPr>
            <w:r>
              <w:rPr>
                <w:rFonts w:hint="eastAsia"/>
                <w:b w:val="0"/>
                <w:bCs w:val="0"/>
              </w:rPr>
              <w:t>点数</w:t>
            </w:r>
          </w:p>
        </w:tc>
        <w:tc>
          <w:tcPr>
            <w:tcW w:type="dxa" w:w="708"/>
            <w:vAlign w:val="center"/>
          </w:tcPr>
          <w:p w14:paraId="054AC87F">
            <w:pPr>
              <w:pStyle w:val="34"/>
              <w:rPr>
                <w:b w:val="0"/>
                <w:bCs w:val="0"/>
              </w:rPr>
            </w:pPr>
            <w:r>
              <w:rPr>
                <w:rFonts w:hint="eastAsia"/>
                <w:b w:val="0"/>
                <w:bCs w:val="0"/>
              </w:rPr>
              <w:t>监测</w:t>
            </w:r>
          </w:p>
          <w:p w14:paraId="44B208BA">
            <w:pPr>
              <w:pStyle w:val="34"/>
              <w:rPr>
                <w:b w:val="0"/>
                <w:bCs w:val="0"/>
              </w:rPr>
            </w:pPr>
            <w:r>
              <w:rPr>
                <w:rFonts w:hint="eastAsia"/>
                <w:b w:val="0"/>
                <w:bCs w:val="0"/>
              </w:rPr>
              <w:t>频率</w:t>
            </w:r>
          </w:p>
        </w:tc>
        <w:tc>
          <w:tcPr>
            <w:tcW w:type="dxa" w:w="1560"/>
            <w:vAlign w:val="center"/>
          </w:tcPr>
          <w:p w14:paraId="7D05B377">
            <w:pPr>
              <w:pStyle w:val="34"/>
              <w:rPr>
                <w:b w:val="0"/>
                <w:bCs w:val="0"/>
              </w:rPr>
            </w:pPr>
            <w:r>
              <w:rPr>
                <w:rFonts w:hint="eastAsia"/>
                <w:b w:val="0"/>
                <w:bCs w:val="0"/>
              </w:rPr>
              <w:t>备注</w:t>
            </w:r>
          </w:p>
        </w:tc>
      </w:tr>
      <w:tr w14:paraId="3C01E226">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703"/>
            <w:vMerge w:val="restart"/>
            <w:vAlign w:val="center"/>
          </w:tcPr>
          <w:p w14:paraId="3DC8CB64">
            <w:pPr>
              <w:pStyle w:val="34"/>
              <w:rPr>
                <w:b w:val="0"/>
                <w:bCs w:val="0"/>
              </w:rPr>
            </w:pPr>
            <w:r>
              <w:rPr>
                <w:rFonts w:hint="eastAsia"/>
                <w:b w:val="0"/>
                <w:bCs w:val="0"/>
              </w:rPr>
              <w:t>楼仔大桥</w:t>
            </w:r>
          </w:p>
        </w:tc>
        <w:tc>
          <w:tcPr>
            <w:tcW w:type="dxa" w:w="426"/>
            <w:vAlign w:val="center"/>
          </w:tcPr>
          <w:p w14:paraId="5B2F7E63">
            <w:pPr>
              <w:pStyle w:val="34"/>
              <w:rPr>
                <w:b w:val="0"/>
                <w:bCs w:val="0"/>
              </w:rPr>
            </w:pPr>
            <w:r>
              <w:rPr>
                <w:rFonts w:hint="eastAsia"/>
                <w:b w:val="0"/>
                <w:bCs w:val="0"/>
              </w:rPr>
              <w:t>1</w:t>
            </w:r>
          </w:p>
        </w:tc>
        <w:tc>
          <w:tcPr>
            <w:tcW w:type="dxa" w:w="1133"/>
            <w:vAlign w:val="center"/>
          </w:tcPr>
          <w:p w14:paraId="62D2B3A0">
            <w:pPr>
              <w:pStyle w:val="34"/>
              <w:rPr>
                <w:b w:val="0"/>
                <w:bCs w:val="0"/>
              </w:rPr>
            </w:pPr>
            <w:r>
              <w:rPr>
                <w:rFonts w:hint="eastAsia"/>
                <w:b w:val="0"/>
                <w:bCs w:val="0"/>
              </w:rPr>
              <w:t>桥面</w:t>
            </w:r>
          </w:p>
          <w:p w14:paraId="48108B9C">
            <w:pPr>
              <w:pStyle w:val="34"/>
              <w:rPr>
                <w:b w:val="0"/>
                <w:bCs w:val="0"/>
              </w:rPr>
            </w:pPr>
            <w:r>
              <w:rPr>
                <w:rFonts w:hint="eastAsia"/>
                <w:b w:val="0"/>
                <w:bCs w:val="0"/>
              </w:rPr>
              <w:t>水平位移</w:t>
            </w:r>
          </w:p>
        </w:tc>
        <w:tc>
          <w:tcPr>
            <w:tcW w:type="dxa" w:w="1985"/>
            <w:vAlign w:val="center"/>
          </w:tcPr>
          <w:p w14:paraId="3DC8ABE0">
            <w:pPr>
              <w:pStyle w:val="34"/>
              <w:rPr>
                <w:b w:val="0"/>
                <w:bCs w:val="0"/>
              </w:rPr>
            </w:pPr>
            <w:r>
              <w:rPr>
                <w:rFonts w:hint="eastAsia"/>
                <w:b w:val="0"/>
                <w:bCs w:val="0"/>
              </w:rPr>
              <w:t>监测点布置在桥面护栏内侧，布设间距不大于30m</w:t>
            </w:r>
          </w:p>
        </w:tc>
        <w:tc>
          <w:tcPr>
            <w:tcW w:type="dxa" w:w="851"/>
            <w:vAlign w:val="center"/>
          </w:tcPr>
          <w:p w14:paraId="56767FCC">
            <w:pPr>
              <w:pStyle w:val="34"/>
              <w:rPr>
                <w:b w:val="0"/>
                <w:bCs w:val="0"/>
              </w:rPr>
            </w:pPr>
            <w:r>
              <w:rPr>
                <w:rFonts w:hint="eastAsia"/>
                <w:b w:val="0"/>
                <w:bCs w:val="0"/>
              </w:rPr>
              <w:t>全站仪</w:t>
            </w:r>
          </w:p>
        </w:tc>
        <w:tc>
          <w:tcPr>
            <w:tcW w:type="dxa" w:w="1134"/>
            <w:vAlign w:val="center"/>
          </w:tcPr>
          <w:p w14:paraId="1B11A3A2">
            <w:pPr>
              <w:pStyle w:val="34"/>
              <w:rPr>
                <w:b w:val="0"/>
                <w:bCs w:val="0"/>
              </w:rPr>
            </w:pPr>
            <w:r>
              <w:rPr>
                <w:rFonts w:hint="eastAsia"/>
                <w:b w:val="0"/>
                <w:bCs w:val="0"/>
              </w:rPr>
              <w:t>1mm</w:t>
            </w:r>
          </w:p>
        </w:tc>
        <w:tc>
          <w:tcPr>
            <w:tcW w:type="dxa" w:w="426"/>
            <w:vAlign w:val="center"/>
          </w:tcPr>
          <w:p w14:paraId="0EBF2E42">
            <w:pPr>
              <w:pStyle w:val="34"/>
              <w:rPr>
                <w:b w:val="0"/>
                <w:bCs w:val="0"/>
              </w:rPr>
            </w:pPr>
            <w:r>
              <w:rPr>
                <w:rFonts w:hint="eastAsia"/>
                <w:b w:val="0"/>
                <w:bCs w:val="0"/>
              </w:rPr>
              <w:t>16</w:t>
            </w:r>
          </w:p>
        </w:tc>
        <w:tc>
          <w:tcPr>
            <w:tcW w:type="dxa" w:w="708"/>
            <w:vMerge w:val="restart"/>
            <w:vAlign w:val="center"/>
          </w:tcPr>
          <w:p w14:paraId="3E766A9B">
            <w:pPr>
              <w:pStyle w:val="34"/>
              <w:rPr>
                <w:b w:val="0"/>
                <w:bCs w:val="0"/>
              </w:rPr>
            </w:pPr>
            <w:r>
              <w:rPr>
                <w:rFonts w:hint="eastAsia"/>
                <w:b w:val="0"/>
                <w:bCs w:val="0"/>
              </w:rPr>
              <w:t>2次</w:t>
            </w:r>
          </w:p>
          <w:p w14:paraId="575E5A7D">
            <w:pPr>
              <w:pStyle w:val="34"/>
              <w:rPr>
                <w:b w:val="0"/>
                <w:bCs w:val="0"/>
              </w:rPr>
            </w:pPr>
            <w:r>
              <w:rPr>
                <w:rFonts w:hint="eastAsia"/>
                <w:b w:val="0"/>
                <w:bCs w:val="0"/>
              </w:rPr>
              <w:t>/天</w:t>
            </w:r>
          </w:p>
        </w:tc>
        <w:tc>
          <w:tcPr>
            <w:tcW w:type="dxa" w:w="1560"/>
            <w:vMerge w:val="restart"/>
            <w:vAlign w:val="center"/>
          </w:tcPr>
          <w:p w14:paraId="59C2564F">
            <w:pPr>
              <w:pStyle w:val="34"/>
              <w:rPr>
                <w:b w:val="0"/>
                <w:bCs w:val="0"/>
              </w:rPr>
            </w:pPr>
            <w:r>
              <w:rPr>
                <w:rFonts w:hint="eastAsia"/>
                <w:b w:val="0"/>
                <w:bCs w:val="0"/>
              </w:rPr>
              <w:t>炭坑溪大桥高填方施工后开始监测，至桥梁施工完成后结束</w:t>
            </w:r>
          </w:p>
        </w:tc>
      </w:tr>
      <w:tr w14:paraId="721CC5EB">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703"/>
            <w:vMerge w:val="continue"/>
            <w:vAlign w:val="center"/>
          </w:tcPr>
          <w:p w14:paraId="2F4D989C">
            <w:pPr>
              <w:pStyle w:val="34"/>
              <w:rPr>
                <w:b w:val="0"/>
                <w:bCs w:val="0"/>
              </w:rPr>
            </w:pPr>
          </w:p>
        </w:tc>
        <w:tc>
          <w:tcPr>
            <w:tcW w:type="dxa" w:w="426"/>
            <w:vAlign w:val="center"/>
          </w:tcPr>
          <w:p w14:paraId="4EE4531E">
            <w:pPr>
              <w:pStyle w:val="34"/>
              <w:rPr>
                <w:b w:val="0"/>
                <w:bCs w:val="0"/>
              </w:rPr>
            </w:pPr>
            <w:r>
              <w:rPr>
                <w:rFonts w:hint="eastAsia"/>
                <w:b w:val="0"/>
                <w:bCs w:val="0"/>
              </w:rPr>
              <w:t>2</w:t>
            </w:r>
          </w:p>
        </w:tc>
        <w:tc>
          <w:tcPr>
            <w:tcW w:type="dxa" w:w="1133"/>
            <w:vAlign w:val="center"/>
          </w:tcPr>
          <w:p w14:paraId="25D2755B">
            <w:pPr>
              <w:pStyle w:val="34"/>
              <w:rPr>
                <w:b w:val="0"/>
                <w:bCs w:val="0"/>
              </w:rPr>
            </w:pPr>
            <w:r>
              <w:rPr>
                <w:rFonts w:hint="eastAsia"/>
                <w:b w:val="0"/>
                <w:bCs w:val="0"/>
              </w:rPr>
              <w:t>桥面</w:t>
            </w:r>
          </w:p>
          <w:p w14:paraId="28557373">
            <w:pPr>
              <w:pStyle w:val="34"/>
              <w:rPr>
                <w:b w:val="0"/>
                <w:bCs w:val="0"/>
              </w:rPr>
            </w:pPr>
            <w:r>
              <w:rPr>
                <w:rFonts w:hint="eastAsia"/>
                <w:b w:val="0"/>
                <w:bCs w:val="0"/>
              </w:rPr>
              <w:t>垂直位移</w:t>
            </w:r>
          </w:p>
        </w:tc>
        <w:tc>
          <w:tcPr>
            <w:tcW w:type="dxa" w:w="1985"/>
            <w:vAlign w:val="center"/>
          </w:tcPr>
          <w:p w14:paraId="713ADC8A">
            <w:pPr>
              <w:pStyle w:val="34"/>
              <w:rPr>
                <w:b w:val="0"/>
                <w:bCs w:val="0"/>
              </w:rPr>
            </w:pPr>
            <w:r>
              <w:rPr>
                <w:rFonts w:hint="eastAsia"/>
                <w:b w:val="0"/>
                <w:bCs w:val="0"/>
              </w:rPr>
              <w:t>同桥面水平位移</w:t>
            </w:r>
          </w:p>
        </w:tc>
        <w:tc>
          <w:tcPr>
            <w:tcW w:type="dxa" w:w="851"/>
            <w:vAlign w:val="center"/>
          </w:tcPr>
          <w:p w14:paraId="7A2B8B32">
            <w:pPr>
              <w:pStyle w:val="34"/>
              <w:rPr>
                <w:b w:val="0"/>
                <w:bCs w:val="0"/>
              </w:rPr>
            </w:pPr>
            <w:r>
              <w:rPr>
                <w:rFonts w:hint="eastAsia"/>
                <w:b w:val="0"/>
                <w:bCs w:val="0"/>
              </w:rPr>
              <w:t>水准仪</w:t>
            </w:r>
          </w:p>
        </w:tc>
        <w:tc>
          <w:tcPr>
            <w:tcW w:type="dxa" w:w="1134"/>
            <w:vAlign w:val="center"/>
          </w:tcPr>
          <w:p w14:paraId="7388011C">
            <w:pPr>
              <w:pStyle w:val="34"/>
              <w:rPr>
                <w:b w:val="0"/>
                <w:bCs w:val="0"/>
              </w:rPr>
            </w:pPr>
            <w:r>
              <w:rPr>
                <w:rFonts w:hint="eastAsia"/>
                <w:b w:val="0"/>
                <w:bCs w:val="0"/>
              </w:rPr>
              <w:t>1mm</w:t>
            </w:r>
          </w:p>
        </w:tc>
        <w:tc>
          <w:tcPr>
            <w:tcW w:type="dxa" w:w="426"/>
            <w:vAlign w:val="center"/>
          </w:tcPr>
          <w:p w14:paraId="439F8A6E">
            <w:pPr>
              <w:pStyle w:val="34"/>
              <w:rPr>
                <w:b w:val="0"/>
                <w:bCs w:val="0"/>
              </w:rPr>
            </w:pPr>
            <w:r>
              <w:rPr>
                <w:rFonts w:hint="eastAsia"/>
                <w:b w:val="0"/>
                <w:bCs w:val="0"/>
              </w:rPr>
              <w:t>16</w:t>
            </w:r>
          </w:p>
        </w:tc>
        <w:tc>
          <w:tcPr>
            <w:tcW w:type="dxa" w:w="708"/>
            <w:vMerge w:val="continue"/>
            <w:vAlign w:val="center"/>
          </w:tcPr>
          <w:p w14:paraId="5A8E7028">
            <w:pPr>
              <w:pStyle w:val="34"/>
              <w:rPr>
                <w:b w:val="0"/>
                <w:bCs w:val="0"/>
              </w:rPr>
            </w:pPr>
          </w:p>
        </w:tc>
        <w:tc>
          <w:tcPr>
            <w:tcW w:type="dxa" w:w="1560"/>
            <w:vMerge w:val="continue"/>
            <w:vAlign w:val="center"/>
          </w:tcPr>
          <w:p w14:paraId="25719256">
            <w:pPr>
              <w:pStyle w:val="34"/>
              <w:rPr>
                <w:b w:val="0"/>
                <w:bCs w:val="0"/>
              </w:rPr>
            </w:pPr>
          </w:p>
        </w:tc>
      </w:tr>
      <w:tr w14:paraId="7900B970">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703"/>
            <w:vMerge w:val="continue"/>
            <w:vAlign w:val="center"/>
          </w:tcPr>
          <w:p w14:paraId="54E1C86C">
            <w:pPr>
              <w:pStyle w:val="34"/>
              <w:rPr>
                <w:b w:val="0"/>
                <w:bCs w:val="0"/>
              </w:rPr>
            </w:pPr>
          </w:p>
        </w:tc>
        <w:tc>
          <w:tcPr>
            <w:tcW w:type="dxa" w:w="426"/>
            <w:vAlign w:val="center"/>
          </w:tcPr>
          <w:p w14:paraId="74D2C168">
            <w:pPr>
              <w:pStyle w:val="34"/>
              <w:rPr>
                <w:b w:val="0"/>
                <w:bCs w:val="0"/>
              </w:rPr>
            </w:pPr>
            <w:r>
              <w:rPr>
                <w:rFonts w:hint="eastAsia"/>
                <w:b w:val="0"/>
                <w:bCs w:val="0"/>
              </w:rPr>
              <w:t>3</w:t>
            </w:r>
          </w:p>
        </w:tc>
        <w:tc>
          <w:tcPr>
            <w:tcW w:type="dxa" w:w="1133"/>
            <w:vAlign w:val="center"/>
          </w:tcPr>
          <w:p w14:paraId="3C79B8E5">
            <w:pPr>
              <w:pStyle w:val="34"/>
              <w:rPr>
                <w:b w:val="0"/>
                <w:bCs w:val="0"/>
              </w:rPr>
            </w:pPr>
            <w:r>
              <w:rPr>
                <w:rFonts w:hint="eastAsia"/>
                <w:b w:val="0"/>
                <w:bCs w:val="0"/>
              </w:rPr>
              <w:t>桥墩沉降</w:t>
            </w:r>
          </w:p>
          <w:p w14:paraId="54529B61">
            <w:pPr>
              <w:pStyle w:val="34"/>
              <w:rPr>
                <w:b w:val="0"/>
                <w:bCs w:val="0"/>
              </w:rPr>
            </w:pPr>
            <w:r>
              <w:rPr>
                <w:rFonts w:hint="eastAsia"/>
                <w:b w:val="0"/>
                <w:bCs w:val="0"/>
              </w:rPr>
              <w:t>、倾斜</w:t>
            </w:r>
          </w:p>
        </w:tc>
        <w:tc>
          <w:tcPr>
            <w:tcW w:type="dxa" w:w="1985"/>
            <w:vAlign w:val="center"/>
          </w:tcPr>
          <w:p w14:paraId="001FC7F6">
            <w:pPr>
              <w:pStyle w:val="34"/>
              <w:rPr>
                <w:b w:val="0"/>
                <w:bCs w:val="0"/>
              </w:rPr>
            </w:pPr>
            <w:r>
              <w:rPr>
                <w:rFonts w:hint="eastAsia"/>
                <w:b w:val="0"/>
                <w:bCs w:val="0"/>
              </w:rPr>
              <w:t>布置于楼仔大桥6#、7#、8#墩柱</w:t>
            </w:r>
          </w:p>
        </w:tc>
        <w:tc>
          <w:tcPr>
            <w:tcW w:type="dxa" w:w="851"/>
            <w:vAlign w:val="center"/>
          </w:tcPr>
          <w:p w14:paraId="5E46D52C">
            <w:pPr>
              <w:pStyle w:val="34"/>
              <w:rPr>
                <w:b w:val="0"/>
                <w:bCs w:val="0"/>
              </w:rPr>
            </w:pPr>
            <w:r>
              <w:rPr>
                <w:rFonts w:hint="eastAsia"/>
                <w:b w:val="0"/>
                <w:bCs w:val="0"/>
              </w:rPr>
              <w:t>水准仪测斜管</w:t>
            </w:r>
          </w:p>
        </w:tc>
        <w:tc>
          <w:tcPr>
            <w:tcW w:type="dxa" w:w="1134"/>
            <w:vAlign w:val="center"/>
          </w:tcPr>
          <w:p w14:paraId="5B6CA24B">
            <w:pPr>
              <w:pStyle w:val="34"/>
              <w:rPr>
                <w:b w:val="0"/>
                <w:bCs w:val="0"/>
              </w:rPr>
            </w:pPr>
            <w:r>
              <w:rPr>
                <w:rFonts w:hint="eastAsia"/>
                <w:b w:val="0"/>
                <w:bCs w:val="0"/>
              </w:rPr>
              <w:t>沉降1mm</w:t>
            </w:r>
          </w:p>
          <w:p w14:paraId="5E6CEAA7">
            <w:pPr>
              <w:pStyle w:val="34"/>
              <w:rPr>
                <w:b w:val="0"/>
                <w:bCs w:val="0"/>
              </w:rPr>
            </w:pPr>
            <w:r>
              <w:rPr>
                <w:rFonts w:hint="eastAsia"/>
                <w:b w:val="0"/>
                <w:bCs w:val="0"/>
              </w:rPr>
              <w:t>倾斜2</w:t>
            </w:r>
            <w:r>
              <w:rPr>
                <w:b w:val="0"/>
                <w:bCs w:val="0"/>
              </w:rPr>
              <w:t>”</w:t>
            </w:r>
          </w:p>
        </w:tc>
        <w:tc>
          <w:tcPr>
            <w:tcW w:type="dxa" w:w="426"/>
            <w:vAlign w:val="center"/>
          </w:tcPr>
          <w:p w14:paraId="1372DF96">
            <w:pPr>
              <w:pStyle w:val="34"/>
              <w:rPr>
                <w:b w:val="0"/>
                <w:bCs w:val="0"/>
              </w:rPr>
            </w:pPr>
            <w:r>
              <w:rPr>
                <w:rFonts w:hint="eastAsia"/>
                <w:b w:val="0"/>
                <w:bCs w:val="0"/>
              </w:rPr>
              <w:t>8</w:t>
            </w:r>
          </w:p>
        </w:tc>
        <w:tc>
          <w:tcPr>
            <w:tcW w:type="dxa" w:w="708"/>
            <w:vMerge w:val="continue"/>
            <w:vAlign w:val="center"/>
          </w:tcPr>
          <w:p w14:paraId="38F84BF1">
            <w:pPr>
              <w:pStyle w:val="34"/>
              <w:rPr>
                <w:b w:val="0"/>
                <w:bCs w:val="0"/>
              </w:rPr>
            </w:pPr>
          </w:p>
        </w:tc>
        <w:tc>
          <w:tcPr>
            <w:tcW w:type="dxa" w:w="1560"/>
            <w:vMerge w:val="continue"/>
            <w:vAlign w:val="center"/>
          </w:tcPr>
          <w:p w14:paraId="28863D36">
            <w:pPr>
              <w:pStyle w:val="34"/>
              <w:rPr>
                <w:b w:val="0"/>
                <w:bCs w:val="0"/>
              </w:rPr>
            </w:pPr>
          </w:p>
        </w:tc>
      </w:tr>
    </w:tbl>
    <w:p w14:paraId="086FA19E">
      <w:pPr>
        <w:pStyle w:val="4"/>
      </w:pPr>
      <w:bookmarkStart w:id="33" w:name="_Toc187956724"/>
      <w:r>
        <w:rPr>
          <w:rFonts w:hint="eastAsia"/>
        </w:rPr>
        <w:t>级配碎石垫层施工</w:t>
      </w:r>
      <w:bookmarkEnd w:id="33"/>
    </w:p>
    <w:p w14:paraId="2CEAF206">
      <w:pPr>
        <w:ind w:firstLine="480"/>
        <w:rPr>
          <w:rFonts w:ascii="宋体" w:cs="宋体" w:hAnsi="宋体" w:hint="eastAsia"/>
        </w:rPr>
      </w:pPr>
      <w:r>
        <w:rPr>
          <w:rFonts w:ascii="宋体" w:cs="宋体" w:hAnsi="宋体" w:hint="eastAsia"/>
        </w:rPr>
        <w:t>依据设计图纸精准确定施工区域的边界及高程控制点，为后续施工提供准确基准。</w:t>
      </w:r>
    </w:p>
    <w:p w14:paraId="4C538BAC">
      <w:pPr>
        <w:ind w:firstLine="480"/>
        <w:rPr>
          <w:rFonts w:ascii="宋体" w:cs="宋体" w:hAnsi="宋体" w:hint="eastAsia"/>
        </w:rPr>
      </w:pPr>
      <w:r>
        <w:rPr>
          <w:rFonts w:ascii="宋体" w:cs="宋体" w:hAnsi="宋体" w:hint="eastAsia"/>
        </w:rPr>
        <w:t>全面清除基底的杂物、浮土以及软弱土层，运用压路机进行基底压实，确保基底承载力满足要求，为级配碎石铺设奠定坚实基础。</w:t>
      </w:r>
    </w:p>
    <w:p w14:paraId="3C2227DE">
      <w:pPr>
        <w:ind w:firstLine="480"/>
        <w:rPr>
          <w:rFonts w:ascii="宋体" w:cs="宋体" w:hAnsi="宋体" w:hint="eastAsia"/>
        </w:rPr>
      </w:pPr>
      <w:r>
        <w:rPr>
          <w:rFonts w:ascii="宋体" w:cs="宋体" w:hAnsi="宋体" w:hint="eastAsia"/>
        </w:rPr>
        <w:t>级配碎石在料场集中拌制后，运输至施工现场。采用分层摊铺方式，每层厚度控制在50cm左右，均匀地摊铺，确保平整度与厚度符合设计。级配碎石顶标高89.5m。</w:t>
      </w:r>
    </w:p>
    <w:p w14:paraId="05603616">
      <w:pPr>
        <w:ind w:firstLine="480"/>
        <w:rPr>
          <w:rFonts w:ascii="宋体" w:cs="宋体" w:hAnsi="宋体" w:hint="eastAsia"/>
        </w:rPr>
      </w:pPr>
      <w:r>
        <w:rPr>
          <w:rFonts w:ascii="宋体" w:cs="宋体" w:hAnsi="宋体" w:hint="eastAsia"/>
        </w:rPr>
        <w:t>先用轻型压路机静压1-2遍，使碎石初步稳定，接着采用重型压路机振压2-3遍，再静压1-2遍至无明显轮迹。碾压时遵循先轻后重、先慢后快、从边缘向中间的原则，且相邻碾压带重叠1/4轮宽。</w:t>
      </w:r>
    </w:p>
    <w:p w14:paraId="32C9B2E2">
      <w:pPr>
        <w:ind w:firstLine="480"/>
      </w:pPr>
      <w:r>
        <w:rPr>
          <w:rFonts w:ascii="宋体" w:cs="宋体" w:hAnsi="宋体" w:hint="eastAsia"/>
        </w:rPr>
        <w:t>施工过程中保障垫层整体质量稳定可靠，满足桥下工程施工要求。填筑段距现状桥墩较近时采用机械配合人工填筑得方式施工。为避免路基碾压过程中对大桥基础影响，路基碾压过程中不能采用大振幅高频率碾压，应采取小振幅低频碾压，严禁任何机械触碰扰动桥墩。</w:t>
      </w:r>
    </w:p>
    <w:p w14:paraId="410A4A33">
      <w:pPr>
        <w:pStyle w:val="4"/>
      </w:pPr>
      <w:bookmarkStart w:id="34" w:name="_Toc187956725"/>
      <w:r>
        <w:rPr>
          <w:rFonts w:hint="eastAsia"/>
        </w:rPr>
        <w:t>桩基施工</w:t>
      </w:r>
      <w:bookmarkEnd w:id="34"/>
    </w:p>
    <w:p w14:paraId="276A90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范围内共有2#、3#墩共18根桩基。设置永久钢护筒，</w:t>
      </w:r>
      <w:r>
        <w:rPr>
          <w:rFonts w:hint="eastAsia"/>
          <w:highlight w:val="none"/>
          <w:lang w:eastAsia="zh-CN" w:val="en-US"/>
        </w:rPr>
        <w:t>护筒长度为2-7m，桩基直径为2.0m、2.2m、2.5m三种规格，</w:t>
      </w:r>
      <w:r>
        <w:rPr>
          <w:rFonts w:hint="eastAsia"/>
          <w:highlight w:val="none"/>
        </w:rPr>
        <w:t>原设计永久钢护筒直径仅比桩基直径大10cm，无法满足施工要求，</w:t>
      </w:r>
      <w:r>
        <w:rPr>
          <w:rFonts w:hint="eastAsia"/>
          <w:highlight w:val="none"/>
          <w:lang w:eastAsia="zh-CN" w:val="en-US"/>
        </w:rPr>
        <w:t>因此，采用壁厚20mm，比桩基设计大30cm（每侧大15cm），长度比设计长60cm的钢护筒。</w:t>
      </w:r>
      <w:r>
        <w:rPr>
          <w:rFonts w:hAnsi="宋体" w:hint="eastAsia"/>
          <w:snapToGrid w:val="0"/>
          <w:highlight w:val="none"/>
          <w:lang w:eastAsia="zh-CN" w:val="en-US"/>
        </w:rPr>
        <w:t>钢护筒按设计要求在厂家制造，材质为</w:t>
      </w:r>
      <w:r>
        <w:rPr>
          <w:rFonts w:hAnsi="宋体" w:hint="default"/>
          <w:snapToGrid w:val="0"/>
          <w:highlight w:val="none"/>
          <w:lang w:eastAsia="zh-CN" w:val="en-US"/>
        </w:rPr>
        <w:t>Q235B</w:t>
      </w:r>
      <w:r>
        <w:rPr>
          <w:rFonts w:hAnsi="宋体" w:hint="eastAsia"/>
          <w:snapToGrid w:val="0"/>
          <w:highlight w:val="none"/>
          <w:lang w:eastAsia="zh-CN" w:val="en-US"/>
        </w:rPr>
        <w:t>。并有出厂合格证明和检验报告。</w:t>
      </w:r>
      <w:r>
        <w:rPr>
          <w:rFonts w:hint="eastAsia"/>
          <w:highlight w:val="none"/>
        </w:rPr>
        <w:t>护筒埋设后在分层对称回填级配碎石后再施工桩基。</w:t>
      </w:r>
    </w:p>
    <w:tbl>
      <w:tblPr>
        <w:tblStyle w:val="16"/>
        <w:tblW w:type="dxa" w:w="8587"/>
        <w:tblInd w:type="dxa" w:w="99"/>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Layout w:type="autofit"/>
        <w:tblCellMar>
          <w:top w:type="dxa" w:w="0"/>
          <w:left w:type="dxa" w:w="108"/>
          <w:bottom w:type="dxa" w:w="0"/>
          <w:right w:type="dxa" w:w="108"/>
        </w:tblCellMar>
      </w:tblPr>
      <w:tblGrid>
        <w:gridCol w:w="916"/>
        <w:gridCol w:w="920"/>
        <w:gridCol w:w="1026"/>
        <w:gridCol w:w="1571"/>
        <w:gridCol w:w="1439"/>
        <w:gridCol w:w="1439"/>
        <w:gridCol w:w="1276"/>
      </w:tblGrid>
      <w:tr w14:paraId="00114B02">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1836"/>
            <w:gridSpan w:val="2"/>
            <w:tcBorders>
              <w:top w:color="000000" w:space="0" w:sz="4" w:val="single"/>
              <w:left w:color="000000" w:space="0" w:sz="4" w:val="single"/>
              <w:bottom w:color="000000" w:space="0" w:sz="4" w:val="single"/>
              <w:right w:color="000000" w:space="0" w:sz="4" w:val="single"/>
            </w:tcBorders>
            <w:shd w:color="auto" w:fill="auto" w:val="clear"/>
            <w:vAlign w:val="center"/>
          </w:tcPr>
          <w:p w14:paraId="4B8A7BC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部位</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3CF57FB7">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桩径</w:t>
            </w:r>
            <w:r>
              <w:rPr>
                <w:rFonts w:ascii="宋体" w:cs="宋体" w:eastAsia="宋体" w:hAnsi="宋体" w:hint="eastAsia"/>
                <w:i w:val="0"/>
                <w:iCs w:val="0"/>
                <w:color w:val="000000"/>
                <w:kern w:val="0"/>
                <w:sz w:val="22"/>
                <w:szCs w:val="22"/>
                <w:u w:val="none"/>
                <w:lang w:bidi="ar" w:eastAsia="zh-CN" w:val="en-US"/>
                <w14:ligatures w14:val="none"/>
              </w:rPr>
              <w:br w:type="textWrapping"/>
            </w:r>
            <w:r>
              <w:rPr>
                <w:rFonts w:ascii="宋体" w:cs="宋体" w:eastAsia="宋体" w:hAnsi="宋体" w:hint="eastAsia"/>
                <w:i w:val="0"/>
                <w:iCs w:val="0"/>
                <w:color w:val="000000"/>
                <w:kern w:val="0"/>
                <w:sz w:val="22"/>
                <w:szCs w:val="22"/>
                <w:u w:val="none"/>
                <w:lang w:bidi="ar" w:eastAsia="zh-CN" w:val="en-US"/>
                <w14:ligatures w14:val="none"/>
              </w:rPr>
              <w:t>(m)</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7A3818FA">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钢护筒内径</w:t>
            </w:r>
            <w:r>
              <w:rPr>
                <w:rFonts w:ascii="宋体" w:cs="宋体" w:eastAsia="宋体" w:hAnsi="宋体" w:hint="eastAsia"/>
                <w:i w:val="0"/>
                <w:iCs w:val="0"/>
                <w:color w:val="000000"/>
                <w:kern w:val="0"/>
                <w:sz w:val="22"/>
                <w:szCs w:val="22"/>
                <w:u w:val="none"/>
                <w:lang w:bidi="ar" w:eastAsia="zh-CN" w:val="en-US"/>
                <w14:ligatures w14:val="none"/>
              </w:rPr>
              <w:br w:type="textWrapping"/>
            </w:r>
            <w:r>
              <w:rPr>
                <w:rFonts w:ascii="宋体" w:cs="宋体" w:eastAsia="宋体" w:hAnsi="宋体" w:hint="eastAsia"/>
                <w:i w:val="0"/>
                <w:iCs w:val="0"/>
                <w:color w:val="000000"/>
                <w:kern w:val="0"/>
                <w:sz w:val="22"/>
                <w:szCs w:val="22"/>
                <w:u w:val="none"/>
                <w:lang w:bidi="ar" w:eastAsia="zh-CN" w:val="en-US"/>
                <w14:ligatures w14:val="none"/>
              </w:rPr>
              <w:t>(m)</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507F1344">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左侧护筒长</w:t>
            </w:r>
            <w:r>
              <w:rPr>
                <w:rFonts w:ascii="宋体" w:cs="宋体" w:eastAsia="宋体" w:hAnsi="宋体" w:hint="eastAsia"/>
                <w:i w:val="0"/>
                <w:iCs w:val="0"/>
                <w:color w:val="000000"/>
                <w:kern w:val="0"/>
                <w:sz w:val="22"/>
                <w:szCs w:val="22"/>
                <w:u w:val="none"/>
                <w:lang w:bidi="ar" w:eastAsia="zh-CN" w:val="en-US"/>
                <w14:ligatures w14:val="none"/>
              </w:rPr>
              <w:br w:type="textWrapping"/>
            </w:r>
            <w:r>
              <w:rPr>
                <w:rFonts w:ascii="宋体" w:cs="宋体" w:eastAsia="宋体" w:hAnsi="宋体" w:hint="eastAsia"/>
                <w:i w:val="0"/>
                <w:iCs w:val="0"/>
                <w:color w:val="000000"/>
                <w:kern w:val="0"/>
                <w:sz w:val="22"/>
                <w:szCs w:val="22"/>
                <w:u w:val="none"/>
                <w:lang w:bidi="ar" w:eastAsia="zh-CN" w:val="en-US"/>
                <w14:ligatures w14:val="none"/>
              </w:rPr>
              <w:t>(m)</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5E30CA04">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右侧护筒长</w:t>
            </w:r>
            <w:r>
              <w:rPr>
                <w:rFonts w:ascii="宋体" w:cs="宋体" w:eastAsia="宋体" w:hAnsi="宋体" w:hint="eastAsia"/>
                <w:i w:val="0"/>
                <w:iCs w:val="0"/>
                <w:color w:val="000000"/>
                <w:kern w:val="0"/>
                <w:sz w:val="22"/>
                <w:szCs w:val="22"/>
                <w:u w:val="none"/>
                <w:lang w:bidi="ar" w:eastAsia="zh-CN" w:val="en-US"/>
                <w14:ligatures w14:val="none"/>
              </w:rPr>
              <w:br w:type="textWrapping"/>
            </w:r>
            <w:r>
              <w:rPr>
                <w:rFonts w:ascii="宋体" w:cs="宋体" w:eastAsia="宋体" w:hAnsi="宋体" w:hint="eastAsia"/>
                <w:i w:val="0"/>
                <w:iCs w:val="0"/>
                <w:color w:val="000000"/>
                <w:kern w:val="0"/>
                <w:sz w:val="22"/>
                <w:szCs w:val="22"/>
                <w:u w:val="none"/>
                <w:lang w:bidi="ar" w:eastAsia="zh-CN" w:val="en-US"/>
                <w14:ligatures w14:val="none"/>
              </w:rPr>
              <w:t>(m)</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3D86F3E7">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合计</w:t>
            </w:r>
            <w:r>
              <w:rPr>
                <w:rFonts w:ascii="宋体" w:cs="宋体" w:eastAsia="宋体" w:hAnsi="宋体" w:hint="eastAsia"/>
                <w:i w:val="0"/>
                <w:iCs w:val="0"/>
                <w:color w:val="000000"/>
                <w:kern w:val="0"/>
                <w:sz w:val="22"/>
                <w:szCs w:val="22"/>
                <w:u w:val="none"/>
                <w:lang w:bidi="ar" w:eastAsia="zh-CN" w:val="en-US"/>
                <w14:ligatures w14:val="none"/>
              </w:rPr>
              <w:br w:type="textWrapping"/>
            </w:r>
            <w:r>
              <w:rPr>
                <w:rFonts w:ascii="宋体" w:cs="宋体" w:eastAsia="宋体" w:hAnsi="宋体" w:hint="eastAsia"/>
                <w:i w:val="0"/>
                <w:iCs w:val="0"/>
                <w:color w:val="000000"/>
                <w:kern w:val="0"/>
                <w:sz w:val="22"/>
                <w:szCs w:val="22"/>
                <w:u w:val="none"/>
                <w:lang w:bidi="ar" w:eastAsia="zh-CN" w:val="en-US"/>
                <w14:ligatures w14:val="none"/>
              </w:rPr>
              <w:t>(m)</w:t>
            </w:r>
          </w:p>
        </w:tc>
      </w:tr>
      <w:tr w14:paraId="26C4AB4A">
        <w:tblPrEx>
          <w:tblBorders>
            <w:top w:color="auto" w:space="0" w:sz="0" w:val="none"/>
            <w:left w:color="auto" w:space="0" w:sz="0" w:val="none"/>
            <w:bottom w:color="auto" w:space="0" w:sz="0" w:val="none"/>
            <w:right w:color="auto" w:space="0" w:sz="0" w:val="none"/>
            <w:insideH w:color="auto" w:space="0" w:sz="0" w:val="none"/>
            <w:insideV w:color="auto" w:space="0" w:sz="0" w:val="none"/>
          </w:tblBorders>
          <w:tblCellMar>
            <w:top w:type="dxa" w:w="0"/>
            <w:left w:type="dxa" w:w="108"/>
            <w:bottom w:type="dxa" w:w="0"/>
            <w:right w:type="dxa" w:w="108"/>
          </w:tblCellMar>
        </w:tblPrEx>
        <w:trPr>
          <w:trHeight w:hRule="atLeast" w:val="600"/>
        </w:trPr>
        <w:tc>
          <w:tcPr>
            <w:tcW w:type="dxa" w:w="916"/>
            <w:vMerge w:val="restart"/>
            <w:tcBorders>
              <w:top w:color="auto" w:space="0" w:sz="4" w:val="single"/>
              <w:left w:color="auto" w:space="0" w:sz="4" w:val="single"/>
              <w:bottom w:color="auto" w:space="0" w:sz="4" w:val="single"/>
              <w:right w:color="auto" w:space="0" w:sz="4" w:val="single"/>
            </w:tcBorders>
            <w:shd w:color="auto" w:fill="auto" w:val="clear"/>
            <w:vAlign w:val="center"/>
          </w:tcPr>
          <w:p w14:paraId="097B0B08">
            <w:pPr>
              <w:keepNext w:val="0"/>
              <w:keepLines w:val="0"/>
              <w:widowControl/>
              <w:suppressLineNumbers w:val="0"/>
              <w:ind w:firstLine="0" w:firstLineChars="0" w:left="0" w:leftChars="0"/>
              <w:jc w:val="both"/>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主线桥</w:t>
            </w: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0905E587">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左幅2#</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3CAD402F">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2.5</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6F0D73E3">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2.6</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0816E13A">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2.0</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4B89EAC2">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7.0</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38796D86">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9.0</w:t>
            </w:r>
          </w:p>
        </w:tc>
      </w:tr>
      <w:tr w14:paraId="658EB63D">
        <w:tblPrEx>
          <w:tblBorders>
            <w:top w:color="auto" w:space="0" w:sz="0" w:val="none"/>
            <w:left w:color="auto" w:space="0" w:sz="0" w:val="none"/>
            <w:bottom w:color="auto" w:space="0" w:sz="0" w:val="none"/>
            <w:right w:color="auto" w:space="0" w:sz="0" w:val="none"/>
            <w:insideH w:color="auto" w:space="0" w:sz="0" w:val="none"/>
            <w:insideV w:color="auto" w:space="0" w:sz="0" w:val="none"/>
          </w:tblBorders>
          <w:tblCellMar>
            <w:top w:type="dxa" w:w="0"/>
            <w:left w:type="dxa" w:w="108"/>
            <w:bottom w:type="dxa" w:w="0"/>
            <w:right w:type="dxa" w:w="108"/>
          </w:tblCellMar>
        </w:tblPrEx>
        <w:trPr>
          <w:trHeight w:hRule="atLeast" w:val="600"/>
        </w:trPr>
        <w:tc>
          <w:tcPr>
            <w:tcW w:type="dxa" w:w="916"/>
            <w:vMerge w:val="continue"/>
            <w:tcBorders>
              <w:top w:color="auto" w:space="0" w:sz="4" w:val="single"/>
              <w:left w:color="auto" w:space="0" w:sz="4" w:val="single"/>
              <w:bottom w:color="auto" w:space="0" w:sz="4" w:val="single"/>
              <w:right w:color="auto" w:space="0" w:sz="4" w:val="single"/>
            </w:tcBorders>
            <w:shd w:color="auto" w:fill="auto" w:val="clear"/>
            <w:vAlign w:val="center"/>
          </w:tcPr>
          <w:p w14:paraId="239350AB">
            <w:pPr>
              <w:jc w:val="center"/>
              <w:rPr>
                <w:rFonts w:ascii="宋体" w:cs="宋体" w:eastAsia="宋体" w:hAnsi="宋体" w:hint="eastAsia"/>
                <w:i w:val="0"/>
                <w:iCs w:val="0"/>
                <w:color w:val="000000"/>
                <w:sz w:val="22"/>
                <w:szCs w:val="22"/>
                <w:u w:val="none"/>
              </w:rPr>
            </w:pP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6C0934C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左幅3#</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5A67836F">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2.5 </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0FC05AAD">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2.6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10924E5A">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5.0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56B22622">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6.0 </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188F37BA">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11.0 </w:t>
            </w:r>
          </w:p>
        </w:tc>
      </w:tr>
      <w:tr w14:paraId="6FD13130">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916"/>
            <w:vMerge w:val="continue"/>
            <w:tcBorders>
              <w:top w:color="auto" w:space="0" w:sz="4" w:val="single"/>
              <w:left w:color="auto" w:space="0" w:sz="4" w:val="single"/>
              <w:bottom w:color="auto" w:space="0" w:sz="4" w:val="single"/>
              <w:right w:color="auto" w:space="0" w:sz="4" w:val="single"/>
            </w:tcBorders>
            <w:shd w:color="auto" w:fill="auto" w:val="clear"/>
            <w:vAlign w:val="center"/>
          </w:tcPr>
          <w:p w14:paraId="03F1B757">
            <w:pPr>
              <w:jc w:val="center"/>
              <w:rPr>
                <w:rFonts w:ascii="宋体" w:cs="宋体" w:eastAsia="宋体" w:hAnsi="宋体" w:hint="eastAsia"/>
                <w:i w:val="0"/>
                <w:iCs w:val="0"/>
                <w:color w:val="000000"/>
                <w:sz w:val="22"/>
                <w:szCs w:val="22"/>
                <w:u w:val="none"/>
              </w:rPr>
            </w:pP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31CE3D32">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右幅2#</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225FB6B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2.5 </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771C293C">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2.6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4736E813">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5.0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7F40875E">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2.0 </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2043E386">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7.0 </w:t>
            </w:r>
          </w:p>
        </w:tc>
      </w:tr>
      <w:tr w14:paraId="6661766F">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916"/>
            <w:vMerge w:val="continue"/>
            <w:tcBorders>
              <w:top w:color="auto" w:space="0" w:sz="4" w:val="single"/>
              <w:left w:color="auto" w:space="0" w:sz="4" w:val="single"/>
              <w:bottom w:color="auto" w:space="0" w:sz="4" w:val="single"/>
              <w:right w:color="auto" w:space="0" w:sz="4" w:val="single"/>
            </w:tcBorders>
            <w:shd w:color="auto" w:fill="auto" w:val="clear"/>
            <w:vAlign w:val="center"/>
          </w:tcPr>
          <w:p w14:paraId="2E9756E2">
            <w:pPr>
              <w:jc w:val="center"/>
              <w:rPr>
                <w:rFonts w:ascii="宋体" w:cs="宋体" w:eastAsia="宋体" w:hAnsi="宋体" w:hint="eastAsia"/>
                <w:i w:val="0"/>
                <w:iCs w:val="0"/>
                <w:color w:val="000000"/>
                <w:sz w:val="22"/>
                <w:szCs w:val="22"/>
                <w:u w:val="none"/>
              </w:rPr>
            </w:pP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4728DAC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右幅3#</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5E129CB1">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2.0 </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29C1E4FD">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2.1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37340961">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2.0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196102D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0.0 </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0244A415">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4.0 </w:t>
            </w:r>
          </w:p>
        </w:tc>
      </w:tr>
      <w:tr w14:paraId="10BD1FCB">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916"/>
            <w:vMerge w:val="restart"/>
            <w:tcBorders>
              <w:top w:color="auto" w:space="0" w:sz="4" w:val="single"/>
              <w:left w:color="auto" w:space="0" w:sz="4" w:val="single"/>
              <w:bottom w:color="auto" w:space="0" w:sz="4" w:val="single"/>
              <w:right w:color="auto" w:space="0" w:sz="4" w:val="single"/>
            </w:tcBorders>
            <w:shd w:color="auto" w:fill="auto" w:val="clear"/>
            <w:vAlign w:val="center"/>
          </w:tcPr>
          <w:p w14:paraId="34A2FB47">
            <w:pPr>
              <w:keepNext w:val="0"/>
              <w:keepLines w:val="0"/>
              <w:widowControl/>
              <w:suppressLineNumbers w:val="0"/>
              <w:ind w:firstLine="0" w:firstLineChars="0" w:left="0" w:leftChars="0"/>
              <w:jc w:val="both"/>
              <w:textAlignment w:val="center"/>
              <w:rPr>
                <w:rFonts w:ascii="宋体" w:cs="宋体" w:eastAsia="宋体" w:hAnsi="宋体" w:hint="eastAsia"/>
                <w:i w:val="0"/>
                <w:iCs w:val="0"/>
                <w:color w:val="000000"/>
                <w:sz w:val="22"/>
                <w:szCs w:val="22"/>
                <w:u w:val="none"/>
              </w:rPr>
            </w:pPr>
            <w:r>
              <w:rPr>
                <w:rFonts w:ascii="宋体" w:cs="宋体" w:eastAsia="宋体" w:hAnsi="宋体" w:hint="eastAsia"/>
                <w:i w:val="0"/>
                <w:iCs w:val="0"/>
                <w:color w:val="000000"/>
                <w:kern w:val="0"/>
                <w:sz w:val="22"/>
                <w:szCs w:val="22"/>
                <w:u w:val="none"/>
                <w:lang w:bidi="ar" w:eastAsia="zh-CN" w:val="en-US"/>
                <w14:ligatures w14:val="none"/>
              </w:rPr>
              <w:t>辅道桥</w:t>
            </w: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6139A752">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左幅2#</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5D309A60">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2.5 </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563EA1ED">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2.6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039A0DFF">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0.0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6CAD426C">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0.0 </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7ECE65AC">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0.0 </w:t>
            </w:r>
          </w:p>
        </w:tc>
      </w:tr>
      <w:tr w14:paraId="4A18DA44">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916"/>
            <w:vMerge w:val="continue"/>
            <w:tcBorders>
              <w:top w:color="auto" w:space="0" w:sz="4" w:val="single"/>
              <w:left w:color="auto" w:space="0" w:sz="4" w:val="single"/>
              <w:bottom w:color="auto" w:space="0" w:sz="4" w:val="single"/>
              <w:right w:color="auto" w:space="0" w:sz="4" w:val="single"/>
            </w:tcBorders>
            <w:shd w:color="auto" w:fill="auto" w:val="clear"/>
            <w:vAlign w:val="center"/>
          </w:tcPr>
          <w:p w14:paraId="02A26591">
            <w:pPr>
              <w:jc w:val="center"/>
              <w:rPr>
                <w:rFonts w:ascii="宋体" w:cs="宋体" w:eastAsia="宋体" w:hAnsi="宋体" w:hint="eastAsia"/>
                <w:i w:val="0"/>
                <w:iCs w:val="0"/>
                <w:color w:val="000000"/>
                <w:sz w:val="22"/>
                <w:szCs w:val="22"/>
                <w:u w:val="none"/>
              </w:rPr>
            </w:pP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5A3AA9CC">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左幅3#</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37FD1AE1">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2.5 </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2A3174BB">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2.6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5715C199">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0.0 </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447614FB">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2.0 </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158CA2AA">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 xml:space="preserve">2.0 </w:t>
            </w:r>
          </w:p>
        </w:tc>
      </w:tr>
      <w:tr w14:paraId="00743156">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916"/>
            <w:vMerge w:val="continue"/>
            <w:tcBorders>
              <w:top w:color="auto" w:space="0" w:sz="4" w:val="single"/>
              <w:left w:color="auto" w:space="0" w:sz="4" w:val="single"/>
              <w:bottom w:color="auto" w:space="0" w:sz="4" w:val="single"/>
              <w:right w:color="auto" w:space="0" w:sz="4" w:val="single"/>
            </w:tcBorders>
            <w:shd w:color="auto" w:fill="auto" w:val="clear"/>
            <w:vAlign w:val="center"/>
          </w:tcPr>
          <w:p w14:paraId="4BCD9A7C">
            <w:pPr>
              <w:jc w:val="center"/>
              <w:rPr>
                <w:rFonts w:ascii="宋体" w:cs="宋体" w:eastAsia="宋体" w:hAnsi="宋体" w:hint="eastAsia"/>
                <w:i w:val="0"/>
                <w:iCs w:val="0"/>
                <w:color w:val="000000"/>
                <w:sz w:val="22"/>
                <w:szCs w:val="22"/>
                <w:u w:val="none"/>
              </w:rPr>
            </w:pP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5A8F55FA">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右幅2#</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2230A3C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2.2</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4B14759F">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2.3</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6F2789C3">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0</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0C195142">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0</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2949889F">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0</w:t>
            </w:r>
          </w:p>
        </w:tc>
      </w:tr>
      <w:tr w14:paraId="2620B0B5">
        <w:tblPrEx>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hRule="atLeast" w:val="600"/>
        </w:trPr>
        <w:tc>
          <w:tcPr>
            <w:tcW w:type="dxa" w:w="916"/>
            <w:vMerge w:val="continue"/>
            <w:tcBorders>
              <w:top w:color="auto" w:space="0" w:sz="4" w:val="single"/>
              <w:left w:color="auto" w:space="0" w:sz="4" w:val="single"/>
              <w:bottom w:color="auto" w:space="0" w:sz="4" w:val="single"/>
              <w:right w:color="auto" w:space="0" w:sz="4" w:val="single"/>
            </w:tcBorders>
            <w:shd w:color="auto" w:fill="auto" w:val="clear"/>
            <w:vAlign w:val="center"/>
          </w:tcPr>
          <w:p w14:paraId="21D81571">
            <w:pPr>
              <w:jc w:val="center"/>
              <w:rPr>
                <w:rFonts w:ascii="宋体" w:cs="宋体" w:eastAsia="宋体" w:hAnsi="宋体" w:hint="eastAsia"/>
                <w:i w:val="0"/>
                <w:iCs w:val="0"/>
                <w:color w:val="000000"/>
                <w:sz w:val="22"/>
                <w:szCs w:val="22"/>
                <w:u w:val="none"/>
              </w:rPr>
            </w:pPr>
          </w:p>
        </w:tc>
        <w:tc>
          <w:tcPr>
            <w:tcW w:type="dxa" w:w="920"/>
            <w:tcBorders>
              <w:top w:color="000000" w:space="0" w:sz="4" w:val="single"/>
              <w:left w:color="auto" w:space="0" w:sz="4" w:val="single"/>
              <w:bottom w:color="000000" w:space="0" w:sz="4" w:val="single"/>
              <w:right w:color="000000" w:space="0" w:sz="4" w:val="single"/>
            </w:tcBorders>
            <w:shd w:color="auto" w:fill="auto" w:val="clear"/>
            <w:vAlign w:val="center"/>
          </w:tcPr>
          <w:p w14:paraId="19779C66">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右幅3#</w:t>
            </w:r>
          </w:p>
        </w:tc>
        <w:tc>
          <w:tcPr>
            <w:tcW w:type="dxa" w:w="1026"/>
            <w:tcBorders>
              <w:top w:color="000000" w:space="0" w:sz="4" w:val="single"/>
              <w:left w:color="000000" w:space="0" w:sz="4" w:val="single"/>
              <w:bottom w:color="000000" w:space="0" w:sz="4" w:val="single"/>
              <w:right w:color="000000" w:space="0" w:sz="4" w:val="single"/>
            </w:tcBorders>
            <w:shd w:color="auto" w:fill="auto" w:val="clear"/>
            <w:vAlign w:val="center"/>
          </w:tcPr>
          <w:p w14:paraId="051A3AE8">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2.2</w:t>
            </w:r>
          </w:p>
        </w:tc>
        <w:tc>
          <w:tcPr>
            <w:tcW w:type="dxa" w:w="1571"/>
            <w:tcBorders>
              <w:top w:color="000000" w:space="0" w:sz="4" w:val="single"/>
              <w:left w:color="000000" w:space="0" w:sz="4" w:val="single"/>
              <w:bottom w:color="000000" w:space="0" w:sz="4" w:val="single"/>
              <w:right w:color="000000" w:space="0" w:sz="4" w:val="single"/>
            </w:tcBorders>
            <w:shd w:color="auto" w:fill="auto" w:val="clear"/>
            <w:vAlign w:val="center"/>
          </w:tcPr>
          <w:p w14:paraId="75B2CE09">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2.3</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6B759511">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0</w:t>
            </w:r>
          </w:p>
        </w:tc>
        <w:tc>
          <w:tcPr>
            <w:tcW w:type="dxa" w:w="1439"/>
            <w:tcBorders>
              <w:top w:color="000000" w:space="0" w:sz="4" w:val="single"/>
              <w:left w:color="000000" w:space="0" w:sz="4" w:val="single"/>
              <w:bottom w:color="000000" w:space="0" w:sz="4" w:val="single"/>
              <w:right w:color="000000" w:space="0" w:sz="4" w:val="single"/>
            </w:tcBorders>
            <w:shd w:color="auto" w:fill="auto" w:val="clear"/>
            <w:vAlign w:val="center"/>
          </w:tcPr>
          <w:p w14:paraId="4FEDD621">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0</w:t>
            </w:r>
          </w:p>
        </w:tc>
        <w:tc>
          <w:tcPr>
            <w:tcW w:type="dxa" w:w="1276"/>
            <w:tcBorders>
              <w:top w:color="000000" w:space="0" w:sz="4" w:val="single"/>
              <w:left w:color="000000" w:space="0" w:sz="4" w:val="single"/>
              <w:bottom w:color="000000" w:space="0" w:sz="4" w:val="single"/>
              <w:right w:color="000000" w:space="0" w:sz="4" w:val="single"/>
            </w:tcBorders>
            <w:shd w:color="auto" w:fill="auto" w:val="clear"/>
            <w:vAlign w:val="center"/>
          </w:tcPr>
          <w:p w14:paraId="4FD664D5">
            <w:pPr>
              <w:keepNext w:val="0"/>
              <w:keepLines w:val="0"/>
              <w:widowControl/>
              <w:suppressLineNumbers w:val="0"/>
              <w:ind w:firstLine="0" w:firstLineChars="0" w:left="0" w:leftChars="0"/>
              <w:jc w:val="center"/>
              <w:textAlignment w:val="center"/>
              <w:rPr>
                <w:rFonts w:ascii="宋体" w:cs="宋体" w:eastAsia="宋体" w:hAnsi="宋体" w:hint="eastAsia"/>
                <w:i w:val="0"/>
                <w:iCs w:val="0"/>
                <w:color w:val="000000"/>
                <w:kern w:val="0"/>
                <w:sz w:val="22"/>
                <w:szCs w:val="22"/>
                <w:u w:val="none"/>
                <w:lang w:bidi="ar" w:eastAsia="zh-CN" w:val="en-US"/>
                <w14:ligatures w14:val="none"/>
              </w:rPr>
            </w:pPr>
            <w:r>
              <w:rPr>
                <w:rFonts w:ascii="宋体" w:cs="宋体" w:eastAsia="宋体" w:hAnsi="宋体" w:hint="eastAsia"/>
                <w:i w:val="0"/>
                <w:iCs w:val="0"/>
                <w:color w:val="000000"/>
                <w:kern w:val="0"/>
                <w:sz w:val="22"/>
                <w:szCs w:val="22"/>
                <w:u w:val="none"/>
                <w:lang w:bidi="ar" w:eastAsia="zh-CN" w:val="en-US"/>
                <w14:ligatures w14:val="none"/>
              </w:rPr>
              <w:t>0</w:t>
            </w:r>
          </w:p>
        </w:tc>
      </w:tr>
    </w:tbl>
    <w:p w14:paraId="623540FF">
      <w:pPr>
        <w:keepNext w:val="0"/>
        <w:keepLines w:val="0"/>
        <w:pageBreakBefore w:val="0"/>
        <w:widowControl w:val="0"/>
        <w:kinsoku/>
        <w:wordWrap/>
        <w:overflowPunct/>
        <w:topLinePunct w:val="0"/>
        <w:autoSpaceDE/>
        <w:autoSpaceDN/>
        <w:bidi w:val="0"/>
        <w:adjustRightInd/>
        <w:snapToGrid/>
        <w:spacing w:line="360" w:lineRule="auto"/>
        <w:ind w:firstLine="0" w:firstLineChars="0" w:left="0" w:leftChars="0"/>
        <w:textAlignment w:val="auto"/>
        <w:rPr>
          <w:rFonts w:hint="eastAsia"/>
        </w:rPr>
      </w:pPr>
    </w:p>
    <w:p w14:paraId="5E96F489">
      <w:pPr>
        <w:ind w:firstLine="480"/>
      </w:pPr>
      <w:r>
        <w:rPr>
          <w:rFonts w:hint="eastAsia"/>
        </w:rPr>
        <w:t>原设计本桩基为分节施工，级配碎石以下为钻孔桩施工，级配碎石以上为墩柱工艺接桩。为满足接桩需求，级配碎石施工完成后，用土垫起施工平台，于施工平台内再接临时钢护筒，如下图所示。</w:t>
      </w:r>
    </w:p>
    <w:p w14:paraId="3AD25208">
      <w:pPr>
        <w:pStyle w:val="34"/>
      </w:pPr>
      <w:r>
        <w:drawing>
          <wp:inline distB="0" distL="0" distR="0" distT="0">
            <wp:extent cx="3267075" cy="2051685"/>
            <wp:effectExtent b="10160" l="0" r="3810" t="0"/>
            <wp:docPr id="954789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89912" name="图片 1"/>
                    <pic:cNvPicPr>
                      <a:picLocks noChangeAspect="1"/>
                    </pic:cNvPicPr>
                  </pic:nvPicPr>
                  <pic:blipFill>
                    <a:blip r:embed="rId31"/>
                    <a:stretch>
                      <a:fillRect/>
                    </a:stretch>
                  </pic:blipFill>
                  <pic:spPr>
                    <a:xfrm>
                      <a:off x="0" y="0"/>
                      <a:ext cx="3267636" cy="2052000"/>
                    </a:xfrm>
                    <a:prstGeom prst="rect">
                      <a:avLst/>
                    </a:prstGeom>
                  </pic:spPr>
                </pic:pic>
              </a:graphicData>
            </a:graphic>
          </wp:inline>
        </w:drawing>
      </w:r>
    </w:p>
    <w:p w14:paraId="518EC30A">
      <w:pPr>
        <w:pStyle w:val="34"/>
        <w:rPr>
          <w:rFonts w:hint="eastAsia"/>
        </w:rPr>
      </w:pPr>
      <w:r>
        <w:rPr>
          <w:rFonts w:hint="eastAsia"/>
        </w:rPr>
        <w:t>图3.3.5-1 桩基施工平台示意</w:t>
      </w:r>
      <w:r>
        <w:t>图</w:t>
      </w:r>
    </w:p>
    <w:p w14:paraId="706F99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eastAsia="zh-CN" w:val="en-US"/>
        </w:rPr>
      </w:pPr>
      <w:r>
        <w:rPr>
          <w:rFonts w:hint="eastAsia"/>
        </w:rPr>
        <w:t>下穿范围内桩基钢护筒于级配碎石垫层填筑</w:t>
      </w:r>
      <w:r>
        <w:rPr>
          <w:rFonts w:hint="eastAsia"/>
          <w:lang w:eastAsia="zh-CN" w:val="en-US"/>
        </w:rPr>
        <w:t>前</w:t>
      </w:r>
      <w:r>
        <w:rPr>
          <w:rFonts w:hint="eastAsia"/>
        </w:rPr>
        <w:t>埋设</w:t>
      </w:r>
      <w:r>
        <w:rPr>
          <w:rFonts w:hint="eastAsia"/>
          <w:lang w:eastAsia="zh-CN"/>
        </w:rPr>
        <w:t>，</w:t>
      </w:r>
      <w:r>
        <w:rPr>
          <w:rFonts w:hint="eastAsia"/>
          <w:lang w:eastAsia="zh-CN" w:val="en-US"/>
        </w:rPr>
        <w:t>原地面清表结束后，根据设计桩位放出桩位位置，然后采用挖机+人工辅助方式下挖60cm，基坑开挖尺寸每侧比</w:t>
      </w:r>
      <w:r>
        <w:rPr>
          <w:rFonts w:hint="eastAsia"/>
          <w:color w:val="auto"/>
          <w:highlight w:val="none"/>
          <w:lang w:eastAsia="zh-CN" w:val="en-US"/>
        </w:rPr>
        <w:t>永久性钢护筒大30cm，开挖结束后，采用永久性钢护筒一次性完成埋设，并在外侧采用钢筋进行限位加固，钢筋采用直径20mm，长度为1m的螺纹钢，埋深60cm，间距25cm进行布设。钢护筒加固完成后，对钢护筒平面位置、垂直度进行复核，复核无误后分层、对称回填素土，回填厚度每层不超过20cm，并采用小型夯实机具进行夯实，直至回填至级配碎石层底为止，再次复核钢护筒平面位置及垂直度，复核无误后，分层、对称回填级配碎石，回填厚度每层不超过20cm，并采用小型夯实机具进行夯实，直至回填至泡沫砼底为止。</w:t>
      </w:r>
    </w:p>
    <w:p w14:paraId="17505E5A">
      <w:pPr>
        <w:ind w:firstLine="480"/>
      </w:pPr>
      <w:r>
        <w:rPr>
          <w:rFonts w:hint="eastAsia"/>
          <w:lang w:eastAsia="zh-CN" w:val="en-US"/>
        </w:rPr>
        <w:t>桩基</w:t>
      </w:r>
      <w:r>
        <w:rPr>
          <w:rFonts w:hint="eastAsia"/>
        </w:rPr>
        <w:t>钻孔采用冲击钻，过程中，严格控制钻进速度、泥浆比重等参数，保证孔壁稳定，防止塌孔。同时，要定期检测孔深、孔径、垂直度等指标，确保钻孔符合设计要求。</w:t>
      </w:r>
    </w:p>
    <w:p w14:paraId="01406383">
      <w:pPr>
        <w:ind w:firstLine="480"/>
      </w:pPr>
      <w:r>
        <w:rPr>
          <w:rFonts w:hint="eastAsia"/>
        </w:rPr>
        <w:t>成孔后需进行清孔作业，目的是清除孔底沉渣，提高桩基承载力。清孔后迅速进行钢筋笼的下放，钢筋笼预先在加工场地按照设计要求制作成型，在运输和下放过程中为防止其变形，在钢筋笼内部简焊十字支撑架。下放时要确保钢筋笼的中心位置与桩孔中心重合，并采用定位筋或吊筋固定其位置。</w:t>
      </w:r>
    </w:p>
    <w:p w14:paraId="1E3650A3">
      <w:pPr>
        <w:ind w:firstLine="480"/>
      </w:pPr>
      <w:r>
        <w:rPr>
          <w:rFonts w:hint="eastAsia"/>
        </w:rPr>
        <w:t>随后进行导管安装，导管应具备足够的强度和密封性，其下端距孔底约30cm距离。接着灌注混凝土，混凝土的配合比严格按照设计要求配制，确保其具有良好的和易性、流动性和强度。灌注过程中，要控制混凝土的灌注速度和导管的埋深，防止断桩、夹泥等质量问题的发生。随着混凝土的不断灌注，导管逐步提升，直至桩顶设计标高80cm以上高度，以保证桩顶混凝土的质量。</w:t>
      </w:r>
    </w:p>
    <w:p w14:paraId="7E59EBE7">
      <w:pPr>
        <w:ind w:firstLine="480"/>
      </w:pPr>
      <w:r>
        <w:rPr>
          <w:rFonts w:hint="eastAsia"/>
        </w:rPr>
        <w:t>在混凝土达到一定强度并凿除桩头后，进行桩身完整性检测，采用超声波透射法或低应变反射波法等检测手段，确保桩基质量符合设计与规范要求。</w:t>
      </w:r>
    </w:p>
    <w:p w14:paraId="5811F7D8">
      <w:pPr>
        <w:ind w:firstLine="480"/>
        <w:rPr>
          <w:rFonts w:hint="eastAsia"/>
        </w:rPr>
      </w:pPr>
      <w:r>
        <w:rPr>
          <w:rFonts w:hint="eastAsia"/>
        </w:rPr>
        <w:t>钻孔桩完成后，上部桩基部分按墩柱工艺施工，因续接钢筋长度超过12m且高度较高，剩余桩基按2次施工，采用墩柱模板翻模向上2次施工完成至系梁底。</w:t>
      </w:r>
    </w:p>
    <w:p w14:paraId="27CE3366">
      <w:pPr>
        <w:ind w:firstLine="480"/>
        <w:rPr>
          <w:rFonts w:eastAsia="宋体" w:hint="default"/>
          <w:lang w:eastAsia="zh-CN" w:val="en-US"/>
        </w:rPr>
      </w:pPr>
      <w:r>
        <w:rPr>
          <w:rFonts w:hint="eastAsia"/>
          <w:lang w:eastAsia="zh-CN" w:val="en-US"/>
        </w:rPr>
        <w:t>桩基、墩柱施工工艺详见钻孔灌注桩专项施工方案及墩柱、系梁专项施工方案。</w:t>
      </w:r>
    </w:p>
    <w:p w14:paraId="37217F9C">
      <w:pPr>
        <w:pStyle w:val="4"/>
      </w:pPr>
      <w:r>
        <w:rPr>
          <w:rFonts w:hint="eastAsia"/>
        </w:rPr>
        <w:t>桥梁下部结构施工</w:t>
      </w:r>
    </w:p>
    <w:p w14:paraId="254CD4A7">
      <w:pPr>
        <w:ind w:firstLine="480"/>
      </w:pPr>
      <w:r>
        <w:rPr>
          <w:rFonts w:hint="eastAsia"/>
        </w:rPr>
        <w:t>地系梁采用抱箍法，按中系梁的施工工艺于高空施工，与盖梁的施工工艺类似</w:t>
      </w:r>
      <w:r>
        <w:rPr>
          <w:rFonts w:hint="eastAsia"/>
          <w:lang w:eastAsia="zh-CN"/>
        </w:rPr>
        <w:t>，</w:t>
      </w:r>
      <w:r>
        <w:rPr>
          <w:rFonts w:hint="eastAsia"/>
          <w:lang w:eastAsia="zh-CN" w:val="en-US"/>
        </w:rPr>
        <w:t>详见盖梁专项施工方案</w:t>
      </w:r>
      <w:r>
        <w:rPr>
          <w:rFonts w:hint="eastAsia"/>
        </w:rPr>
        <w:t>。</w:t>
      </w:r>
    </w:p>
    <w:p w14:paraId="1F2A1543">
      <w:pPr>
        <w:pStyle w:val="34"/>
      </w:pPr>
      <w:r>
        <w:rPr>
          <w:rFonts w:hint="eastAsia"/>
        </w:rPr>
        <w:drawing>
          <wp:inline distB="0" distL="114300" distR="114300" distT="0">
            <wp:extent cx="4474845" cy="2488565"/>
            <wp:effectExtent b="5080" l="0" r="5080" t="0"/>
            <wp:docPr descr="0f0156b3eb69dca9251a4178d581972"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f0156b3eb69dca9251a4178d581972" id="20" name="图片 20"/>
                    <pic:cNvPicPr>
                      <a:picLocks noChangeAspect="1"/>
                    </pic:cNvPicPr>
                  </pic:nvPicPr>
                  <pic:blipFill>
                    <a:blip r:embed="rId32"/>
                    <a:stretch>
                      <a:fillRect/>
                    </a:stretch>
                  </pic:blipFill>
                  <pic:spPr>
                    <a:xfrm>
                      <a:off x="0" y="0"/>
                      <a:ext cx="4474845" cy="2488565"/>
                    </a:xfrm>
                    <a:prstGeom prst="rect">
                      <a:avLst/>
                    </a:prstGeom>
                  </pic:spPr>
                </pic:pic>
              </a:graphicData>
            </a:graphic>
          </wp:inline>
        </w:drawing>
      </w:r>
    </w:p>
    <w:p w14:paraId="46C4F048">
      <w:pPr>
        <w:pStyle w:val="34"/>
      </w:pPr>
      <w:r>
        <w:rPr>
          <w:rFonts w:hint="eastAsia"/>
        </w:rPr>
        <w:t>图3.3.6</w:t>
      </w:r>
      <w:r>
        <w:rPr>
          <w:rFonts w:hint="eastAsia"/>
          <w:lang w:eastAsia="zh-CN" w:val="en-US"/>
        </w:rPr>
        <w:t>.5</w:t>
      </w:r>
      <w:r>
        <w:rPr>
          <w:rFonts w:hint="eastAsia"/>
        </w:rPr>
        <w:t>-1 系梁，盖梁施工示意</w:t>
      </w:r>
      <w:r>
        <w:t>图</w:t>
      </w:r>
    </w:p>
    <w:p w14:paraId="635898B4">
      <w:pPr>
        <w:ind w:firstLine="480"/>
      </w:pPr>
      <w:r>
        <w:rPr>
          <w:rFonts w:hint="eastAsia"/>
        </w:rPr>
        <w:t>支撑体系组成：根据支撑体系高度算出抱箍安装顶面标高后安装好抱箍，抱箍牛腿上铺H50型钢作为横梁，横梁上铺设纵向I18工字钢作为分配梁，然后铺设底模、绑扎钢筋、关侧模、浇筑混凝土及养护。为了保证支撑系统的稳定性，将两根H50型钢紧贴墩柱，每个墩柱侧面采用1根Ф20精扎螺杆穿孔对拉，墩柱间每隔3m设置1道对拉螺杆，且不少于2道，且机械千斤顶中心与型钢中心线重合。</w:t>
      </w:r>
    </w:p>
    <w:p w14:paraId="52E3CA55">
      <w:pPr>
        <w:ind w:firstLine="480"/>
      </w:pPr>
      <w:r>
        <w:rPr>
          <w:rFonts w:hint="eastAsia"/>
        </w:rPr>
        <w:t>3#墩承台较特殊，就目前技术资料数据，拟采用抱箍岩体混合型钢平台法，分两次浇筑施工，第一次浇筑50cm。</w:t>
      </w:r>
    </w:p>
    <w:p w14:paraId="38DBF433">
      <w:pPr>
        <w:pStyle w:val="34"/>
      </w:pPr>
      <w:r>
        <w:drawing>
          <wp:inline distB="0" distL="0" distR="0" distT="0">
            <wp:extent cx="5706110" cy="2816860"/>
            <wp:effectExtent b="2540" l="0" r="8890" t="0"/>
            <wp:docPr id="383892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92300" name="图片 1"/>
                    <pic:cNvPicPr>
                      <a:picLocks noChangeAspect="1"/>
                    </pic:cNvPicPr>
                  </pic:nvPicPr>
                  <pic:blipFill>
                    <a:blip r:embed="rId33"/>
                    <a:stretch>
                      <a:fillRect/>
                    </a:stretch>
                  </pic:blipFill>
                  <pic:spPr>
                    <a:xfrm>
                      <a:off x="0" y="0"/>
                      <a:ext cx="5706110" cy="2816860"/>
                    </a:xfrm>
                    <a:prstGeom prst="rect">
                      <a:avLst/>
                    </a:prstGeom>
                  </pic:spPr>
                </pic:pic>
              </a:graphicData>
            </a:graphic>
          </wp:inline>
        </w:drawing>
      </w:r>
    </w:p>
    <w:p w14:paraId="3B230D5C">
      <w:pPr>
        <w:pStyle w:val="34"/>
      </w:pPr>
      <w:r>
        <w:rPr>
          <w:rFonts w:hint="eastAsia"/>
        </w:rPr>
        <w:t>图3.3.6-2 3#墩承台施工示意</w:t>
      </w:r>
      <w:r>
        <w:t>图</w:t>
      </w:r>
    </w:p>
    <w:p w14:paraId="54137BB7">
      <w:pPr>
        <w:ind w:firstLine="480"/>
      </w:pPr>
      <w:r>
        <w:rPr>
          <w:rFonts w:hint="eastAsia"/>
        </w:rPr>
        <w:t>墩柱施工时，预制钢筋笼，现场机械套筒连接，按墩柱高度考虑1次或2次浇筑完成，2次浇筑时采用翻模施工。</w:t>
      </w:r>
    </w:p>
    <w:p w14:paraId="5FB5D774">
      <w:pPr>
        <w:pStyle w:val="4"/>
      </w:pPr>
      <w:bookmarkStart w:id="35" w:name="_Toc187956727"/>
      <w:r>
        <w:rPr>
          <w:rFonts w:hint="eastAsia"/>
        </w:rPr>
        <w:t>高速桥防抛排水</w:t>
      </w:r>
      <w:bookmarkEnd w:id="35"/>
    </w:p>
    <w:p w14:paraId="53225167">
      <w:pPr>
        <w:ind w:firstLine="480"/>
      </w:pPr>
      <w:r>
        <w:rPr>
          <w:rFonts w:hint="eastAsia"/>
        </w:rPr>
        <w:t>现状高速桥增设了防抛网和桥面集中排水，拟于高速桥上，占用应急车道，施工前提前报备。快速施工完成，严格按相关规定，先布控后施工，施工完成后恢复交通。</w:t>
      </w:r>
    </w:p>
    <w:p w14:paraId="5A931694">
      <w:pPr>
        <w:pStyle w:val="34"/>
      </w:pPr>
      <w:r>
        <w:drawing>
          <wp:inline distB="0" distL="0" distR="0" distT="0">
            <wp:extent cx="1376045" cy="3275965"/>
            <wp:effectExtent b="635" l="0" r="0" t="0"/>
            <wp:docPr id="300754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54868" name="图片 1"/>
                    <pic:cNvPicPr>
                      <a:picLocks noChangeAspect="1"/>
                    </pic:cNvPicPr>
                  </pic:nvPicPr>
                  <pic:blipFill>
                    <a:blip r:embed="rId34"/>
                    <a:stretch>
                      <a:fillRect/>
                    </a:stretch>
                  </pic:blipFill>
                  <pic:spPr>
                    <a:xfrm>
                      <a:off x="0" y="0"/>
                      <a:ext cx="1376191" cy="3276000"/>
                    </a:xfrm>
                    <a:prstGeom prst="rect">
                      <a:avLst/>
                    </a:prstGeom>
                  </pic:spPr>
                </pic:pic>
              </a:graphicData>
            </a:graphic>
          </wp:inline>
        </w:drawing>
      </w:r>
    </w:p>
    <w:p w14:paraId="5774F95A">
      <w:pPr>
        <w:pStyle w:val="34"/>
      </w:pPr>
      <w:r>
        <w:rPr>
          <w:rFonts w:hint="eastAsia"/>
        </w:rPr>
        <w:t>图3.3.7-1 高速桥梁布控示意</w:t>
      </w:r>
      <w:r>
        <w:t>图</w:t>
      </w:r>
    </w:p>
    <w:p w14:paraId="3795B92B">
      <w:pPr>
        <w:pStyle w:val="34"/>
      </w:pPr>
      <w:r>
        <w:drawing>
          <wp:inline distB="0" distL="0" distR="0" distT="0">
            <wp:extent cx="4626610" cy="1835785"/>
            <wp:effectExtent b="0" l="0" r="2540" t="0"/>
            <wp:docPr id="1500183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83385" name="图片 1"/>
                    <pic:cNvPicPr>
                      <a:picLocks noChangeAspect="1"/>
                    </pic:cNvPicPr>
                  </pic:nvPicPr>
                  <pic:blipFill>
                    <a:blip r:embed="rId35"/>
                    <a:srcRect t="6013"/>
                    <a:stretch>
                      <a:fillRect/>
                    </a:stretch>
                  </pic:blipFill>
                  <pic:spPr>
                    <a:xfrm>
                      <a:off x="0" y="0"/>
                      <a:ext cx="4626706" cy="1836000"/>
                    </a:xfrm>
                    <a:prstGeom prst="rect">
                      <a:avLst/>
                    </a:prstGeom>
                    <a:ln>
                      <a:noFill/>
                    </a:ln>
                  </pic:spPr>
                </pic:pic>
              </a:graphicData>
            </a:graphic>
          </wp:inline>
        </w:drawing>
      </w:r>
    </w:p>
    <w:p w14:paraId="06CF2443">
      <w:pPr>
        <w:pStyle w:val="34"/>
        <w:ind w:firstLine="480"/>
      </w:pPr>
      <w:r>
        <w:rPr>
          <w:rFonts w:hint="eastAsia"/>
        </w:rPr>
        <w:t>图3.3.7-2 桥面集中排水设计图</w:t>
      </w:r>
    </w:p>
    <w:p w14:paraId="67356777">
      <w:pPr>
        <w:ind w:firstLine="480"/>
      </w:pPr>
      <w:r>
        <w:rPr>
          <w:rFonts w:hint="eastAsia"/>
        </w:rPr>
        <w:t>集中排水管先行，拟使用桥检车和桥下登高车配合工人进行排水管连接固定。</w:t>
      </w:r>
    </w:p>
    <w:p w14:paraId="05864F23">
      <w:pPr>
        <w:pStyle w:val="34"/>
      </w:pPr>
      <w:r>
        <w:drawing>
          <wp:inline distB="0" distL="0" distR="0" distT="0">
            <wp:extent cx="4390390" cy="2195830"/>
            <wp:effectExtent b="0" l="0" r="0" t="0"/>
            <wp:docPr id="1588502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2287" name="图片 1"/>
                    <pic:cNvPicPr>
                      <a:picLocks noChangeAspect="1"/>
                    </pic:cNvPicPr>
                  </pic:nvPicPr>
                  <pic:blipFill>
                    <a:blip r:embed="rId36"/>
                    <a:stretch>
                      <a:fillRect/>
                    </a:stretch>
                  </pic:blipFill>
                  <pic:spPr>
                    <a:xfrm>
                      <a:off x="0" y="0"/>
                      <a:ext cx="4391022" cy="2196000"/>
                    </a:xfrm>
                    <a:prstGeom prst="rect">
                      <a:avLst/>
                    </a:prstGeom>
                  </pic:spPr>
                </pic:pic>
              </a:graphicData>
            </a:graphic>
          </wp:inline>
        </w:drawing>
      </w:r>
      <w:r>
        <w:t xml:space="preserve"> </w:t>
      </w:r>
      <w:r>
        <w:drawing>
          <wp:inline distB="0" distL="0" distR="0" distT="0">
            <wp:extent cx="1162685" cy="2195830"/>
            <wp:effectExtent b="0" l="0" r="0" t="0"/>
            <wp:docPr id="469602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02906" name="图片 1"/>
                    <pic:cNvPicPr>
                      <a:picLocks noChangeAspect="1"/>
                    </pic:cNvPicPr>
                  </pic:nvPicPr>
                  <pic:blipFill>
                    <a:blip r:embed="rId37"/>
                    <a:stretch>
                      <a:fillRect/>
                    </a:stretch>
                  </pic:blipFill>
                  <pic:spPr>
                    <a:xfrm>
                      <a:off x="0" y="0"/>
                      <a:ext cx="1162931" cy="2196000"/>
                    </a:xfrm>
                    <a:prstGeom prst="rect">
                      <a:avLst/>
                    </a:prstGeom>
                  </pic:spPr>
                </pic:pic>
              </a:graphicData>
            </a:graphic>
          </wp:inline>
        </w:drawing>
      </w:r>
    </w:p>
    <w:p w14:paraId="2F0B7BD2">
      <w:pPr>
        <w:pStyle w:val="34"/>
        <w:ind w:firstLine="480"/>
      </w:pPr>
      <w:bookmarkStart w:id="36" w:name="OLE_LINK6"/>
      <w:r>
        <w:rPr>
          <w:rFonts w:hint="eastAsia"/>
        </w:rPr>
        <w:t>图3.3.7-3 防抛网设计图</w:t>
      </w:r>
    </w:p>
    <w:bookmarkEnd w:id="36"/>
    <w:p w14:paraId="1A02BB8E">
      <w:pPr>
        <w:ind w:firstLine="480"/>
      </w:pPr>
      <w:r>
        <w:rPr>
          <w:rFonts w:hint="eastAsia"/>
        </w:rPr>
        <w:t>防抛网待排水管完成并检验完毕后开始施工，拟使用小型吊车配合工人进行施工，先于桥侧打孔，安装螺栓，再安装桥侧立杆，后装防抛网面。</w:t>
      </w:r>
    </w:p>
    <w:p w14:paraId="29EC112E">
      <w:pPr>
        <w:ind w:firstLine="480"/>
      </w:pPr>
      <w:r>
        <w:rPr>
          <w:rFonts w:hint="eastAsia"/>
        </w:rPr>
        <w:t>布控工作区长度按抛网计，为南北侧各105米。</w:t>
      </w:r>
    </w:p>
    <w:p w14:paraId="74AF3A0A">
      <w:pPr>
        <w:pStyle w:val="4"/>
      </w:pPr>
      <w:bookmarkStart w:id="37" w:name="_Toc187956728"/>
      <w:bookmarkStart w:id="148" w:name="_GoBack"/>
      <w:bookmarkEnd w:id="148"/>
      <w:r>
        <w:rPr>
          <w:rFonts w:hint="eastAsia"/>
        </w:rPr>
        <w:t>泡沫砼</w:t>
      </w:r>
      <w:bookmarkEnd w:id="37"/>
    </w:p>
    <w:p w14:paraId="044D2EE8">
      <w:pPr>
        <w:pStyle w:val="34"/>
      </w:pPr>
      <w:r>
        <w:drawing>
          <wp:inline distB="0" distL="0" distR="0" distT="0">
            <wp:extent cx="5036820" cy="2113280"/>
            <wp:effectExtent b="2540" l="0" r="4445" t="0"/>
            <wp:docPr id="1605213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3211" name="图片 1"/>
                    <pic:cNvPicPr>
                      <a:picLocks noChangeAspect="1"/>
                    </pic:cNvPicPr>
                  </pic:nvPicPr>
                  <pic:blipFill>
                    <a:blip r:embed="rId38"/>
                    <a:srcRect t="6605"/>
                    <a:stretch>
                      <a:fillRect/>
                    </a:stretch>
                  </pic:blipFill>
                  <pic:spPr>
                    <a:xfrm>
                      <a:off x="0" y="0"/>
                      <a:ext cx="5036820" cy="2113280"/>
                    </a:xfrm>
                    <a:prstGeom prst="rect">
                      <a:avLst/>
                    </a:prstGeom>
                    <a:ln>
                      <a:noFill/>
                    </a:ln>
                  </pic:spPr>
                </pic:pic>
              </a:graphicData>
            </a:graphic>
          </wp:inline>
        </w:drawing>
      </w:r>
    </w:p>
    <w:p w14:paraId="16319F83">
      <w:pPr>
        <w:pStyle w:val="34"/>
        <w:ind w:firstLine="480"/>
      </w:pPr>
      <w:r>
        <w:rPr>
          <w:rFonts w:hint="eastAsia"/>
        </w:rPr>
        <w:t>图3.3.8-1 泡沫砼设计图</w:t>
      </w:r>
    </w:p>
    <w:p w14:paraId="1A750446">
      <w:pPr>
        <w:ind w:firstLine="480"/>
        <w:rPr>
          <w:rFonts w:hint="default"/>
          <w:lang w:eastAsia="zh-CN" w:val="en-US"/>
        </w:rPr>
      </w:pPr>
      <w:r>
        <w:rPr>
          <w:rFonts w:hint="eastAsia"/>
        </w:rPr>
        <w:t>炭坑溪桥下2#~3#墩间设计泡沫砼填充，高度约14.5m，总方量46857m</w:t>
      </w:r>
      <w:r>
        <w:rPr>
          <w:rFonts w:hint="eastAsia"/>
          <w:vertAlign w:val="superscript"/>
        </w:rPr>
        <w:t>3</w:t>
      </w:r>
      <w:r>
        <w:rPr>
          <w:rFonts w:hint="eastAsia"/>
        </w:rPr>
        <w:t>。拟投入</w:t>
      </w:r>
      <w:r>
        <w:rPr>
          <w:rFonts w:hint="eastAsia"/>
          <w:lang w:eastAsia="zh-CN" w:val="en-US"/>
        </w:rPr>
        <w:t>1</w:t>
      </w:r>
      <w:r>
        <w:rPr>
          <w:rFonts w:hint="eastAsia"/>
        </w:rPr>
        <w:t>套设备</w:t>
      </w:r>
      <w:r>
        <w:rPr>
          <w:rFonts w:hint="eastAsia"/>
          <w:lang w:eastAsia="zh-CN"/>
        </w:rPr>
        <w:t>（</w:t>
      </w:r>
      <w:r>
        <w:rPr>
          <w:rFonts w:hint="eastAsia"/>
          <w:lang w:eastAsia="zh-CN" w:val="en-US"/>
        </w:rPr>
        <w:t>设备投入详见下表</w:t>
      </w:r>
      <w:r>
        <w:rPr>
          <w:rFonts w:hint="eastAsia"/>
          <w:lang w:eastAsia="zh-CN"/>
        </w:rPr>
        <w:t>）</w:t>
      </w:r>
      <w:r>
        <w:rPr>
          <w:rFonts w:hint="eastAsia"/>
          <w:lang w:eastAsia="zh-CN" w:val="en-US"/>
        </w:rPr>
        <w:t>，并于建设一个泡沫混凝土拌合站，拌合站位于炭坑溪大桥右辅道桥1#墩（SK2+460）长20m，宽10m，面积200m</w:t>
      </w:r>
      <w:r>
        <w:rPr>
          <w:rFonts w:hint="eastAsia"/>
          <w:vertAlign w:val="superscript"/>
          <w:lang w:eastAsia="zh-CN" w:val="en-US"/>
        </w:rPr>
        <w:t>2</w:t>
      </w:r>
      <w:r>
        <w:rPr>
          <w:rFonts w:hint="eastAsia"/>
          <w:lang w:eastAsia="zh-CN" w:val="en-US"/>
        </w:rPr>
        <w:t>。</w:t>
      </w:r>
    </w:p>
    <w:p w14:paraId="05BD4785">
      <w:pPr>
        <w:ind w:firstLine="0" w:firstLineChars="0"/>
        <w:jc w:val="center"/>
        <w:rPr>
          <w:rFonts w:ascii="Times New Roman" w:cs="Times New Roman" w:eastAsia="宋体" w:hAnsi="Times New Roman" w:hint="default"/>
          <w:b/>
          <w:bCs/>
          <w:sz w:val="21"/>
          <w:szCs w:val="21"/>
          <w:lang w:eastAsia="zh-CN" w:val="en-US"/>
        </w:rPr>
      </w:pPr>
      <w:r>
        <w:rPr>
          <w:rFonts w:ascii="Times New Roman" w:cs="Times New Roman" w:eastAsia="宋体" w:hAnsi="Times New Roman" w:hint="eastAsia"/>
          <w:b/>
          <w:bCs/>
          <w:sz w:val="21"/>
          <w:szCs w:val="21"/>
          <w:lang w:eastAsia="zh-CN" w:val="en-US"/>
        </w:rPr>
        <w:t>表3.3.8泡沫砼拌合设备清单</w:t>
      </w:r>
    </w:p>
    <w:p w14:paraId="6A301179">
      <w:pPr>
        <w:ind w:firstLine="0" w:firstLineChars="0" w:left="0" w:leftChars="0"/>
        <w:jc w:val="center"/>
        <w:rPr>
          <w:rFonts w:hint="default"/>
          <w:lang w:eastAsia="zh-CN" w:val="en-US"/>
        </w:rPr>
      </w:pPr>
      <w:r>
        <w:rPr>
          <w:rFonts w:hint="default"/>
          <w:lang w:eastAsia="zh-CN" w:val="en-US"/>
        </w:rPr>
        <w:drawing>
          <wp:inline distB="0" distL="114300" distR="114300" distT="0">
            <wp:extent cx="5666105" cy="2139315"/>
            <wp:effectExtent b="8890" l="0" r="1270" t="0"/>
            <wp:docPr descr="1740399130125"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40399130125" id="9" name="图片 9"/>
                    <pic:cNvPicPr>
                      <a:picLocks noChangeAspect="1"/>
                    </pic:cNvPicPr>
                  </pic:nvPicPr>
                  <pic:blipFill>
                    <a:blip r:embed="rId39"/>
                    <a:stretch>
                      <a:fillRect/>
                    </a:stretch>
                  </pic:blipFill>
                  <pic:spPr>
                    <a:xfrm>
                      <a:off x="0" y="0"/>
                      <a:ext cx="5666105" cy="2139315"/>
                    </a:xfrm>
                    <a:prstGeom prst="rect">
                      <a:avLst/>
                    </a:prstGeom>
                  </pic:spPr>
                </pic:pic>
              </a:graphicData>
            </a:graphic>
          </wp:inline>
        </w:drawing>
      </w:r>
    </w:p>
    <w:p w14:paraId="16EF8977">
      <w:pPr>
        <w:ind w:firstLine="480"/>
        <w:jc w:val="center"/>
        <w:rPr>
          <w:rFonts w:eastAsia="宋体" w:hint="eastAsia"/>
          <w:lang w:eastAsia="zh-CN"/>
        </w:rPr>
      </w:pPr>
      <w:r>
        <w:rPr>
          <w:rFonts w:eastAsia="宋体" w:hint="eastAsia"/>
          <w:lang w:eastAsia="zh-CN"/>
        </w:rPr>
        <w:drawing>
          <wp:inline distB="0" distL="114300" distR="114300" distT="0">
            <wp:extent cx="3331210" cy="2177415"/>
            <wp:effectExtent b="3175" l="0" r="4445" t="0"/>
            <wp:docPr descr="1740399417415"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40399417415" id="11" name="图片 11"/>
                    <pic:cNvPicPr>
                      <a:picLocks noChangeAspect="1"/>
                    </pic:cNvPicPr>
                  </pic:nvPicPr>
                  <pic:blipFill>
                    <a:blip r:embed="rId40"/>
                    <a:stretch>
                      <a:fillRect/>
                    </a:stretch>
                  </pic:blipFill>
                  <pic:spPr>
                    <a:xfrm>
                      <a:off x="0" y="0"/>
                      <a:ext cx="3331210" cy="2177415"/>
                    </a:xfrm>
                    <a:prstGeom prst="rect">
                      <a:avLst/>
                    </a:prstGeom>
                  </pic:spPr>
                </pic:pic>
              </a:graphicData>
            </a:graphic>
          </wp:inline>
        </w:drawing>
      </w:r>
    </w:p>
    <w:p w14:paraId="3A4E4624">
      <w:pPr>
        <w:ind w:firstLine="0" w:firstLineChars="0"/>
        <w:jc w:val="center"/>
        <w:rPr>
          <w:rFonts w:ascii="Times New Roman" w:cs="Times New Roman" w:eastAsia="宋体" w:hAnsi="Times New Roman" w:hint="default"/>
          <w:b/>
          <w:bCs/>
          <w:sz w:val="21"/>
          <w:szCs w:val="21"/>
          <w:lang w:eastAsia="zh-CN" w:val="en-US"/>
        </w:rPr>
      </w:pPr>
      <w:r>
        <w:rPr>
          <w:rFonts w:ascii="Times New Roman" w:cs="Times New Roman" w:eastAsia="宋体" w:hAnsi="Times New Roman" w:hint="eastAsia"/>
          <w:b/>
          <w:bCs/>
          <w:sz w:val="21"/>
          <w:szCs w:val="21"/>
          <w:lang w:eastAsia="zh-CN" w:val="en-US"/>
        </w:rPr>
        <w:t>图3.3.8泡沫砼拌合站布置图</w:t>
      </w:r>
    </w:p>
    <w:p w14:paraId="655210A5">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3.3.8.1泡沫混凝土性能要求</w:t>
      </w:r>
    </w:p>
    <w:p w14:paraId="5D8B30CE">
      <w:pPr>
        <w:ind w:firstLine="480"/>
        <w:rPr>
          <w:rFonts w:ascii="Times New Roman" w:eastAsia="宋体" w:hAnsi="Times New Roman" w:hint="eastAsia"/>
          <w:lang w:eastAsia="zh-CN" w:val="en-US"/>
        </w:rPr>
      </w:pPr>
      <w:r>
        <w:rPr>
          <w:rFonts w:ascii="Times New Roman" w:eastAsia="宋体" w:hAnsi="Times New Roman" w:hint="eastAsia"/>
          <w:lang w:eastAsia="zh-CN" w:val="en-US"/>
        </w:rPr>
        <w:t>泡沫混凝土设计湿容重8.0KN/m³，路床范围内28d抗压强度≥0.8Mpa，无侧限抗压强度≥0.6Mpa，流动度180±20mm泡沫混凝土与路基填土之间采用台阶式衔接，台阶高度1m，宽1m，坡比为1：1.0。</w:t>
      </w:r>
    </w:p>
    <w:p w14:paraId="7B909291">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default"/>
          <w:sz w:val="24"/>
          <w:szCs w:val="24"/>
          <w:lang w:eastAsia="zh-CN" w:val="en-US"/>
        </w:rPr>
      </w:pPr>
      <w:r>
        <w:rPr>
          <w:rFonts w:ascii="宋体" w:cs="宋体" w:eastAsia="宋体" w:hAnsi="宋体" w:hint="eastAsia"/>
          <w:sz w:val="24"/>
          <w:szCs w:val="24"/>
          <w:lang w:eastAsia="zh-CN" w:val="en-US"/>
        </w:rPr>
        <w:t>3.3.8.2施工工艺流程</w:t>
      </w:r>
    </w:p>
    <w:p w14:paraId="6EA1FE0B">
      <w:pPr>
        <w:ind w:firstLine="482"/>
        <w:rPr>
          <w:rFonts w:hint="eastAsia"/>
          <w:b/>
        </w:rPr>
      </w:pPr>
      <w:r>
        <w:rPr>
          <w:rFonts w:ascii="宋体" w:cs="宋体" w:eastAsia="宋体" w:hAnsi="宋体" w:hint="eastAsia"/>
          <w:snapToGrid w:val="0"/>
          <w:sz w:val="24"/>
          <w:szCs w:val="24"/>
        </w:rPr>
        <w:object>
          <v:shape alt="" coordsize="21600,21600" filled="f" id="_x0000_i1025" o:ole="t" o:preferrelative="t" o:spt="75" stroked="f" style="height:250.8pt;width:289.1pt;" type="#_x0000_t75">
            <v:path/>
            <v:fill focussize="0,0" on="f"/>
            <v:stroke on="f"/>
            <v:imagedata o:title="" r:id="rId41"/>
            <o:lock aspectratio="t" v:ext="edit"/>
            <w10:wrap type="none"/>
            <w10:anchorlock/>
          </v:shape>
          <o:OLEObject DrawAspect="Content" ObjectID="_1468075725" ProgID="Visio.Drawing.15" ShapeID="_x0000_i1025" Type="Embed">
            <o:LockedField>false</o:LockedField>
          </o:OLEObject>
        </w:object>
      </w:r>
    </w:p>
    <w:p w14:paraId="0CE72683">
      <w:pPr>
        <w:ind w:firstLine="0" w:firstLineChars="0"/>
        <w:jc w:val="center"/>
        <w:rPr>
          <w:rFonts w:hint="eastAsia"/>
          <w:b/>
        </w:rPr>
      </w:pPr>
      <w:r>
        <w:rPr>
          <w:rFonts w:ascii="Times New Roman" w:cs="Times New Roman" w:eastAsia="宋体" w:hAnsi="Times New Roman" w:hint="eastAsia"/>
          <w:b/>
          <w:bCs/>
          <w:sz w:val="21"/>
          <w:szCs w:val="21"/>
          <w:lang w:eastAsia="zh-CN" w:val="en-US"/>
        </w:rPr>
        <w:t>图 3.3.8.2-1  泡沫混凝土施工工艺流程图</w:t>
      </w:r>
    </w:p>
    <w:p w14:paraId="47B07E06">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3.3.8.3施工准备及检测项目</w:t>
      </w:r>
    </w:p>
    <w:p w14:paraId="19854B5D">
      <w:pPr>
        <w:ind w:firstLine="480"/>
        <w:rPr>
          <w:rFonts w:ascii="Times New Roman" w:eastAsia="宋体" w:hAnsi="Times New Roman" w:hint="eastAsia"/>
          <w:lang w:eastAsia="zh-CN" w:val="en-US"/>
        </w:rPr>
      </w:pPr>
      <w:bookmarkStart w:id="38" w:name="_Toc18648"/>
      <w:bookmarkStart w:id="39" w:name="_Toc15184"/>
      <w:r>
        <w:rPr>
          <w:rFonts w:ascii="Times New Roman" w:eastAsia="宋体" w:hAnsi="Times New Roman" w:hint="eastAsia"/>
          <w:lang w:eastAsia="zh-CN" w:val="en-US"/>
        </w:rPr>
        <w:t>（1）技术准备</w:t>
      </w:r>
      <w:bookmarkEnd w:id="38"/>
      <w:bookmarkEnd w:id="39"/>
    </w:p>
    <w:p w14:paraId="372A2D35">
      <w:pPr>
        <w:ind w:firstLine="480"/>
        <w:rPr>
          <w:rFonts w:ascii="Times New Roman" w:eastAsia="宋体" w:hAnsi="Times New Roman" w:hint="eastAsia"/>
          <w:lang w:eastAsia="zh-CN" w:val="en-US"/>
        </w:rPr>
      </w:pPr>
      <w:bookmarkStart w:id="40" w:name="_Toc15010"/>
      <w:r>
        <w:rPr>
          <w:rFonts w:ascii="Times New Roman" w:eastAsia="宋体" w:hAnsi="Times New Roman" w:hint="eastAsia"/>
          <w:lang w:eastAsia="zh-CN" w:val="en-US"/>
        </w:rPr>
        <w:t>①开工前已具备以下资料：</w:t>
      </w:r>
    </w:p>
    <w:p w14:paraId="0EF49DD3">
      <w:pPr>
        <w:ind w:firstLine="480"/>
        <w:rPr>
          <w:rFonts w:ascii="Times New Roman" w:eastAsia="宋体" w:hAnsi="Times New Roman" w:hint="eastAsia"/>
          <w:lang w:eastAsia="zh-CN" w:val="en-US"/>
        </w:rPr>
      </w:pPr>
      <w:r>
        <w:rPr>
          <w:rFonts w:ascii="Times New Roman" w:eastAsia="宋体" w:hAnsi="Times New Roman" w:hint="eastAsia"/>
          <w:lang w:eastAsia="zh-CN" w:val="en-US"/>
        </w:rPr>
        <w:t>a.工程施工设计图纸、技术要求；</w:t>
      </w:r>
    </w:p>
    <w:p w14:paraId="63A5904F">
      <w:pPr>
        <w:ind w:firstLine="480"/>
        <w:rPr>
          <w:rFonts w:ascii="Times New Roman" w:eastAsia="宋体" w:hAnsi="Times New Roman" w:hint="eastAsia"/>
          <w:lang w:eastAsia="zh-CN" w:val="en-US"/>
        </w:rPr>
      </w:pPr>
      <w:r>
        <w:rPr>
          <w:rFonts w:ascii="Times New Roman" w:eastAsia="宋体" w:hAnsi="Times New Roman" w:hint="eastAsia"/>
          <w:lang w:eastAsia="zh-CN" w:val="en-US"/>
        </w:rPr>
        <w:t>b.设计技术交底会议纪要及技术联系单；</w:t>
      </w:r>
    </w:p>
    <w:p w14:paraId="0DD28F58">
      <w:pPr>
        <w:ind w:firstLine="480"/>
        <w:rPr>
          <w:rFonts w:ascii="Times New Roman" w:eastAsia="宋体" w:hAnsi="Times New Roman" w:hint="eastAsia"/>
          <w:lang w:eastAsia="zh-CN" w:val="en-US"/>
        </w:rPr>
      </w:pPr>
      <w:r>
        <w:rPr>
          <w:rFonts w:ascii="Times New Roman" w:eastAsia="宋体" w:hAnsi="Times New Roman" w:hint="eastAsia"/>
          <w:lang w:eastAsia="zh-CN" w:val="en-US"/>
        </w:rPr>
        <w:t>c.工程施工技术措施，施工进度表；</w:t>
      </w:r>
    </w:p>
    <w:p w14:paraId="25E22B8F">
      <w:pPr>
        <w:ind w:firstLine="480"/>
        <w:rPr>
          <w:rFonts w:ascii="Times New Roman" w:eastAsia="宋体" w:hAnsi="Times New Roman" w:hint="eastAsia"/>
          <w:lang w:eastAsia="zh-CN" w:val="en-US"/>
        </w:rPr>
      </w:pPr>
      <w:r>
        <w:rPr>
          <w:rFonts w:ascii="Times New Roman" w:eastAsia="宋体" w:hAnsi="Times New Roman" w:hint="eastAsia"/>
          <w:lang w:eastAsia="zh-CN" w:val="en-US"/>
        </w:rPr>
        <w:t>d.质量、安全保证措施。</w:t>
      </w:r>
    </w:p>
    <w:p w14:paraId="036E00FA">
      <w:pPr>
        <w:ind w:firstLine="480"/>
        <w:rPr>
          <w:rFonts w:ascii="Times New Roman" w:eastAsia="宋体" w:hAnsi="Times New Roman" w:hint="eastAsia"/>
          <w:lang w:eastAsia="zh-CN" w:val="en-US"/>
        </w:rPr>
      </w:pPr>
      <w:r>
        <w:rPr>
          <w:rFonts w:ascii="Times New Roman" w:eastAsia="宋体" w:hAnsi="Times New Roman" w:hint="eastAsia"/>
          <w:lang w:eastAsia="zh-CN" w:val="en-US"/>
        </w:rPr>
        <w:t>②工程开工之前，组织有关人员进一步熟悉施工图纸及施工要求。进行内部预审，找出疑难重点，研究对策，细致审查图纸，为编制实施施工方案做好基础工作。</w:t>
      </w:r>
    </w:p>
    <w:p w14:paraId="52E02ADA">
      <w:pPr>
        <w:ind w:firstLine="480"/>
        <w:rPr>
          <w:rFonts w:ascii="Times New Roman" w:eastAsia="宋体" w:hAnsi="Times New Roman" w:hint="eastAsia"/>
          <w:lang w:eastAsia="zh-CN" w:val="en-US"/>
        </w:rPr>
      </w:pPr>
      <w:r>
        <w:rPr>
          <w:rFonts w:ascii="Times New Roman" w:eastAsia="宋体" w:hAnsi="Times New Roman" w:hint="eastAsia"/>
          <w:lang w:eastAsia="zh-CN" w:val="en-US"/>
        </w:rPr>
        <w:t>③在充分研究、了解设计意图后，根据工程具体要求，投入机械、设备、劳动力组织等动态情况，编制施工方案，力求方案思路明确，措施保障有力，技术方法得当，为进入施工实施作好充分准备。</w:t>
      </w:r>
      <w:bookmarkEnd w:id="40"/>
    </w:p>
    <w:p w14:paraId="251850AB">
      <w:pPr>
        <w:ind w:firstLine="480"/>
        <w:rPr>
          <w:rFonts w:ascii="Times New Roman" w:eastAsia="宋体" w:hAnsi="Times New Roman" w:hint="eastAsia"/>
          <w:lang w:eastAsia="zh-CN" w:val="en-US"/>
        </w:rPr>
      </w:pPr>
      <w:bookmarkStart w:id="41" w:name="_Toc24267"/>
      <w:r>
        <w:rPr>
          <w:rFonts w:ascii="Times New Roman" w:eastAsia="宋体" w:hAnsi="Times New Roman" w:hint="eastAsia"/>
          <w:lang w:eastAsia="zh-CN" w:val="en-US"/>
        </w:rPr>
        <w:t>④对泡沫混凝土进行总体布置，确定施工作业，并制订好施工进度计划。</w:t>
      </w:r>
      <w:bookmarkEnd w:id="41"/>
    </w:p>
    <w:p w14:paraId="56D2F866">
      <w:pPr>
        <w:ind w:firstLine="480"/>
        <w:rPr>
          <w:rFonts w:ascii="Times New Roman" w:eastAsia="宋体" w:hAnsi="Times New Roman" w:hint="eastAsia"/>
          <w:lang w:eastAsia="zh-CN" w:val="en-US"/>
        </w:rPr>
      </w:pPr>
      <w:bookmarkStart w:id="42" w:name="_Toc8358"/>
      <w:r>
        <w:rPr>
          <w:rFonts w:ascii="Times New Roman" w:eastAsia="宋体" w:hAnsi="Times New Roman" w:hint="eastAsia"/>
          <w:lang w:eastAsia="zh-CN" w:val="en-US"/>
        </w:rPr>
        <w:t>⑤施工前逐级进行安全技术交底。</w:t>
      </w:r>
      <w:bookmarkEnd w:id="42"/>
    </w:p>
    <w:p w14:paraId="2CAE6B9A">
      <w:pPr>
        <w:ind w:firstLine="480"/>
        <w:rPr>
          <w:rFonts w:ascii="Times New Roman" w:eastAsia="宋体" w:hAnsi="Times New Roman" w:hint="eastAsia"/>
          <w:lang w:eastAsia="zh-CN" w:val="en-US"/>
        </w:rPr>
      </w:pPr>
      <w:bookmarkStart w:id="43" w:name="_Toc20992"/>
      <w:bookmarkStart w:id="44" w:name="_Toc23285"/>
      <w:r>
        <w:rPr>
          <w:rFonts w:ascii="Times New Roman" w:eastAsia="宋体" w:hAnsi="Times New Roman" w:hint="eastAsia"/>
          <w:lang w:eastAsia="zh-CN" w:val="en-US"/>
        </w:rPr>
        <w:t>（2）泡沫混凝土场地准备</w:t>
      </w:r>
      <w:bookmarkEnd w:id="43"/>
      <w:bookmarkEnd w:id="44"/>
    </w:p>
    <w:p w14:paraId="7D2BC108">
      <w:pPr>
        <w:ind w:firstLine="480"/>
        <w:rPr>
          <w:rFonts w:ascii="Times New Roman" w:eastAsia="宋体" w:hAnsi="Times New Roman" w:hint="eastAsia"/>
          <w:lang w:eastAsia="zh-CN" w:val="en-US"/>
        </w:rPr>
      </w:pPr>
      <w:bookmarkStart w:id="45" w:name="_Toc4967"/>
      <w:r>
        <w:rPr>
          <w:rFonts w:ascii="Times New Roman" w:eastAsia="宋体" w:hAnsi="Times New Roman" w:hint="eastAsia"/>
          <w:lang w:eastAsia="zh-CN" w:val="en-US"/>
        </w:rPr>
        <w:t>①场地硬化</w:t>
      </w:r>
      <w:bookmarkEnd w:id="45"/>
    </w:p>
    <w:p w14:paraId="160D29B9">
      <w:pPr>
        <w:ind w:firstLine="480"/>
        <w:rPr>
          <w:rFonts w:ascii="Times New Roman" w:eastAsia="宋体" w:hAnsi="Times New Roman" w:hint="eastAsia"/>
          <w:lang w:eastAsia="zh-CN" w:val="en-US"/>
        </w:rPr>
      </w:pPr>
      <w:bookmarkStart w:id="46" w:name="_Toc24641"/>
      <w:r>
        <w:rPr>
          <w:rFonts w:ascii="Times New Roman" w:eastAsia="宋体" w:hAnsi="Times New Roman" w:hint="eastAsia"/>
          <w:lang w:eastAsia="zh-CN" w:val="en-US"/>
        </w:rPr>
        <w:t>根据投入的机械设备，选择合适的施工地点，并进行设备场地平整处理，水泥硬化。</w:t>
      </w:r>
      <w:bookmarkEnd w:id="46"/>
    </w:p>
    <w:p w14:paraId="1E228F2B">
      <w:pPr>
        <w:ind w:firstLine="480"/>
        <w:rPr>
          <w:rFonts w:ascii="Times New Roman" w:eastAsia="宋体" w:hAnsi="Times New Roman" w:hint="eastAsia"/>
          <w:lang w:eastAsia="zh-CN" w:val="en-US"/>
        </w:rPr>
      </w:pPr>
      <w:bookmarkStart w:id="47" w:name="_Toc21043"/>
      <w:r>
        <w:rPr>
          <w:rFonts w:ascii="Times New Roman" w:eastAsia="宋体" w:hAnsi="Times New Roman" w:hint="eastAsia"/>
          <w:lang w:eastAsia="zh-CN" w:val="en-US"/>
        </w:rPr>
        <w:t>②施工用水、用电：</w:t>
      </w:r>
      <w:bookmarkEnd w:id="47"/>
    </w:p>
    <w:p w14:paraId="7ADCA009">
      <w:pPr>
        <w:ind w:firstLine="480"/>
        <w:rPr>
          <w:rFonts w:ascii="Times New Roman" w:eastAsia="宋体" w:hAnsi="Times New Roman" w:hint="eastAsia"/>
          <w:lang w:eastAsia="zh-CN" w:val="en-US"/>
        </w:rPr>
      </w:pPr>
      <w:bookmarkStart w:id="48" w:name="_Toc4038"/>
      <w:r>
        <w:rPr>
          <w:rFonts w:ascii="Times New Roman" w:eastAsia="宋体" w:hAnsi="Times New Roman" w:hint="eastAsia"/>
          <w:lang w:eastAsia="zh-CN" w:val="en-US"/>
        </w:rPr>
        <w:t>a.施工用电：项目工地临时用电。</w:t>
      </w:r>
      <w:bookmarkEnd w:id="48"/>
    </w:p>
    <w:p w14:paraId="23BEC884">
      <w:pPr>
        <w:ind w:firstLine="480"/>
        <w:rPr>
          <w:rFonts w:ascii="Times New Roman" w:eastAsia="宋体" w:hAnsi="Times New Roman" w:hint="eastAsia"/>
          <w:lang w:eastAsia="zh-CN" w:val="en-US"/>
        </w:rPr>
      </w:pPr>
      <w:bookmarkStart w:id="49" w:name="_Toc1539"/>
      <w:r>
        <w:rPr>
          <w:rFonts w:ascii="Times New Roman" w:eastAsia="宋体" w:hAnsi="Times New Roman" w:hint="eastAsia"/>
          <w:lang w:eastAsia="zh-CN" w:val="en-US"/>
        </w:rPr>
        <w:t>b.施工用水：项目部附近自来水。</w:t>
      </w:r>
      <w:bookmarkEnd w:id="49"/>
    </w:p>
    <w:p w14:paraId="4A330E15">
      <w:pPr>
        <w:ind w:firstLine="480"/>
        <w:rPr>
          <w:rFonts w:ascii="Times New Roman" w:eastAsia="宋体" w:hAnsi="Times New Roman" w:hint="eastAsia"/>
          <w:lang w:eastAsia="zh-CN" w:val="en-US"/>
        </w:rPr>
      </w:pPr>
      <w:bookmarkStart w:id="50" w:name="_Toc6874"/>
      <w:r>
        <w:rPr>
          <w:rFonts w:ascii="Times New Roman" w:eastAsia="宋体" w:hAnsi="Times New Roman" w:hint="eastAsia"/>
          <w:lang w:eastAsia="zh-CN" w:val="en-US"/>
        </w:rPr>
        <w:t>③设备安装调试</w:t>
      </w:r>
      <w:bookmarkEnd w:id="50"/>
    </w:p>
    <w:p w14:paraId="2C134B16">
      <w:pPr>
        <w:ind w:firstLine="480"/>
        <w:rPr>
          <w:rFonts w:ascii="Times New Roman" w:eastAsia="宋体" w:hAnsi="Times New Roman" w:hint="eastAsia"/>
          <w:lang w:eastAsia="zh-CN" w:val="en-US"/>
        </w:rPr>
      </w:pPr>
      <w:bookmarkStart w:id="51" w:name="_Toc10335"/>
      <w:r>
        <w:rPr>
          <w:rFonts w:ascii="Times New Roman" w:eastAsia="宋体" w:hAnsi="Times New Roman" w:hint="eastAsia"/>
          <w:lang w:eastAsia="zh-CN" w:val="en-US"/>
        </w:rPr>
        <w:t>根据施工前，设备布置图进行设备的安装，安装完成后，进行调试，以保证施工的需要。</w:t>
      </w:r>
      <w:bookmarkEnd w:id="51"/>
    </w:p>
    <w:p w14:paraId="438CA334">
      <w:pPr>
        <w:ind w:firstLine="480"/>
        <w:rPr>
          <w:rFonts w:ascii="Times New Roman" w:eastAsia="宋体" w:hAnsi="Times New Roman" w:hint="default"/>
          <w:lang w:eastAsia="zh-CN" w:val="en-US"/>
        </w:rPr>
      </w:pPr>
      <w:r>
        <w:rPr>
          <w:rFonts w:ascii="Times New Roman" w:eastAsia="宋体" w:hAnsi="Times New Roman" w:hint="eastAsia"/>
          <w:lang w:eastAsia="zh-CN" w:val="en-US"/>
        </w:rPr>
        <w:t>（3）检测项目</w:t>
      </w:r>
    </w:p>
    <w:p w14:paraId="4F076AC5">
      <w:pPr>
        <w:ind w:firstLine="0" w:firstLineChars="0"/>
        <w:jc w:val="center"/>
        <w:rPr>
          <w:rFonts w:ascii="Times New Roman" w:cs="Times New Roman" w:eastAsia="宋体" w:hAnsi="Times New Roman" w:hint="eastAsia"/>
          <w:b/>
          <w:bCs/>
          <w:sz w:val="21"/>
          <w:szCs w:val="21"/>
          <w:lang w:eastAsia="zh-CN" w:val="en-US"/>
        </w:rPr>
      </w:pPr>
      <w:r>
        <w:rPr>
          <w:rFonts w:ascii="Times New Roman" w:cs="Times New Roman" w:eastAsia="宋体" w:hAnsi="Times New Roman" w:hint="eastAsia"/>
          <w:b/>
          <w:bCs/>
          <w:sz w:val="21"/>
          <w:szCs w:val="21"/>
          <w:lang w:eastAsia="zh-CN" w:val="en-US"/>
        </w:rPr>
        <w:t xml:space="preserve">   表3.3.8.3-1 泡沫混凝土检测项目</w:t>
      </w:r>
    </w:p>
    <w:tbl>
      <w:tblPr>
        <w:tblStyle w:val="16"/>
        <w:tblW w:type="dxa" w:w="9372"/>
        <w:tblInd w:type="dxa" w:w="113"/>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Layout w:type="fixed"/>
        <w:tblCellMar>
          <w:top w:type="dxa" w:w="0"/>
          <w:left w:type="dxa" w:w="108"/>
          <w:bottom w:type="dxa" w:w="0"/>
          <w:right w:type="dxa" w:w="108"/>
        </w:tblCellMar>
      </w:tblPr>
      <w:tblGrid>
        <w:gridCol w:w="1005"/>
        <w:gridCol w:w="1838"/>
        <w:gridCol w:w="2624"/>
        <w:gridCol w:w="3905"/>
      </w:tblGrid>
      <w:tr w14:paraId="57778F74">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64B72D9C">
            <w:pPr>
              <w:snapToGrid w:val="0"/>
              <w:jc w:val="center"/>
              <w:rPr>
                <w:rFonts w:ascii="宋体" w:cs="宋体" w:hAnsi="宋体"/>
                <w:b/>
                <w:bCs/>
                <w:color w:val="000000"/>
                <w:sz w:val="21"/>
                <w:szCs w:val="21"/>
              </w:rPr>
            </w:pPr>
            <w:r>
              <w:rPr>
                <w:rFonts w:ascii="宋体" w:cs="宋体" w:hAnsi="宋体" w:hint="eastAsia"/>
                <w:b/>
                <w:bCs/>
                <w:color w:val="000000"/>
                <w:sz w:val="21"/>
                <w:szCs w:val="21"/>
              </w:rPr>
              <w:t>项次</w:t>
            </w:r>
          </w:p>
        </w:tc>
        <w:tc>
          <w:tcPr>
            <w:tcW w:type="dxa" w:w="1838"/>
            <w:shd w:color="auto" w:fill="FFFFFF" w:val="clear"/>
            <w:noWrap w:val="0"/>
            <w:vAlign w:val="center"/>
          </w:tcPr>
          <w:p w14:paraId="50054F27">
            <w:pPr>
              <w:snapToGrid w:val="0"/>
              <w:jc w:val="center"/>
              <w:rPr>
                <w:rFonts w:ascii="宋体" w:cs="宋体" w:hAnsi="宋体"/>
                <w:b/>
                <w:bCs/>
                <w:color w:val="000000"/>
                <w:sz w:val="21"/>
                <w:szCs w:val="21"/>
              </w:rPr>
            </w:pPr>
            <w:r>
              <w:rPr>
                <w:rFonts w:ascii="宋体" w:cs="宋体" w:hAnsi="宋体" w:hint="eastAsia"/>
                <w:b/>
                <w:bCs/>
                <w:color w:val="000000"/>
                <w:sz w:val="21"/>
                <w:szCs w:val="21"/>
              </w:rPr>
              <w:t>检测项目</w:t>
            </w:r>
          </w:p>
        </w:tc>
        <w:tc>
          <w:tcPr>
            <w:tcW w:type="dxa" w:w="2624"/>
            <w:shd w:color="auto" w:fill="FFFFFF" w:val="clear"/>
            <w:noWrap w:val="0"/>
            <w:vAlign w:val="center"/>
          </w:tcPr>
          <w:p w14:paraId="1199288F">
            <w:pPr>
              <w:snapToGrid w:val="0"/>
              <w:jc w:val="center"/>
              <w:rPr>
                <w:rFonts w:ascii="宋体" w:cs="宋体" w:hAnsi="宋体"/>
                <w:b/>
                <w:bCs/>
                <w:color w:val="000000"/>
                <w:sz w:val="21"/>
                <w:szCs w:val="21"/>
              </w:rPr>
            </w:pPr>
            <w:r>
              <w:rPr>
                <w:rFonts w:ascii="宋体" w:cs="宋体" w:hAnsi="宋体" w:hint="eastAsia"/>
                <w:b/>
                <w:bCs/>
                <w:color w:val="000000"/>
                <w:sz w:val="21"/>
                <w:szCs w:val="21"/>
              </w:rPr>
              <w:t>规定值或允许偏值</w:t>
            </w:r>
          </w:p>
        </w:tc>
        <w:tc>
          <w:tcPr>
            <w:tcW w:type="dxa" w:w="3905"/>
            <w:shd w:color="auto" w:fill="FFFFFF" w:val="clear"/>
            <w:noWrap w:val="0"/>
            <w:vAlign w:val="center"/>
          </w:tcPr>
          <w:p w14:paraId="780FC649">
            <w:pPr>
              <w:snapToGrid w:val="0"/>
              <w:jc w:val="center"/>
              <w:rPr>
                <w:rFonts w:ascii="宋体" w:cs="宋体" w:hAnsi="宋体"/>
                <w:b/>
                <w:bCs/>
                <w:color w:val="000000"/>
                <w:sz w:val="21"/>
                <w:szCs w:val="21"/>
              </w:rPr>
            </w:pPr>
            <w:r>
              <w:rPr>
                <w:rFonts w:ascii="宋体" w:cs="宋体" w:hAnsi="宋体" w:hint="eastAsia"/>
                <w:b/>
                <w:bCs/>
                <w:color w:val="000000"/>
                <w:sz w:val="21"/>
                <w:szCs w:val="21"/>
              </w:rPr>
              <w:t>检查频率（方法）</w:t>
            </w:r>
          </w:p>
        </w:tc>
      </w:tr>
      <w:tr w14:paraId="76093194">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7976D213">
            <w:pPr>
              <w:snapToGrid w:val="0"/>
              <w:jc w:val="center"/>
              <w:rPr>
                <w:rFonts w:ascii="宋体" w:cs="宋体" w:hAnsi="宋体"/>
                <w:b/>
                <w:bCs/>
                <w:color w:val="000000"/>
                <w:sz w:val="21"/>
                <w:szCs w:val="21"/>
              </w:rPr>
            </w:pPr>
            <w:r>
              <w:rPr>
                <w:rFonts w:ascii="宋体" w:cs="宋体" w:hAnsi="宋体" w:hint="eastAsia"/>
                <w:b/>
                <w:bCs/>
                <w:color w:val="000000"/>
                <w:sz w:val="21"/>
                <w:szCs w:val="21"/>
              </w:rPr>
              <w:t>1</w:t>
            </w:r>
          </w:p>
        </w:tc>
        <w:tc>
          <w:tcPr>
            <w:tcW w:type="dxa" w:w="1838"/>
            <w:shd w:color="auto" w:fill="FFFFFF" w:val="clear"/>
            <w:noWrap w:val="0"/>
            <w:vAlign w:val="center"/>
          </w:tcPr>
          <w:p w14:paraId="0CA9E477">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rPr>
              <w:t>气泡密度（kg/m3）</w:t>
            </w:r>
          </w:p>
        </w:tc>
        <w:tc>
          <w:tcPr>
            <w:tcW w:type="dxa" w:w="2624"/>
            <w:shd w:color="auto" w:fill="FFFFFF" w:val="clear"/>
            <w:noWrap w:val="0"/>
            <w:vAlign w:val="center"/>
          </w:tcPr>
          <w:p w14:paraId="3F982651">
            <w:pPr>
              <w:snapToGrid w:val="0"/>
              <w:ind w:firstLine="840" w:firstLineChars="400"/>
              <w:jc w:val="both"/>
              <w:rPr>
                <w:rFonts w:ascii="宋体" w:cs="宋体" w:hAnsi="宋体"/>
                <w:color w:val="000000"/>
                <w:sz w:val="21"/>
                <w:szCs w:val="21"/>
              </w:rPr>
            </w:pPr>
            <w:r>
              <w:rPr>
                <w:rFonts w:ascii="宋体" w:cs="宋体" w:hAnsi="宋体" w:hint="eastAsia"/>
                <w:color w:val="000000"/>
                <w:sz w:val="21"/>
                <w:szCs w:val="21"/>
              </w:rPr>
              <w:t>45-50</w:t>
            </w:r>
          </w:p>
        </w:tc>
        <w:tc>
          <w:tcPr>
            <w:tcW w:type="dxa" w:w="3905"/>
            <w:shd w:color="auto" w:fill="FFFFFF" w:val="clear"/>
            <w:noWrap w:val="0"/>
            <w:vAlign w:val="center"/>
          </w:tcPr>
          <w:p w14:paraId="4A6FF4AA">
            <w:pPr>
              <w:snapToGrid w:val="0"/>
              <w:jc w:val="center"/>
              <w:rPr>
                <w:rFonts w:ascii="宋体" w:cs="宋体" w:hAnsi="宋体"/>
                <w:color w:val="000000"/>
                <w:sz w:val="21"/>
                <w:szCs w:val="21"/>
              </w:rPr>
            </w:pPr>
            <w:r>
              <w:rPr>
                <w:rFonts w:ascii="宋体" w:cs="宋体" w:hAnsi="宋体" w:hint="eastAsia"/>
                <w:color w:val="000000"/>
                <w:sz w:val="21"/>
                <w:szCs w:val="21"/>
              </w:rPr>
              <w:t>开工前自检1次</w:t>
            </w:r>
          </w:p>
        </w:tc>
      </w:tr>
      <w:tr w14:paraId="3E1F9A85">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tblCellMar>
            <w:top w:type="dxa" w:w="0"/>
            <w:left w:type="dxa" w:w="108"/>
            <w:bottom w:type="dxa" w:w="0"/>
            <w:right w:type="dxa" w:w="108"/>
          </w:tblCellMar>
        </w:tblPrEx>
        <w:tc>
          <w:tcPr>
            <w:tcW w:type="dxa" w:w="1005"/>
            <w:shd w:color="auto" w:fill="FFFFFF" w:val="clear"/>
            <w:noWrap w:val="0"/>
            <w:vAlign w:val="center"/>
          </w:tcPr>
          <w:p w14:paraId="65F49CC5">
            <w:pPr>
              <w:snapToGrid w:val="0"/>
              <w:jc w:val="center"/>
              <w:rPr>
                <w:rFonts w:ascii="宋体" w:cs="宋体" w:hAnsi="宋体"/>
                <w:b/>
                <w:bCs/>
                <w:color w:val="000000"/>
                <w:sz w:val="21"/>
                <w:szCs w:val="21"/>
              </w:rPr>
            </w:pPr>
            <w:r>
              <w:rPr>
                <w:rFonts w:ascii="宋体" w:cs="宋体" w:hAnsi="宋体" w:hint="eastAsia"/>
                <w:b/>
                <w:bCs/>
                <w:color w:val="000000"/>
                <w:sz w:val="21"/>
                <w:szCs w:val="21"/>
              </w:rPr>
              <w:t>2</w:t>
            </w:r>
          </w:p>
        </w:tc>
        <w:tc>
          <w:tcPr>
            <w:tcW w:type="dxa" w:w="1838"/>
            <w:shd w:color="auto" w:fill="FFFFFF" w:val="clear"/>
            <w:noWrap w:val="0"/>
            <w:vAlign w:val="center"/>
          </w:tcPr>
          <w:p w14:paraId="0ED8BC77">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lang w:eastAsia="zh-CN" w:val="en-US"/>
              </w:rPr>
              <w:t xml:space="preserve"> </w:t>
            </w:r>
            <w:r>
              <w:rPr>
                <w:rFonts w:ascii="宋体" w:cs="宋体" w:hAnsi="宋体" w:hint="eastAsia"/>
                <w:color w:val="000000"/>
                <w:sz w:val="21"/>
                <w:szCs w:val="21"/>
              </w:rPr>
              <w:t>湿容重（kN/m3）</w:t>
            </w:r>
          </w:p>
        </w:tc>
        <w:tc>
          <w:tcPr>
            <w:tcW w:type="dxa" w:w="2624"/>
            <w:shd w:color="auto" w:fill="FFFFFF" w:val="clear"/>
            <w:noWrap w:val="0"/>
            <w:vAlign w:val="center"/>
          </w:tcPr>
          <w:p w14:paraId="2A099B15">
            <w:pPr>
              <w:snapToGrid w:val="0"/>
              <w:ind w:firstLine="1050" w:firstLineChars="500"/>
              <w:jc w:val="both"/>
              <w:rPr>
                <w:rFonts w:ascii="宋体" w:cs="宋体" w:eastAsia="宋体" w:hAnsi="宋体" w:hint="eastAsia"/>
                <w:color w:val="000000"/>
                <w:sz w:val="21"/>
                <w:szCs w:val="21"/>
                <w:lang w:eastAsia="zh-CN" w:val="en-US"/>
              </w:rPr>
            </w:pPr>
            <w:r>
              <w:rPr>
                <w:rFonts w:ascii="宋体" w:cs="宋体" w:hAnsi="宋体" w:hint="eastAsia"/>
                <w:color w:val="000000"/>
                <w:sz w:val="21"/>
                <w:szCs w:val="21"/>
              </w:rPr>
              <w:t>8.</w:t>
            </w:r>
            <w:r>
              <w:rPr>
                <w:rFonts w:ascii="宋体" w:cs="宋体" w:hAnsi="宋体" w:hint="eastAsia"/>
                <w:color w:val="000000"/>
                <w:sz w:val="21"/>
                <w:szCs w:val="21"/>
                <w:lang w:eastAsia="zh-CN" w:val="en-US"/>
              </w:rPr>
              <w:t>0</w:t>
            </w:r>
          </w:p>
        </w:tc>
        <w:tc>
          <w:tcPr>
            <w:tcW w:type="dxa" w:w="3905"/>
            <w:shd w:color="auto" w:fill="FFFFFF" w:val="clear"/>
            <w:noWrap w:val="0"/>
            <w:vAlign w:val="center"/>
          </w:tcPr>
          <w:p w14:paraId="00BD380C">
            <w:pPr>
              <w:snapToGrid w:val="0"/>
              <w:jc w:val="center"/>
              <w:rPr>
                <w:rFonts w:ascii="宋体" w:cs="宋体" w:hAnsi="宋体"/>
                <w:color w:val="000000"/>
                <w:sz w:val="21"/>
                <w:szCs w:val="21"/>
              </w:rPr>
            </w:pPr>
            <w:r>
              <w:rPr>
                <w:rFonts w:ascii="宋体" w:cs="宋体" w:hAnsi="宋体" w:hint="eastAsia"/>
                <w:color w:val="000000"/>
                <w:sz w:val="21"/>
                <w:szCs w:val="21"/>
              </w:rPr>
              <w:t>浇注每100m3自检1次</w:t>
            </w:r>
          </w:p>
        </w:tc>
      </w:tr>
      <w:tr w14:paraId="587CF1C9">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10D63C67">
            <w:pPr>
              <w:snapToGrid w:val="0"/>
              <w:jc w:val="center"/>
              <w:rPr>
                <w:rFonts w:ascii="宋体" w:cs="宋体" w:hAnsi="宋体"/>
                <w:b/>
                <w:bCs/>
                <w:color w:val="000000"/>
                <w:sz w:val="21"/>
                <w:szCs w:val="21"/>
              </w:rPr>
            </w:pPr>
            <w:r>
              <w:rPr>
                <w:rFonts w:ascii="宋体" w:cs="宋体" w:hAnsi="宋体" w:hint="eastAsia"/>
                <w:b/>
                <w:bCs/>
                <w:color w:val="000000"/>
                <w:sz w:val="21"/>
                <w:szCs w:val="21"/>
              </w:rPr>
              <w:t>3</w:t>
            </w:r>
          </w:p>
        </w:tc>
        <w:tc>
          <w:tcPr>
            <w:tcW w:type="dxa" w:w="1838"/>
            <w:shd w:color="auto" w:fill="FFFFFF" w:val="clear"/>
            <w:noWrap w:val="0"/>
            <w:vAlign w:val="center"/>
          </w:tcPr>
          <w:p w14:paraId="34C61262">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rPr>
              <w:t>流动度（mm）</w:t>
            </w:r>
          </w:p>
        </w:tc>
        <w:tc>
          <w:tcPr>
            <w:tcW w:type="dxa" w:w="2624"/>
            <w:shd w:color="auto" w:fill="FFFFFF" w:val="clear"/>
            <w:noWrap w:val="0"/>
            <w:vAlign w:val="center"/>
          </w:tcPr>
          <w:p w14:paraId="32E23C37">
            <w:pPr>
              <w:snapToGrid w:val="0"/>
              <w:ind w:firstLine="840" w:firstLineChars="400"/>
              <w:jc w:val="both"/>
              <w:rPr>
                <w:rFonts w:ascii="宋体" w:cs="宋体" w:hAnsi="宋体"/>
                <w:color w:val="000000"/>
                <w:sz w:val="21"/>
                <w:szCs w:val="21"/>
              </w:rPr>
            </w:pPr>
            <w:r>
              <w:rPr>
                <w:rFonts w:ascii="宋体" w:cs="宋体" w:hAnsi="宋体" w:hint="eastAsia"/>
                <w:color w:val="000000"/>
                <w:sz w:val="21"/>
                <w:szCs w:val="21"/>
              </w:rPr>
              <w:t>180±20</w:t>
            </w:r>
          </w:p>
        </w:tc>
        <w:tc>
          <w:tcPr>
            <w:tcW w:type="dxa" w:w="3905"/>
            <w:shd w:color="auto" w:fill="FFFFFF" w:val="clear"/>
            <w:noWrap w:val="0"/>
            <w:vAlign w:val="center"/>
          </w:tcPr>
          <w:p w14:paraId="6DA2D2F3">
            <w:pPr>
              <w:snapToGrid w:val="0"/>
              <w:jc w:val="center"/>
              <w:rPr>
                <w:rFonts w:ascii="宋体" w:cs="宋体" w:hAnsi="宋体"/>
                <w:color w:val="000000"/>
                <w:sz w:val="21"/>
                <w:szCs w:val="21"/>
              </w:rPr>
            </w:pPr>
            <w:r>
              <w:rPr>
                <w:rFonts w:ascii="宋体" w:cs="宋体" w:hAnsi="宋体" w:hint="eastAsia"/>
                <w:color w:val="000000"/>
                <w:sz w:val="21"/>
                <w:szCs w:val="21"/>
              </w:rPr>
              <w:t>浇注每100m3自检1次</w:t>
            </w:r>
          </w:p>
        </w:tc>
      </w:tr>
      <w:tr w14:paraId="700CCB4E">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08FD4A49">
            <w:pPr>
              <w:snapToGrid w:val="0"/>
              <w:jc w:val="center"/>
              <w:rPr>
                <w:rFonts w:ascii="宋体" w:cs="宋体" w:eastAsia="宋体" w:hAnsi="宋体" w:hint="eastAsia"/>
                <w:b/>
                <w:bCs/>
                <w:color w:val="000000"/>
                <w:sz w:val="21"/>
                <w:szCs w:val="21"/>
                <w:lang w:eastAsia="zh-CN" w:val="en-US"/>
              </w:rPr>
            </w:pPr>
            <w:r>
              <w:rPr>
                <w:rFonts w:ascii="宋体" w:cs="宋体" w:hAnsi="宋体" w:hint="eastAsia"/>
                <w:b/>
                <w:bCs/>
                <w:color w:val="000000"/>
                <w:sz w:val="21"/>
                <w:szCs w:val="21"/>
                <w:lang w:eastAsia="zh-CN" w:val="en-US"/>
              </w:rPr>
              <w:t>4</w:t>
            </w:r>
          </w:p>
        </w:tc>
        <w:tc>
          <w:tcPr>
            <w:tcW w:type="dxa" w:w="1838"/>
            <w:shd w:color="auto" w:fill="FFFFFF" w:val="clear"/>
            <w:noWrap w:val="0"/>
            <w:vAlign w:val="center"/>
          </w:tcPr>
          <w:p w14:paraId="570E41D3">
            <w:pPr>
              <w:snapToGrid w:val="0"/>
              <w:jc w:val="both"/>
              <w:rPr>
                <w:rFonts w:ascii="宋体" w:cs="宋体" w:eastAsia="宋体" w:hAnsi="宋体" w:hint="eastAsia"/>
                <w:color w:val="000000"/>
                <w:sz w:val="21"/>
                <w:szCs w:val="21"/>
                <w:lang w:eastAsia="zh-CN" w:val="en-US"/>
              </w:rPr>
            </w:pPr>
            <w:r>
              <w:rPr>
                <w:rFonts w:ascii="宋体" w:cs="宋体" w:hAnsi="宋体" w:hint="eastAsia"/>
                <w:color w:val="000000"/>
                <w:sz w:val="21"/>
                <w:szCs w:val="21"/>
                <w:lang w:eastAsia="zh-CN" w:val="en-US"/>
              </w:rPr>
              <w:t>吸水率</w:t>
            </w:r>
          </w:p>
        </w:tc>
        <w:tc>
          <w:tcPr>
            <w:tcW w:type="dxa" w:w="2624"/>
            <w:shd w:color="auto" w:fill="FFFFFF" w:val="clear"/>
            <w:noWrap w:val="0"/>
            <w:vAlign w:val="center"/>
          </w:tcPr>
          <w:p w14:paraId="187AD834">
            <w:pPr>
              <w:snapToGrid w:val="0"/>
              <w:ind w:firstLine="840" w:firstLineChars="400"/>
              <w:jc w:val="both"/>
              <w:rPr>
                <w:rFonts w:ascii="宋体" w:cs="宋体" w:hAnsi="宋体" w:hint="eastAsia"/>
                <w:color w:val="000000"/>
                <w:sz w:val="21"/>
                <w:szCs w:val="21"/>
              </w:rPr>
            </w:pPr>
            <w:r>
              <w:rPr>
                <w:rFonts w:ascii="宋体" w:cs="宋体" w:hAnsi="宋体" w:hint="eastAsia"/>
                <w:color w:val="000000"/>
                <w:sz w:val="21"/>
                <w:szCs w:val="21"/>
                <w:lang w:eastAsia="zh-CN" w:val="en-US"/>
              </w:rPr>
              <w:t>≤</w:t>
            </w:r>
            <w:r>
              <w:rPr>
                <w:rFonts w:ascii="宋体" w:cs="宋体" w:hAnsi="宋体" w:hint="eastAsia"/>
                <w:color w:val="000000"/>
                <w:sz w:val="21"/>
                <w:szCs w:val="21"/>
              </w:rPr>
              <w:t>设计值</w:t>
            </w:r>
          </w:p>
        </w:tc>
        <w:tc>
          <w:tcPr>
            <w:tcW w:type="dxa" w:w="3905"/>
            <w:shd w:color="auto" w:fill="FFFFFF" w:val="clear"/>
            <w:noWrap w:val="0"/>
            <w:vAlign w:val="center"/>
          </w:tcPr>
          <w:p w14:paraId="31FC61B0">
            <w:pPr>
              <w:snapToGrid w:val="0"/>
              <w:jc w:val="center"/>
              <w:rPr>
                <w:rFonts w:ascii="宋体" w:cs="宋体" w:hAnsi="宋体" w:hint="eastAsia"/>
                <w:color w:val="000000"/>
                <w:sz w:val="21"/>
                <w:szCs w:val="21"/>
              </w:rPr>
            </w:pPr>
            <w:r>
              <w:rPr>
                <w:rFonts w:ascii="宋体" w:cs="宋体" w:hAnsi="宋体" w:hint="eastAsia"/>
                <w:color w:val="000000"/>
                <w:sz w:val="21"/>
                <w:szCs w:val="21"/>
              </w:rPr>
              <w:t>每浇注</w:t>
            </w:r>
            <w:r>
              <w:rPr>
                <w:rFonts w:ascii="宋体" w:cs="宋体" w:hAnsi="宋体" w:hint="eastAsia"/>
                <w:color w:val="000000"/>
                <w:sz w:val="21"/>
                <w:szCs w:val="21"/>
                <w:lang w:eastAsia="zh-CN" w:val="en-US"/>
              </w:rPr>
              <w:t>4</w:t>
            </w:r>
            <w:r>
              <w:rPr>
                <w:rFonts w:ascii="宋体" w:cs="宋体" w:hAnsi="宋体" w:hint="eastAsia"/>
                <w:color w:val="000000"/>
                <w:sz w:val="21"/>
                <w:szCs w:val="21"/>
              </w:rPr>
              <w:t>00m3自检1次</w:t>
            </w:r>
          </w:p>
        </w:tc>
      </w:tr>
      <w:tr w14:paraId="0A84066A">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1941233A">
            <w:pPr>
              <w:snapToGrid w:val="0"/>
              <w:jc w:val="center"/>
              <w:rPr>
                <w:rFonts w:ascii="宋体" w:cs="宋体" w:eastAsia="宋体" w:hAnsi="宋体" w:hint="eastAsia"/>
                <w:b/>
                <w:bCs/>
                <w:color w:val="000000"/>
                <w:sz w:val="21"/>
                <w:szCs w:val="21"/>
                <w:lang w:eastAsia="zh-CN" w:val="en-US"/>
              </w:rPr>
            </w:pPr>
            <w:r>
              <w:rPr>
                <w:rFonts w:ascii="宋体" w:cs="宋体" w:hAnsi="宋体" w:hint="eastAsia"/>
                <w:b/>
                <w:bCs/>
                <w:color w:val="000000"/>
                <w:sz w:val="21"/>
                <w:szCs w:val="21"/>
                <w:lang w:eastAsia="zh-CN" w:val="en-US"/>
              </w:rPr>
              <w:t>5</w:t>
            </w:r>
          </w:p>
        </w:tc>
        <w:tc>
          <w:tcPr>
            <w:tcW w:type="dxa" w:w="1838"/>
            <w:shd w:color="auto" w:fill="FFFFFF" w:val="clear"/>
            <w:noWrap w:val="0"/>
            <w:vAlign w:val="center"/>
          </w:tcPr>
          <w:p w14:paraId="2D60DCA4">
            <w:pPr>
              <w:snapToGrid w:val="0"/>
              <w:jc w:val="center"/>
              <w:rPr>
                <w:rFonts w:ascii="宋体" w:cs="宋体" w:eastAsia="宋体" w:hAnsi="宋体" w:hint="default"/>
                <w:color w:val="000000"/>
                <w:sz w:val="21"/>
                <w:szCs w:val="21"/>
                <w:lang w:eastAsia="zh-CN" w:val="en-US"/>
              </w:rPr>
            </w:pPr>
            <w:r>
              <w:rPr>
                <w:rFonts w:ascii="宋体" w:cs="宋体" w:hAnsi="宋体" w:hint="eastAsia"/>
                <w:color w:val="000000"/>
                <w:sz w:val="21"/>
                <w:szCs w:val="21"/>
                <w:lang w:eastAsia="zh-CN" w:val="en-US"/>
              </w:rPr>
              <w:t>气泡率（%）</w:t>
            </w:r>
          </w:p>
        </w:tc>
        <w:tc>
          <w:tcPr>
            <w:tcW w:type="dxa" w:w="2624"/>
            <w:shd w:color="auto" w:fill="FFFFFF" w:val="clear"/>
            <w:noWrap w:val="0"/>
            <w:vAlign w:val="center"/>
          </w:tcPr>
          <w:p w14:paraId="3C65A6DB">
            <w:pPr>
              <w:snapToGrid w:val="0"/>
              <w:jc w:val="both"/>
              <w:rPr>
                <w:rFonts w:ascii="宋体" w:cs="宋体" w:eastAsia="宋体" w:hAnsi="宋体" w:hint="default"/>
                <w:color w:val="000000"/>
                <w:sz w:val="21"/>
                <w:szCs w:val="21"/>
                <w:lang w:eastAsia="zh-CN" w:val="en-US"/>
              </w:rPr>
            </w:pPr>
            <w:r>
              <w:rPr>
                <w:rFonts w:ascii="宋体" w:cs="宋体" w:hAnsi="宋体" w:hint="eastAsia"/>
                <w:color w:val="000000"/>
                <w:sz w:val="21"/>
                <w:szCs w:val="21"/>
              </w:rPr>
              <w:t>≥</w:t>
            </w:r>
            <w:r>
              <w:rPr>
                <w:rFonts w:ascii="宋体" w:cs="宋体" w:hAnsi="宋体" w:hint="eastAsia"/>
                <w:color w:val="000000"/>
                <w:sz w:val="21"/>
                <w:szCs w:val="21"/>
                <w:lang w:eastAsia="zh-CN" w:val="en-US"/>
              </w:rPr>
              <w:t>配合比设定值</w:t>
            </w:r>
          </w:p>
        </w:tc>
        <w:tc>
          <w:tcPr>
            <w:tcW w:type="dxa" w:w="3905"/>
            <w:shd w:color="auto" w:fill="FFFFFF" w:val="clear"/>
            <w:noWrap w:val="0"/>
            <w:vAlign w:val="center"/>
          </w:tcPr>
          <w:p w14:paraId="0B073FC5">
            <w:pPr>
              <w:snapToGrid w:val="0"/>
              <w:jc w:val="center"/>
              <w:rPr>
                <w:rFonts w:ascii="宋体" w:cs="宋体" w:hAnsi="宋体" w:hint="eastAsia"/>
                <w:color w:val="000000"/>
                <w:sz w:val="21"/>
                <w:szCs w:val="21"/>
              </w:rPr>
            </w:pPr>
            <w:r>
              <w:rPr>
                <w:rFonts w:ascii="宋体" w:cs="宋体" w:hAnsi="宋体" w:hint="eastAsia"/>
                <w:color w:val="000000"/>
                <w:sz w:val="21"/>
                <w:szCs w:val="21"/>
              </w:rPr>
              <w:t>每浇注</w:t>
            </w:r>
            <w:r>
              <w:rPr>
                <w:rFonts w:ascii="宋体" w:cs="宋体" w:hAnsi="宋体" w:hint="eastAsia"/>
                <w:color w:val="000000"/>
                <w:sz w:val="21"/>
                <w:szCs w:val="21"/>
                <w:lang w:eastAsia="zh-CN" w:val="en-US"/>
              </w:rPr>
              <w:t>4</w:t>
            </w:r>
            <w:r>
              <w:rPr>
                <w:rFonts w:ascii="宋体" w:cs="宋体" w:hAnsi="宋体" w:hint="eastAsia"/>
                <w:color w:val="000000"/>
                <w:sz w:val="21"/>
                <w:szCs w:val="21"/>
              </w:rPr>
              <w:t>00m3自检1次</w:t>
            </w:r>
          </w:p>
        </w:tc>
      </w:tr>
      <w:tr w14:paraId="5E4A833F">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0CBD5F77">
            <w:pPr>
              <w:snapToGrid w:val="0"/>
              <w:jc w:val="center"/>
              <w:rPr>
                <w:rFonts w:ascii="宋体" w:cs="宋体" w:eastAsia="宋体" w:hAnsi="宋体" w:hint="eastAsia"/>
                <w:b/>
                <w:bCs/>
                <w:color w:val="000000"/>
                <w:sz w:val="21"/>
                <w:szCs w:val="21"/>
                <w:lang w:eastAsia="zh-CN" w:val="en-US"/>
              </w:rPr>
            </w:pPr>
            <w:r>
              <w:rPr>
                <w:rFonts w:ascii="宋体" w:cs="宋体" w:hAnsi="宋体" w:hint="eastAsia"/>
                <w:b/>
                <w:bCs/>
                <w:color w:val="000000"/>
                <w:sz w:val="21"/>
                <w:szCs w:val="21"/>
                <w:lang w:eastAsia="zh-CN" w:val="en-US"/>
              </w:rPr>
              <w:t>6</w:t>
            </w:r>
          </w:p>
        </w:tc>
        <w:tc>
          <w:tcPr>
            <w:tcW w:type="dxa" w:w="1838"/>
            <w:shd w:color="auto" w:fill="FFFFFF" w:val="clear"/>
            <w:noWrap w:val="0"/>
            <w:vAlign w:val="center"/>
          </w:tcPr>
          <w:p w14:paraId="0F00A94C">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lang w:eastAsia="zh-CN" w:val="en-US"/>
              </w:rPr>
              <w:t xml:space="preserve"> </w:t>
            </w:r>
            <w:r>
              <w:rPr>
                <w:rFonts w:ascii="宋体" w:cs="宋体" w:hAnsi="宋体" w:hint="eastAsia"/>
                <w:color w:val="000000"/>
                <w:sz w:val="21"/>
                <w:szCs w:val="21"/>
              </w:rPr>
              <w:t>抗压强度（Mpa）</w:t>
            </w:r>
          </w:p>
        </w:tc>
        <w:tc>
          <w:tcPr>
            <w:tcW w:type="dxa" w:w="2624"/>
            <w:shd w:color="auto" w:fill="FFFFFF" w:val="clear"/>
            <w:noWrap w:val="0"/>
            <w:vAlign w:val="center"/>
          </w:tcPr>
          <w:p w14:paraId="5E2790AE">
            <w:pPr>
              <w:snapToGrid w:val="0"/>
              <w:ind w:firstLine="840" w:firstLineChars="400"/>
              <w:jc w:val="both"/>
              <w:rPr>
                <w:rFonts w:ascii="宋体" w:cs="宋体" w:hAnsi="宋体"/>
                <w:color w:val="000000"/>
                <w:sz w:val="21"/>
                <w:szCs w:val="21"/>
              </w:rPr>
            </w:pPr>
            <w:r>
              <w:rPr>
                <w:rFonts w:ascii="宋体" w:cs="宋体" w:hAnsi="宋体" w:hint="eastAsia"/>
                <w:color w:val="000000"/>
                <w:sz w:val="21"/>
                <w:szCs w:val="21"/>
              </w:rPr>
              <w:t>≥设计值</w:t>
            </w:r>
          </w:p>
        </w:tc>
        <w:tc>
          <w:tcPr>
            <w:tcW w:type="dxa" w:w="3905"/>
            <w:shd w:color="auto" w:fill="FFFFFF" w:val="clear"/>
            <w:noWrap w:val="0"/>
            <w:vAlign w:val="center"/>
          </w:tcPr>
          <w:p w14:paraId="5C40EFC6">
            <w:pPr>
              <w:snapToGrid w:val="0"/>
              <w:jc w:val="center"/>
              <w:rPr>
                <w:rFonts w:ascii="宋体" w:cs="宋体" w:hAnsi="宋体"/>
                <w:color w:val="000000"/>
                <w:sz w:val="21"/>
                <w:szCs w:val="21"/>
              </w:rPr>
            </w:pPr>
            <w:r>
              <w:rPr>
                <w:rFonts w:ascii="宋体" w:cs="宋体" w:hAnsi="宋体" w:hint="eastAsia"/>
                <w:color w:val="000000"/>
                <w:sz w:val="21"/>
                <w:szCs w:val="21"/>
              </w:rPr>
              <w:t>每浇注</w:t>
            </w:r>
            <w:r>
              <w:rPr>
                <w:rFonts w:ascii="宋体" w:cs="宋体" w:hAnsi="宋体" w:hint="eastAsia"/>
                <w:color w:val="000000"/>
                <w:sz w:val="21"/>
                <w:szCs w:val="21"/>
                <w:lang w:eastAsia="zh-CN" w:val="en-US"/>
              </w:rPr>
              <w:t>4</w:t>
            </w:r>
            <w:r>
              <w:rPr>
                <w:rFonts w:ascii="宋体" w:cs="宋体" w:hAnsi="宋体" w:hint="eastAsia"/>
                <w:color w:val="000000"/>
                <w:sz w:val="21"/>
                <w:szCs w:val="21"/>
              </w:rPr>
              <w:t>00m3自检1次</w:t>
            </w:r>
          </w:p>
        </w:tc>
      </w:tr>
      <w:tr w14:paraId="19893A0D">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7F1EAFE4">
            <w:pPr>
              <w:snapToGrid w:val="0"/>
              <w:jc w:val="center"/>
              <w:rPr>
                <w:rFonts w:ascii="宋体" w:cs="宋体" w:eastAsia="宋体" w:hAnsi="宋体" w:hint="eastAsia"/>
                <w:b/>
                <w:bCs/>
                <w:color w:val="000000"/>
                <w:sz w:val="21"/>
                <w:szCs w:val="21"/>
                <w:lang w:eastAsia="zh-CN" w:val="en-US"/>
              </w:rPr>
            </w:pPr>
            <w:r>
              <w:rPr>
                <w:rFonts w:ascii="宋体" w:cs="宋体" w:hAnsi="宋体" w:hint="eastAsia"/>
                <w:b/>
                <w:bCs/>
                <w:color w:val="000000"/>
                <w:sz w:val="21"/>
                <w:szCs w:val="21"/>
                <w:lang w:eastAsia="zh-CN" w:val="en-US"/>
              </w:rPr>
              <w:t>7</w:t>
            </w:r>
          </w:p>
        </w:tc>
        <w:tc>
          <w:tcPr>
            <w:tcW w:type="dxa" w:w="1838"/>
            <w:shd w:color="auto" w:fill="FFFFFF" w:val="clear"/>
            <w:noWrap w:val="0"/>
            <w:vAlign w:val="center"/>
          </w:tcPr>
          <w:p w14:paraId="49CEF6E8">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lang w:eastAsia="zh-CN" w:val="en-US"/>
              </w:rPr>
              <w:t xml:space="preserve"> </w:t>
            </w:r>
            <w:r>
              <w:rPr>
                <w:rFonts w:ascii="宋体" w:cs="宋体" w:hAnsi="宋体" w:hint="eastAsia"/>
                <w:color w:val="000000"/>
                <w:sz w:val="21"/>
                <w:szCs w:val="21"/>
              </w:rPr>
              <w:t>干容重(KN/m3）</w:t>
            </w:r>
          </w:p>
        </w:tc>
        <w:tc>
          <w:tcPr>
            <w:tcW w:type="dxa" w:w="2624"/>
            <w:shd w:color="auto" w:fill="FFFFFF" w:val="clear"/>
            <w:noWrap w:val="0"/>
            <w:vAlign w:val="center"/>
          </w:tcPr>
          <w:p w14:paraId="16FDC56C">
            <w:pPr>
              <w:snapToGrid w:val="0"/>
              <w:ind w:firstLine="840" w:firstLineChars="400"/>
              <w:jc w:val="both"/>
              <w:rPr>
                <w:rFonts w:ascii="宋体" w:cs="宋体" w:eastAsia="宋体" w:hAnsi="宋体" w:hint="eastAsia"/>
                <w:color w:val="000000"/>
                <w:sz w:val="21"/>
                <w:szCs w:val="21"/>
                <w:lang w:eastAsia="zh-CN"/>
              </w:rPr>
            </w:pPr>
            <w:r>
              <w:rPr>
                <w:rFonts w:ascii="宋体" w:cs="宋体" w:hAnsi="宋体" w:hint="eastAsia"/>
                <w:color w:val="000000"/>
                <w:sz w:val="21"/>
                <w:szCs w:val="21"/>
              </w:rPr>
              <w:t>≤</w:t>
            </w:r>
            <w:r>
              <w:rPr>
                <w:rFonts w:ascii="宋体" w:cs="宋体" w:hAnsi="宋体" w:hint="eastAsia"/>
                <w:color w:val="000000"/>
                <w:sz w:val="21"/>
                <w:szCs w:val="21"/>
                <w:lang w:eastAsia="zh-CN" w:val="en-US"/>
              </w:rPr>
              <w:t>设计值</w:t>
            </w:r>
          </w:p>
        </w:tc>
        <w:tc>
          <w:tcPr>
            <w:tcW w:type="dxa" w:w="3905"/>
            <w:shd w:color="auto" w:fill="FFFFFF" w:val="clear"/>
            <w:noWrap w:val="0"/>
            <w:vAlign w:val="center"/>
          </w:tcPr>
          <w:p w14:paraId="5004A51D">
            <w:pPr>
              <w:snapToGrid w:val="0"/>
              <w:jc w:val="center"/>
              <w:rPr>
                <w:rFonts w:ascii="宋体" w:cs="宋体" w:hAnsi="宋体"/>
                <w:color w:val="000000"/>
                <w:sz w:val="21"/>
                <w:szCs w:val="21"/>
              </w:rPr>
            </w:pPr>
            <w:r>
              <w:rPr>
                <w:rFonts w:ascii="宋体" w:cs="宋体" w:hAnsi="宋体" w:hint="eastAsia"/>
                <w:color w:val="000000"/>
                <w:sz w:val="21"/>
                <w:szCs w:val="21"/>
              </w:rPr>
              <w:t>每浇注</w:t>
            </w:r>
            <w:r>
              <w:rPr>
                <w:rFonts w:ascii="宋体" w:cs="宋体" w:hAnsi="宋体" w:hint="eastAsia"/>
                <w:color w:val="000000"/>
                <w:sz w:val="21"/>
                <w:szCs w:val="21"/>
                <w:lang w:eastAsia="zh-CN" w:val="en-US"/>
              </w:rPr>
              <w:t>4</w:t>
            </w:r>
            <w:r>
              <w:rPr>
                <w:rFonts w:ascii="宋体" w:cs="宋体" w:hAnsi="宋体" w:hint="eastAsia"/>
                <w:color w:val="000000"/>
                <w:sz w:val="21"/>
                <w:szCs w:val="21"/>
              </w:rPr>
              <w:t>00m3自检1次</w:t>
            </w:r>
          </w:p>
        </w:tc>
      </w:tr>
      <w:tr w14:paraId="3A5325A7">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30B2072D">
            <w:pPr>
              <w:snapToGrid w:val="0"/>
              <w:jc w:val="center"/>
              <w:rPr>
                <w:rFonts w:ascii="宋体" w:cs="宋体" w:eastAsia="宋体" w:hAnsi="宋体" w:hint="eastAsia"/>
                <w:b/>
                <w:bCs/>
                <w:color w:val="000000"/>
                <w:sz w:val="21"/>
                <w:szCs w:val="21"/>
                <w:lang w:eastAsia="zh-CN" w:val="en-US"/>
              </w:rPr>
            </w:pPr>
            <w:r>
              <w:rPr>
                <w:rFonts w:ascii="宋体" w:cs="宋体" w:hAnsi="宋体" w:hint="eastAsia"/>
                <w:b/>
                <w:bCs/>
                <w:color w:val="000000"/>
                <w:sz w:val="21"/>
                <w:szCs w:val="21"/>
                <w:lang w:eastAsia="zh-CN" w:val="en-US"/>
              </w:rPr>
              <w:t>8</w:t>
            </w:r>
          </w:p>
        </w:tc>
        <w:tc>
          <w:tcPr>
            <w:tcW w:type="dxa" w:w="1838"/>
            <w:shd w:color="auto" w:fill="FFFFFF" w:val="clear"/>
            <w:noWrap w:val="0"/>
            <w:vAlign w:val="center"/>
          </w:tcPr>
          <w:p w14:paraId="462FD496">
            <w:pPr>
              <w:snapToGrid w:val="0"/>
              <w:ind w:firstLine="420" w:firstLineChars="200" w:left="0" w:leftChars="0"/>
              <w:jc w:val="both"/>
              <w:rPr>
                <w:rFonts w:ascii="宋体" w:cs="宋体" w:eastAsia="宋体" w:hAnsi="宋体" w:hint="default"/>
                <w:color w:val="000000"/>
                <w:sz w:val="21"/>
                <w:szCs w:val="21"/>
                <w:lang w:eastAsia="zh-CN" w:val="en-US"/>
              </w:rPr>
            </w:pPr>
            <w:r>
              <w:rPr>
                <w:rFonts w:ascii="宋体" w:cs="宋体" w:hAnsi="宋体" w:hint="eastAsia"/>
                <w:color w:val="000000"/>
                <w:sz w:val="21"/>
                <w:szCs w:val="21"/>
                <w:lang w:eastAsia="zh-CN" w:val="en-US"/>
              </w:rPr>
              <w:t>软化系数</w:t>
            </w:r>
          </w:p>
        </w:tc>
        <w:tc>
          <w:tcPr>
            <w:tcW w:type="dxa" w:w="2624"/>
            <w:shd w:color="auto" w:fill="FFFFFF" w:val="clear"/>
            <w:noWrap w:val="0"/>
            <w:vAlign w:val="center"/>
          </w:tcPr>
          <w:p w14:paraId="7FFB4459">
            <w:pPr>
              <w:snapToGrid w:val="0"/>
              <w:ind w:firstLine="840" w:firstLineChars="400"/>
              <w:jc w:val="both"/>
              <w:rPr>
                <w:rFonts w:ascii="宋体" w:cs="宋体" w:eastAsia="宋体" w:hAnsi="宋体" w:hint="default"/>
                <w:color w:val="000000"/>
                <w:sz w:val="21"/>
                <w:szCs w:val="21"/>
                <w:lang w:eastAsia="zh-CN" w:val="en-US"/>
              </w:rPr>
            </w:pPr>
            <w:r>
              <w:rPr>
                <w:rFonts w:ascii="宋体" w:cs="宋体" w:hAnsi="宋体" w:hint="eastAsia"/>
                <w:color w:val="000000"/>
                <w:sz w:val="21"/>
                <w:szCs w:val="21"/>
              </w:rPr>
              <w:t>≥</w:t>
            </w:r>
            <w:r>
              <w:rPr>
                <w:rFonts w:ascii="宋体" w:cs="宋体" w:hAnsi="宋体" w:hint="eastAsia"/>
                <w:color w:val="000000"/>
                <w:sz w:val="21"/>
                <w:szCs w:val="21"/>
                <w:lang w:eastAsia="zh-CN" w:val="en-US"/>
              </w:rPr>
              <w:t>0.7</w:t>
            </w:r>
          </w:p>
        </w:tc>
        <w:tc>
          <w:tcPr>
            <w:tcW w:type="dxa" w:w="3905"/>
            <w:shd w:color="auto" w:fill="FFFFFF" w:val="clear"/>
            <w:noWrap w:val="0"/>
            <w:vAlign w:val="center"/>
          </w:tcPr>
          <w:p w14:paraId="3F8B7D08">
            <w:pPr>
              <w:snapToGrid w:val="0"/>
              <w:jc w:val="center"/>
              <w:rPr>
                <w:rFonts w:ascii="宋体" w:cs="宋体" w:hAnsi="宋体" w:hint="eastAsia"/>
                <w:color w:val="000000"/>
                <w:sz w:val="21"/>
                <w:szCs w:val="21"/>
              </w:rPr>
            </w:pPr>
            <w:r>
              <w:rPr>
                <w:rFonts w:ascii="宋体" w:cs="宋体" w:hAnsi="宋体" w:hint="eastAsia"/>
                <w:color w:val="000000"/>
                <w:sz w:val="21"/>
                <w:szCs w:val="21"/>
                <w:lang w:eastAsia="zh-CN" w:val="en-US"/>
              </w:rPr>
              <w:t>浸水时</w:t>
            </w:r>
            <w:r>
              <w:rPr>
                <w:rFonts w:ascii="宋体" w:cs="宋体" w:hAnsi="宋体" w:hint="eastAsia"/>
                <w:color w:val="000000"/>
                <w:sz w:val="21"/>
                <w:szCs w:val="21"/>
              </w:rPr>
              <w:t>浇注每100</w:t>
            </w:r>
            <w:r>
              <w:rPr>
                <w:rFonts w:ascii="宋体" w:cs="宋体" w:hAnsi="宋体" w:hint="eastAsia"/>
                <w:color w:val="000000"/>
                <w:sz w:val="21"/>
                <w:szCs w:val="21"/>
                <w:lang w:eastAsia="zh-CN" w:val="en-US"/>
              </w:rPr>
              <w:t>0</w:t>
            </w:r>
            <w:r>
              <w:rPr>
                <w:rFonts w:ascii="宋体" w:cs="宋体" w:hAnsi="宋体" w:hint="eastAsia"/>
                <w:color w:val="000000"/>
                <w:sz w:val="21"/>
                <w:szCs w:val="21"/>
              </w:rPr>
              <w:t>m3</w:t>
            </w:r>
            <w:r>
              <w:rPr>
                <w:rFonts w:ascii="宋体" w:cs="宋体" w:hAnsi="宋体" w:hint="eastAsia"/>
                <w:color w:val="000000"/>
                <w:sz w:val="21"/>
                <w:szCs w:val="21"/>
                <w:lang w:eastAsia="zh-CN" w:val="en-US"/>
              </w:rPr>
              <w:t>检验</w:t>
            </w:r>
            <w:r>
              <w:rPr>
                <w:rFonts w:ascii="宋体" w:cs="宋体" w:hAnsi="宋体" w:hint="eastAsia"/>
                <w:color w:val="000000"/>
                <w:sz w:val="21"/>
                <w:szCs w:val="21"/>
              </w:rPr>
              <w:t>1次</w:t>
            </w:r>
          </w:p>
        </w:tc>
      </w:tr>
      <w:tr w14:paraId="1C150AD0">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1897EA97">
            <w:pPr>
              <w:snapToGrid w:val="0"/>
              <w:jc w:val="center"/>
              <w:rPr>
                <w:rFonts w:ascii="宋体" w:cs="宋体" w:eastAsia="宋体" w:hAnsi="宋体" w:hint="eastAsia"/>
                <w:b/>
                <w:bCs/>
                <w:color w:val="000000"/>
                <w:sz w:val="21"/>
                <w:szCs w:val="21"/>
                <w:lang w:eastAsia="zh-CN" w:val="en-US"/>
              </w:rPr>
            </w:pPr>
            <w:r>
              <w:rPr>
                <w:rFonts w:ascii="宋体" w:cs="宋体" w:hAnsi="宋体" w:hint="eastAsia"/>
                <w:b/>
                <w:bCs/>
                <w:color w:val="000000"/>
                <w:sz w:val="21"/>
                <w:szCs w:val="21"/>
                <w:lang w:eastAsia="zh-CN" w:val="en-US"/>
              </w:rPr>
              <w:t>9</w:t>
            </w:r>
          </w:p>
        </w:tc>
        <w:tc>
          <w:tcPr>
            <w:tcW w:type="dxa" w:w="1838"/>
            <w:shd w:color="auto" w:fill="FFFFFF" w:val="clear"/>
            <w:noWrap w:val="0"/>
            <w:vAlign w:val="center"/>
          </w:tcPr>
          <w:p w14:paraId="7DFA9404">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lang w:eastAsia="zh-CN" w:val="en-US"/>
              </w:rPr>
              <w:t xml:space="preserve">  </w:t>
            </w:r>
            <w:r>
              <w:rPr>
                <w:rFonts w:ascii="宋体" w:cs="宋体" w:hAnsi="宋体" w:hint="eastAsia"/>
                <w:color w:val="000000"/>
                <w:sz w:val="21"/>
                <w:szCs w:val="21"/>
              </w:rPr>
              <w:t>顶面高程(mm）</w:t>
            </w:r>
          </w:p>
        </w:tc>
        <w:tc>
          <w:tcPr>
            <w:tcW w:type="dxa" w:w="2624"/>
            <w:shd w:color="auto" w:fill="FFFFFF" w:val="clear"/>
            <w:noWrap w:val="0"/>
            <w:vAlign w:val="center"/>
          </w:tcPr>
          <w:p w14:paraId="0BF25BE3">
            <w:pPr>
              <w:snapToGrid w:val="0"/>
              <w:ind w:firstLine="630" w:firstLineChars="300"/>
              <w:jc w:val="both"/>
              <w:rPr>
                <w:rFonts w:ascii="宋体" w:cs="宋体" w:hAnsi="宋体"/>
                <w:color w:val="000000"/>
                <w:sz w:val="21"/>
                <w:szCs w:val="21"/>
              </w:rPr>
            </w:pPr>
            <w:r>
              <w:rPr>
                <w:rFonts w:ascii="宋体" w:cs="宋体" w:hAnsi="宋体" w:hint="eastAsia"/>
                <w:color w:val="000000"/>
                <w:sz w:val="21"/>
                <w:szCs w:val="21"/>
              </w:rPr>
              <w:t>+10，-15</w:t>
            </w:r>
          </w:p>
        </w:tc>
        <w:tc>
          <w:tcPr>
            <w:tcW w:type="dxa" w:w="3905"/>
            <w:shd w:color="auto" w:fill="FFFFFF" w:val="clear"/>
            <w:noWrap w:val="0"/>
            <w:vAlign w:val="center"/>
          </w:tcPr>
          <w:p w14:paraId="075A1596">
            <w:pPr>
              <w:snapToGrid w:val="0"/>
              <w:jc w:val="center"/>
              <w:rPr>
                <w:rFonts w:ascii="宋体" w:cs="宋体" w:hAnsi="宋体"/>
                <w:color w:val="000000"/>
                <w:sz w:val="21"/>
                <w:szCs w:val="21"/>
              </w:rPr>
            </w:pPr>
            <w:r>
              <w:rPr>
                <w:rFonts w:ascii="宋体" w:cs="宋体" w:hAnsi="宋体" w:hint="eastAsia"/>
                <w:color w:val="000000"/>
                <w:sz w:val="21"/>
                <w:szCs w:val="21"/>
              </w:rPr>
              <w:t>水准仪：每200m测4点</w:t>
            </w:r>
            <w:r>
              <w:rPr>
                <w:rFonts w:ascii="宋体" w:cs="宋体" w:hAnsi="宋体" w:hint="eastAsia"/>
                <w:color w:val="000000"/>
                <w:sz w:val="21"/>
                <w:szCs w:val="21"/>
                <w:lang w:eastAsia="zh-CN"/>
              </w:rPr>
              <w:t>，</w:t>
            </w:r>
            <w:r>
              <w:rPr>
                <w:rFonts w:ascii="宋体" w:cs="宋体" w:hAnsi="宋体" w:hint="eastAsia"/>
                <w:color w:val="000000"/>
                <w:sz w:val="21"/>
                <w:szCs w:val="21"/>
                <w:lang w:eastAsia="zh-CN" w:val="en-US"/>
              </w:rPr>
              <w:t>不足200m每个浇筑工点测4个点</w:t>
            </w:r>
          </w:p>
        </w:tc>
      </w:tr>
      <w:tr w14:paraId="0D161308">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20C3395F">
            <w:pPr>
              <w:snapToGrid w:val="0"/>
              <w:jc w:val="center"/>
              <w:rPr>
                <w:rFonts w:ascii="宋体" w:cs="宋体" w:eastAsia="宋体" w:hAnsi="宋体" w:hint="default"/>
                <w:b/>
                <w:bCs/>
                <w:color w:val="000000"/>
                <w:sz w:val="21"/>
                <w:szCs w:val="21"/>
                <w:lang w:eastAsia="zh-CN" w:val="en-US"/>
              </w:rPr>
            </w:pPr>
            <w:r>
              <w:rPr>
                <w:rFonts w:ascii="宋体" w:cs="宋体" w:hAnsi="宋体" w:hint="eastAsia"/>
                <w:b/>
                <w:bCs/>
                <w:color w:val="000000"/>
                <w:sz w:val="21"/>
                <w:szCs w:val="21"/>
                <w:lang w:eastAsia="zh-CN" w:val="en-US"/>
              </w:rPr>
              <w:t>10</w:t>
            </w:r>
          </w:p>
        </w:tc>
        <w:tc>
          <w:tcPr>
            <w:tcW w:type="dxa" w:w="1838"/>
            <w:shd w:color="auto" w:fill="FFFFFF" w:val="clear"/>
            <w:noWrap w:val="0"/>
            <w:vAlign w:val="center"/>
          </w:tcPr>
          <w:p w14:paraId="0E0E808D">
            <w:pPr>
              <w:snapToGrid w:val="0"/>
              <w:ind w:firstLine="0" w:firstLineChars="0" w:left="0" w:leftChars="0"/>
              <w:jc w:val="center"/>
              <w:rPr>
                <w:rFonts w:ascii="宋体" w:cs="宋体" w:eastAsia="宋体" w:hAnsi="宋体" w:hint="default"/>
                <w:color w:val="000000"/>
                <w:sz w:val="21"/>
                <w:szCs w:val="21"/>
                <w:lang w:eastAsia="zh-CN" w:val="en-US"/>
              </w:rPr>
            </w:pPr>
            <w:r>
              <w:rPr>
                <w:rFonts w:ascii="宋体" w:cs="宋体" w:hAnsi="宋体" w:hint="eastAsia"/>
                <w:color w:val="000000"/>
                <w:sz w:val="21"/>
                <w:szCs w:val="21"/>
                <w:lang w:eastAsia="zh-CN" w:val="en-US"/>
              </w:rPr>
              <w:t xml:space="preserve">  外观尺寸</w:t>
            </w:r>
            <w:r>
              <w:rPr>
                <w:rFonts w:ascii="宋体" w:cs="宋体" w:hAnsi="宋体" w:hint="eastAsia"/>
                <w:color w:val="000000"/>
                <w:sz w:val="21"/>
                <w:szCs w:val="21"/>
              </w:rPr>
              <w:t>(mm）</w:t>
            </w:r>
          </w:p>
        </w:tc>
        <w:tc>
          <w:tcPr>
            <w:tcW w:type="dxa" w:w="2624"/>
            <w:shd w:color="auto" w:fill="FFFFFF" w:val="clear"/>
            <w:noWrap w:val="0"/>
            <w:vAlign w:val="center"/>
          </w:tcPr>
          <w:p w14:paraId="3CAB79A2">
            <w:pPr>
              <w:snapToGrid w:val="0"/>
              <w:jc w:val="both"/>
              <w:rPr>
                <w:rFonts w:ascii="宋体" w:cs="宋体" w:eastAsia="宋体" w:hAnsi="宋体" w:hint="default"/>
                <w:color w:val="000000"/>
                <w:sz w:val="21"/>
                <w:szCs w:val="21"/>
                <w:lang w:eastAsia="zh-CN" w:val="en-US"/>
              </w:rPr>
            </w:pPr>
            <w:r>
              <w:rPr>
                <w:rFonts w:ascii="宋体" w:cs="宋体" w:hAnsi="宋体" w:hint="eastAsia"/>
                <w:color w:val="000000"/>
                <w:sz w:val="21"/>
                <w:szCs w:val="21"/>
                <w:lang w:eastAsia="zh-CN" w:val="en-US"/>
              </w:rPr>
              <w:t>符合设计要求</w:t>
            </w:r>
          </w:p>
        </w:tc>
        <w:tc>
          <w:tcPr>
            <w:tcW w:type="dxa" w:w="3905"/>
            <w:shd w:color="auto" w:fill="FFFFFF" w:val="clear"/>
            <w:noWrap w:val="0"/>
            <w:vAlign w:val="center"/>
          </w:tcPr>
          <w:p w14:paraId="37F385D0">
            <w:pPr>
              <w:snapToGrid w:val="0"/>
              <w:jc w:val="center"/>
              <w:rPr>
                <w:rFonts w:ascii="宋体" w:cs="宋体" w:eastAsia="宋体" w:hAnsi="宋体" w:hint="default"/>
                <w:color w:val="000000"/>
                <w:sz w:val="21"/>
                <w:szCs w:val="21"/>
                <w:lang w:eastAsia="zh-CN" w:val="en-US"/>
              </w:rPr>
            </w:pPr>
            <w:r>
              <w:rPr>
                <w:rFonts w:ascii="宋体" w:cs="宋体" w:hAnsi="宋体" w:hint="eastAsia"/>
                <w:color w:val="000000"/>
                <w:sz w:val="21"/>
                <w:szCs w:val="21"/>
              </w:rPr>
              <w:t>每200m测4点</w:t>
            </w:r>
            <w:r>
              <w:rPr>
                <w:rFonts w:ascii="宋体" w:cs="宋体" w:hAnsi="宋体" w:hint="eastAsia"/>
                <w:color w:val="000000"/>
                <w:sz w:val="21"/>
                <w:szCs w:val="21"/>
                <w:lang w:eastAsia="zh-CN"/>
              </w:rPr>
              <w:t>，</w:t>
            </w:r>
            <w:r>
              <w:rPr>
                <w:rFonts w:ascii="宋体" w:cs="宋体" w:hAnsi="宋体" w:hint="eastAsia"/>
                <w:color w:val="000000"/>
                <w:sz w:val="21"/>
                <w:szCs w:val="21"/>
                <w:lang w:eastAsia="zh-CN" w:val="en-US"/>
              </w:rPr>
              <w:t>不足1000m每个浇筑工点取芯至少1组，每组抽检3点</w:t>
            </w:r>
          </w:p>
        </w:tc>
      </w:tr>
      <w:tr w14:paraId="533718B6">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0B4F8900">
            <w:pPr>
              <w:snapToGrid w:val="0"/>
              <w:jc w:val="center"/>
              <w:rPr>
                <w:rFonts w:ascii="宋体" w:cs="宋体" w:eastAsia="宋体" w:hAnsi="宋体" w:hint="default"/>
                <w:b/>
                <w:bCs/>
                <w:color w:val="000000"/>
                <w:sz w:val="21"/>
                <w:szCs w:val="21"/>
                <w:lang w:eastAsia="zh-CN" w:val="en-US"/>
              </w:rPr>
            </w:pPr>
            <w:r>
              <w:rPr>
                <w:rFonts w:ascii="宋体" w:cs="宋体" w:hAnsi="宋体" w:hint="eastAsia"/>
                <w:b/>
                <w:bCs/>
                <w:color w:val="000000"/>
                <w:sz w:val="21"/>
                <w:szCs w:val="21"/>
                <w:lang w:eastAsia="zh-CN" w:val="en-US"/>
              </w:rPr>
              <w:t>11</w:t>
            </w:r>
          </w:p>
        </w:tc>
        <w:tc>
          <w:tcPr>
            <w:tcW w:type="dxa" w:w="1838"/>
            <w:shd w:color="auto" w:fill="FFFFFF" w:val="clear"/>
            <w:noWrap w:val="0"/>
            <w:vAlign w:val="center"/>
          </w:tcPr>
          <w:p w14:paraId="1D877A70">
            <w:pPr>
              <w:snapToGrid w:val="0"/>
              <w:ind w:firstLine="0" w:firstLineChars="0" w:left="0" w:leftChars="0"/>
              <w:jc w:val="center"/>
              <w:rPr>
                <w:rFonts w:ascii="宋体" w:cs="宋体" w:hAnsi="宋体"/>
                <w:color w:val="000000"/>
                <w:sz w:val="21"/>
                <w:szCs w:val="21"/>
              </w:rPr>
            </w:pPr>
            <w:r>
              <w:rPr>
                <w:rFonts w:ascii="宋体" w:cs="宋体" w:hAnsi="宋体" w:hint="eastAsia"/>
                <w:color w:val="000000"/>
                <w:sz w:val="21"/>
                <w:szCs w:val="21"/>
                <w:lang w:eastAsia="zh-CN" w:val="en-US"/>
              </w:rPr>
              <w:t xml:space="preserve">  浇筑厚度</w:t>
            </w:r>
            <w:r>
              <w:rPr>
                <w:rFonts w:ascii="宋体" w:cs="宋体" w:hAnsi="宋体" w:hint="eastAsia"/>
                <w:color w:val="000000"/>
                <w:sz w:val="21"/>
                <w:szCs w:val="21"/>
              </w:rPr>
              <w:t>(mm）</w:t>
            </w:r>
          </w:p>
        </w:tc>
        <w:tc>
          <w:tcPr>
            <w:tcW w:type="dxa" w:w="2624"/>
            <w:shd w:color="auto" w:fill="FFFFFF" w:val="clear"/>
            <w:noWrap w:val="0"/>
            <w:vAlign w:val="center"/>
          </w:tcPr>
          <w:p w14:paraId="020607F5">
            <w:pPr>
              <w:snapToGrid w:val="0"/>
              <w:ind w:firstLine="1050" w:firstLineChars="500"/>
              <w:jc w:val="both"/>
              <w:rPr>
                <w:rFonts w:ascii="宋体" w:cs="宋体" w:eastAsia="宋体" w:hAnsi="宋体" w:hint="default"/>
                <w:color w:val="000000"/>
                <w:sz w:val="21"/>
                <w:szCs w:val="21"/>
                <w:lang w:eastAsia="zh-CN" w:val="en-US"/>
              </w:rPr>
            </w:pPr>
            <w:r>
              <w:rPr>
                <w:rFonts w:ascii="宋体" w:cs="宋体" w:hAnsi="宋体" w:hint="eastAsia"/>
                <w:color w:val="000000"/>
                <w:sz w:val="21"/>
                <w:szCs w:val="21"/>
              </w:rPr>
              <w:t>-</w:t>
            </w:r>
            <w:r>
              <w:rPr>
                <w:rFonts w:ascii="宋体" w:cs="宋体" w:hAnsi="宋体" w:hint="eastAsia"/>
                <w:color w:val="000000"/>
                <w:sz w:val="21"/>
                <w:szCs w:val="21"/>
                <w:lang w:eastAsia="zh-CN" w:val="en-US"/>
              </w:rPr>
              <w:t>50</w:t>
            </w:r>
          </w:p>
        </w:tc>
        <w:tc>
          <w:tcPr>
            <w:tcW w:type="dxa" w:w="3905"/>
            <w:shd w:color="auto" w:fill="FFFFFF" w:val="clear"/>
            <w:noWrap w:val="0"/>
            <w:vAlign w:val="center"/>
          </w:tcPr>
          <w:p w14:paraId="01AD4C89">
            <w:pPr>
              <w:snapToGrid w:val="0"/>
              <w:jc w:val="center"/>
              <w:rPr>
                <w:rFonts w:ascii="宋体" w:cs="宋体" w:hAnsi="宋体"/>
                <w:color w:val="000000"/>
                <w:sz w:val="21"/>
                <w:szCs w:val="21"/>
              </w:rPr>
            </w:pPr>
            <w:r>
              <w:rPr>
                <w:rFonts w:ascii="宋体" w:cs="宋体" w:hAnsi="宋体" w:hint="eastAsia"/>
                <w:color w:val="000000"/>
                <w:sz w:val="21"/>
                <w:szCs w:val="21"/>
                <w:lang w:eastAsia="zh-CN" w:val="en-US"/>
              </w:rPr>
              <w:t>米尺：</w:t>
            </w:r>
            <w:r>
              <w:rPr>
                <w:rFonts w:ascii="宋体" w:cs="宋体" w:hAnsi="宋体" w:hint="eastAsia"/>
                <w:color w:val="000000"/>
                <w:sz w:val="21"/>
                <w:szCs w:val="21"/>
              </w:rPr>
              <w:t>每</w:t>
            </w:r>
            <w:r>
              <w:rPr>
                <w:rFonts w:ascii="宋体" w:cs="宋体" w:hAnsi="宋体" w:hint="eastAsia"/>
                <w:color w:val="000000"/>
                <w:sz w:val="21"/>
                <w:szCs w:val="21"/>
                <w:lang w:eastAsia="zh-CN" w:val="en-US"/>
              </w:rPr>
              <w:t>10</w:t>
            </w:r>
            <w:r>
              <w:rPr>
                <w:rFonts w:ascii="宋体" w:cs="宋体" w:hAnsi="宋体" w:hint="eastAsia"/>
                <w:color w:val="000000"/>
                <w:sz w:val="21"/>
                <w:szCs w:val="21"/>
              </w:rPr>
              <w:t>00m</w:t>
            </w:r>
            <w:r>
              <w:rPr>
                <w:rFonts w:ascii="宋体" w:cs="宋体" w:hAnsi="宋体" w:hint="eastAsia"/>
                <w:color w:val="000000"/>
                <w:sz w:val="21"/>
                <w:szCs w:val="21"/>
                <w:lang w:eastAsia="zh-CN" w:val="en-US"/>
              </w:rPr>
              <w:t>抽检1组，</w:t>
            </w:r>
            <w:r>
              <w:rPr>
                <w:rFonts w:ascii="宋体" w:cs="宋体" w:hAnsi="宋体" w:hint="eastAsia"/>
                <w:color w:val="000000"/>
                <w:sz w:val="21"/>
                <w:szCs w:val="21"/>
              </w:rPr>
              <w:t>4点</w:t>
            </w:r>
            <w:r>
              <w:rPr>
                <w:rFonts w:ascii="宋体" w:cs="宋体" w:hAnsi="宋体" w:hint="eastAsia"/>
                <w:color w:val="000000"/>
                <w:sz w:val="21"/>
                <w:szCs w:val="21"/>
                <w:lang w:eastAsia="zh-CN"/>
              </w:rPr>
              <w:t>，</w:t>
            </w:r>
            <w:r>
              <w:rPr>
                <w:rFonts w:ascii="宋体" w:cs="宋体" w:hAnsi="宋体" w:hint="eastAsia"/>
                <w:color w:val="000000"/>
                <w:sz w:val="21"/>
                <w:szCs w:val="21"/>
                <w:lang w:eastAsia="zh-CN" w:val="en-US"/>
              </w:rPr>
              <w:t>不足200m每个浇筑工点测4个点</w:t>
            </w:r>
          </w:p>
        </w:tc>
      </w:tr>
      <w:tr w14:paraId="37A7F701">
        <w:tblPrEx>
          <w:tblBorders>
            <w:top w:color="auto" w:space="0" w:sz="12" w:val="thinThickSmallGap"/>
            <w:left w:color="auto" w:space="0" w:sz="12" w:val="thinThickSmallGap"/>
            <w:bottom w:color="auto" w:space="0" w:sz="12" w:val="thinThickSmallGap"/>
            <w:right w:color="auto" w:space="0" w:sz="12" w:val="thinThickSmallGap"/>
            <w:insideH w:color="auto" w:space="0" w:sz="4" w:val="single"/>
            <w:insideV w:color="auto" w:space="0" w:sz="4" w:val="single"/>
          </w:tblBorders>
          <w:shd w:color="auto" w:fill="FFFFFF" w:val="clear"/>
          <w:tblCellMar>
            <w:top w:type="dxa" w:w="0"/>
            <w:left w:type="dxa" w:w="108"/>
            <w:bottom w:type="dxa" w:w="0"/>
            <w:right w:type="dxa" w:w="108"/>
          </w:tblCellMar>
        </w:tblPrEx>
        <w:tc>
          <w:tcPr>
            <w:tcW w:type="dxa" w:w="1005"/>
            <w:shd w:color="auto" w:fill="FFFFFF" w:val="clear"/>
            <w:noWrap w:val="0"/>
            <w:vAlign w:val="center"/>
          </w:tcPr>
          <w:p w14:paraId="449A92E3">
            <w:pPr>
              <w:snapToGrid w:val="0"/>
              <w:jc w:val="center"/>
              <w:rPr>
                <w:rFonts w:ascii="宋体" w:cs="宋体" w:eastAsia="宋体" w:hAnsi="宋体" w:hint="default"/>
                <w:b/>
                <w:bCs/>
                <w:color w:val="000000"/>
                <w:sz w:val="21"/>
                <w:szCs w:val="21"/>
                <w:lang w:eastAsia="zh-CN" w:val="en-US"/>
              </w:rPr>
            </w:pPr>
            <w:r>
              <w:rPr>
                <w:rFonts w:ascii="宋体" w:cs="宋体" w:hAnsi="宋体" w:hint="eastAsia"/>
                <w:b/>
                <w:bCs/>
                <w:color w:val="000000"/>
                <w:sz w:val="21"/>
                <w:szCs w:val="21"/>
                <w:lang w:eastAsia="zh-CN" w:val="en-US"/>
              </w:rPr>
              <w:t>12</w:t>
            </w:r>
          </w:p>
        </w:tc>
        <w:tc>
          <w:tcPr>
            <w:tcW w:type="dxa" w:w="1838"/>
            <w:shd w:color="auto" w:fill="FFFFFF" w:val="clear"/>
            <w:noWrap w:val="0"/>
            <w:vAlign w:val="center"/>
          </w:tcPr>
          <w:p w14:paraId="526E0566">
            <w:pPr>
              <w:snapToGrid w:val="0"/>
              <w:ind w:firstLine="420" w:firstLineChars="200" w:left="0" w:leftChars="0"/>
              <w:jc w:val="both"/>
              <w:rPr>
                <w:rFonts w:ascii="宋体" w:cs="宋体" w:hAnsi="宋体"/>
                <w:color w:val="000000"/>
                <w:sz w:val="21"/>
                <w:szCs w:val="21"/>
              </w:rPr>
            </w:pPr>
            <w:r>
              <w:rPr>
                <w:rFonts w:ascii="宋体" w:cs="宋体" w:hAnsi="宋体" w:hint="eastAsia"/>
                <w:color w:val="000000"/>
                <w:sz w:val="21"/>
                <w:szCs w:val="21"/>
                <w:lang w:eastAsia="zh-CN" w:val="en-US"/>
              </w:rPr>
              <w:t>平整度</w:t>
            </w:r>
            <w:r>
              <w:rPr>
                <w:rFonts w:ascii="宋体" w:cs="宋体" w:hAnsi="宋体" w:hint="eastAsia"/>
                <w:color w:val="000000"/>
                <w:sz w:val="21"/>
                <w:szCs w:val="21"/>
              </w:rPr>
              <w:t>(mm）</w:t>
            </w:r>
          </w:p>
        </w:tc>
        <w:tc>
          <w:tcPr>
            <w:tcW w:type="dxa" w:w="2624"/>
            <w:shd w:color="auto" w:fill="FFFFFF" w:val="clear"/>
            <w:noWrap w:val="0"/>
            <w:vAlign w:val="center"/>
          </w:tcPr>
          <w:p w14:paraId="15AB5053">
            <w:pPr>
              <w:snapToGrid w:val="0"/>
              <w:ind w:firstLine="0" w:firstLineChars="0" w:left="0" w:leftChars="0"/>
              <w:jc w:val="both"/>
              <w:rPr>
                <w:rFonts w:ascii="宋体" w:cs="宋体" w:eastAsia="宋体" w:hAnsi="宋体" w:hint="default"/>
                <w:color w:val="000000"/>
                <w:sz w:val="21"/>
                <w:szCs w:val="21"/>
                <w:lang w:eastAsia="zh-CN" w:val="en-US"/>
              </w:rPr>
            </w:pPr>
            <w:r>
              <w:rPr>
                <w:rFonts w:ascii="宋体" w:cs="宋体" w:hAnsi="宋体" w:hint="eastAsia"/>
                <w:color w:val="000000"/>
                <w:sz w:val="21"/>
                <w:szCs w:val="21"/>
                <w:lang w:eastAsia="zh-CN" w:val="en-US"/>
              </w:rPr>
              <w:t>不应出现明显凹坑或凸起，实测平整度</w:t>
            </w:r>
            <w:r>
              <w:rPr>
                <w:rFonts w:ascii="宋体" w:cs="宋体" w:hAnsi="宋体" w:hint="eastAsia"/>
                <w:color w:val="000000"/>
                <w:sz w:val="21"/>
                <w:szCs w:val="21"/>
              </w:rPr>
              <w:t>≤</w:t>
            </w:r>
            <w:r>
              <w:rPr>
                <w:rFonts w:ascii="宋体" w:cs="宋体" w:hAnsi="宋体" w:hint="eastAsia"/>
                <w:color w:val="000000"/>
                <w:sz w:val="21"/>
                <w:szCs w:val="21"/>
                <w:lang w:eastAsia="zh-CN" w:val="en-US"/>
              </w:rPr>
              <w:t>15</w:t>
            </w:r>
          </w:p>
        </w:tc>
        <w:tc>
          <w:tcPr>
            <w:tcW w:type="dxa" w:w="3905"/>
            <w:shd w:color="auto" w:fill="FFFFFF" w:val="clear"/>
            <w:noWrap w:val="0"/>
            <w:vAlign w:val="center"/>
          </w:tcPr>
          <w:p w14:paraId="009F9D79">
            <w:pPr>
              <w:snapToGrid w:val="0"/>
              <w:jc w:val="center"/>
              <w:rPr>
                <w:rFonts w:ascii="宋体" w:cs="宋体" w:eastAsia="宋体" w:hAnsi="宋体" w:hint="default"/>
                <w:color w:val="000000"/>
                <w:sz w:val="21"/>
                <w:szCs w:val="21"/>
                <w:lang w:eastAsia="zh-CN" w:val="en-US"/>
              </w:rPr>
            </w:pPr>
            <w:r>
              <w:rPr>
                <w:rFonts w:ascii="宋体" w:cs="宋体" w:hAnsi="宋体" w:hint="eastAsia"/>
                <w:color w:val="000000"/>
                <w:sz w:val="21"/>
                <w:szCs w:val="21"/>
                <w:lang w:eastAsia="zh-CN" w:val="en-US"/>
              </w:rPr>
              <w:t>3m直尺：每个浇筑工点测4处或</w:t>
            </w:r>
            <w:r>
              <w:rPr>
                <w:rFonts w:ascii="宋体" w:cs="宋体" w:hAnsi="宋体" w:hint="eastAsia"/>
                <w:color w:val="000000"/>
                <w:sz w:val="21"/>
                <w:szCs w:val="21"/>
              </w:rPr>
              <w:t>每200m测</w:t>
            </w:r>
            <w:r>
              <w:rPr>
                <w:rFonts w:ascii="宋体" w:cs="宋体" w:hAnsi="宋体" w:hint="eastAsia"/>
                <w:color w:val="000000"/>
                <w:sz w:val="21"/>
                <w:szCs w:val="21"/>
                <w:lang w:eastAsia="zh-CN" w:val="en-US"/>
              </w:rPr>
              <w:t>2处（每处10尺）</w:t>
            </w:r>
          </w:p>
        </w:tc>
      </w:tr>
    </w:tbl>
    <w:p w14:paraId="67291C75">
      <w:pPr>
        <w:adjustRightInd w:val="0"/>
        <w:snapToGrid w:val="0"/>
        <w:ind w:hanging="283" w:hangingChars="118" w:leftChars="-118"/>
        <w:jc w:val="center"/>
        <w:rPr>
          <w:rFonts w:ascii="宋体" w:cs="宋体" w:hAnsi="宋体" w:hint="default"/>
          <w:color w:val="000000"/>
          <w:lang w:bidi="zh-CN" w:val="en-US"/>
        </w:rPr>
      </w:pPr>
      <w:r>
        <w:rPr>
          <w:rFonts w:ascii="宋体" w:cs="宋体" w:hAnsi="宋体"/>
          <w:color w:val="000000"/>
          <w:lang w:bidi="zh-CN"/>
        </w:rPr>
        <w:drawing>
          <wp:inline distB="0" distL="114300" distR="114300" distT="0">
            <wp:extent cx="1998980" cy="1954530"/>
            <wp:effectExtent b="10160" l="0" r="8890" t="0"/>
            <wp:docPr descr="图片45"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45" id="44" name="图片 9"/>
                    <pic:cNvPicPr>
                      <a:picLocks noChangeAspect="1"/>
                    </pic:cNvPicPr>
                  </pic:nvPicPr>
                  <pic:blipFill>
                    <a:blip r:embed="rId42"/>
                    <a:stretch>
                      <a:fillRect/>
                    </a:stretch>
                  </pic:blipFill>
                  <pic:spPr>
                    <a:xfrm>
                      <a:off x="0" y="0"/>
                      <a:ext cx="1998980" cy="1954530"/>
                    </a:xfrm>
                    <a:prstGeom prst="rect">
                      <a:avLst/>
                    </a:prstGeom>
                    <a:noFill/>
                    <a:ln>
                      <a:noFill/>
                    </a:ln>
                  </pic:spPr>
                </pic:pic>
              </a:graphicData>
            </a:graphic>
          </wp:inline>
        </w:drawing>
      </w:r>
      <w:r>
        <w:rPr>
          <w:rFonts w:ascii="宋体" w:cs="宋体" w:hAnsi="宋体"/>
          <w:color w:val="000000"/>
          <w:lang w:bidi="zh-CN"/>
        </w:rPr>
        <w:t xml:space="preserve"> </w:t>
      </w:r>
      <w:r>
        <w:rPr>
          <w:rFonts w:ascii="宋体" w:cs="宋体" w:hAnsi="宋体" w:hint="eastAsia"/>
          <w:color w:val="000000"/>
          <w:lang w:bidi="zh-CN" w:val="en-US"/>
        </w:rPr>
        <w:t xml:space="preserve">     </w:t>
      </w:r>
      <w:r>
        <w:rPr>
          <w:rFonts w:ascii="宋体" w:cs="宋体" w:hAnsi="宋体"/>
          <w:color w:val="000000"/>
          <w:lang w:bidi="zh-CN"/>
        </w:rPr>
        <w:drawing>
          <wp:inline distB="0" distL="114300" distR="114300" distT="0">
            <wp:extent cx="1979930" cy="2002790"/>
            <wp:effectExtent b="5080" l="0" r="6350" t="0"/>
            <wp:docPr descr="C:/Users/49781/Desktop/图片3.png图片3"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49781/Desktop/图片3.png图片3" id="1" name="图片 9"/>
                    <pic:cNvPicPr>
                      <a:picLocks noChangeAspect="1"/>
                    </pic:cNvPicPr>
                  </pic:nvPicPr>
                  <pic:blipFill>
                    <a:blip r:embed="rId43"/>
                    <a:srcRect l="12884" r="12884"/>
                    <a:stretch>
                      <a:fillRect/>
                    </a:stretch>
                  </pic:blipFill>
                  <pic:spPr>
                    <a:xfrm>
                      <a:off x="0" y="0"/>
                      <a:ext cx="1979930" cy="2002790"/>
                    </a:xfrm>
                    <a:prstGeom prst="rect">
                      <a:avLst/>
                    </a:prstGeom>
                    <a:noFill/>
                    <a:ln>
                      <a:noFill/>
                    </a:ln>
                  </pic:spPr>
                </pic:pic>
              </a:graphicData>
            </a:graphic>
          </wp:inline>
        </w:drawing>
      </w:r>
    </w:p>
    <w:p w14:paraId="64AC0116">
      <w:pPr>
        <w:adjustRightInd w:val="0"/>
        <w:snapToGrid w:val="0"/>
        <w:ind w:firstLine="843" w:firstLineChars="400" w:left="-43" w:leftChars="-18"/>
        <w:rPr>
          <w:rFonts w:ascii="宋体" w:cs="宋体" w:hAnsi="宋体"/>
          <w:b/>
          <w:bCs/>
          <w:color w:val="000000"/>
          <w:sz w:val="21"/>
          <w:szCs w:val="21"/>
          <w:lang w:bidi="zh-CN"/>
        </w:rPr>
      </w:pPr>
      <w:r>
        <w:rPr>
          <w:rFonts w:ascii="Times New Roman" w:cs="Times New Roman" w:eastAsia="宋体" w:hAnsi="Times New Roman" w:hint="eastAsia"/>
          <w:b/>
          <w:bCs/>
          <w:sz w:val="21"/>
          <w:szCs w:val="21"/>
          <w:lang w:eastAsia="zh-CN" w:val="en-US"/>
        </w:rPr>
        <w:t xml:space="preserve">图3.3.8.3-1 气泡密度试验 </w:t>
      </w:r>
      <w:r>
        <w:rPr>
          <w:rFonts w:ascii="宋体" w:cs="宋体" w:hAnsi="宋体"/>
          <w:b/>
          <w:bCs/>
          <w:color w:val="000000"/>
          <w:sz w:val="21"/>
          <w:szCs w:val="21"/>
          <w:lang w:bidi="zh-CN"/>
        </w:rPr>
        <w:t xml:space="preserve">               </w:t>
      </w:r>
      <w:r>
        <w:rPr>
          <w:rFonts w:ascii="宋体" w:cs="宋体" w:hAnsi="宋体" w:hint="eastAsia"/>
          <w:b/>
          <w:bCs/>
          <w:color w:val="000000"/>
          <w:sz w:val="21"/>
          <w:szCs w:val="21"/>
          <w:lang w:bidi="zh-CN" w:val="en-US"/>
        </w:rPr>
        <w:t xml:space="preserve">       </w:t>
      </w:r>
      <w:r>
        <w:rPr>
          <w:rFonts w:ascii="Times New Roman" w:cs="Times New Roman" w:eastAsia="宋体" w:hAnsi="Times New Roman" w:hint="eastAsia"/>
          <w:b/>
          <w:bCs/>
          <w:sz w:val="21"/>
          <w:szCs w:val="21"/>
          <w:lang w:eastAsia="zh-CN" w:val="en-US"/>
        </w:rPr>
        <w:t>图</w:t>
      </w:r>
      <w:r>
        <w:rPr>
          <w:rFonts w:ascii="Times New Roman" w:cs="Times New Roman" w:eastAsia="宋体" w:hAnsi="Times New Roman" w:hint="eastAsia"/>
          <w:b/>
          <w:bCs/>
          <w:sz w:val="21"/>
          <w:szCs w:val="21"/>
          <w:lang w:eastAsia="zh-CN" w:val="en-US"/>
        </w:rPr>
        <w:t>3.3.8.3</w:t>
      </w:r>
      <w:r>
        <w:rPr>
          <w:rFonts w:ascii="Times New Roman" w:cs="Times New Roman" w:eastAsia="宋体" w:hAnsi="Times New Roman" w:hint="eastAsia"/>
          <w:b/>
          <w:bCs/>
          <w:sz w:val="21"/>
          <w:szCs w:val="21"/>
          <w:lang w:eastAsia="zh-CN" w:val="en-US"/>
        </w:rPr>
        <w:t>-2 流动度试验</w:t>
      </w:r>
    </w:p>
    <w:p w14:paraId="7A34EC57">
      <w:pPr>
        <w:adjustRightInd w:val="0"/>
        <w:snapToGrid w:val="0"/>
        <w:ind w:firstLine="0" w:firstLineChars="0" w:left="0" w:leftChars="0"/>
        <w:jc w:val="center"/>
        <w:rPr>
          <w:rFonts w:ascii="宋体" w:cs="宋体" w:hAnsi="宋体"/>
          <w:color w:val="000000"/>
          <w:lang w:bidi="zh-CN"/>
        </w:rPr>
      </w:pPr>
      <w:r>
        <w:rPr>
          <w:rFonts w:ascii="宋体" w:cs="宋体" w:hAnsi="宋体"/>
          <w:color w:val="000000"/>
          <w:lang w:bidi="zh-CN"/>
        </w:rPr>
        <w:drawing>
          <wp:inline distB="0" distL="114300" distR="114300" distT="0">
            <wp:extent cx="2308860" cy="1805305"/>
            <wp:effectExtent b="8255" l="0" r="1270" t="0"/>
            <wp:docPr descr="图片47"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47" id="2" name="图片 3"/>
                    <pic:cNvPicPr>
                      <a:picLocks noChangeAspect="1"/>
                    </pic:cNvPicPr>
                  </pic:nvPicPr>
                  <pic:blipFill>
                    <a:blip r:embed="rId44"/>
                    <a:srcRect t="6612"/>
                    <a:stretch>
                      <a:fillRect/>
                    </a:stretch>
                  </pic:blipFill>
                  <pic:spPr>
                    <a:xfrm>
                      <a:off x="0" y="0"/>
                      <a:ext cx="2308860" cy="1805305"/>
                    </a:xfrm>
                    <a:prstGeom prst="rect">
                      <a:avLst/>
                    </a:prstGeom>
                    <a:noFill/>
                    <a:ln>
                      <a:noFill/>
                    </a:ln>
                  </pic:spPr>
                </pic:pic>
              </a:graphicData>
            </a:graphic>
          </wp:inline>
        </w:drawing>
      </w:r>
    </w:p>
    <w:p w14:paraId="3A177B28">
      <w:pPr>
        <w:adjustRightInd w:val="0"/>
        <w:snapToGrid w:val="0"/>
        <w:ind w:firstLine="3162" w:firstLineChars="1500" w:left="-43" w:leftChars="-18"/>
        <w:jc w:val="both"/>
        <w:rPr>
          <w:rFonts w:ascii="Times New Roman" w:cs="Times New Roman" w:eastAsia="宋体" w:hAnsi="Times New Roman" w:hint="eastAsia"/>
          <w:b/>
          <w:bCs/>
          <w:sz w:val="21"/>
          <w:szCs w:val="21"/>
          <w:lang w:eastAsia="zh-CN" w:val="en-US"/>
        </w:rPr>
      </w:pPr>
      <w:r>
        <w:rPr>
          <w:rFonts w:ascii="Times New Roman" w:cs="Times New Roman" w:eastAsia="宋体" w:hAnsi="Times New Roman" w:hint="eastAsia"/>
          <w:b/>
          <w:bCs/>
          <w:sz w:val="21"/>
          <w:szCs w:val="21"/>
          <w:lang w:eastAsia="zh-CN" w:val="en-US"/>
        </w:rPr>
        <w:t>图</w:t>
      </w:r>
      <w:r>
        <w:rPr>
          <w:rFonts w:ascii="Times New Roman" w:cs="Times New Roman" w:eastAsia="宋体" w:hAnsi="Times New Roman" w:hint="eastAsia"/>
          <w:b/>
          <w:bCs/>
          <w:sz w:val="21"/>
          <w:szCs w:val="21"/>
          <w:lang w:eastAsia="zh-CN" w:val="en-US"/>
        </w:rPr>
        <w:t>3.3.8.3</w:t>
      </w:r>
      <w:r>
        <w:rPr>
          <w:rFonts w:ascii="Times New Roman" w:cs="Times New Roman" w:eastAsia="宋体" w:hAnsi="Times New Roman" w:hint="eastAsia"/>
          <w:b/>
          <w:bCs/>
          <w:sz w:val="21"/>
          <w:szCs w:val="21"/>
          <w:lang w:eastAsia="zh-CN" w:val="en-US"/>
        </w:rPr>
        <w:t>-3 干容重试验</w:t>
      </w:r>
    </w:p>
    <w:p w14:paraId="343A5F13">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default"/>
          <w:sz w:val="24"/>
          <w:szCs w:val="24"/>
          <w:lang w:eastAsia="zh-CN" w:val="en-US"/>
        </w:rPr>
      </w:pPr>
      <w:bookmarkStart w:id="52" w:name="_Toc21503810"/>
      <w:bookmarkStart w:id="53" w:name="_Toc41576474"/>
      <w:r>
        <w:rPr>
          <w:rFonts w:ascii="宋体" w:cs="宋体" w:eastAsia="宋体" w:hAnsi="宋体" w:hint="eastAsia"/>
          <w:sz w:val="24"/>
          <w:szCs w:val="24"/>
          <w:lang w:eastAsia="zh-CN" w:val="en-US"/>
        </w:rPr>
        <w:t>3.3.8.4 测量放样</w:t>
      </w:r>
    </w:p>
    <w:p w14:paraId="5AB4DD4F">
      <w:pPr>
        <w:ind w:firstLine="480"/>
        <w:rPr>
          <w:rFonts w:ascii="Times New Roman" w:eastAsia="宋体" w:hAnsi="Times New Roman" w:hint="eastAsia"/>
          <w:lang w:eastAsia="zh-CN" w:val="en-US"/>
        </w:rPr>
      </w:pPr>
      <w:r>
        <w:rPr>
          <w:rFonts w:ascii="Times New Roman" w:eastAsia="宋体" w:hAnsi="Times New Roman" w:hint="eastAsia"/>
          <w:lang w:eastAsia="zh-CN" w:val="en-US"/>
        </w:rPr>
        <w:t>根据设计图纸要求对泡沫混凝土回填区域进行测量放样，采用GPS确定开挖线型，并用石灰线洒出开挖轮廓，以指导开挖施工准确无误，在开挖过程中采用水准仪测量高程，</w:t>
      </w:r>
      <w:bookmarkEnd w:id="52"/>
      <w:bookmarkEnd w:id="53"/>
      <w:r>
        <w:rPr>
          <w:rFonts w:ascii="Times New Roman" w:eastAsia="宋体" w:hAnsi="Times New Roman" w:hint="eastAsia"/>
          <w:lang w:eastAsia="zh-CN" w:val="en-US"/>
        </w:rPr>
        <w:t>对泡沫砼地基基底按设计高程及尺寸开挖到位后，要对基底进行清理。整平及压实，如有积水，要采取降排水措施，不得在基底有水的情况下浇筑泡沫砼，然后报监理工程师检验，检验合格后方可进入下一道工序。</w:t>
      </w:r>
    </w:p>
    <w:p w14:paraId="285B2198">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3.3.8.5 碎石垫层铺设</w:t>
      </w:r>
    </w:p>
    <w:p w14:paraId="3F087504">
      <w:pPr>
        <w:ind w:firstLine="480"/>
        <w:rPr>
          <w:rFonts w:ascii="Times New Roman" w:eastAsia="宋体" w:hAnsi="Times New Roman" w:hint="eastAsia"/>
          <w:lang w:eastAsia="zh-CN" w:val="en-US"/>
        </w:rPr>
      </w:pPr>
      <w:r>
        <w:rPr>
          <w:rFonts w:ascii="Times New Roman" w:eastAsia="宋体" w:hAnsi="Times New Roman" w:hint="eastAsia"/>
          <w:lang w:eastAsia="zh-CN" w:val="en-US"/>
        </w:rPr>
        <w:t>泡沫砼基底设置约4m厚级配碎石用于排除地下水，四周设置防水土工布，碎石垫层采用采用质地坚硬、强度均匀的碎石，粒径均小于50mm，碎石垫层铺设完成后对松散处进行夯实，确保碎石垫层铺设紧密牢固。</w:t>
      </w:r>
    </w:p>
    <w:p w14:paraId="4100390C">
      <w:pPr>
        <w:ind w:firstLine="480"/>
        <w:rPr>
          <w:rFonts w:ascii="Times New Roman" w:eastAsia="宋体" w:hAnsi="Times New Roman" w:hint="eastAsia"/>
          <w:lang w:eastAsia="zh-CN" w:val="en-US"/>
        </w:rPr>
      </w:pPr>
      <w:r>
        <w:rPr>
          <w:rFonts w:ascii="Times New Roman" w:eastAsia="宋体" w:hAnsi="Times New Roman" w:hint="eastAsia"/>
          <w:lang w:eastAsia="zh-CN" w:val="en-US"/>
        </w:rPr>
        <w:t>级配碎石隔离层应采用轮胎式压路机进行静压，禁止振动碾压，压实度要求&gt;96%。应分两层碾压密实，上层13cm，下层根据现场实际分台阶情况进行动态调整。碎石中针片状颗粒的总含量应不超过20%，碎石中不应含有粘土块、植物等，CBR值≥8。</w:t>
      </w:r>
    </w:p>
    <w:p w14:paraId="576CC8DE">
      <w:pPr>
        <w:adjustRightInd w:val="0"/>
        <w:snapToGrid w:val="0"/>
        <w:ind w:firstLine="1699" w:firstLineChars="708"/>
        <w:rPr>
          <w:rFonts w:ascii="宋体" w:cs="宋体" w:hAnsi="宋体"/>
          <w:color w:val="000000"/>
          <w:lang w:bidi="zh-CN"/>
        </w:rPr>
      </w:pPr>
      <w:r>
        <w:rPr>
          <w:rFonts w:ascii="宋体" w:cs="宋体" w:hAnsi="宋体"/>
          <w:color w:val="000000"/>
          <w:lang w:bidi="zh-CN"/>
        </w:rPr>
        <w:drawing>
          <wp:inline distB="0" distL="114300" distR="114300" distT="0">
            <wp:extent cx="2884805" cy="2282190"/>
            <wp:effectExtent b="6350" l="0" r="8255" t="0"/>
            <wp:docPr descr="图片43"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43" id="3" name="图片 4"/>
                    <pic:cNvPicPr>
                      <a:picLocks noChangeAspect="1"/>
                    </pic:cNvPicPr>
                  </pic:nvPicPr>
                  <pic:blipFill>
                    <a:blip r:embed="rId45"/>
                    <a:stretch>
                      <a:fillRect/>
                    </a:stretch>
                  </pic:blipFill>
                  <pic:spPr>
                    <a:xfrm>
                      <a:off x="0" y="0"/>
                      <a:ext cx="2884805" cy="2282190"/>
                    </a:xfrm>
                    <a:prstGeom prst="rect">
                      <a:avLst/>
                    </a:prstGeom>
                    <a:noFill/>
                    <a:ln>
                      <a:noFill/>
                    </a:ln>
                  </pic:spPr>
                </pic:pic>
              </a:graphicData>
            </a:graphic>
          </wp:inline>
        </w:drawing>
      </w:r>
    </w:p>
    <w:p w14:paraId="4675E3E1">
      <w:pPr>
        <w:adjustRightInd w:val="0"/>
        <w:snapToGrid w:val="0"/>
        <w:ind w:firstLine="3162" w:firstLineChars="1500" w:left="-43" w:leftChars="-18"/>
        <w:jc w:val="both"/>
        <w:rPr>
          <w:rFonts w:ascii="Times New Roman" w:cs="Times New Roman" w:eastAsia="宋体" w:hAnsi="Times New Roman" w:hint="eastAsia"/>
          <w:b/>
          <w:bCs/>
          <w:sz w:val="21"/>
          <w:szCs w:val="21"/>
          <w:lang w:eastAsia="zh-CN" w:val="en-US"/>
        </w:rPr>
      </w:pPr>
      <w:r>
        <w:rPr>
          <w:rFonts w:ascii="Times New Roman" w:cs="Times New Roman" w:eastAsia="宋体" w:hAnsi="Times New Roman" w:hint="eastAsia"/>
          <w:b/>
          <w:bCs/>
          <w:sz w:val="21"/>
          <w:szCs w:val="21"/>
          <w:lang w:eastAsia="zh-CN" w:val="en-US"/>
        </w:rPr>
        <w:t>图3.3.8.5-1 碎石垫层铺设</w:t>
      </w:r>
    </w:p>
    <w:p w14:paraId="766CC4E9">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default"/>
          <w:sz w:val="24"/>
          <w:szCs w:val="24"/>
          <w:lang w:eastAsia="zh-CN" w:val="en-US"/>
        </w:rPr>
      </w:pPr>
      <w:r>
        <w:rPr>
          <w:rFonts w:ascii="宋体" w:cs="宋体" w:eastAsia="宋体" w:hAnsi="宋体" w:hint="eastAsia"/>
          <w:sz w:val="24"/>
          <w:szCs w:val="24"/>
          <w:lang w:eastAsia="zh-CN" w:val="en-US"/>
        </w:rPr>
        <w:t>3.3.8.6 模板安装</w:t>
      </w:r>
    </w:p>
    <w:p w14:paraId="6F8E8471">
      <w:pPr>
        <w:ind w:firstLine="480"/>
        <w:rPr>
          <w:rFonts w:ascii="Times New Roman" w:eastAsia="宋体" w:hAnsi="Times New Roman" w:hint="eastAsia"/>
          <w:lang w:eastAsia="zh-CN" w:val="en-US"/>
        </w:rPr>
      </w:pPr>
      <w:r>
        <w:rPr>
          <w:rFonts w:ascii="Times New Roman" w:eastAsia="宋体" w:hAnsi="Times New Roman" w:hint="eastAsia"/>
          <w:lang w:eastAsia="zh-CN" w:val="en-US"/>
        </w:rPr>
        <w:t>泡沫混凝土回填模板采用木板，木板厚度为12mm，通过安装方木保证模板刚度，方木间距为60cm，经测试模板刚度可以满足泡沫混凝土浇筑要求，模板支撑采用方木，支撑方木设置间距为60cm，模板接缝位置采用泡沫胶涂抹，以防止混凝土浇筑时产生漏浆现象。</w:t>
      </w:r>
    </w:p>
    <w:p w14:paraId="1F41550D">
      <w:pPr>
        <w:adjustRightInd w:val="0"/>
        <w:snapToGrid w:val="0"/>
        <w:ind w:firstLine="1274" w:firstLineChars="531"/>
        <w:rPr>
          <w:rFonts w:ascii="宋体" w:hAnsi="宋体" w:hint="eastAsia"/>
          <w:szCs w:val="24"/>
        </w:rPr>
      </w:pPr>
      <w:r>
        <w:rPr>
          <w:rFonts w:ascii="宋体" w:cs="宋体" w:hAnsi="宋体"/>
          <w:color w:val="000000"/>
          <w:lang w:bidi="zh-CN"/>
        </w:rPr>
        <w:drawing>
          <wp:inline distB="0" distL="114300" distR="114300" distT="0">
            <wp:extent cx="3815080" cy="2713990"/>
            <wp:effectExtent b="6350" l="0" r="6350" t="0"/>
            <wp:docPr descr="图片44"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44" id="36" name="图片 5"/>
                    <pic:cNvPicPr>
                      <a:picLocks noChangeAspect="1"/>
                    </pic:cNvPicPr>
                  </pic:nvPicPr>
                  <pic:blipFill>
                    <a:blip r:embed="rId46"/>
                    <a:stretch>
                      <a:fillRect/>
                    </a:stretch>
                  </pic:blipFill>
                  <pic:spPr>
                    <a:xfrm>
                      <a:off x="0" y="0"/>
                      <a:ext cx="3815080" cy="2713990"/>
                    </a:xfrm>
                    <a:prstGeom prst="rect">
                      <a:avLst/>
                    </a:prstGeom>
                    <a:noFill/>
                    <a:ln>
                      <a:noFill/>
                    </a:ln>
                  </pic:spPr>
                </pic:pic>
              </a:graphicData>
            </a:graphic>
          </wp:inline>
        </w:drawing>
      </w:r>
    </w:p>
    <w:p w14:paraId="5EEB2F21">
      <w:pPr>
        <w:adjustRightInd w:val="0"/>
        <w:snapToGrid w:val="0"/>
        <w:ind w:firstLine="3162" w:firstLineChars="1500" w:left="-43" w:leftChars="-18"/>
        <w:jc w:val="both"/>
        <w:rPr>
          <w:rFonts w:ascii="Times New Roman" w:cs="Times New Roman" w:eastAsia="宋体" w:hAnsi="Times New Roman" w:hint="eastAsia"/>
          <w:b/>
          <w:bCs/>
          <w:sz w:val="21"/>
          <w:szCs w:val="21"/>
          <w:lang w:eastAsia="zh-CN" w:val="en-US"/>
        </w:rPr>
      </w:pPr>
      <w:r>
        <w:rPr>
          <w:rFonts w:ascii="Times New Roman" w:cs="Times New Roman" w:eastAsia="宋体" w:hAnsi="Times New Roman" w:hint="eastAsia"/>
          <w:b/>
          <w:bCs/>
          <w:sz w:val="21"/>
          <w:szCs w:val="21"/>
          <w:lang w:eastAsia="zh-CN" w:val="en-US"/>
        </w:rPr>
        <w:t>图3.3.8.6-1 模板安装支撑示意图</w:t>
      </w:r>
    </w:p>
    <w:p w14:paraId="1281E23F">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3.3.8.7 泡沫混凝土浇筑</w:t>
      </w:r>
    </w:p>
    <w:p w14:paraId="0861C185">
      <w:pPr>
        <w:ind w:firstLine="480"/>
        <w:rPr>
          <w:rFonts w:ascii="Times New Roman" w:eastAsia="宋体" w:hAnsi="Times New Roman" w:hint="eastAsia"/>
          <w:lang w:eastAsia="zh-CN" w:val="en-US"/>
        </w:rPr>
      </w:pPr>
      <w:r>
        <w:rPr>
          <w:rFonts w:ascii="Times New Roman" w:eastAsia="宋体" w:hAnsi="Times New Roman" w:hint="eastAsia"/>
          <w:lang w:eastAsia="zh-CN" w:val="en-US"/>
        </w:rPr>
        <w:t>模板安装完成后，检查其纵横向稳定性，接缝处防渗漏措施，模板竖直度及整体尺寸，检查各工序符合要求后开始浇筑。泡沫混凝土采用现场设备拌制浇筑，在现场竖置水泥罐，通过专业泡沫轻质土拌合设备均匀拌合发泡，泵送软管直径为65mm，每小时最大可输出45方混凝土。</w:t>
      </w:r>
    </w:p>
    <w:p w14:paraId="66B00C6B">
      <w:pPr>
        <w:ind w:firstLine="480"/>
        <w:rPr>
          <w:rFonts w:ascii="Times New Roman" w:eastAsia="宋体" w:hAnsi="Times New Roman" w:hint="eastAsia"/>
          <w:lang w:eastAsia="zh-CN" w:val="en-US"/>
        </w:rPr>
      </w:pPr>
      <w:r>
        <w:rPr>
          <w:rFonts w:ascii="Times New Roman" w:eastAsia="宋体" w:hAnsi="Times New Roman" w:hint="eastAsia"/>
          <w:lang w:eastAsia="zh-CN" w:val="en-US"/>
        </w:rPr>
        <w:t>泡沫混凝土中的泡沫要保持其独立细微而分布均匀的特性。因此施工过程中要避免过度振动。为了把泡沫的消解及材料离析现象控制到最小程度，浇筑过程应采用的正确方法为：从软管的前端直接浇筑，且出料口要埋入泡沫混凝土中。在不得已的情况下，需采用溜槽进行浇筑时，一定要采取相应的不降低泡沫混凝土质量的措施。另外，应避免当室外日均气温连续5d低于5°C或环境温度超过38°C、以及下雨时，进行泡沫混凝土构筑施工。</w:t>
      </w:r>
    </w:p>
    <w:p w14:paraId="5F0BD522">
      <w:pPr>
        <w:ind w:firstLine="480"/>
        <w:rPr>
          <w:rFonts w:ascii="Times New Roman" w:eastAsia="宋体" w:hAnsi="Times New Roman" w:hint="eastAsia"/>
          <w:lang w:eastAsia="zh-CN" w:val="en-US"/>
        </w:rPr>
      </w:pPr>
      <w:r>
        <w:rPr>
          <w:rFonts w:ascii="Times New Roman" w:eastAsia="宋体" w:hAnsi="Times New Roman" w:hint="eastAsia"/>
          <w:lang w:eastAsia="zh-CN" w:val="en-US"/>
        </w:rPr>
        <w:t>（1）浇筑施工应采用管路泵送方式。泵送前，应检查管接头是否紧固，确保接头密封牢固不泄露。泵送过程中，浇筑管的压力应满足扬程及输送距离要求。</w:t>
      </w:r>
    </w:p>
    <w:p w14:paraId="4558564D">
      <w:pPr>
        <w:ind w:firstLine="480"/>
        <w:rPr>
          <w:rFonts w:ascii="Times New Roman" w:eastAsia="宋体" w:hAnsi="Times New Roman" w:hint="eastAsia"/>
          <w:lang w:eastAsia="zh-CN" w:val="en-US"/>
        </w:rPr>
      </w:pPr>
      <w:r>
        <w:rPr>
          <w:rFonts w:ascii="Times New Roman" w:eastAsia="宋体" w:hAnsi="Times New Roman" w:hint="eastAsia"/>
          <w:lang w:eastAsia="zh-CN" w:val="en-US"/>
        </w:rPr>
        <w:t>（2）地形复杂区域，水泥管距离较远难以输送的应根据现场情况合理配置机械设备,可采用中继泵进行远距离输送，混泡应在最后一级进行。</w:t>
      </w:r>
    </w:p>
    <w:p w14:paraId="0C4BDC31">
      <w:pPr>
        <w:ind w:firstLine="480"/>
        <w:rPr>
          <w:rFonts w:ascii="Times New Roman" w:eastAsia="宋体" w:hAnsi="Times New Roman" w:hint="eastAsia"/>
          <w:lang w:eastAsia="zh-CN" w:val="en-US"/>
        </w:rPr>
      </w:pPr>
      <w:r>
        <w:rPr>
          <w:rFonts w:ascii="Times New Roman" w:eastAsia="宋体" w:hAnsi="Times New Roman" w:hint="eastAsia"/>
          <w:lang w:eastAsia="zh-CN" w:val="en-US"/>
        </w:rPr>
        <w:t>（3）泡沫混凝上浇筑时，浇筑管宜与浇筑面保持缓倾角度(见下图),不应采用从上而下喷射方式进行浇筑，管口应埋入泡沫混凝上内不小于10cm,以降低泡沫混凝土的消泡量。浇筑点由中心向四边扩展或采用多点浇筑。浇筑点不应直接冲击面板及伸缩缝模板部位,避免造成面板底部及接缝处的渗漏。</w:t>
      </w:r>
    </w:p>
    <w:p w14:paraId="7E1B57E6">
      <w:pPr>
        <w:adjustRightInd w:val="0"/>
        <w:snapToGrid w:val="0"/>
        <w:ind w:hanging="141" w:hangingChars="59" w:leftChars="-59"/>
        <w:rPr>
          <w:rFonts w:ascii="宋体" w:hAnsi="宋体" w:hint="eastAsia"/>
          <w:szCs w:val="24"/>
        </w:rPr>
      </w:pPr>
      <w:r>
        <w:rPr>
          <w:rFonts w:ascii="宋体" w:cs="宋体" w:hAnsi="宋体"/>
          <w:color w:val="000000"/>
          <w:lang w:bidi="zh-CN"/>
        </w:rPr>
        <w:drawing>
          <wp:inline distB="0" distL="114300" distR="114300" distT="0">
            <wp:extent cx="5645150" cy="1810385"/>
            <wp:effectExtent b="3175" l="0" r="635" t="0"/>
            <wp:docPr descr="图片48"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48" id="4" name="图片 6"/>
                    <pic:cNvPicPr>
                      <a:picLocks noChangeAspect="1"/>
                    </pic:cNvPicPr>
                  </pic:nvPicPr>
                  <pic:blipFill>
                    <a:blip r:embed="rId47"/>
                    <a:stretch>
                      <a:fillRect/>
                    </a:stretch>
                  </pic:blipFill>
                  <pic:spPr>
                    <a:xfrm>
                      <a:off x="0" y="0"/>
                      <a:ext cx="5645150" cy="1810385"/>
                    </a:xfrm>
                    <a:prstGeom prst="rect">
                      <a:avLst/>
                    </a:prstGeom>
                    <a:noFill/>
                    <a:ln>
                      <a:noFill/>
                    </a:ln>
                  </pic:spPr>
                </pic:pic>
              </a:graphicData>
            </a:graphic>
          </wp:inline>
        </w:drawing>
      </w:r>
    </w:p>
    <w:p w14:paraId="17935BCF">
      <w:pPr>
        <w:adjustRightInd w:val="0"/>
        <w:snapToGrid w:val="0"/>
        <w:ind w:firstLine="3162" w:firstLineChars="1500" w:left="-43" w:leftChars="-18"/>
        <w:jc w:val="both"/>
        <w:rPr>
          <w:rFonts w:ascii="Times New Roman" w:cs="Times New Roman" w:eastAsia="宋体" w:hAnsi="Times New Roman" w:hint="eastAsia"/>
          <w:b/>
          <w:bCs/>
          <w:sz w:val="21"/>
          <w:szCs w:val="21"/>
          <w:lang w:eastAsia="zh-CN" w:val="en-US"/>
        </w:rPr>
      </w:pPr>
      <w:r>
        <w:rPr>
          <w:rFonts w:ascii="Times New Roman" w:cs="Times New Roman" w:eastAsia="宋体" w:hAnsi="Times New Roman" w:hint="eastAsia"/>
          <w:b/>
          <w:bCs/>
          <w:sz w:val="21"/>
          <w:szCs w:val="21"/>
          <w:lang w:eastAsia="zh-CN" w:val="en-US"/>
        </w:rPr>
        <w:t>图3.3.8.7-1 浇筑示意图</w:t>
      </w:r>
    </w:p>
    <w:p w14:paraId="5C38598F">
      <w:pPr>
        <w:ind w:firstLine="480"/>
        <w:rPr>
          <w:rFonts w:ascii="Times New Roman" w:eastAsia="宋体" w:hAnsi="Times New Roman" w:hint="eastAsia"/>
          <w:lang w:eastAsia="zh-CN" w:val="en-US"/>
        </w:rPr>
      </w:pPr>
      <w:r>
        <w:rPr>
          <w:rFonts w:ascii="Times New Roman" w:eastAsia="宋体" w:hAnsi="Times New Roman" w:hint="eastAsia"/>
          <w:lang w:eastAsia="zh-CN" w:val="en-US"/>
        </w:rPr>
        <w:t>（4）浇筑过程若停滞时间超过30分钟，应及时洗管,清洗输送管时以管道出水干净为准；</w:t>
      </w:r>
    </w:p>
    <w:p w14:paraId="54E349A4">
      <w:pPr>
        <w:ind w:firstLine="480"/>
        <w:rPr>
          <w:rFonts w:ascii="Times New Roman" w:eastAsia="宋体" w:hAnsi="Times New Roman" w:hint="eastAsia"/>
          <w:lang w:eastAsia="zh-CN" w:val="en-US"/>
        </w:rPr>
      </w:pPr>
      <w:r>
        <w:rPr>
          <w:rFonts w:ascii="Times New Roman" w:eastAsia="宋体" w:hAnsi="Times New Roman" w:hint="eastAsia"/>
          <w:lang w:eastAsia="zh-CN" w:val="en-US"/>
        </w:rPr>
        <w:t>（5）浇筑将至顶层时，采用后退方式拖移浇筑管进行人工扫平,浇筑层终凝后方可进行上层的浇筑施工；</w:t>
      </w:r>
    </w:p>
    <w:p w14:paraId="193B2369">
      <w:pPr>
        <w:ind w:firstLine="480"/>
        <w:rPr>
          <w:rFonts w:ascii="Times New Roman" w:eastAsia="宋体" w:hAnsi="Times New Roman" w:hint="eastAsia"/>
          <w:lang w:eastAsia="zh-CN" w:val="en-US"/>
        </w:rPr>
      </w:pPr>
      <w:r>
        <w:rPr>
          <w:rFonts w:ascii="Times New Roman" w:eastAsia="宋体" w:hAnsi="Times New Roman" w:hint="eastAsia"/>
          <w:lang w:eastAsia="zh-CN" w:val="en-US"/>
        </w:rPr>
        <w:t>（6）浇筑过程中应减少对泡沫混凝土的扰动，不应在泡沫混凝土里面随意移动浇筑管。</w:t>
      </w:r>
    </w:p>
    <w:p w14:paraId="37B03BDE">
      <w:pPr>
        <w:ind w:firstLine="480"/>
        <w:rPr>
          <w:rFonts w:ascii="Times New Roman" w:eastAsia="宋体" w:hAnsi="Times New Roman" w:hint="eastAsia"/>
          <w:lang w:eastAsia="zh-CN" w:val="en-US"/>
        </w:rPr>
      </w:pPr>
      <w:r>
        <w:rPr>
          <w:rFonts w:ascii="Times New Roman" w:eastAsia="宋体" w:hAnsi="Times New Roman" w:hint="eastAsia"/>
          <w:lang w:eastAsia="zh-CN" w:val="en-US"/>
        </w:rPr>
        <w:t>（7）在浇筑过程中按规定的检测方法和检测频率对泡沫混凝上的湿容重、流动度进行检测,若不符合要求则应及时调整。</w:t>
      </w:r>
    </w:p>
    <w:p w14:paraId="2016D75C">
      <w:pPr>
        <w:ind w:firstLine="480"/>
        <w:rPr>
          <w:rFonts w:ascii="Times New Roman" w:eastAsia="宋体" w:hAnsi="Times New Roman" w:hint="eastAsia"/>
          <w:lang w:eastAsia="zh-CN" w:val="en-US"/>
        </w:rPr>
      </w:pPr>
      <w:r>
        <w:rPr>
          <w:rFonts w:ascii="Times New Roman" w:eastAsia="宋体" w:hAnsi="Times New Roman" w:hint="eastAsia"/>
          <w:lang w:eastAsia="zh-CN" w:val="en-US"/>
        </w:rPr>
        <w:t>（8）泡沫混凝土顶面设置 15cm 厚 C20 混凝土封面(并设置钢筋网)来保证泡沫混凝土的耐久性。</w:t>
      </w:r>
    </w:p>
    <w:p w14:paraId="0D023DD0">
      <w:pPr>
        <w:ind w:firstLine="480"/>
        <w:rPr>
          <w:rFonts w:ascii="Times New Roman" w:eastAsia="宋体" w:hAnsi="Times New Roman" w:hint="eastAsia"/>
          <w:lang w:eastAsia="zh-CN" w:val="en-US"/>
        </w:rPr>
      </w:pPr>
      <w:r>
        <w:rPr>
          <w:rFonts w:ascii="Times New Roman" w:eastAsia="宋体" w:hAnsi="Times New Roman" w:hint="eastAsia"/>
          <w:lang w:eastAsia="zh-CN" w:val="en-US"/>
        </w:rPr>
        <w:t>（9）当遇到大雨或长时间持续的小雨天气时，对未固化的表层应采取遮雨措施。重新浇注上层前，应对已被雨水消泡的表层进行铲除清理。固化前，应避免对泡沫混凝土的扰动。</w:t>
      </w:r>
    </w:p>
    <w:p w14:paraId="5571AD3C">
      <w:pPr>
        <w:ind w:firstLine="480"/>
        <w:rPr>
          <w:rFonts w:ascii="Times New Roman" w:eastAsia="宋体" w:hAnsi="Times New Roman" w:hint="eastAsia"/>
          <w:lang w:eastAsia="zh-CN" w:val="en-US"/>
        </w:rPr>
      </w:pPr>
      <w:r>
        <w:rPr>
          <w:rFonts w:ascii="Times New Roman" w:eastAsia="宋体" w:hAnsi="Times New Roman" w:hint="eastAsia"/>
          <w:lang w:eastAsia="zh-CN" w:val="en-US"/>
        </w:rPr>
        <w:t>（10）泡沫砼顶层做成小台阶以适应路面横坡值，并通过级配碎石隔离层调平。在泡沫砼底面以上及顶面以下50cm，钢丝网规格为中6mm-@10cmx10cm;不同网片之间采用镀锌铁丝绑扎连接，纵向搭接长度 20cm，横向搭接长度 30cm。</w:t>
      </w:r>
    </w:p>
    <w:p w14:paraId="4F3951CF">
      <w:pPr>
        <w:ind w:firstLine="480"/>
        <w:rPr>
          <w:rFonts w:ascii="Times New Roman" w:eastAsia="宋体" w:hAnsi="Times New Roman" w:hint="eastAsia"/>
          <w:lang w:eastAsia="zh-CN" w:val="en-US"/>
        </w:rPr>
      </w:pPr>
      <w:r>
        <w:rPr>
          <w:rFonts w:ascii="Times New Roman" w:eastAsia="宋体" w:hAnsi="Times New Roman" w:hint="eastAsia"/>
          <w:lang w:eastAsia="zh-CN" w:val="en-US"/>
        </w:rPr>
        <w:t>（11）每层的浇筑厚度</w:t>
      </w:r>
    </w:p>
    <w:p w14:paraId="475255F5">
      <w:pPr>
        <w:ind w:firstLine="480"/>
        <w:rPr>
          <w:rFonts w:ascii="宋体" w:hAnsi="宋体" w:hint="eastAsia"/>
          <w:szCs w:val="24"/>
        </w:rPr>
      </w:pPr>
      <w:r>
        <w:rPr>
          <w:rFonts w:ascii="Times New Roman" w:eastAsia="宋体" w:hAnsi="Times New Roman" w:hint="eastAsia"/>
          <w:lang w:eastAsia="zh-CN" w:val="en-US"/>
        </w:rPr>
        <w:t>泡沫混凝土浇注施工宜采用配管泵送方式。浇注时，浇注管出料口应与浇注面保持水平。泡沫混凝土的单层浇注厚度,除狭小面积可按&lt;1m控制外,其它按 0.3~0.8m 控制。泡沫混凝土的单块浇注面积应根据设备能力、浇注厚度确定，确保浇注工作在泡沫混凝土初凝以前完成，上浇注层浇注应待下浇注层终凝后方可进行。在浇注完填筑体的顶层时，应及时覆盖土工布，养生时间不小于7d，具体需根据泡沫的强度进行适当调整，以进行级配碎石施工时不对泡沫砼造成损伤(如开裂、破碎等)为准。路面施工应在顶层泡沫砼养护不少于28天以后进行。</w:t>
      </w:r>
    </w:p>
    <w:p w14:paraId="5A08AE18">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3.3.8.8泡沫混凝土拆模</w:t>
      </w:r>
    </w:p>
    <w:p w14:paraId="50A9F172">
      <w:pPr>
        <w:ind w:firstLine="480"/>
        <w:rPr>
          <w:rFonts w:ascii="Times New Roman" w:eastAsia="宋体" w:hAnsi="Times New Roman" w:hint="eastAsia"/>
          <w:lang w:eastAsia="zh-CN" w:val="en-US"/>
        </w:rPr>
      </w:pPr>
      <w:r>
        <w:rPr>
          <w:rFonts w:ascii="Times New Roman" w:eastAsia="宋体" w:hAnsi="Times New Roman" w:hint="eastAsia"/>
          <w:lang w:eastAsia="zh-CN" w:val="en-US"/>
        </w:rPr>
        <w:t>一般情况下，保护壁（或模板）没必要拆除。如果必须拆除时，应仔细检查并确定泡沫混凝土已足够坚固且不易因碰撞而损坏。</w:t>
      </w:r>
    </w:p>
    <w:p w14:paraId="500A2945">
      <w:pPr>
        <w:adjustRightInd w:val="0"/>
        <w:snapToGrid w:val="0"/>
        <w:ind w:firstLine="849" w:firstLineChars="354"/>
        <w:rPr>
          <w:rFonts w:ascii="宋体" w:cs="宋体" w:hAnsi="宋体"/>
          <w:color w:val="000000"/>
          <w:lang w:bidi="zh-CN"/>
        </w:rPr>
      </w:pPr>
      <w:r>
        <w:rPr>
          <w:rFonts w:ascii="宋体" w:cs="宋体" w:hAnsi="宋体"/>
          <w:color w:val="000000"/>
          <w:lang w:bidi="zh-CN"/>
        </w:rPr>
        <w:drawing>
          <wp:inline distB="0" distL="114300" distR="114300" distT="0">
            <wp:extent cx="3848100" cy="2621915"/>
            <wp:effectExtent b="1270" l="0" r="5715" t="0"/>
            <wp:docPr descr="图片50"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50" id="47" name="图片 7"/>
                    <pic:cNvPicPr>
                      <a:picLocks noChangeAspect="1"/>
                    </pic:cNvPicPr>
                  </pic:nvPicPr>
                  <pic:blipFill>
                    <a:blip r:embed="rId48"/>
                    <a:stretch>
                      <a:fillRect/>
                    </a:stretch>
                  </pic:blipFill>
                  <pic:spPr>
                    <a:xfrm>
                      <a:off x="0" y="0"/>
                      <a:ext cx="3848100" cy="2621915"/>
                    </a:xfrm>
                    <a:prstGeom prst="rect">
                      <a:avLst/>
                    </a:prstGeom>
                    <a:noFill/>
                    <a:ln>
                      <a:noFill/>
                    </a:ln>
                  </pic:spPr>
                </pic:pic>
              </a:graphicData>
            </a:graphic>
          </wp:inline>
        </w:drawing>
      </w:r>
    </w:p>
    <w:p w14:paraId="2F66CDE0">
      <w:pPr>
        <w:adjustRightInd w:val="0"/>
        <w:snapToGrid w:val="0"/>
        <w:ind w:firstLine="3162" w:firstLineChars="1500" w:left="-43" w:leftChars="-18"/>
        <w:jc w:val="both"/>
        <w:rPr>
          <w:rFonts w:ascii="Times New Roman" w:cs="Times New Roman" w:eastAsia="宋体" w:hAnsi="Times New Roman" w:hint="eastAsia"/>
          <w:b/>
          <w:bCs/>
          <w:sz w:val="21"/>
          <w:szCs w:val="21"/>
          <w:lang w:eastAsia="zh-CN" w:val="en-US"/>
        </w:rPr>
      </w:pPr>
      <w:r>
        <w:rPr>
          <w:rFonts w:ascii="Times New Roman" w:cs="Times New Roman" w:eastAsia="宋体" w:hAnsi="Times New Roman" w:hint="eastAsia"/>
          <w:b/>
          <w:bCs/>
          <w:sz w:val="21"/>
          <w:szCs w:val="21"/>
          <w:lang w:eastAsia="zh-CN" w:val="en-US"/>
        </w:rPr>
        <w:t>图3.8.8.8-1 顶面坡度控制台阶</w:t>
      </w:r>
    </w:p>
    <w:p w14:paraId="4FF13976">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3.3.8.9施工缝、沉降缝设置</w:t>
      </w:r>
    </w:p>
    <w:p w14:paraId="7D86AF87">
      <w:pPr>
        <w:ind w:firstLine="480"/>
        <w:rPr>
          <w:rFonts w:ascii="Times New Roman" w:eastAsia="宋体" w:hAnsi="Times New Roman" w:hint="eastAsia"/>
          <w:lang w:eastAsia="zh-CN" w:val="en-US"/>
        </w:rPr>
      </w:pPr>
      <w:r>
        <w:rPr>
          <w:rFonts w:ascii="Times New Roman" w:eastAsia="宋体" w:hAnsi="Times New Roman" w:hint="eastAsia"/>
          <w:lang w:eastAsia="zh-CN" w:val="en-US"/>
        </w:rPr>
        <w:t>泡沫混凝土填筑体长度(包括横向浇筑宽度、纵向浇筑长度)超过15m时，应按5-15m间距设置变形缝，在断面突变处应加设变形缝，变形缝材料可采用20-30mm厚聚苯乙烯板或10-20mm厚木板。</w:t>
      </w:r>
    </w:p>
    <w:p w14:paraId="53BA16E1">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3.3.8.10养护</w:t>
      </w:r>
    </w:p>
    <w:p w14:paraId="30B0C2D5">
      <w:pPr>
        <w:ind w:firstLine="480"/>
        <w:rPr>
          <w:rFonts w:ascii="Times New Roman" w:eastAsia="宋体" w:hAnsi="Times New Roman" w:hint="eastAsia"/>
          <w:lang w:eastAsia="zh-CN" w:val="en-US"/>
        </w:rPr>
      </w:pPr>
      <w:r>
        <w:rPr>
          <w:rFonts w:ascii="Times New Roman" w:eastAsia="宋体" w:hAnsi="Times New Roman" w:hint="eastAsia"/>
          <w:lang w:eastAsia="zh-CN" w:val="en-US"/>
        </w:rPr>
        <w:t>浇筑泡沫混凝土时，虽然不强调每浇筑一层都采取特别的保护措施，但浇筑完成后为了防止由于急速干燥而产生裂缝，固化后需要加盖土工布、麻袋等进行保护。此外，如果施工中遇雨，对固化前的泡沫混凝土要进行遮盖，避免雨淋。</w:t>
      </w:r>
    </w:p>
    <w:p w14:paraId="264D1645">
      <w:pPr>
        <w:ind w:firstLine="480"/>
        <w:rPr>
          <w:rFonts w:ascii="Times New Roman" w:eastAsia="宋体" w:hAnsi="Times New Roman" w:hint="eastAsia"/>
          <w:lang w:eastAsia="zh-CN" w:val="en-US"/>
        </w:rPr>
      </w:pPr>
      <w:r>
        <w:rPr>
          <w:rFonts w:ascii="Times New Roman" w:eastAsia="宋体" w:hAnsi="Times New Roman" w:hint="eastAsia"/>
          <w:lang w:eastAsia="zh-CN" w:val="en-US"/>
        </w:rPr>
        <w:t>（1）泡沫混凝土24小时后开始自然养护，在初凝前严禁上人踩踏；</w:t>
      </w:r>
    </w:p>
    <w:p w14:paraId="5F02855B">
      <w:pPr>
        <w:ind w:firstLine="480"/>
        <w:rPr>
          <w:rFonts w:ascii="Times New Roman" w:eastAsia="宋体" w:hAnsi="Times New Roman" w:hint="eastAsia"/>
          <w:lang w:eastAsia="zh-CN" w:val="en-US"/>
        </w:rPr>
      </w:pPr>
      <w:r>
        <w:rPr>
          <w:rFonts w:ascii="Times New Roman" w:eastAsia="宋体" w:hAnsi="Times New Roman" w:hint="eastAsia"/>
          <w:lang w:eastAsia="zh-CN" w:val="en-US"/>
        </w:rPr>
        <w:t>（2）顶面保温（含填充层）自然凝固成型，自然养护时间为1-3天；</w:t>
      </w:r>
    </w:p>
    <w:p w14:paraId="3D72FB94">
      <w:pPr>
        <w:ind w:firstLine="480"/>
        <w:rPr>
          <w:rFonts w:ascii="Times New Roman" w:eastAsia="宋体" w:hAnsi="Times New Roman" w:hint="eastAsia"/>
          <w:lang w:eastAsia="zh-CN" w:val="en-US"/>
        </w:rPr>
      </w:pPr>
      <w:r>
        <w:rPr>
          <w:rFonts w:ascii="Times New Roman" w:eastAsia="宋体" w:hAnsi="Times New Roman" w:hint="eastAsia"/>
          <w:lang w:eastAsia="zh-CN" w:val="en-US"/>
        </w:rPr>
        <w:t>（3）泡沫混凝土初凝后（次日）及时洒水保湿保养，养护时间为2-3天；</w:t>
      </w:r>
    </w:p>
    <w:p w14:paraId="63EF225C">
      <w:pPr>
        <w:ind w:firstLine="480"/>
        <w:rPr>
          <w:rFonts w:ascii="Times New Roman" w:eastAsia="宋体" w:hAnsi="Times New Roman" w:hint="eastAsia"/>
          <w:lang w:eastAsia="zh-CN" w:val="en-US"/>
        </w:rPr>
      </w:pPr>
      <w:r>
        <w:rPr>
          <w:rFonts w:ascii="Times New Roman" w:eastAsia="宋体" w:hAnsi="Times New Roman" w:hint="eastAsia"/>
          <w:lang w:eastAsia="zh-CN" w:val="en-US"/>
        </w:rPr>
        <w:t>（4）在保养期间不得穿钉鞋在上行走，不能堆重物，不能在上面拉车，不得在其上面凿孔等；</w:t>
      </w:r>
    </w:p>
    <w:p w14:paraId="324F51B6">
      <w:pPr>
        <w:ind w:firstLine="480"/>
        <w:rPr>
          <w:rFonts w:ascii="Times New Roman" w:eastAsia="宋体" w:hAnsi="Times New Roman" w:hint="eastAsia"/>
          <w:lang w:eastAsia="zh-CN" w:val="en-US"/>
        </w:rPr>
      </w:pPr>
      <w:r>
        <w:rPr>
          <w:rFonts w:ascii="Times New Roman" w:eastAsia="宋体" w:hAnsi="Times New Roman" w:hint="eastAsia"/>
          <w:lang w:eastAsia="zh-CN" w:val="en-US"/>
        </w:rPr>
        <w:t>（5）交付使用前，泡沫混凝土面层荷载不能超过其设计抗压强度标准值。</w:t>
      </w:r>
    </w:p>
    <w:p w14:paraId="33B63B0D">
      <w:pPr>
        <w:ind w:firstLine="480"/>
        <w:rPr>
          <w:rFonts w:ascii="Times New Roman" w:eastAsia="宋体" w:hAnsi="Times New Roman" w:hint="eastAsia"/>
          <w:lang w:eastAsia="zh-CN" w:val="en-US"/>
        </w:rPr>
      </w:pPr>
      <w:r>
        <w:rPr>
          <w:rFonts w:ascii="Times New Roman" w:eastAsia="宋体" w:hAnsi="Times New Roman" w:hint="eastAsia"/>
          <w:lang w:eastAsia="zh-CN" w:val="en-US"/>
        </w:rPr>
        <w:t>（6）泡沫混凝土在施工后的10天内应尽快进行其上层工艺施工，以便对其进行良好的隐蔽保护。</w:t>
      </w:r>
    </w:p>
    <w:p w14:paraId="2920ABD4">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3.3.8.11质量控制措施</w:t>
      </w:r>
    </w:p>
    <w:p w14:paraId="405D2469">
      <w:pPr>
        <w:numPr>
          <w:ilvl w:val="0"/>
          <w:numId w:val="4"/>
        </w:numPr>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原材料控制</w:t>
      </w:r>
    </w:p>
    <w:p w14:paraId="765FCE65">
      <w:pPr>
        <w:ind w:firstLine="480"/>
        <w:rPr>
          <w:rFonts w:ascii="Times New Roman" w:eastAsia="宋体" w:hAnsi="Times New Roman" w:hint="default"/>
          <w:lang w:eastAsia="zh-CN" w:val="en-US"/>
        </w:rPr>
      </w:pPr>
      <w:r>
        <w:rPr>
          <w:rFonts w:ascii="Times New Roman" w:eastAsia="宋体" w:hAnsi="Times New Roman" w:hint="eastAsia"/>
          <w:lang w:eastAsia="zh-CN" w:val="en-US"/>
        </w:rPr>
        <w:t>1、</w:t>
      </w:r>
      <w:r>
        <w:rPr>
          <w:rFonts w:ascii="Times New Roman" w:eastAsia="宋体" w:hAnsi="Times New Roman" w:hint="default"/>
          <w:lang w:eastAsia="zh-CN" w:val="en-US"/>
        </w:rPr>
        <w:t>水泥:选择质量稳定、强度等级符合设计要求的水泥，优先选用硅酸盐水泥或普通硅酸盐水泥。每批次水泥进场时，必须检查其出厂合格证、质量检验报告，并按规定进行抽样检验，检测项目包括凝结时间、安定性、强度等，确保水泥各项性能指标符合国家标准。</w:t>
      </w:r>
    </w:p>
    <w:p w14:paraId="7B822AC8">
      <w:pPr>
        <w:ind w:firstLine="480"/>
        <w:rPr>
          <w:rFonts w:ascii="Times New Roman" w:eastAsia="宋体" w:hAnsi="Times New Roman" w:hint="default"/>
          <w:lang w:eastAsia="zh-CN" w:val="en-US"/>
        </w:rPr>
      </w:pPr>
      <w:r>
        <w:rPr>
          <w:rFonts w:ascii="Times New Roman" w:eastAsia="宋体" w:hAnsi="Times New Roman" w:hint="eastAsia"/>
          <w:lang w:eastAsia="zh-CN" w:val="en-US"/>
        </w:rPr>
        <w:t>2、</w:t>
      </w:r>
      <w:r>
        <w:rPr>
          <w:rFonts w:ascii="Times New Roman" w:eastAsia="宋体" w:hAnsi="Times New Roman" w:hint="default"/>
          <w:lang w:eastAsia="zh-CN" w:val="en-US"/>
        </w:rPr>
        <w:t>发泡剂:选用性能优良、稳定性好的发泡剂，根据工程要求和泡沫混凝土的性能指标，选择合适类型的发泡剂</w:t>
      </w:r>
      <w:r>
        <w:rPr>
          <w:rFonts w:ascii="Times New Roman" w:eastAsia="宋体" w:hAnsi="Times New Roman" w:hint="eastAsia"/>
          <w:lang w:eastAsia="zh-CN" w:val="en-US"/>
        </w:rPr>
        <w:t>，</w:t>
      </w:r>
      <w:r>
        <w:rPr>
          <w:rFonts w:ascii="Times New Roman" w:eastAsia="宋体" w:hAnsi="Times New Roman" w:hint="default"/>
          <w:lang w:eastAsia="zh-CN" w:val="en-US"/>
        </w:rPr>
        <w:t>对发泡剂的起泡能力、泡沫稳定性等关键性能进行严格检测，定期抽检发泡剂的质量，防止因发泡剂质量问题导致泡沫混凝土性能不稳定。</w:t>
      </w:r>
    </w:p>
    <w:p w14:paraId="26CF5946">
      <w:pPr>
        <w:numPr>
          <w:ilvl w:val="0"/>
          <w:numId w:val="4"/>
        </w:numPr>
        <w:rPr>
          <w:rFonts w:ascii="宋体" w:cs="宋体" w:eastAsia="宋体" w:hAnsi="宋体" w:hint="default"/>
          <w:sz w:val="24"/>
          <w:szCs w:val="24"/>
          <w:lang w:eastAsia="zh-CN" w:val="en-US"/>
        </w:rPr>
      </w:pPr>
      <w:r>
        <w:rPr>
          <w:rFonts w:ascii="宋体" w:cs="宋体" w:eastAsia="宋体" w:hAnsi="宋体" w:hint="eastAsia"/>
          <w:sz w:val="24"/>
          <w:szCs w:val="24"/>
          <w:lang w:eastAsia="zh-CN" w:val="en-US"/>
        </w:rPr>
        <w:t>配合比控制</w:t>
      </w:r>
    </w:p>
    <w:p w14:paraId="4EF7DC2E">
      <w:pPr>
        <w:ind w:firstLine="480"/>
        <w:rPr>
          <w:rFonts w:ascii="Times New Roman" w:eastAsia="宋体" w:hAnsi="Times New Roman" w:hint="eastAsia"/>
          <w:lang w:eastAsia="zh-CN" w:val="en-US"/>
        </w:rPr>
      </w:pPr>
      <w:r>
        <w:rPr>
          <w:rFonts w:ascii="Times New Roman" w:eastAsia="宋体" w:hAnsi="Times New Roman" w:hint="eastAsia"/>
          <w:lang w:eastAsia="zh-CN" w:val="en-US"/>
        </w:rPr>
        <w:t>1、设计优化:根据泡沫混凝土的设计强度等级、密度要求以及施工工艺等因素，通过试验确定科学合理的配合比。在配合比设计过程中，充分考虑水泥、发泡剂、水以及其他外加剂之间的比例关系，确保泡沫混凝土既能满足性能要求，又具有良好的施工和易性，配合比设计完成后报监理工程师验收合格后方可用于施工。</w:t>
      </w:r>
    </w:p>
    <w:p w14:paraId="5FF569B6">
      <w:pPr>
        <w:ind w:firstLine="480"/>
        <w:rPr>
          <w:rFonts w:ascii="Times New Roman" w:eastAsia="宋体" w:hAnsi="Times New Roman" w:hint="eastAsia"/>
          <w:lang w:eastAsia="zh-CN" w:val="en-US"/>
        </w:rPr>
      </w:pPr>
      <w:r>
        <w:rPr>
          <w:rFonts w:ascii="Times New Roman" w:eastAsia="宋体" w:hAnsi="Times New Roman" w:hint="eastAsia"/>
          <w:lang w:eastAsia="zh-CN" w:val="en-US"/>
        </w:rPr>
        <w:t>2、精准计量:施工过程中，严格按照设计配合比进行原材料的计量。采用精度符合要求的计量设备，对水泥、水、发泡剂等原材料进行精确称量，计量误差应控制在允许范围内。定期对计量设备进行校准和维护，确保计量的准确性。</w:t>
      </w:r>
    </w:p>
    <w:p w14:paraId="51A812BB">
      <w:pPr>
        <w:ind w:firstLine="480"/>
        <w:rPr>
          <w:rFonts w:ascii="Times New Roman" w:eastAsia="宋体" w:hAnsi="Times New Roman" w:hint="eastAsia"/>
          <w:lang w:eastAsia="zh-CN" w:val="en-US"/>
        </w:rPr>
      </w:pPr>
      <w:r>
        <w:rPr>
          <w:rFonts w:ascii="Times New Roman" w:eastAsia="宋体" w:hAnsi="Times New Roman" w:hint="eastAsia"/>
          <w:lang w:eastAsia="zh-CN" w:val="en-US"/>
        </w:rPr>
        <w:t>（3）施工控制</w:t>
      </w:r>
    </w:p>
    <w:p w14:paraId="60D70C21">
      <w:pPr>
        <w:ind w:firstLine="480"/>
        <w:rPr>
          <w:rFonts w:ascii="Times New Roman" w:eastAsia="宋体" w:hAnsi="Times New Roman" w:hint="default"/>
          <w:lang w:eastAsia="zh-CN" w:val="en-US"/>
        </w:rPr>
      </w:pPr>
      <w:r>
        <w:rPr>
          <w:rFonts w:ascii="Times New Roman" w:eastAsia="宋体" w:hAnsi="Times New Roman" w:hint="eastAsia"/>
          <w:lang w:eastAsia="zh-CN" w:val="en-US"/>
        </w:rPr>
        <w:t>1、</w:t>
      </w:r>
      <w:r>
        <w:rPr>
          <w:rFonts w:ascii="Times New Roman" w:eastAsia="宋体" w:hAnsi="Times New Roman" w:hint="default"/>
          <w:lang w:eastAsia="zh-CN" w:val="en-US"/>
        </w:rPr>
        <w:t>泡沫制备:严格按照发泡剂的使用说明和操作规程制备泡沫，控制好发泡剂溶液的浓度和发泡设备的工作参数，确保产生的泡沫均匀、细腻、稳定。泡沫的密度和发泡倍数应符合设计要求，随时观察泡沫的质量，如发现泡沫异常，应及时调整发泡工艺。</w:t>
      </w:r>
    </w:p>
    <w:p w14:paraId="18ED44A0">
      <w:pPr>
        <w:ind w:firstLine="480"/>
        <w:rPr>
          <w:rFonts w:ascii="Times New Roman" w:eastAsia="宋体" w:hAnsi="Times New Roman" w:hint="default"/>
          <w:lang w:eastAsia="zh-CN" w:val="en-US"/>
        </w:rPr>
      </w:pPr>
      <w:r>
        <w:rPr>
          <w:rFonts w:ascii="Times New Roman" w:eastAsia="宋体" w:hAnsi="Times New Roman" w:hint="eastAsia"/>
          <w:lang w:eastAsia="zh-CN" w:val="en-US"/>
        </w:rPr>
        <w:t>2、</w:t>
      </w:r>
      <w:r>
        <w:rPr>
          <w:rFonts w:ascii="Times New Roman" w:eastAsia="宋体" w:hAnsi="Times New Roman" w:hint="default"/>
          <w:lang w:eastAsia="zh-CN" w:val="en-US"/>
        </w:rPr>
        <w:t>搅拌混合:将水泥、水等原材料按照规定的顺序加入搅拌机中进行搅拌，搅拌时间应足够，确保物料充分混合均匀。在搅拌过程中，缓慢加入制备好的泡沫，继续搅拌，使泡沫与水泥浆体充分融合，形成均匀的泡沫混凝土拌合物。</w:t>
      </w:r>
    </w:p>
    <w:p w14:paraId="0DD468DF">
      <w:pPr>
        <w:ind w:firstLine="480"/>
        <w:rPr>
          <w:rFonts w:ascii="Times New Roman" w:eastAsia="宋体" w:hAnsi="Times New Roman" w:hint="default"/>
          <w:lang w:eastAsia="zh-CN" w:val="en-US"/>
        </w:rPr>
      </w:pPr>
      <w:r>
        <w:rPr>
          <w:rFonts w:ascii="Times New Roman" w:eastAsia="宋体" w:hAnsi="Times New Roman" w:hint="eastAsia"/>
          <w:lang w:eastAsia="zh-CN" w:val="en-US"/>
        </w:rPr>
        <w:t>3、</w:t>
      </w:r>
      <w:r>
        <w:rPr>
          <w:rFonts w:ascii="Times New Roman" w:eastAsia="宋体" w:hAnsi="Times New Roman" w:hint="default"/>
          <w:lang w:eastAsia="zh-CN" w:val="en-US"/>
        </w:rPr>
        <w:t>浇筑施工:浇筑过程中，控制浇筑速度和高度，避免出现浇筑过快导致泡沫破裂、分层离析等问题。同时，注意防止杂物混入泡沫混凝土中。对于大面积浇筑的泡沫混凝土，应</w:t>
      </w:r>
      <w:r>
        <w:rPr>
          <w:rFonts w:ascii="Times New Roman" w:eastAsia="宋体" w:hAnsi="Times New Roman" w:hint="eastAsia"/>
          <w:lang w:eastAsia="zh-CN" w:val="en-US"/>
        </w:rPr>
        <w:t>按设计要求设置</w:t>
      </w:r>
      <w:r>
        <w:rPr>
          <w:rFonts w:ascii="Times New Roman" w:eastAsia="宋体" w:hAnsi="Times New Roman" w:hint="default"/>
          <w:lang w:eastAsia="zh-CN" w:val="en-US"/>
        </w:rPr>
        <w:t>施工缝。</w:t>
      </w:r>
    </w:p>
    <w:p w14:paraId="27C1CD40">
      <w:pPr>
        <w:ind w:firstLine="480"/>
        <w:rPr>
          <w:rFonts w:ascii="Times New Roman" w:eastAsia="宋体" w:hAnsi="Times New Roman" w:hint="default"/>
          <w:lang w:eastAsia="zh-CN" w:val="en-US"/>
        </w:rPr>
      </w:pPr>
      <w:r>
        <w:rPr>
          <w:rFonts w:ascii="Times New Roman" w:eastAsia="宋体" w:hAnsi="Times New Roman" w:hint="eastAsia"/>
          <w:lang w:eastAsia="zh-CN" w:val="en-US"/>
        </w:rPr>
        <w:t>4、</w:t>
      </w:r>
      <w:r>
        <w:rPr>
          <w:rFonts w:ascii="Times New Roman" w:eastAsia="宋体" w:hAnsi="Times New Roman" w:hint="default"/>
          <w:lang w:eastAsia="zh-CN" w:val="en-US"/>
        </w:rPr>
        <w:t>振捣:对于流动性较差的泡沫混凝土，可根据实际情况进行适当振捣，但振捣时间不宜过长，以免破坏泡沫结构。振捣时应采用合适的振捣设备，如平板振捣器、插入式振捣棒等，确保泡沫混凝土的密实度。</w:t>
      </w:r>
    </w:p>
    <w:p w14:paraId="079309D8">
      <w:pPr>
        <w:ind w:firstLine="480"/>
        <w:rPr>
          <w:rFonts w:ascii="Times New Roman" w:eastAsia="宋体" w:hAnsi="Times New Roman" w:hint="eastAsia"/>
          <w:lang w:eastAsia="zh-CN" w:val="en-US"/>
        </w:rPr>
      </w:pPr>
      <w:r>
        <w:rPr>
          <w:rFonts w:ascii="Times New Roman" w:eastAsia="宋体" w:hAnsi="Times New Roman" w:hint="eastAsia"/>
          <w:lang w:eastAsia="zh-CN" w:val="en-US"/>
        </w:rPr>
        <w:t>（4）养护与成品保护</w:t>
      </w:r>
    </w:p>
    <w:p w14:paraId="349C72A7">
      <w:pPr>
        <w:ind w:firstLine="480"/>
        <w:rPr>
          <w:rFonts w:ascii="Times New Roman" w:eastAsia="宋体" w:hAnsi="Times New Roman" w:hint="default"/>
          <w:lang w:eastAsia="zh-CN" w:val="en-US"/>
        </w:rPr>
      </w:pPr>
      <w:r>
        <w:rPr>
          <w:rFonts w:ascii="Times New Roman" w:eastAsia="宋体" w:hAnsi="Times New Roman" w:hint="eastAsia"/>
          <w:lang w:eastAsia="zh-CN" w:val="en-US"/>
        </w:rPr>
        <w:t>1、</w:t>
      </w:r>
      <w:r>
        <w:rPr>
          <w:rFonts w:ascii="Times New Roman" w:eastAsia="宋体" w:hAnsi="Times New Roman" w:hint="default"/>
          <w:lang w:eastAsia="zh-CN" w:val="en-US"/>
        </w:rPr>
        <w:t>养护措施:泡沫混凝土浇筑完成后，应及时进行养护。养护方式可采用洒水养护、覆盖塑料薄膜</w:t>
      </w:r>
      <w:r>
        <w:rPr>
          <w:rFonts w:ascii="Times New Roman" w:eastAsia="宋体" w:hAnsi="Times New Roman" w:hint="eastAsia"/>
          <w:lang w:eastAsia="zh-CN" w:val="en-US"/>
        </w:rPr>
        <w:t>等</w:t>
      </w:r>
      <w:r>
        <w:rPr>
          <w:rFonts w:ascii="Times New Roman" w:eastAsia="宋体" w:hAnsi="Times New Roman" w:hint="default"/>
          <w:lang w:eastAsia="zh-CN" w:val="en-US"/>
        </w:rPr>
        <w:t>，养护时间应根据泡沫混凝土的强度增长情况和环境条件确定，一般不少于7天。在养护期间，保持泡沫混凝土表面湿润，避免因水分蒸发过快导致表面开裂、强度降低等问题。</w:t>
      </w:r>
    </w:p>
    <w:p w14:paraId="3E99A263">
      <w:pPr>
        <w:ind w:firstLine="480"/>
        <w:rPr>
          <w:rFonts w:ascii="Times New Roman" w:eastAsia="宋体" w:hAnsi="Times New Roman" w:hint="default"/>
          <w:lang w:eastAsia="zh-CN" w:val="en-US"/>
        </w:rPr>
      </w:pPr>
      <w:r>
        <w:rPr>
          <w:rFonts w:ascii="Times New Roman" w:eastAsia="宋体" w:hAnsi="Times New Roman" w:hint="eastAsia"/>
          <w:lang w:eastAsia="zh-CN" w:val="en-US"/>
        </w:rPr>
        <w:t>2、</w:t>
      </w:r>
      <w:r>
        <w:rPr>
          <w:rFonts w:ascii="Times New Roman" w:eastAsia="宋体" w:hAnsi="Times New Roman" w:hint="default"/>
          <w:lang w:eastAsia="zh-CN" w:val="en-US"/>
        </w:rPr>
        <w:t>成品保护:在泡沫混凝土养护期间，严禁在其表面进行剧烈的碰撞、冲击等作业，防止损坏泡沫混凝土结构。对于已完成的泡沫混凝土工程，应设置明显的标识，提醒施工人员注意保护，避免后续施工对其造成破坏。</w:t>
      </w:r>
    </w:p>
    <w:p w14:paraId="2B005EBA">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3.3.8.11质量验收内容及标准</w:t>
      </w:r>
    </w:p>
    <w:p w14:paraId="60531FC6">
      <w:pPr>
        <w:adjustRightInd w:val="0"/>
        <w:snapToGrid w:val="0"/>
        <w:ind w:firstLine="3162" w:firstLineChars="1500" w:left="-43" w:leftChars="-18"/>
        <w:jc w:val="both"/>
        <w:rPr>
          <w:rFonts w:ascii="Times New Roman" w:cs="Times New Roman" w:eastAsia="宋体" w:hAnsi="Times New Roman" w:hint="default"/>
          <w:b/>
          <w:bCs/>
          <w:sz w:val="21"/>
          <w:szCs w:val="21"/>
          <w:lang w:eastAsia="zh-CN" w:val="en-US"/>
        </w:rPr>
      </w:pPr>
      <w:r>
        <w:rPr>
          <w:rFonts w:ascii="Times New Roman" w:cs="Times New Roman" w:eastAsia="宋体" w:hAnsi="Times New Roman" w:hint="eastAsia"/>
          <w:b/>
          <w:bCs/>
          <w:sz w:val="21"/>
          <w:szCs w:val="21"/>
          <w:lang w:eastAsia="zh-CN" w:val="en-US"/>
        </w:rPr>
        <w:t>表3.3.8.11泡沫混凝土填质量标准</w:t>
      </w:r>
    </w:p>
    <w:p w14:paraId="490AE2C8">
      <w:pPr>
        <w:rPr>
          <w:rFonts w:hint="default"/>
          <w:lang w:eastAsia="zh-CN" w:val="en-US"/>
        </w:rPr>
      </w:pPr>
      <w:r>
        <w:rPr>
          <w:rFonts w:hint="default"/>
          <w:lang w:eastAsia="zh-CN" w:val="en-US"/>
        </w:rPr>
        <w:drawing>
          <wp:inline distB="0" distL="114300" distR="114300" distT="0">
            <wp:extent cx="5704840" cy="3409950"/>
            <wp:effectExtent b="1270" l="0" r="5715" t="0"/>
            <wp:docPr descr="1740401019159"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40401019159" id="12" name="图片 12"/>
                    <pic:cNvPicPr>
                      <a:picLocks noChangeAspect="1"/>
                    </pic:cNvPicPr>
                  </pic:nvPicPr>
                  <pic:blipFill>
                    <a:blip r:embed="rId49"/>
                    <a:stretch>
                      <a:fillRect/>
                    </a:stretch>
                  </pic:blipFill>
                  <pic:spPr>
                    <a:xfrm>
                      <a:off x="0" y="0"/>
                      <a:ext cx="5704840" cy="3409950"/>
                    </a:xfrm>
                    <a:prstGeom prst="rect">
                      <a:avLst/>
                    </a:prstGeom>
                  </pic:spPr>
                </pic:pic>
              </a:graphicData>
            </a:graphic>
          </wp:inline>
        </w:drawing>
      </w:r>
    </w:p>
    <w:p w14:paraId="27C557F4">
      <w:pPr>
        <w:pStyle w:val="4"/>
      </w:pPr>
      <w:bookmarkStart w:id="54" w:name="_Toc187956729"/>
      <w:r>
        <w:rPr>
          <w:rFonts w:hint="eastAsia"/>
        </w:rPr>
        <w:t>桥梁上部结构施工</w:t>
      </w:r>
      <w:bookmarkEnd w:id="54"/>
    </w:p>
    <w:p w14:paraId="0B18314B">
      <w:pPr>
        <w:ind w:firstLine="480"/>
      </w:pPr>
      <w:r>
        <w:rPr>
          <w:rFonts w:hint="eastAsia"/>
        </w:rPr>
        <w:t>桥梁上部为预制小箱梁，按常规架桥机工艺施工，先安装辅道桥，再安装主桥。</w:t>
      </w:r>
    </w:p>
    <w:p w14:paraId="4223BEF9">
      <w:pPr>
        <w:ind w:firstLine="480"/>
      </w:pPr>
      <w:r>
        <w:rPr>
          <w:rFonts w:hint="eastAsia"/>
        </w:rPr>
        <w:t>架桥机架梁流程：架桥机拼装→运梁→移位→支座对位→落梁→浇筑接缝混凝土→桥面系及防撞护栏施工。</w:t>
      </w:r>
    </w:p>
    <w:p w14:paraId="539B0DF7">
      <w:pPr>
        <w:ind w:firstLine="480"/>
      </w:pPr>
      <w:r>
        <w:rPr>
          <w:rFonts w:hint="eastAsia"/>
        </w:rPr>
        <w:t>在小箱梁预制场内，利用龙门吊将桥梁支座安装完毕的小箱梁按顺序吊装至运梁车后，运梁车将小箱梁运输至小箱梁架设桥位，架桥机按要求将小箱梁架设至指定位置，进行小箱梁湿接缝焊接。</w:t>
      </w:r>
    </w:p>
    <w:p w14:paraId="062BF513">
      <w:pPr>
        <w:pStyle w:val="4"/>
      </w:pPr>
      <w:bookmarkStart w:id="55" w:name="_Toc187956730"/>
      <w:r>
        <w:rPr>
          <w:rFonts w:hint="eastAsia"/>
        </w:rPr>
        <w:t>桥面及附属施工</w:t>
      </w:r>
      <w:bookmarkEnd w:id="55"/>
    </w:p>
    <w:p w14:paraId="17A10063">
      <w:pPr>
        <w:ind w:firstLine="480"/>
      </w:pPr>
      <w:r>
        <w:rPr>
          <w:rFonts w:hint="eastAsia"/>
        </w:rPr>
        <w:t>先施工桥梁防撞护栏再进行桥面砼铺装，沥青砼铺装等，最后施工伸缩缝。</w:t>
      </w:r>
    </w:p>
    <w:p w14:paraId="65A86B43">
      <w:pPr>
        <w:pStyle w:val="5"/>
        <w:keepNext/>
        <w:keepLines/>
        <w:pageBreakBefore w:val="0"/>
        <w:widowControl w:val="0"/>
        <w:kinsoku/>
        <w:wordWrap/>
        <w:overflowPunct/>
        <w:topLinePunct w:val="0"/>
        <w:autoSpaceDE/>
        <w:autoSpaceDN/>
        <w:bidi w:val="0"/>
        <w:adjustRightInd/>
        <w:snapToGrid/>
        <w:spacing w:after="0" w:before="0" w:line="240" w:lineRule="auto"/>
        <w:ind w:firstLine="482" w:firstLineChars="200" w:left="0" w:leftChars="0"/>
        <w:textAlignment w:val="auto"/>
        <w:rPr>
          <w:rFonts w:ascii="宋体" w:cs="宋体" w:eastAsia="宋体" w:hAnsi="宋体" w:hint="default"/>
          <w:sz w:val="24"/>
          <w:szCs w:val="24"/>
          <w:lang w:eastAsia="zh-CN" w:val="en-US"/>
        </w:rPr>
      </w:pPr>
      <w:bookmarkStart w:id="56" w:name="_Toc187956731"/>
      <w:r>
        <w:rPr>
          <w:rFonts w:ascii="宋体" w:cs="宋体" w:eastAsia="宋体" w:hAnsi="宋体" w:hint="eastAsia"/>
          <w:sz w:val="24"/>
          <w:szCs w:val="24"/>
          <w:lang w:eastAsia="zh-CN" w:val="en-US"/>
        </w:rPr>
        <w:t>3.3.8.11泡沫砼场地布置及设备投入</w:t>
      </w:r>
    </w:p>
    <w:p w14:paraId="15561C60">
      <w:pPr>
        <w:ind w:firstLine="480"/>
        <w:rPr>
          <w:rFonts w:ascii="Times New Roman" w:eastAsia="宋体" w:hAnsi="Times New Roman" w:hint="eastAsia"/>
          <w:lang w:eastAsia="zh-CN" w:val="en-US"/>
        </w:rPr>
      </w:pPr>
      <w:r>
        <w:rPr>
          <w:rFonts w:ascii="Times New Roman" w:eastAsia="宋体" w:hAnsi="Times New Roman" w:hint="eastAsia"/>
          <w:lang w:eastAsia="zh-CN" w:val="en-US"/>
        </w:rPr>
        <w:t>根据本工程特点，泡沫砼工作面具备后，核对施工工程量，拟投入2套设备。</w:t>
      </w:r>
    </w:p>
    <w:p w14:paraId="68E36D6B">
      <w:pPr>
        <w:pStyle w:val="4"/>
      </w:pPr>
      <w:r>
        <w:rPr>
          <w:rFonts w:hint="eastAsia"/>
        </w:rPr>
        <w:t>交安、市政施工</w:t>
      </w:r>
      <w:bookmarkEnd w:id="56"/>
    </w:p>
    <w:p w14:paraId="56F37895">
      <w:pPr>
        <w:ind w:firstLine="480"/>
      </w:pPr>
      <w:r>
        <w:rPr>
          <w:rFonts w:hint="eastAsia"/>
        </w:rPr>
        <w:t>桥梁主体施工完成后，进行交安和市政设备施工，主要有标志标线，路灯等。设计图纸中专为高速桥墩设置反光立面标记，同步进行。</w:t>
      </w:r>
    </w:p>
    <w:p w14:paraId="44E316B9">
      <w:pPr>
        <w:pStyle w:val="34"/>
      </w:pPr>
      <w:r>
        <w:drawing>
          <wp:inline distB="0" distL="0" distR="0" distT="0">
            <wp:extent cx="4610735" cy="1799590"/>
            <wp:effectExtent b="0" l="0" r="0" t="0"/>
            <wp:docPr id="177400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04065" name="图片 1"/>
                    <pic:cNvPicPr>
                      <a:picLocks noChangeAspect="1"/>
                    </pic:cNvPicPr>
                  </pic:nvPicPr>
                  <pic:blipFill>
                    <a:blip r:embed="rId50"/>
                    <a:stretch>
                      <a:fillRect/>
                    </a:stretch>
                  </pic:blipFill>
                  <pic:spPr>
                    <a:xfrm>
                      <a:off x="0" y="0"/>
                      <a:ext cx="4610840" cy="1800000"/>
                    </a:xfrm>
                    <a:prstGeom prst="rect">
                      <a:avLst/>
                    </a:prstGeom>
                  </pic:spPr>
                </pic:pic>
              </a:graphicData>
            </a:graphic>
          </wp:inline>
        </w:drawing>
      </w:r>
      <w:r>
        <w:t xml:space="preserve"> </w:t>
      </w:r>
    </w:p>
    <w:p w14:paraId="4957BF39">
      <w:pPr>
        <w:pStyle w:val="34"/>
        <w:ind w:firstLine="480"/>
      </w:pPr>
      <w:r>
        <w:rPr>
          <w:rFonts w:hint="eastAsia"/>
        </w:rPr>
        <w:t>图3.3.11-1 桥墩立面标记示意图</w:t>
      </w:r>
    </w:p>
    <w:p w14:paraId="4CCDD255">
      <w:pPr>
        <w:pStyle w:val="34"/>
      </w:pPr>
      <w:r>
        <w:drawing>
          <wp:inline distB="0" distL="0" distR="0" distT="0">
            <wp:extent cx="2800985" cy="1439545"/>
            <wp:effectExtent b="8255" l="0" r="0" t="0"/>
            <wp:docPr id="1241859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9816" name="图片 1"/>
                    <pic:cNvPicPr>
                      <a:picLocks noChangeAspect="1"/>
                    </pic:cNvPicPr>
                  </pic:nvPicPr>
                  <pic:blipFill>
                    <a:blip r:embed="rId51"/>
                    <a:stretch>
                      <a:fillRect/>
                    </a:stretch>
                  </pic:blipFill>
                  <pic:spPr>
                    <a:xfrm>
                      <a:off x="0" y="0"/>
                      <a:ext cx="2801437" cy="1440000"/>
                    </a:xfrm>
                    <a:prstGeom prst="rect">
                      <a:avLst/>
                    </a:prstGeom>
                  </pic:spPr>
                </pic:pic>
              </a:graphicData>
            </a:graphic>
          </wp:inline>
        </w:drawing>
      </w:r>
    </w:p>
    <w:p w14:paraId="244F18F1">
      <w:pPr>
        <w:pStyle w:val="34"/>
        <w:ind w:firstLine="480"/>
      </w:pPr>
      <w:r>
        <w:rPr>
          <w:rFonts w:hint="eastAsia"/>
        </w:rPr>
        <w:t>图3.3.11-2 桥墩立面标记细部图</w:t>
      </w:r>
    </w:p>
    <w:p w14:paraId="629FB77D">
      <w:pPr>
        <w:ind w:firstLine="480"/>
      </w:pPr>
    </w:p>
    <w:p w14:paraId="2E5AC618">
      <w:pPr>
        <w:pStyle w:val="2"/>
      </w:pPr>
      <w:bookmarkStart w:id="57" w:name="_Toc187956732"/>
      <w:r>
        <w:t>施工计划</w:t>
      </w:r>
      <w:bookmarkEnd w:id="57"/>
    </w:p>
    <w:p w14:paraId="017022AC">
      <w:pPr>
        <w:ind w:firstLine="480"/>
        <w:rPr>
          <w:rFonts w:cs="Times New Roman"/>
        </w:rPr>
      </w:pPr>
      <w:r>
        <w:rPr>
          <w:rFonts w:cs="Times New Roman" w:hint="eastAsia"/>
        </w:rPr>
        <w:t>按照招标合同、用地审批以及特殊节点时间要求，按各分项工程施工进度编制连接线施工计划，下穿高速也并于其中。共需1年零1个月施工时间。</w:t>
      </w:r>
    </w:p>
    <w:p w14:paraId="3B19B2F3">
      <w:pPr>
        <w:pStyle w:val="34"/>
        <w:rPr>
          <w:b w:val="0"/>
          <w:bCs w:val="0"/>
        </w:rPr>
      </w:pPr>
      <w:r>
        <w:rPr>
          <w:b w:val="0"/>
          <w:bCs w:val="0"/>
        </w:rPr>
        <w:drawing>
          <wp:inline distB="0" distL="0" distR="0" distT="0">
            <wp:extent cx="5706110" cy="3209290"/>
            <wp:effectExtent b="0" l="0" r="8890" t="0"/>
            <wp:docPr id="108096919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69191" name="图片 27"/>
                    <pic:cNvPicPr>
                      <a:picLocks noChangeArrowheads="1" noChangeAspect="1"/>
                    </pic:cNvPicPr>
                  </pic:nvPicPr>
                  <pic:blipFill>
                    <a:blip cstate="print" r:embed="rId52">
                      <a:extLst>
                        <a:ext uri="{28A0092B-C50C-407E-A947-70E740481C1C}">
                          <a14:useLocalDpi xmlns:a14="http://schemas.microsoft.com/office/drawing/2010/main" val="0"/>
                        </a:ext>
                      </a:extLst>
                    </a:blip>
                    <a:srcRect/>
                    <a:stretch>
                      <a:fillRect/>
                    </a:stretch>
                  </pic:blipFill>
                  <pic:spPr>
                    <a:xfrm>
                      <a:off x="0" y="0"/>
                      <a:ext cx="5706110" cy="3209290"/>
                    </a:xfrm>
                    <a:prstGeom prst="rect">
                      <a:avLst/>
                    </a:prstGeom>
                    <a:noFill/>
                    <a:ln>
                      <a:noFill/>
                    </a:ln>
                  </pic:spPr>
                </pic:pic>
              </a:graphicData>
            </a:graphic>
          </wp:inline>
        </w:drawing>
      </w:r>
    </w:p>
    <w:p w14:paraId="32DB5AF4">
      <w:pPr>
        <w:pStyle w:val="34"/>
        <w:ind w:firstLine="480"/>
      </w:pPr>
      <w:bookmarkStart w:id="58" w:name="OLE_LINK7"/>
      <w:r>
        <w:rPr>
          <w:rFonts w:hint="eastAsia"/>
        </w:rPr>
        <w:t>图4-1 计划横道图</w:t>
      </w:r>
    </w:p>
    <w:bookmarkEnd w:id="58"/>
    <w:p w14:paraId="20810E8D">
      <w:pPr>
        <w:ind w:firstLine="480"/>
      </w:pPr>
      <w:r>
        <w:rPr>
          <w:rFonts w:hint="eastAsia"/>
        </w:rPr>
        <w:t>按目前情况，涉高速施工可能在2025年2月开始，至2026年2月完成，其中高速桥上施工时间预估为2025年4月。</w:t>
      </w:r>
    </w:p>
    <w:p w14:paraId="2FBA6182">
      <w:pPr>
        <w:ind w:firstLine="480"/>
      </w:pPr>
    </w:p>
    <w:p w14:paraId="48A2BC9B">
      <w:pPr>
        <w:pStyle w:val="2"/>
      </w:pPr>
      <w:bookmarkStart w:id="59" w:name="_Toc187956733"/>
      <w:r>
        <w:rPr>
          <w:rFonts w:hint="eastAsia"/>
        </w:rPr>
        <w:t>交通组织保证措施</w:t>
      </w:r>
      <w:bookmarkEnd w:id="59"/>
    </w:p>
    <w:p w14:paraId="56E47BAE">
      <w:pPr>
        <w:ind w:firstLine="480"/>
        <w:rPr>
          <w:rFonts w:cs="Times New Roman"/>
        </w:rPr>
      </w:pPr>
      <w:r>
        <w:rPr>
          <w:rFonts w:cs="Times New Roman" w:hint="eastAsia"/>
        </w:rPr>
        <w:t>1、作业区现场设交通协管员，协助高速交警、路政指挥疏导交通，关注交通异常、避免行驶的车辆危及施工安全。</w:t>
      </w:r>
    </w:p>
    <w:p w14:paraId="1669A592">
      <w:pPr>
        <w:ind w:firstLine="480"/>
        <w:rPr>
          <w:rFonts w:cs="Times New Roman"/>
        </w:rPr>
      </w:pPr>
      <w:r>
        <w:rPr>
          <w:rFonts w:cs="Times New Roman" w:hint="eastAsia"/>
        </w:rPr>
        <w:t>2、在变换车道位置或比较危险的路段（如转弯位、施工车辆出入口等位置）增设警示灯，确保安全行车。</w:t>
      </w:r>
    </w:p>
    <w:p w14:paraId="6E017FF8">
      <w:pPr>
        <w:ind w:firstLine="480"/>
        <w:rPr>
          <w:rFonts w:cs="Times New Roman"/>
        </w:rPr>
      </w:pPr>
      <w:r>
        <w:rPr>
          <w:rFonts w:cs="Times New Roman" w:hint="eastAsia"/>
        </w:rPr>
        <w:t>3、封闭道路来车方向设置的围挡、路障、警示标志充分考虑所有的不利因素，确保车辆和人员的安全。</w:t>
      </w:r>
    </w:p>
    <w:p w14:paraId="4A973432">
      <w:pPr>
        <w:ind w:firstLine="480"/>
        <w:rPr>
          <w:rFonts w:cs="Times New Roman"/>
        </w:rPr>
      </w:pPr>
      <w:r>
        <w:rPr>
          <w:rFonts w:cs="Times New Roman" w:hint="eastAsia"/>
        </w:rPr>
        <w:t>4、车流高峰期间施工应密切关注交通情况，发现交通异常，应及时与高速交警联系，并指派专人在施工作业区附近待命，随时听从高速交警指挥，调配现场资源。</w:t>
      </w:r>
    </w:p>
    <w:p w14:paraId="25BA399B">
      <w:pPr>
        <w:ind w:firstLine="480"/>
        <w:rPr>
          <w:rFonts w:cs="Times New Roman"/>
        </w:rPr>
      </w:pPr>
      <w:r>
        <w:rPr>
          <w:rFonts w:cs="Times New Roman" w:hint="eastAsia"/>
        </w:rPr>
        <w:t>5、异常天气状况时，一要设立提示警告标志，与高速交警沟通，在施工路段来车方向前方设醒目“前方施工，恶劣天气，减速行使，保持车距”的提示牌或可变情报板提示，让驾驶员在行车过程中提高警惕。二要加大路面巡视频率。</w:t>
      </w:r>
    </w:p>
    <w:p w14:paraId="7440C82C">
      <w:pPr>
        <w:ind w:firstLine="480"/>
        <w:rPr>
          <w:rFonts w:cs="Times New Roman"/>
        </w:rPr>
      </w:pPr>
      <w:r>
        <w:rPr>
          <w:rFonts w:cs="Times New Roman" w:hint="eastAsia"/>
        </w:rPr>
        <w:t>6、因施工需要，临时占用车道，应征得交通管理部门的同意，并到相应高速路政大队办理相关手续。</w:t>
      </w:r>
    </w:p>
    <w:p w14:paraId="744C2A28">
      <w:pPr>
        <w:ind w:firstLine="480"/>
        <w:rPr>
          <w:rFonts w:cs="Times New Roman"/>
        </w:rPr>
      </w:pPr>
      <w:r>
        <w:rPr>
          <w:rFonts w:cs="Times New Roman" w:hint="eastAsia"/>
        </w:rPr>
        <w:t>7、通车路段路面应清扫干净，防止车辆震飞土石伤人或雨后泥泞影响通车。</w:t>
      </w:r>
    </w:p>
    <w:p w14:paraId="28FA2935">
      <w:pPr>
        <w:ind w:firstLine="480"/>
        <w:rPr>
          <w:rFonts w:cs="Times New Roman"/>
        </w:rPr>
      </w:pPr>
      <w:r>
        <w:rPr>
          <w:rFonts w:cs="Times New Roman" w:hint="eastAsia"/>
        </w:rPr>
        <w:t>8、不管是白天或夜间进入路面施工区的施工人员必须穿好反光服，施工人员不得随意走出作业区域。</w:t>
      </w:r>
    </w:p>
    <w:p w14:paraId="200BA6A7">
      <w:pPr>
        <w:ind w:firstLine="480"/>
        <w:rPr>
          <w:rFonts w:cs="Times New Roman"/>
        </w:rPr>
      </w:pPr>
      <w:r>
        <w:rPr>
          <w:rFonts w:cs="Times New Roman" w:hint="eastAsia"/>
        </w:rPr>
        <w:t>9、专职安全员要经常检查安全设施设置、使用情况，保证数量并且位置准确，确保施工和行车及行人安全。</w:t>
      </w:r>
    </w:p>
    <w:p w14:paraId="7A052AAF">
      <w:pPr>
        <w:ind w:firstLine="480"/>
        <w:rPr>
          <w:rFonts w:cs="Times New Roman"/>
        </w:rPr>
      </w:pPr>
      <w:r>
        <w:rPr>
          <w:rFonts w:cs="Times New Roman" w:hint="eastAsia"/>
        </w:rPr>
        <w:t>10、施工车辆必须按指定的行车路线出入，并听从指挥员的指挥。材料、设备应放置整齐有序，不得阻塞交通。</w:t>
      </w:r>
    </w:p>
    <w:p w14:paraId="1063DD9E">
      <w:pPr>
        <w:ind w:firstLine="480"/>
      </w:pPr>
      <w:r>
        <w:rPr>
          <w:rFonts w:cs="Times New Roman" w:hint="eastAsia"/>
        </w:rPr>
        <w:t>11、如遇雨雾大风天气，加强巡视管理和亮化照明设置，保证行车安全。</w:t>
      </w:r>
      <w:r>
        <w:t>施工安全保障措施</w:t>
      </w:r>
    </w:p>
    <w:p w14:paraId="79021EC9">
      <w:pPr>
        <w:ind w:firstLine="480"/>
      </w:pPr>
    </w:p>
    <w:p w14:paraId="6921391C">
      <w:pPr>
        <w:ind w:firstLine="480"/>
      </w:pPr>
    </w:p>
    <w:p w14:paraId="65C08AA5">
      <w:pPr>
        <w:pStyle w:val="2"/>
      </w:pPr>
      <w:bookmarkStart w:id="60" w:name="_Toc187956734"/>
      <w:r>
        <w:rPr>
          <w:rFonts w:hint="eastAsia"/>
        </w:rPr>
        <w:t>交通导改</w:t>
      </w:r>
      <w:bookmarkEnd w:id="60"/>
    </w:p>
    <w:p w14:paraId="00DE1046">
      <w:pPr>
        <w:ind w:firstLine="480"/>
      </w:pPr>
      <w:r>
        <w:rPr>
          <w:rFonts w:hint="eastAsia"/>
        </w:rPr>
        <w:t>施工期间，仅桥上施工时需要进行交通导改布控。布控如图所示：</w:t>
      </w:r>
    </w:p>
    <w:p w14:paraId="710E4596">
      <w:pPr>
        <w:pStyle w:val="34"/>
      </w:pPr>
      <w:r>
        <w:drawing>
          <wp:inline distB="0" distL="0" distR="0" distT="0">
            <wp:extent cx="5706110" cy="3000375"/>
            <wp:effectExtent b="9525" l="0" r="8890" t="0"/>
            <wp:docPr id="735692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92489" name="图片 1"/>
                    <pic:cNvPicPr>
                      <a:picLocks noChangeAspect="1"/>
                    </pic:cNvPicPr>
                  </pic:nvPicPr>
                  <pic:blipFill>
                    <a:blip r:embed="rId53"/>
                    <a:stretch>
                      <a:fillRect/>
                    </a:stretch>
                  </pic:blipFill>
                  <pic:spPr>
                    <a:xfrm>
                      <a:off x="0" y="0"/>
                      <a:ext cx="5706110" cy="3000375"/>
                    </a:xfrm>
                    <a:prstGeom prst="rect">
                      <a:avLst/>
                    </a:prstGeom>
                  </pic:spPr>
                </pic:pic>
              </a:graphicData>
            </a:graphic>
          </wp:inline>
        </w:drawing>
      </w:r>
      <w:r>
        <w:t xml:space="preserve"> </w:t>
      </w:r>
    </w:p>
    <w:p w14:paraId="1AC8623C">
      <w:pPr>
        <w:pStyle w:val="34"/>
      </w:pPr>
      <w:r>
        <w:rPr>
          <w:rFonts w:hint="eastAsia"/>
        </w:rPr>
        <w:t>图6-1 交通布控图</w:t>
      </w:r>
    </w:p>
    <w:p w14:paraId="2693D8B3">
      <w:pPr>
        <w:pStyle w:val="3"/>
      </w:pPr>
      <w:bookmarkStart w:id="61" w:name="_Toc187956735"/>
      <w:r>
        <w:rPr>
          <w:rFonts w:hint="eastAsia"/>
        </w:rPr>
        <w:t>车道封闭施工</w:t>
      </w:r>
      <w:bookmarkEnd w:id="61"/>
    </w:p>
    <w:p w14:paraId="0FE27DA5">
      <w:pPr>
        <w:ind w:firstLine="480"/>
        <w:rPr>
          <w:rFonts w:cs="Times New Roman"/>
        </w:rPr>
      </w:pPr>
      <w:r>
        <w:rPr>
          <w:rFonts w:cs="Times New Roman" w:hint="eastAsia"/>
        </w:rPr>
        <w:t>在距离施工点1.6Km的醒目位置设置道路施工、限速、分流等提示性、指示性标志，分流位置处设置长度大于300m的导向设施，安设道路施工、车辆慢行、导向牌等交通标志，安放警示灯、塑胶交警指挥模拟员等。</w:t>
      </w:r>
    </w:p>
    <w:p w14:paraId="03E6D99C">
      <w:pPr>
        <w:pStyle w:val="3"/>
      </w:pPr>
      <w:bookmarkStart w:id="62" w:name="_Toc187956736"/>
      <w:r>
        <w:rPr>
          <w:rFonts w:hint="eastAsia"/>
        </w:rPr>
        <w:t>封闭道路施工时间计划安排</w:t>
      </w:r>
      <w:bookmarkEnd w:id="62"/>
    </w:p>
    <w:p w14:paraId="2F3A548C">
      <w:pPr>
        <w:ind w:firstLine="480"/>
        <w:rPr>
          <w:rFonts w:cs="Times New Roman"/>
        </w:rPr>
      </w:pPr>
      <w:r>
        <w:rPr>
          <w:rFonts w:cs="Times New Roman" w:hint="eastAsia"/>
        </w:rPr>
        <w:t>先施工南侧，后施工北侧，南北侧各用时约10天（包括布控和撤除）。</w:t>
      </w:r>
    </w:p>
    <w:p w14:paraId="4CD37B89">
      <w:pPr>
        <w:pStyle w:val="3"/>
      </w:pPr>
      <w:bookmarkStart w:id="63" w:name="_Toc187956737"/>
      <w:r>
        <w:rPr>
          <w:rFonts w:hint="eastAsia"/>
        </w:rPr>
        <w:t>交通安全防护布控方案</w:t>
      </w:r>
      <w:bookmarkEnd w:id="63"/>
    </w:p>
    <w:p w14:paraId="68371181">
      <w:pPr>
        <w:ind w:firstLine="482"/>
        <w:rPr>
          <w:rFonts w:cs="Times New Roman"/>
          <w:b/>
          <w:bCs/>
        </w:rPr>
      </w:pPr>
      <w:r>
        <w:rPr>
          <w:rFonts w:cs="Times New Roman" w:hint="eastAsia"/>
          <w:b/>
          <w:bCs/>
        </w:rPr>
        <w:t>布控依据</w:t>
      </w:r>
    </w:p>
    <w:p w14:paraId="23A780CB">
      <w:pPr>
        <w:ind w:firstLine="480"/>
        <w:rPr>
          <w:rFonts w:cs="Times New Roman"/>
        </w:rPr>
      </w:pPr>
      <w:r>
        <w:rPr>
          <w:rFonts w:cs="Times New Roman" w:hint="eastAsia"/>
        </w:rPr>
        <w:t>本项目交通安全布控严格按照国标GB5768-2017《道路交通标志和标线》和闽交警高管[2003]5号文《福建省高速公路施工作业管理规定》及公路养护安全作业规程（JTG H30-2015）进行安全布控，并遵守《高速公路交通管理办法》及相关法规。</w:t>
      </w:r>
    </w:p>
    <w:p w14:paraId="6C04BA0B">
      <w:pPr>
        <w:ind w:firstLine="482"/>
        <w:rPr>
          <w:rFonts w:cs="Times New Roman"/>
          <w:b/>
          <w:bCs/>
        </w:rPr>
      </w:pPr>
      <w:r>
        <w:rPr>
          <w:rFonts w:cs="Times New Roman" w:hint="eastAsia"/>
          <w:b/>
          <w:bCs/>
        </w:rPr>
        <w:t>布控实施</w:t>
      </w:r>
    </w:p>
    <w:p w14:paraId="0C623115">
      <w:pPr>
        <w:ind w:firstLine="480"/>
        <w:rPr>
          <w:rFonts w:cs="Times New Roman"/>
        </w:rPr>
      </w:pPr>
      <w:r>
        <w:rPr>
          <w:rFonts w:cs="Times New Roman" w:hint="eastAsia"/>
        </w:rPr>
        <w:t>本项目安全布控委托专业布控公司进行高速公路布控，严格按布控图布控。</w:t>
      </w:r>
    </w:p>
    <w:p w14:paraId="2E01BA7D">
      <w:pPr>
        <w:ind w:firstLine="482"/>
        <w:rPr>
          <w:rFonts w:cs="Times New Roman"/>
          <w:b/>
          <w:bCs/>
        </w:rPr>
      </w:pPr>
      <w:r>
        <w:rPr>
          <w:rFonts w:cs="Times New Roman" w:hint="eastAsia"/>
          <w:b/>
          <w:bCs/>
        </w:rPr>
        <w:t>布控设施及人员</w:t>
      </w:r>
    </w:p>
    <w:p w14:paraId="1ED95449">
      <w:pPr>
        <w:ind w:firstLine="482"/>
        <w:rPr>
          <w:rFonts w:cs="Times New Roman"/>
          <w:b/>
          <w:bCs/>
        </w:rPr>
      </w:pPr>
    </w:p>
    <w:p w14:paraId="64CB9CB3">
      <w:pPr>
        <w:pStyle w:val="34"/>
      </w:pPr>
    </w:p>
    <w:p w14:paraId="4CB76955">
      <w:pPr>
        <w:pStyle w:val="34"/>
      </w:pPr>
      <w:r>
        <w:rPr>
          <w:rFonts w:hint="eastAsia"/>
        </w:rPr>
        <w:t>表6.3-1  安全布控设施数量表</w:t>
      </w:r>
    </w:p>
    <w:tbl>
      <w:tblPr>
        <w:tblStyle w:val="17"/>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autofit"/>
        <w:tblCellMar>
          <w:top w:type="dxa" w:w="0"/>
          <w:left w:type="dxa" w:w="108"/>
          <w:bottom w:type="dxa" w:w="0"/>
          <w:right w:type="dxa" w:w="108"/>
        </w:tblCellMar>
      </w:tblPr>
      <w:tblGrid>
        <w:gridCol w:w="704"/>
        <w:gridCol w:w="2410"/>
        <w:gridCol w:w="709"/>
        <w:gridCol w:w="708"/>
        <w:gridCol w:w="3261"/>
      </w:tblGrid>
      <w:tr w14:paraId="1FEACB65">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1A150CAC">
            <w:pPr>
              <w:pStyle w:val="34"/>
              <w:rPr>
                <w:b w:val="0"/>
                <w:bCs w:val="0"/>
              </w:rPr>
            </w:pPr>
            <w:r>
              <w:rPr>
                <w:rFonts w:hint="eastAsia"/>
                <w:b w:val="0"/>
                <w:bCs w:val="0"/>
              </w:rPr>
              <w:t>序号</w:t>
            </w:r>
          </w:p>
        </w:tc>
        <w:tc>
          <w:tcPr>
            <w:tcW w:type="dxa" w:w="2410"/>
          </w:tcPr>
          <w:p w14:paraId="3493F3C8">
            <w:pPr>
              <w:pStyle w:val="34"/>
              <w:rPr>
                <w:b w:val="0"/>
                <w:bCs w:val="0"/>
              </w:rPr>
            </w:pPr>
            <w:r>
              <w:rPr>
                <w:rFonts w:hint="eastAsia"/>
                <w:b w:val="0"/>
                <w:bCs w:val="0"/>
              </w:rPr>
              <w:t>名称</w:t>
            </w:r>
          </w:p>
        </w:tc>
        <w:tc>
          <w:tcPr>
            <w:tcW w:type="dxa" w:w="709"/>
          </w:tcPr>
          <w:p w14:paraId="2AFC1C92">
            <w:pPr>
              <w:pStyle w:val="34"/>
              <w:rPr>
                <w:b w:val="0"/>
                <w:bCs w:val="0"/>
              </w:rPr>
            </w:pPr>
            <w:r>
              <w:rPr>
                <w:rFonts w:hint="eastAsia"/>
                <w:b w:val="0"/>
                <w:bCs w:val="0"/>
              </w:rPr>
              <w:t>单位</w:t>
            </w:r>
          </w:p>
        </w:tc>
        <w:tc>
          <w:tcPr>
            <w:tcW w:type="dxa" w:w="708"/>
          </w:tcPr>
          <w:p w14:paraId="24E0C982">
            <w:pPr>
              <w:pStyle w:val="34"/>
              <w:rPr>
                <w:b w:val="0"/>
                <w:bCs w:val="0"/>
              </w:rPr>
            </w:pPr>
            <w:r>
              <w:rPr>
                <w:rFonts w:hint="eastAsia"/>
                <w:b w:val="0"/>
                <w:bCs w:val="0"/>
              </w:rPr>
              <w:t>数量</w:t>
            </w:r>
          </w:p>
        </w:tc>
        <w:tc>
          <w:tcPr>
            <w:tcW w:type="dxa" w:w="3261"/>
          </w:tcPr>
          <w:p w14:paraId="5E9F4A1B">
            <w:pPr>
              <w:pStyle w:val="34"/>
              <w:rPr>
                <w:b w:val="0"/>
                <w:bCs w:val="0"/>
              </w:rPr>
            </w:pPr>
            <w:r>
              <w:rPr>
                <w:rFonts w:hint="eastAsia"/>
                <w:b w:val="0"/>
                <w:bCs w:val="0"/>
              </w:rPr>
              <w:t>备注</w:t>
            </w:r>
          </w:p>
        </w:tc>
      </w:tr>
      <w:tr w14:paraId="73CFC2F5">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0D89B683">
            <w:pPr>
              <w:pStyle w:val="34"/>
              <w:rPr>
                <w:b w:val="0"/>
                <w:bCs w:val="0"/>
              </w:rPr>
            </w:pPr>
            <w:r>
              <w:rPr>
                <w:rFonts w:hint="eastAsia"/>
                <w:b w:val="0"/>
                <w:bCs w:val="0"/>
              </w:rPr>
              <w:t>1</w:t>
            </w:r>
          </w:p>
        </w:tc>
        <w:tc>
          <w:tcPr>
            <w:tcW w:type="dxa" w:w="2410"/>
          </w:tcPr>
          <w:p w14:paraId="772B8ABD">
            <w:pPr>
              <w:pStyle w:val="34"/>
              <w:rPr>
                <w:b w:val="0"/>
                <w:bCs w:val="0"/>
              </w:rPr>
            </w:pPr>
            <w:r>
              <w:rPr>
                <w:rFonts w:hint="eastAsia"/>
                <w:b w:val="0"/>
                <w:bCs w:val="0"/>
              </w:rPr>
              <w:t>前方施工牌</w:t>
            </w:r>
          </w:p>
        </w:tc>
        <w:tc>
          <w:tcPr>
            <w:tcW w:type="dxa" w:w="709"/>
          </w:tcPr>
          <w:p w14:paraId="5C767BFB">
            <w:pPr>
              <w:pStyle w:val="34"/>
              <w:rPr>
                <w:b w:val="0"/>
                <w:bCs w:val="0"/>
              </w:rPr>
            </w:pPr>
            <w:r>
              <w:rPr>
                <w:rFonts w:hint="eastAsia"/>
                <w:b w:val="0"/>
                <w:bCs w:val="0"/>
              </w:rPr>
              <w:t>块</w:t>
            </w:r>
          </w:p>
        </w:tc>
        <w:tc>
          <w:tcPr>
            <w:tcW w:type="dxa" w:w="708"/>
          </w:tcPr>
          <w:p w14:paraId="487F27D2">
            <w:pPr>
              <w:pStyle w:val="34"/>
              <w:rPr>
                <w:b w:val="0"/>
                <w:bCs w:val="0"/>
              </w:rPr>
            </w:pPr>
            <w:r>
              <w:rPr>
                <w:rFonts w:hint="eastAsia"/>
                <w:b w:val="0"/>
                <w:bCs w:val="0"/>
              </w:rPr>
              <w:t>1</w:t>
            </w:r>
          </w:p>
        </w:tc>
        <w:tc>
          <w:tcPr>
            <w:tcW w:type="dxa" w:w="3261"/>
          </w:tcPr>
          <w:p w14:paraId="512782BF">
            <w:pPr>
              <w:pStyle w:val="34"/>
              <w:rPr>
                <w:b w:val="0"/>
                <w:bCs w:val="0"/>
              </w:rPr>
            </w:pPr>
          </w:p>
        </w:tc>
      </w:tr>
      <w:tr w14:paraId="656F3421">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04772E96">
            <w:pPr>
              <w:pStyle w:val="34"/>
              <w:rPr>
                <w:b w:val="0"/>
                <w:bCs w:val="0"/>
              </w:rPr>
            </w:pPr>
            <w:r>
              <w:rPr>
                <w:rFonts w:hint="eastAsia"/>
                <w:b w:val="0"/>
                <w:bCs w:val="0"/>
              </w:rPr>
              <w:t>2</w:t>
            </w:r>
          </w:p>
        </w:tc>
        <w:tc>
          <w:tcPr>
            <w:tcW w:type="dxa" w:w="2410"/>
          </w:tcPr>
          <w:p w14:paraId="6B42F473">
            <w:pPr>
              <w:pStyle w:val="34"/>
              <w:rPr>
                <w:b w:val="0"/>
                <w:bCs w:val="0"/>
              </w:rPr>
            </w:pPr>
            <w:r>
              <w:rPr>
                <w:rFonts w:hint="eastAsia"/>
                <w:b w:val="0"/>
                <w:bCs w:val="0"/>
              </w:rPr>
              <w:t>限速牌</w:t>
            </w:r>
          </w:p>
        </w:tc>
        <w:tc>
          <w:tcPr>
            <w:tcW w:type="dxa" w:w="709"/>
          </w:tcPr>
          <w:p w14:paraId="02A8D651">
            <w:pPr>
              <w:pStyle w:val="34"/>
              <w:rPr>
                <w:b w:val="0"/>
                <w:bCs w:val="0"/>
              </w:rPr>
            </w:pPr>
            <w:r>
              <w:rPr>
                <w:rFonts w:hint="eastAsia"/>
                <w:b w:val="0"/>
                <w:bCs w:val="0"/>
              </w:rPr>
              <w:t>块</w:t>
            </w:r>
          </w:p>
        </w:tc>
        <w:tc>
          <w:tcPr>
            <w:tcW w:type="dxa" w:w="708"/>
          </w:tcPr>
          <w:p w14:paraId="2232A2B1">
            <w:pPr>
              <w:pStyle w:val="34"/>
              <w:rPr>
                <w:b w:val="0"/>
                <w:bCs w:val="0"/>
              </w:rPr>
            </w:pPr>
            <w:r>
              <w:rPr>
                <w:rFonts w:hint="eastAsia"/>
                <w:b w:val="0"/>
                <w:bCs w:val="0"/>
              </w:rPr>
              <w:t>2</w:t>
            </w:r>
          </w:p>
        </w:tc>
        <w:tc>
          <w:tcPr>
            <w:tcW w:type="dxa" w:w="3261"/>
          </w:tcPr>
          <w:p w14:paraId="0B981BCD">
            <w:pPr>
              <w:pStyle w:val="34"/>
              <w:rPr>
                <w:b w:val="0"/>
                <w:bCs w:val="0"/>
              </w:rPr>
            </w:pPr>
            <w:r>
              <w:rPr>
                <w:rFonts w:hint="eastAsia"/>
                <w:b w:val="0"/>
                <w:bCs w:val="0"/>
              </w:rPr>
              <w:t>80/100</w:t>
            </w:r>
          </w:p>
        </w:tc>
      </w:tr>
      <w:tr w14:paraId="7E0C8C66">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762FB9B7">
            <w:pPr>
              <w:pStyle w:val="34"/>
              <w:rPr>
                <w:b w:val="0"/>
                <w:bCs w:val="0"/>
              </w:rPr>
            </w:pPr>
            <w:r>
              <w:rPr>
                <w:rFonts w:hint="eastAsia"/>
                <w:b w:val="0"/>
                <w:bCs w:val="0"/>
              </w:rPr>
              <w:t>3</w:t>
            </w:r>
          </w:p>
        </w:tc>
        <w:tc>
          <w:tcPr>
            <w:tcW w:type="dxa" w:w="2410"/>
          </w:tcPr>
          <w:p w14:paraId="1FF4989E">
            <w:pPr>
              <w:pStyle w:val="34"/>
              <w:rPr>
                <w:b w:val="0"/>
                <w:bCs w:val="0"/>
              </w:rPr>
            </w:pPr>
            <w:r>
              <w:rPr>
                <w:rFonts w:hint="eastAsia"/>
                <w:b w:val="0"/>
                <w:bCs w:val="0"/>
              </w:rPr>
              <w:t>车辆慢行牌</w:t>
            </w:r>
          </w:p>
        </w:tc>
        <w:tc>
          <w:tcPr>
            <w:tcW w:type="dxa" w:w="709"/>
          </w:tcPr>
          <w:p w14:paraId="058FB80C">
            <w:pPr>
              <w:pStyle w:val="34"/>
              <w:rPr>
                <w:b w:val="0"/>
                <w:bCs w:val="0"/>
              </w:rPr>
            </w:pPr>
            <w:r>
              <w:rPr>
                <w:rFonts w:hint="eastAsia"/>
                <w:b w:val="0"/>
                <w:bCs w:val="0"/>
              </w:rPr>
              <w:t>块</w:t>
            </w:r>
          </w:p>
        </w:tc>
        <w:tc>
          <w:tcPr>
            <w:tcW w:type="dxa" w:w="708"/>
          </w:tcPr>
          <w:p w14:paraId="7594653F">
            <w:pPr>
              <w:pStyle w:val="34"/>
              <w:rPr>
                <w:b w:val="0"/>
                <w:bCs w:val="0"/>
              </w:rPr>
            </w:pPr>
            <w:r>
              <w:rPr>
                <w:rFonts w:hint="eastAsia"/>
                <w:b w:val="0"/>
                <w:bCs w:val="0"/>
              </w:rPr>
              <w:t>3</w:t>
            </w:r>
          </w:p>
        </w:tc>
        <w:tc>
          <w:tcPr>
            <w:tcW w:type="dxa" w:w="3261"/>
          </w:tcPr>
          <w:p w14:paraId="58FD0743">
            <w:pPr>
              <w:pStyle w:val="34"/>
              <w:rPr>
                <w:b w:val="0"/>
                <w:bCs w:val="0"/>
              </w:rPr>
            </w:pPr>
          </w:p>
        </w:tc>
      </w:tr>
      <w:tr w14:paraId="01E1FFFB">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427316F2">
            <w:pPr>
              <w:pStyle w:val="34"/>
              <w:rPr>
                <w:b w:val="0"/>
                <w:bCs w:val="0"/>
              </w:rPr>
            </w:pPr>
            <w:r>
              <w:rPr>
                <w:rFonts w:hint="eastAsia"/>
                <w:b w:val="0"/>
                <w:bCs w:val="0"/>
              </w:rPr>
              <w:t>4</w:t>
            </w:r>
          </w:p>
        </w:tc>
        <w:tc>
          <w:tcPr>
            <w:tcW w:type="dxa" w:w="2410"/>
          </w:tcPr>
          <w:p w14:paraId="54441F59">
            <w:pPr>
              <w:pStyle w:val="34"/>
              <w:rPr>
                <w:b w:val="0"/>
                <w:bCs w:val="0"/>
              </w:rPr>
            </w:pPr>
            <w:r>
              <w:rPr>
                <w:rFonts w:hint="eastAsia"/>
                <w:b w:val="0"/>
                <w:bCs w:val="0"/>
              </w:rPr>
              <w:t>解除限速牌</w:t>
            </w:r>
          </w:p>
        </w:tc>
        <w:tc>
          <w:tcPr>
            <w:tcW w:type="dxa" w:w="709"/>
          </w:tcPr>
          <w:p w14:paraId="54738694">
            <w:pPr>
              <w:pStyle w:val="34"/>
              <w:rPr>
                <w:b w:val="0"/>
                <w:bCs w:val="0"/>
              </w:rPr>
            </w:pPr>
            <w:r>
              <w:rPr>
                <w:rFonts w:hint="eastAsia"/>
                <w:b w:val="0"/>
                <w:bCs w:val="0"/>
              </w:rPr>
              <w:t>块</w:t>
            </w:r>
          </w:p>
        </w:tc>
        <w:tc>
          <w:tcPr>
            <w:tcW w:type="dxa" w:w="708"/>
          </w:tcPr>
          <w:p w14:paraId="6EFEAF29">
            <w:pPr>
              <w:pStyle w:val="34"/>
              <w:rPr>
                <w:b w:val="0"/>
                <w:bCs w:val="0"/>
              </w:rPr>
            </w:pPr>
            <w:r>
              <w:rPr>
                <w:rFonts w:hint="eastAsia"/>
                <w:b w:val="0"/>
                <w:bCs w:val="0"/>
              </w:rPr>
              <w:t>1</w:t>
            </w:r>
          </w:p>
        </w:tc>
        <w:tc>
          <w:tcPr>
            <w:tcW w:type="dxa" w:w="3261"/>
          </w:tcPr>
          <w:p w14:paraId="3B92981A">
            <w:pPr>
              <w:pStyle w:val="34"/>
              <w:rPr>
                <w:b w:val="0"/>
                <w:bCs w:val="0"/>
              </w:rPr>
            </w:pPr>
          </w:p>
        </w:tc>
      </w:tr>
      <w:tr w14:paraId="52A7BE9D">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5625EE30">
            <w:pPr>
              <w:pStyle w:val="34"/>
              <w:rPr>
                <w:b w:val="0"/>
                <w:bCs w:val="0"/>
              </w:rPr>
            </w:pPr>
            <w:r>
              <w:rPr>
                <w:rFonts w:hint="eastAsia"/>
                <w:b w:val="0"/>
                <w:bCs w:val="0"/>
              </w:rPr>
              <w:t>5</w:t>
            </w:r>
          </w:p>
        </w:tc>
        <w:tc>
          <w:tcPr>
            <w:tcW w:type="dxa" w:w="2410"/>
          </w:tcPr>
          <w:p w14:paraId="082F9583">
            <w:pPr>
              <w:pStyle w:val="34"/>
              <w:rPr>
                <w:b w:val="0"/>
                <w:bCs w:val="0"/>
              </w:rPr>
            </w:pPr>
            <w:r>
              <w:rPr>
                <w:rFonts w:hint="eastAsia"/>
                <w:b w:val="0"/>
                <w:bCs w:val="0"/>
              </w:rPr>
              <w:t>路锥</w:t>
            </w:r>
          </w:p>
        </w:tc>
        <w:tc>
          <w:tcPr>
            <w:tcW w:type="dxa" w:w="709"/>
          </w:tcPr>
          <w:p w14:paraId="2487868D">
            <w:pPr>
              <w:pStyle w:val="34"/>
              <w:rPr>
                <w:b w:val="0"/>
                <w:bCs w:val="0"/>
              </w:rPr>
            </w:pPr>
            <w:r>
              <w:rPr>
                <w:rFonts w:hint="eastAsia"/>
                <w:b w:val="0"/>
                <w:bCs w:val="0"/>
              </w:rPr>
              <w:t>个</w:t>
            </w:r>
          </w:p>
        </w:tc>
        <w:tc>
          <w:tcPr>
            <w:tcW w:type="dxa" w:w="708"/>
          </w:tcPr>
          <w:p w14:paraId="7E419F64">
            <w:pPr>
              <w:pStyle w:val="34"/>
              <w:rPr>
                <w:b w:val="0"/>
                <w:bCs w:val="0"/>
              </w:rPr>
            </w:pPr>
            <w:r>
              <w:rPr>
                <w:rFonts w:hint="eastAsia"/>
                <w:b w:val="0"/>
                <w:bCs w:val="0"/>
              </w:rPr>
              <w:t>80</w:t>
            </w:r>
          </w:p>
        </w:tc>
        <w:tc>
          <w:tcPr>
            <w:tcW w:type="dxa" w:w="3261"/>
          </w:tcPr>
          <w:p w14:paraId="368CCD2B">
            <w:pPr>
              <w:pStyle w:val="34"/>
              <w:rPr>
                <w:b w:val="0"/>
                <w:bCs w:val="0"/>
              </w:rPr>
            </w:pPr>
            <w:r>
              <w:rPr>
                <w:rFonts w:hint="eastAsia"/>
                <w:b w:val="0"/>
                <w:bCs w:val="0"/>
              </w:rPr>
              <w:t>沿布控区域及各设施前设置</w:t>
            </w:r>
          </w:p>
        </w:tc>
      </w:tr>
      <w:tr w14:paraId="26D36BAB">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08487EA1">
            <w:pPr>
              <w:pStyle w:val="34"/>
              <w:rPr>
                <w:b w:val="0"/>
                <w:bCs w:val="0"/>
              </w:rPr>
            </w:pPr>
            <w:r>
              <w:rPr>
                <w:rFonts w:hint="eastAsia"/>
                <w:b w:val="0"/>
                <w:bCs w:val="0"/>
              </w:rPr>
              <w:t>6</w:t>
            </w:r>
          </w:p>
        </w:tc>
        <w:tc>
          <w:tcPr>
            <w:tcW w:type="dxa" w:w="2410"/>
          </w:tcPr>
          <w:p w14:paraId="602EA80D">
            <w:pPr>
              <w:pStyle w:val="34"/>
              <w:rPr>
                <w:b w:val="0"/>
                <w:bCs w:val="0"/>
              </w:rPr>
            </w:pPr>
            <w:r>
              <w:rPr>
                <w:rFonts w:hint="eastAsia"/>
                <w:b w:val="0"/>
                <w:bCs w:val="0"/>
              </w:rPr>
              <w:t>路栏牌</w:t>
            </w:r>
          </w:p>
        </w:tc>
        <w:tc>
          <w:tcPr>
            <w:tcW w:type="dxa" w:w="709"/>
          </w:tcPr>
          <w:p w14:paraId="78F1D216">
            <w:pPr>
              <w:pStyle w:val="34"/>
              <w:rPr>
                <w:b w:val="0"/>
                <w:bCs w:val="0"/>
              </w:rPr>
            </w:pPr>
            <w:r>
              <w:rPr>
                <w:rFonts w:hint="eastAsia"/>
                <w:b w:val="0"/>
                <w:bCs w:val="0"/>
              </w:rPr>
              <w:t>块</w:t>
            </w:r>
          </w:p>
        </w:tc>
        <w:tc>
          <w:tcPr>
            <w:tcW w:type="dxa" w:w="708"/>
          </w:tcPr>
          <w:p w14:paraId="70158E40">
            <w:pPr>
              <w:pStyle w:val="34"/>
              <w:rPr>
                <w:b w:val="0"/>
                <w:bCs w:val="0"/>
              </w:rPr>
            </w:pPr>
            <w:r>
              <w:rPr>
                <w:rFonts w:hint="eastAsia"/>
                <w:b w:val="0"/>
                <w:bCs w:val="0"/>
              </w:rPr>
              <w:t>4</w:t>
            </w:r>
          </w:p>
        </w:tc>
        <w:tc>
          <w:tcPr>
            <w:tcW w:type="dxa" w:w="3261"/>
          </w:tcPr>
          <w:p w14:paraId="05FF1BA0">
            <w:pPr>
              <w:pStyle w:val="34"/>
              <w:rPr>
                <w:b w:val="0"/>
                <w:bCs w:val="0"/>
              </w:rPr>
            </w:pPr>
          </w:p>
        </w:tc>
      </w:tr>
      <w:tr w14:paraId="1767B061">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17D64ED9">
            <w:pPr>
              <w:pStyle w:val="34"/>
              <w:rPr>
                <w:b w:val="0"/>
                <w:bCs w:val="0"/>
              </w:rPr>
            </w:pPr>
            <w:r>
              <w:rPr>
                <w:rFonts w:hint="eastAsia"/>
                <w:b w:val="0"/>
                <w:bCs w:val="0"/>
              </w:rPr>
              <w:t>7</w:t>
            </w:r>
          </w:p>
        </w:tc>
        <w:tc>
          <w:tcPr>
            <w:tcW w:type="dxa" w:w="2410"/>
          </w:tcPr>
          <w:p w14:paraId="139B9880">
            <w:pPr>
              <w:pStyle w:val="34"/>
              <w:rPr>
                <w:b w:val="0"/>
                <w:bCs w:val="0"/>
              </w:rPr>
            </w:pPr>
            <w:r>
              <w:rPr>
                <w:rFonts w:hint="eastAsia"/>
                <w:b w:val="0"/>
                <w:bCs w:val="0"/>
              </w:rPr>
              <w:t>施工长度牌</w:t>
            </w:r>
          </w:p>
        </w:tc>
        <w:tc>
          <w:tcPr>
            <w:tcW w:type="dxa" w:w="709"/>
          </w:tcPr>
          <w:p w14:paraId="53362CC8">
            <w:pPr>
              <w:pStyle w:val="34"/>
              <w:rPr>
                <w:b w:val="0"/>
                <w:bCs w:val="0"/>
              </w:rPr>
            </w:pPr>
            <w:r>
              <w:rPr>
                <w:rFonts w:hint="eastAsia"/>
                <w:b w:val="0"/>
                <w:bCs w:val="0"/>
              </w:rPr>
              <w:t>块</w:t>
            </w:r>
          </w:p>
        </w:tc>
        <w:tc>
          <w:tcPr>
            <w:tcW w:type="dxa" w:w="708"/>
          </w:tcPr>
          <w:p w14:paraId="6060DD08">
            <w:pPr>
              <w:pStyle w:val="34"/>
              <w:rPr>
                <w:b w:val="0"/>
                <w:bCs w:val="0"/>
              </w:rPr>
            </w:pPr>
            <w:r>
              <w:rPr>
                <w:rFonts w:hint="eastAsia"/>
                <w:b w:val="0"/>
                <w:bCs w:val="0"/>
              </w:rPr>
              <w:t>1</w:t>
            </w:r>
          </w:p>
        </w:tc>
        <w:tc>
          <w:tcPr>
            <w:tcW w:type="dxa" w:w="3261"/>
          </w:tcPr>
          <w:p w14:paraId="7F0C56B7">
            <w:pPr>
              <w:pStyle w:val="34"/>
              <w:rPr>
                <w:b w:val="0"/>
                <w:bCs w:val="0"/>
              </w:rPr>
            </w:pPr>
          </w:p>
        </w:tc>
      </w:tr>
      <w:tr w14:paraId="6C87D1B8">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57E189A4">
            <w:pPr>
              <w:pStyle w:val="34"/>
              <w:rPr>
                <w:b w:val="0"/>
                <w:bCs w:val="0"/>
              </w:rPr>
            </w:pPr>
            <w:r>
              <w:rPr>
                <w:rFonts w:hint="eastAsia"/>
                <w:b w:val="0"/>
                <w:bCs w:val="0"/>
              </w:rPr>
              <w:t>8</w:t>
            </w:r>
          </w:p>
        </w:tc>
        <w:tc>
          <w:tcPr>
            <w:tcW w:type="dxa" w:w="2410"/>
          </w:tcPr>
          <w:p w14:paraId="026A46CD">
            <w:pPr>
              <w:pStyle w:val="34"/>
              <w:rPr>
                <w:b w:val="0"/>
                <w:bCs w:val="0"/>
              </w:rPr>
            </w:pPr>
            <w:r>
              <w:rPr>
                <w:rFonts w:hint="eastAsia"/>
                <w:b w:val="0"/>
                <w:bCs w:val="0"/>
              </w:rPr>
              <w:t>警示频闪灯</w:t>
            </w:r>
          </w:p>
        </w:tc>
        <w:tc>
          <w:tcPr>
            <w:tcW w:type="dxa" w:w="709"/>
          </w:tcPr>
          <w:p w14:paraId="422AE15E">
            <w:pPr>
              <w:pStyle w:val="34"/>
              <w:rPr>
                <w:b w:val="0"/>
                <w:bCs w:val="0"/>
              </w:rPr>
            </w:pPr>
            <w:r>
              <w:rPr>
                <w:rFonts w:hint="eastAsia"/>
                <w:b w:val="0"/>
                <w:bCs w:val="0"/>
              </w:rPr>
              <w:t>个</w:t>
            </w:r>
          </w:p>
        </w:tc>
        <w:tc>
          <w:tcPr>
            <w:tcW w:type="dxa" w:w="708"/>
          </w:tcPr>
          <w:p w14:paraId="0214A427">
            <w:pPr>
              <w:pStyle w:val="34"/>
              <w:rPr>
                <w:b w:val="0"/>
                <w:bCs w:val="0"/>
              </w:rPr>
            </w:pPr>
            <w:r>
              <w:rPr>
                <w:rFonts w:hint="eastAsia"/>
                <w:b w:val="0"/>
                <w:bCs w:val="0"/>
              </w:rPr>
              <w:t>2</w:t>
            </w:r>
          </w:p>
        </w:tc>
        <w:tc>
          <w:tcPr>
            <w:tcW w:type="dxa" w:w="3261"/>
          </w:tcPr>
          <w:p w14:paraId="6CEA1DD8">
            <w:pPr>
              <w:pStyle w:val="34"/>
              <w:rPr>
                <w:b w:val="0"/>
                <w:bCs w:val="0"/>
              </w:rPr>
            </w:pPr>
          </w:p>
        </w:tc>
      </w:tr>
      <w:tr w14:paraId="7C075E7A">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419884AE">
            <w:pPr>
              <w:pStyle w:val="34"/>
              <w:rPr>
                <w:b w:val="0"/>
                <w:bCs w:val="0"/>
              </w:rPr>
            </w:pPr>
            <w:r>
              <w:rPr>
                <w:rFonts w:hint="eastAsia"/>
                <w:b w:val="0"/>
                <w:bCs w:val="0"/>
              </w:rPr>
              <w:t>9</w:t>
            </w:r>
          </w:p>
        </w:tc>
        <w:tc>
          <w:tcPr>
            <w:tcW w:type="dxa" w:w="2410"/>
          </w:tcPr>
          <w:p w14:paraId="1326F01D">
            <w:pPr>
              <w:pStyle w:val="34"/>
              <w:rPr>
                <w:b w:val="0"/>
                <w:bCs w:val="0"/>
              </w:rPr>
            </w:pPr>
            <w:r>
              <w:rPr>
                <w:rFonts w:hint="eastAsia"/>
                <w:b w:val="0"/>
                <w:bCs w:val="0"/>
              </w:rPr>
              <w:t>LED闪光灯(太阳能)</w:t>
            </w:r>
          </w:p>
        </w:tc>
        <w:tc>
          <w:tcPr>
            <w:tcW w:type="dxa" w:w="709"/>
          </w:tcPr>
          <w:p w14:paraId="57D64766">
            <w:pPr>
              <w:pStyle w:val="34"/>
              <w:rPr>
                <w:b w:val="0"/>
                <w:bCs w:val="0"/>
              </w:rPr>
            </w:pPr>
            <w:r>
              <w:rPr>
                <w:rFonts w:hint="eastAsia"/>
                <w:b w:val="0"/>
                <w:bCs w:val="0"/>
              </w:rPr>
              <w:t>个</w:t>
            </w:r>
          </w:p>
        </w:tc>
        <w:tc>
          <w:tcPr>
            <w:tcW w:type="dxa" w:w="708"/>
          </w:tcPr>
          <w:p w14:paraId="527DFD1A">
            <w:pPr>
              <w:pStyle w:val="34"/>
              <w:rPr>
                <w:b w:val="0"/>
                <w:bCs w:val="0"/>
              </w:rPr>
            </w:pPr>
            <w:r>
              <w:rPr>
                <w:rFonts w:hint="eastAsia"/>
                <w:b w:val="0"/>
                <w:bCs w:val="0"/>
              </w:rPr>
              <w:t>20</w:t>
            </w:r>
          </w:p>
        </w:tc>
        <w:tc>
          <w:tcPr>
            <w:tcW w:type="dxa" w:w="3261"/>
          </w:tcPr>
          <w:p w14:paraId="4663C19C">
            <w:pPr>
              <w:pStyle w:val="34"/>
              <w:rPr>
                <w:b w:val="0"/>
                <w:bCs w:val="0"/>
              </w:rPr>
            </w:pPr>
          </w:p>
        </w:tc>
      </w:tr>
      <w:tr w14:paraId="6A061433">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3C4A36CB">
            <w:pPr>
              <w:pStyle w:val="34"/>
              <w:rPr>
                <w:b w:val="0"/>
                <w:bCs w:val="0"/>
              </w:rPr>
            </w:pPr>
            <w:r>
              <w:rPr>
                <w:rFonts w:hint="eastAsia"/>
                <w:b w:val="0"/>
                <w:bCs w:val="0"/>
              </w:rPr>
              <w:t>10</w:t>
            </w:r>
          </w:p>
        </w:tc>
        <w:tc>
          <w:tcPr>
            <w:tcW w:type="dxa" w:w="2410"/>
          </w:tcPr>
          <w:p w14:paraId="0624DB46">
            <w:pPr>
              <w:pStyle w:val="34"/>
              <w:rPr>
                <w:b w:val="0"/>
                <w:bCs w:val="0"/>
              </w:rPr>
            </w:pPr>
            <w:r>
              <w:rPr>
                <w:rFonts w:hint="eastAsia"/>
                <w:b w:val="0"/>
                <w:bCs w:val="0"/>
              </w:rPr>
              <w:t>防撞桶</w:t>
            </w:r>
          </w:p>
        </w:tc>
        <w:tc>
          <w:tcPr>
            <w:tcW w:type="dxa" w:w="709"/>
          </w:tcPr>
          <w:p w14:paraId="4EFCB185">
            <w:pPr>
              <w:pStyle w:val="34"/>
              <w:rPr>
                <w:b w:val="0"/>
                <w:bCs w:val="0"/>
              </w:rPr>
            </w:pPr>
            <w:r>
              <w:rPr>
                <w:rFonts w:hint="eastAsia"/>
                <w:b w:val="0"/>
                <w:bCs w:val="0"/>
              </w:rPr>
              <w:t>个</w:t>
            </w:r>
          </w:p>
        </w:tc>
        <w:tc>
          <w:tcPr>
            <w:tcW w:type="dxa" w:w="708"/>
          </w:tcPr>
          <w:p w14:paraId="4F3311C8">
            <w:pPr>
              <w:pStyle w:val="34"/>
              <w:rPr>
                <w:b w:val="0"/>
                <w:bCs w:val="0"/>
              </w:rPr>
            </w:pPr>
            <w:r>
              <w:rPr>
                <w:rFonts w:hint="eastAsia"/>
                <w:b w:val="0"/>
                <w:bCs w:val="0"/>
              </w:rPr>
              <w:t>5</w:t>
            </w:r>
          </w:p>
        </w:tc>
        <w:tc>
          <w:tcPr>
            <w:tcW w:type="dxa" w:w="3261"/>
          </w:tcPr>
          <w:p w14:paraId="753E1705">
            <w:pPr>
              <w:pStyle w:val="34"/>
              <w:rPr>
                <w:b w:val="0"/>
                <w:bCs w:val="0"/>
              </w:rPr>
            </w:pPr>
          </w:p>
        </w:tc>
      </w:tr>
      <w:tr w14:paraId="25C7297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4D0BF3FD">
            <w:pPr>
              <w:pStyle w:val="34"/>
              <w:rPr>
                <w:b w:val="0"/>
                <w:bCs w:val="0"/>
              </w:rPr>
            </w:pPr>
            <w:r>
              <w:rPr>
                <w:rFonts w:hint="eastAsia"/>
                <w:b w:val="0"/>
                <w:bCs w:val="0"/>
              </w:rPr>
              <w:t>11</w:t>
            </w:r>
          </w:p>
        </w:tc>
        <w:tc>
          <w:tcPr>
            <w:tcW w:type="dxa" w:w="2410"/>
          </w:tcPr>
          <w:p w14:paraId="5E9C15B0">
            <w:pPr>
              <w:pStyle w:val="34"/>
              <w:rPr>
                <w:b w:val="0"/>
                <w:bCs w:val="0"/>
              </w:rPr>
            </w:pPr>
            <w:r>
              <w:rPr>
                <w:rFonts w:hint="eastAsia"/>
                <w:b w:val="0"/>
                <w:bCs w:val="0"/>
              </w:rPr>
              <w:t>指挥棒</w:t>
            </w:r>
          </w:p>
        </w:tc>
        <w:tc>
          <w:tcPr>
            <w:tcW w:type="dxa" w:w="709"/>
          </w:tcPr>
          <w:p w14:paraId="24F8E68B">
            <w:pPr>
              <w:pStyle w:val="34"/>
              <w:rPr>
                <w:b w:val="0"/>
                <w:bCs w:val="0"/>
              </w:rPr>
            </w:pPr>
            <w:r>
              <w:rPr>
                <w:rFonts w:hint="eastAsia"/>
                <w:b w:val="0"/>
                <w:bCs w:val="0"/>
              </w:rPr>
              <w:t>个</w:t>
            </w:r>
          </w:p>
        </w:tc>
        <w:tc>
          <w:tcPr>
            <w:tcW w:type="dxa" w:w="708"/>
          </w:tcPr>
          <w:p w14:paraId="7BB121A8">
            <w:pPr>
              <w:pStyle w:val="34"/>
              <w:rPr>
                <w:b w:val="0"/>
                <w:bCs w:val="0"/>
              </w:rPr>
            </w:pPr>
            <w:r>
              <w:rPr>
                <w:rFonts w:hint="eastAsia"/>
                <w:b w:val="0"/>
                <w:bCs w:val="0"/>
              </w:rPr>
              <w:t>5</w:t>
            </w:r>
          </w:p>
        </w:tc>
        <w:tc>
          <w:tcPr>
            <w:tcW w:type="dxa" w:w="3261"/>
          </w:tcPr>
          <w:p w14:paraId="55652EF4">
            <w:pPr>
              <w:pStyle w:val="34"/>
              <w:rPr>
                <w:b w:val="0"/>
                <w:bCs w:val="0"/>
              </w:rPr>
            </w:pPr>
          </w:p>
        </w:tc>
      </w:tr>
      <w:tr w14:paraId="3F6FC6D5">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03CAE8BE">
            <w:pPr>
              <w:pStyle w:val="34"/>
              <w:rPr>
                <w:b w:val="0"/>
                <w:bCs w:val="0"/>
              </w:rPr>
            </w:pPr>
            <w:r>
              <w:rPr>
                <w:rFonts w:hint="eastAsia"/>
                <w:b w:val="0"/>
                <w:bCs w:val="0"/>
              </w:rPr>
              <w:t>12</w:t>
            </w:r>
          </w:p>
        </w:tc>
        <w:tc>
          <w:tcPr>
            <w:tcW w:type="dxa" w:w="2410"/>
          </w:tcPr>
          <w:p w14:paraId="1A4F7134">
            <w:pPr>
              <w:pStyle w:val="34"/>
              <w:rPr>
                <w:b w:val="0"/>
                <w:bCs w:val="0"/>
              </w:rPr>
            </w:pPr>
            <w:r>
              <w:rPr>
                <w:rFonts w:hint="eastAsia"/>
                <w:b w:val="0"/>
                <w:bCs w:val="0"/>
              </w:rPr>
              <w:t>巡逻车</w:t>
            </w:r>
          </w:p>
        </w:tc>
        <w:tc>
          <w:tcPr>
            <w:tcW w:type="dxa" w:w="709"/>
          </w:tcPr>
          <w:p w14:paraId="74B6A9DC">
            <w:pPr>
              <w:pStyle w:val="34"/>
              <w:rPr>
                <w:b w:val="0"/>
                <w:bCs w:val="0"/>
              </w:rPr>
            </w:pPr>
            <w:r>
              <w:rPr>
                <w:rFonts w:hint="eastAsia"/>
                <w:b w:val="0"/>
                <w:bCs w:val="0"/>
              </w:rPr>
              <w:t>天</w:t>
            </w:r>
          </w:p>
        </w:tc>
        <w:tc>
          <w:tcPr>
            <w:tcW w:type="dxa" w:w="708"/>
          </w:tcPr>
          <w:p w14:paraId="1E9F5230">
            <w:pPr>
              <w:pStyle w:val="34"/>
              <w:rPr>
                <w:b w:val="0"/>
                <w:bCs w:val="0"/>
              </w:rPr>
            </w:pPr>
            <w:r>
              <w:rPr>
                <w:rFonts w:hint="eastAsia"/>
                <w:b w:val="0"/>
                <w:bCs w:val="0"/>
              </w:rPr>
              <w:t>20</w:t>
            </w:r>
          </w:p>
        </w:tc>
        <w:tc>
          <w:tcPr>
            <w:tcW w:type="dxa" w:w="3261"/>
          </w:tcPr>
          <w:p w14:paraId="6120B940">
            <w:pPr>
              <w:pStyle w:val="34"/>
              <w:rPr>
                <w:b w:val="0"/>
                <w:bCs w:val="0"/>
              </w:rPr>
            </w:pPr>
            <w:r>
              <w:rPr>
                <w:rFonts w:hint="eastAsia"/>
                <w:b w:val="0"/>
                <w:bCs w:val="0"/>
              </w:rPr>
              <w:t>小货车(高速报备)</w:t>
            </w:r>
          </w:p>
        </w:tc>
      </w:tr>
      <w:tr w14:paraId="4C308EA5">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04"/>
          </w:tcPr>
          <w:p w14:paraId="589656F7">
            <w:pPr>
              <w:pStyle w:val="34"/>
              <w:rPr>
                <w:b w:val="0"/>
                <w:bCs w:val="0"/>
              </w:rPr>
            </w:pPr>
            <w:r>
              <w:rPr>
                <w:rFonts w:hint="eastAsia"/>
                <w:b w:val="0"/>
                <w:bCs w:val="0"/>
              </w:rPr>
              <w:t>13</w:t>
            </w:r>
          </w:p>
        </w:tc>
        <w:tc>
          <w:tcPr>
            <w:tcW w:type="dxa" w:w="2410"/>
          </w:tcPr>
          <w:p w14:paraId="1A9316DA">
            <w:pPr>
              <w:pStyle w:val="34"/>
              <w:rPr>
                <w:b w:val="0"/>
                <w:bCs w:val="0"/>
              </w:rPr>
            </w:pPr>
            <w:r>
              <w:rPr>
                <w:rFonts w:hint="eastAsia"/>
                <w:b w:val="0"/>
                <w:bCs w:val="0"/>
              </w:rPr>
              <w:t>摇旗假人</w:t>
            </w:r>
          </w:p>
        </w:tc>
        <w:tc>
          <w:tcPr>
            <w:tcW w:type="dxa" w:w="709"/>
          </w:tcPr>
          <w:p w14:paraId="17E069DC">
            <w:pPr>
              <w:pStyle w:val="34"/>
              <w:rPr>
                <w:b w:val="0"/>
                <w:bCs w:val="0"/>
              </w:rPr>
            </w:pPr>
            <w:r>
              <w:rPr>
                <w:rFonts w:hint="eastAsia"/>
                <w:b w:val="0"/>
                <w:bCs w:val="0"/>
              </w:rPr>
              <w:t>个</w:t>
            </w:r>
          </w:p>
        </w:tc>
        <w:tc>
          <w:tcPr>
            <w:tcW w:type="dxa" w:w="708"/>
          </w:tcPr>
          <w:p w14:paraId="1749ED66">
            <w:pPr>
              <w:pStyle w:val="34"/>
              <w:rPr>
                <w:b w:val="0"/>
                <w:bCs w:val="0"/>
              </w:rPr>
            </w:pPr>
            <w:r>
              <w:rPr>
                <w:rFonts w:hint="eastAsia"/>
                <w:b w:val="0"/>
                <w:bCs w:val="0"/>
              </w:rPr>
              <w:t>1</w:t>
            </w:r>
          </w:p>
        </w:tc>
        <w:tc>
          <w:tcPr>
            <w:tcW w:type="dxa" w:w="3261"/>
          </w:tcPr>
          <w:p w14:paraId="0A2518AE">
            <w:pPr>
              <w:pStyle w:val="34"/>
              <w:rPr>
                <w:b w:val="0"/>
                <w:bCs w:val="0"/>
              </w:rPr>
            </w:pPr>
            <w:r>
              <w:rPr>
                <w:rFonts w:hint="eastAsia"/>
                <w:b w:val="0"/>
                <w:bCs w:val="0"/>
              </w:rPr>
              <w:t>布控区域头段设置</w:t>
            </w:r>
          </w:p>
        </w:tc>
      </w:tr>
    </w:tbl>
    <w:p w14:paraId="1E196A84">
      <w:pPr>
        <w:ind w:firstLine="480"/>
        <w:rPr>
          <w:rFonts w:cs="Times New Roman"/>
        </w:rPr>
      </w:pPr>
      <w:r>
        <w:rPr>
          <w:rFonts w:cs="Times New Roman" w:hint="eastAsia"/>
        </w:rPr>
        <w:t>因高速公路的特殊性，所以在施工地点后方的收费所出口设应急分流人员，分流分为一级二级分流，需在两个收费所处分别设立一组人员在重大事故时对高速的车辆进行分流，并且在施工点的附近配备有拖车，能及时将施工点的故障、事故车辆及时拖离车道。</w:t>
      </w:r>
    </w:p>
    <w:tbl>
      <w:tblPr>
        <w:tblStyle w:val="17"/>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autofit"/>
        <w:tblCellMar>
          <w:top w:type="dxa" w:w="0"/>
          <w:left w:type="dxa" w:w="108"/>
          <w:bottom w:type="dxa" w:w="0"/>
          <w:right w:type="dxa" w:w="108"/>
        </w:tblCellMar>
      </w:tblPr>
      <w:tblGrid>
        <w:gridCol w:w="636"/>
        <w:gridCol w:w="2526"/>
        <w:gridCol w:w="636"/>
        <w:gridCol w:w="636"/>
        <w:gridCol w:w="1319"/>
      </w:tblGrid>
      <w:tr w14:paraId="4F4A2A5A">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454"/>
          <w:jc w:val="center"/>
        </w:trPr>
        <w:tc>
          <w:tcPr>
            <w:tcW w:type="auto" w:w="0"/>
          </w:tcPr>
          <w:p w14:paraId="1B4DB1B0">
            <w:pPr>
              <w:pStyle w:val="34"/>
              <w:rPr>
                <w:b w:val="0"/>
                <w:bCs w:val="0"/>
              </w:rPr>
            </w:pPr>
            <w:r>
              <w:rPr>
                <w:rFonts w:hint="eastAsia"/>
                <w:b w:val="0"/>
                <w:bCs w:val="0"/>
              </w:rPr>
              <w:t>序号</w:t>
            </w:r>
          </w:p>
        </w:tc>
        <w:tc>
          <w:tcPr>
            <w:tcW w:type="auto" w:w="0"/>
          </w:tcPr>
          <w:p w14:paraId="0EA6765F">
            <w:pPr>
              <w:pStyle w:val="34"/>
              <w:rPr>
                <w:b w:val="0"/>
                <w:bCs w:val="0"/>
              </w:rPr>
            </w:pPr>
            <w:r>
              <w:rPr>
                <w:rFonts w:hint="eastAsia"/>
                <w:b w:val="0"/>
                <w:bCs w:val="0"/>
              </w:rPr>
              <w:t>名称</w:t>
            </w:r>
          </w:p>
        </w:tc>
        <w:tc>
          <w:tcPr>
            <w:tcW w:type="auto" w:w="0"/>
          </w:tcPr>
          <w:p w14:paraId="2317CE4A">
            <w:pPr>
              <w:pStyle w:val="34"/>
              <w:rPr>
                <w:b w:val="0"/>
                <w:bCs w:val="0"/>
              </w:rPr>
            </w:pPr>
            <w:r>
              <w:rPr>
                <w:rFonts w:hint="eastAsia"/>
                <w:b w:val="0"/>
                <w:bCs w:val="0"/>
              </w:rPr>
              <w:t>单位</w:t>
            </w:r>
          </w:p>
        </w:tc>
        <w:tc>
          <w:tcPr>
            <w:tcW w:type="auto" w:w="0"/>
          </w:tcPr>
          <w:p w14:paraId="6351B410">
            <w:pPr>
              <w:pStyle w:val="34"/>
              <w:rPr>
                <w:b w:val="0"/>
                <w:bCs w:val="0"/>
              </w:rPr>
            </w:pPr>
            <w:r>
              <w:rPr>
                <w:rFonts w:hint="eastAsia"/>
                <w:b w:val="0"/>
                <w:bCs w:val="0"/>
              </w:rPr>
              <w:t>数量</w:t>
            </w:r>
          </w:p>
        </w:tc>
        <w:tc>
          <w:tcPr>
            <w:tcW w:type="auto" w:w="0"/>
          </w:tcPr>
          <w:p w14:paraId="5075B915">
            <w:pPr>
              <w:pStyle w:val="34"/>
              <w:rPr>
                <w:b w:val="0"/>
                <w:bCs w:val="0"/>
              </w:rPr>
            </w:pPr>
            <w:r>
              <w:rPr>
                <w:rFonts w:hint="eastAsia"/>
                <w:b w:val="0"/>
                <w:bCs w:val="0"/>
              </w:rPr>
              <w:t>备注</w:t>
            </w:r>
          </w:p>
        </w:tc>
      </w:tr>
      <w:tr w14:paraId="35B8B343">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454"/>
          <w:jc w:val="center"/>
        </w:trPr>
        <w:tc>
          <w:tcPr>
            <w:tcW w:type="auto" w:w="0"/>
          </w:tcPr>
          <w:p w14:paraId="6B47A2B9">
            <w:pPr>
              <w:pStyle w:val="34"/>
              <w:rPr>
                <w:b w:val="0"/>
                <w:bCs w:val="0"/>
              </w:rPr>
            </w:pPr>
            <w:r>
              <w:rPr>
                <w:rFonts w:hint="eastAsia"/>
                <w:b w:val="0"/>
                <w:bCs w:val="0"/>
              </w:rPr>
              <w:t>1</w:t>
            </w:r>
          </w:p>
        </w:tc>
        <w:tc>
          <w:tcPr>
            <w:tcW w:type="auto" w:w="0"/>
          </w:tcPr>
          <w:p w14:paraId="363A7FDB">
            <w:pPr>
              <w:pStyle w:val="34"/>
              <w:rPr>
                <w:b w:val="0"/>
                <w:bCs w:val="0"/>
              </w:rPr>
            </w:pPr>
            <w:r>
              <w:rPr>
                <w:rFonts w:hint="eastAsia"/>
                <w:b w:val="0"/>
                <w:bCs w:val="0"/>
              </w:rPr>
              <w:t>收费所出口应急分流人员</w:t>
            </w:r>
          </w:p>
        </w:tc>
        <w:tc>
          <w:tcPr>
            <w:tcW w:type="auto" w:w="0"/>
          </w:tcPr>
          <w:p w14:paraId="7D47B6B8">
            <w:pPr>
              <w:pStyle w:val="34"/>
              <w:rPr>
                <w:b w:val="0"/>
                <w:bCs w:val="0"/>
              </w:rPr>
            </w:pPr>
            <w:r>
              <w:rPr>
                <w:rFonts w:hint="eastAsia"/>
                <w:b w:val="0"/>
                <w:bCs w:val="0"/>
              </w:rPr>
              <w:t>人</w:t>
            </w:r>
          </w:p>
        </w:tc>
        <w:tc>
          <w:tcPr>
            <w:tcW w:type="auto" w:w="0"/>
          </w:tcPr>
          <w:p w14:paraId="43399998">
            <w:pPr>
              <w:pStyle w:val="34"/>
              <w:rPr>
                <w:b w:val="0"/>
                <w:bCs w:val="0"/>
              </w:rPr>
            </w:pPr>
            <w:r>
              <w:rPr>
                <w:rFonts w:hint="eastAsia"/>
                <w:b w:val="0"/>
                <w:bCs w:val="0"/>
              </w:rPr>
              <w:t>6</w:t>
            </w:r>
          </w:p>
        </w:tc>
        <w:tc>
          <w:tcPr>
            <w:tcW w:type="auto" w:w="0"/>
            <w:vMerge w:val="restart"/>
            <w:vAlign w:val="center"/>
          </w:tcPr>
          <w:p w14:paraId="13C633AA">
            <w:pPr>
              <w:pStyle w:val="34"/>
              <w:rPr>
                <w:b w:val="0"/>
                <w:bCs w:val="0"/>
              </w:rPr>
            </w:pPr>
            <w:r>
              <w:rPr>
                <w:rFonts w:hint="eastAsia"/>
                <w:b w:val="0"/>
                <w:bCs w:val="0"/>
              </w:rPr>
              <w:t>24小时轮班</w:t>
            </w:r>
          </w:p>
        </w:tc>
      </w:tr>
      <w:tr w14:paraId="1EB209FD">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454"/>
          <w:jc w:val="center"/>
        </w:trPr>
        <w:tc>
          <w:tcPr>
            <w:tcW w:type="auto" w:w="0"/>
          </w:tcPr>
          <w:p w14:paraId="09C1D527">
            <w:pPr>
              <w:pStyle w:val="34"/>
              <w:rPr>
                <w:b w:val="0"/>
                <w:bCs w:val="0"/>
              </w:rPr>
            </w:pPr>
            <w:r>
              <w:rPr>
                <w:rFonts w:hint="eastAsia"/>
                <w:b w:val="0"/>
                <w:bCs w:val="0"/>
              </w:rPr>
              <w:t>2</w:t>
            </w:r>
          </w:p>
        </w:tc>
        <w:tc>
          <w:tcPr>
            <w:tcW w:type="auto" w:w="0"/>
          </w:tcPr>
          <w:p w14:paraId="6C1AFB67">
            <w:pPr>
              <w:pStyle w:val="34"/>
              <w:rPr>
                <w:b w:val="0"/>
                <w:bCs w:val="0"/>
              </w:rPr>
            </w:pPr>
            <w:r>
              <w:rPr>
                <w:rFonts w:hint="eastAsia"/>
                <w:b w:val="0"/>
                <w:bCs w:val="0"/>
              </w:rPr>
              <w:t>拖车驾驶员</w:t>
            </w:r>
          </w:p>
        </w:tc>
        <w:tc>
          <w:tcPr>
            <w:tcW w:type="auto" w:w="0"/>
          </w:tcPr>
          <w:p w14:paraId="622B8E22">
            <w:pPr>
              <w:pStyle w:val="34"/>
              <w:rPr>
                <w:b w:val="0"/>
                <w:bCs w:val="0"/>
              </w:rPr>
            </w:pPr>
            <w:r>
              <w:rPr>
                <w:rFonts w:hint="eastAsia"/>
                <w:b w:val="0"/>
                <w:bCs w:val="0"/>
              </w:rPr>
              <w:t>人</w:t>
            </w:r>
          </w:p>
        </w:tc>
        <w:tc>
          <w:tcPr>
            <w:tcW w:type="auto" w:w="0"/>
          </w:tcPr>
          <w:p w14:paraId="3BF8A7F6">
            <w:pPr>
              <w:pStyle w:val="34"/>
              <w:rPr>
                <w:b w:val="0"/>
                <w:bCs w:val="0"/>
              </w:rPr>
            </w:pPr>
            <w:r>
              <w:rPr>
                <w:rFonts w:hint="eastAsia"/>
                <w:b w:val="0"/>
                <w:bCs w:val="0"/>
              </w:rPr>
              <w:t>2</w:t>
            </w:r>
          </w:p>
        </w:tc>
        <w:tc>
          <w:tcPr>
            <w:tcW w:type="auto" w:w="0"/>
            <w:vMerge w:val="continue"/>
          </w:tcPr>
          <w:p w14:paraId="4D505AA3">
            <w:pPr>
              <w:pStyle w:val="34"/>
              <w:rPr>
                <w:b w:val="0"/>
                <w:bCs w:val="0"/>
              </w:rPr>
            </w:pPr>
          </w:p>
        </w:tc>
      </w:tr>
      <w:tr w14:paraId="7A275D8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454"/>
          <w:jc w:val="center"/>
        </w:trPr>
        <w:tc>
          <w:tcPr>
            <w:tcW w:type="auto" w:w="0"/>
          </w:tcPr>
          <w:p w14:paraId="2F360288">
            <w:pPr>
              <w:pStyle w:val="34"/>
              <w:rPr>
                <w:b w:val="0"/>
                <w:bCs w:val="0"/>
              </w:rPr>
            </w:pPr>
            <w:r>
              <w:rPr>
                <w:rFonts w:hint="eastAsia"/>
                <w:b w:val="0"/>
                <w:bCs w:val="0"/>
              </w:rPr>
              <w:t>3</w:t>
            </w:r>
          </w:p>
        </w:tc>
        <w:tc>
          <w:tcPr>
            <w:tcW w:type="auto" w:w="0"/>
          </w:tcPr>
          <w:p w14:paraId="460BEA28">
            <w:pPr>
              <w:pStyle w:val="34"/>
              <w:rPr>
                <w:b w:val="0"/>
                <w:bCs w:val="0"/>
              </w:rPr>
            </w:pPr>
            <w:r>
              <w:rPr>
                <w:rFonts w:hint="eastAsia"/>
                <w:b w:val="0"/>
                <w:bCs w:val="0"/>
              </w:rPr>
              <w:t>现场巡逻控人员</w:t>
            </w:r>
          </w:p>
        </w:tc>
        <w:tc>
          <w:tcPr>
            <w:tcW w:type="auto" w:w="0"/>
          </w:tcPr>
          <w:p w14:paraId="5222D6B3">
            <w:pPr>
              <w:pStyle w:val="34"/>
              <w:rPr>
                <w:b w:val="0"/>
                <w:bCs w:val="0"/>
              </w:rPr>
            </w:pPr>
            <w:r>
              <w:rPr>
                <w:rFonts w:hint="eastAsia"/>
                <w:b w:val="0"/>
                <w:bCs w:val="0"/>
              </w:rPr>
              <w:t>人</w:t>
            </w:r>
          </w:p>
        </w:tc>
        <w:tc>
          <w:tcPr>
            <w:tcW w:type="auto" w:w="0"/>
          </w:tcPr>
          <w:p w14:paraId="1D936686">
            <w:pPr>
              <w:pStyle w:val="34"/>
              <w:rPr>
                <w:b w:val="0"/>
                <w:bCs w:val="0"/>
              </w:rPr>
            </w:pPr>
            <w:r>
              <w:rPr>
                <w:rFonts w:hint="eastAsia"/>
                <w:b w:val="0"/>
                <w:bCs w:val="0"/>
              </w:rPr>
              <w:t>2</w:t>
            </w:r>
          </w:p>
        </w:tc>
        <w:tc>
          <w:tcPr>
            <w:tcW w:type="auto" w:w="0"/>
            <w:vMerge w:val="continue"/>
          </w:tcPr>
          <w:p w14:paraId="3AD0DFD2">
            <w:pPr>
              <w:pStyle w:val="34"/>
              <w:rPr>
                <w:b w:val="0"/>
                <w:bCs w:val="0"/>
              </w:rPr>
            </w:pPr>
          </w:p>
        </w:tc>
      </w:tr>
    </w:tbl>
    <w:p w14:paraId="6D263B36">
      <w:pPr>
        <w:pStyle w:val="3"/>
      </w:pPr>
      <w:bookmarkStart w:id="64" w:name="_Toc187956738"/>
      <w:r>
        <w:rPr>
          <w:rFonts w:hint="eastAsia"/>
        </w:rPr>
        <w:t>布控实施方案</w:t>
      </w:r>
      <w:bookmarkEnd w:id="64"/>
    </w:p>
    <w:p w14:paraId="6EBA75A9">
      <w:pPr>
        <w:ind w:firstLine="480"/>
        <w:rPr>
          <w:rFonts w:cs="Times New Roman"/>
        </w:rPr>
      </w:pPr>
      <w:r>
        <w:rPr>
          <w:rFonts w:cs="Times New Roman" w:hint="eastAsia"/>
        </w:rPr>
        <w:t>实施布控上高速前对布控人员进行安全教育及布控方案的学习，讲解具体实施布控的先后程序。</w:t>
      </w:r>
    </w:p>
    <w:p w14:paraId="0240B5BB">
      <w:pPr>
        <w:pStyle w:val="3"/>
      </w:pPr>
      <w:bookmarkStart w:id="65" w:name="_Toc187956739"/>
      <w:r>
        <w:rPr>
          <w:rFonts w:hint="eastAsia"/>
        </w:rPr>
        <w:t>具体布控方法</w:t>
      </w:r>
      <w:bookmarkEnd w:id="65"/>
    </w:p>
    <w:p w14:paraId="1DC4EC30">
      <w:pPr>
        <w:ind w:firstLine="480"/>
        <w:rPr>
          <w:rFonts w:cs="Times New Roman"/>
        </w:rPr>
      </w:pPr>
      <w:r>
        <w:rPr>
          <w:rFonts w:cs="Times New Roman" w:hint="eastAsia"/>
        </w:rPr>
        <w:t>按照布控图纸设计位置先将标志牌分类整理装车，将标志牌分散在泉厦高速紧急停车带紧靠防撞波型板上。其方法是：前方施工提示牌、限速牌、限速牌、前方施工车辆慢行牌、警示灯、路锥、防撞桶、车辆慢行牌、路拦、解除限速牌，其顺序是前方施工提示牌→限速牌→限速牌→前方施工车辆慢行牌→路锥→车辆慢行牌，布控完成。</w:t>
      </w:r>
    </w:p>
    <w:p w14:paraId="2D2CE4B0">
      <w:pPr>
        <w:pStyle w:val="2"/>
      </w:pPr>
      <w:bookmarkStart w:id="66" w:name="_Toc187956740"/>
      <w:r>
        <w:rPr>
          <w:rFonts w:hint="eastAsia"/>
        </w:rPr>
        <w:t>安全应急预案</w:t>
      </w:r>
      <w:bookmarkEnd w:id="66"/>
    </w:p>
    <w:p w14:paraId="2E4DF520">
      <w:pPr>
        <w:pStyle w:val="3"/>
        <w:ind w:left="480"/>
      </w:pPr>
      <w:bookmarkStart w:id="67" w:name="_Toc187956741"/>
      <w:r>
        <w:rPr>
          <w:rFonts w:hint="eastAsia"/>
        </w:rPr>
        <w:t>方针与目标</w:t>
      </w:r>
      <w:bookmarkEnd w:id="67"/>
    </w:p>
    <w:p w14:paraId="7FC1A782">
      <w:pPr>
        <w:ind w:firstLine="480"/>
        <w:rPr>
          <w:rFonts w:cs="Times New Roman"/>
        </w:rPr>
      </w:pPr>
      <w:r>
        <w:rPr>
          <w:rFonts w:cs="Times New Roman" w:hint="eastAsia"/>
        </w:rPr>
        <w:t>坚持“安全第一、预防为主”、“保护人员安全优先、保护环境优先”的方针，贯彻“常备不懈、统一指挥、高效协调、持续改进”的原则。更好地适应法律和经济活动的要求；给项目部员工的工作和施工场区周围居民提供更好更安全的环境；保证各种应急资源处于良好的备战状态；指导应急行动按计划有序地进行；防止因应急行动组织不力或现场救援工作的无序和混乱而延误事故的应急救援；有效地避免或降低人员伤亡和财产损失；帮助实现应急行动的快速、有序、高效；充分体现应急救援的“应急精神”。</w:t>
      </w:r>
    </w:p>
    <w:p w14:paraId="43443318">
      <w:pPr>
        <w:pStyle w:val="3"/>
        <w:ind w:left="480"/>
      </w:pPr>
      <w:bookmarkStart w:id="68" w:name="_Toc187956742"/>
      <w:r>
        <w:rPr>
          <w:rFonts w:hint="eastAsia"/>
        </w:rPr>
        <w:t>应急策划</w:t>
      </w:r>
      <w:bookmarkEnd w:id="68"/>
    </w:p>
    <w:p w14:paraId="20B9A2AE">
      <w:pPr>
        <w:pStyle w:val="4"/>
      </w:pPr>
      <w:bookmarkStart w:id="69" w:name="_Toc187956743"/>
      <w:r>
        <w:rPr>
          <w:rFonts w:hint="eastAsia"/>
        </w:rPr>
        <w:t>应急预案工作流程</w:t>
      </w:r>
      <w:bookmarkEnd w:id="69"/>
    </w:p>
    <w:p w14:paraId="0DE88F3C">
      <w:pPr>
        <w:ind w:firstLine="480"/>
      </w:pPr>
      <w:r>
        <w:rPr>
          <w:rFonts w:hint="eastAsia"/>
        </w:rPr>
        <w:t>根据本工程的特点及施工工艺的实际情况，认真的组织了对危险源和环境因素的识别和评价，特制定本项目发生紧急情况或事故的应急措施，开展应急知识教育和应急演练，提高现场操作人员应急能力，减少突发事件造成的损害和不良环境影响。其应急准备和响应工作程序见下图：</w:t>
      </w:r>
    </w:p>
    <w:p w14:paraId="220C380C">
      <w:pPr>
        <w:pStyle w:val="34"/>
      </w:pPr>
      <w:r>
        <mc:AlternateContent>
          <mc:Choice Requires="wpg">
            <w:drawing>
              <wp:inline distB="0" distL="0" distR="0" distT="0">
                <wp:extent cx="5574030" cy="3402330"/>
                <wp:effectExtent b="26670" l="0" r="26670" t="0"/>
                <wp:docPr id="24" name="Group 1410"/>
                <wp:cNvGraphicFramePr/>
                <a:graphic xmlns:a="http://schemas.openxmlformats.org/drawingml/2006/main">
                  <a:graphicData uri="http://schemas.microsoft.com/office/word/2010/wordprocessingGroup">
                    <wpg:wgp>
                      <wpg:cNvGrpSpPr/>
                      <wpg:grpSpPr>
                        <a:xfrm>
                          <a:off x="0" y="0"/>
                          <a:ext cx="5574030" cy="3402330"/>
                          <a:chOff x="1870" y="6740"/>
                          <a:chExt cx="8748" cy="5358"/>
                        </a:xfrm>
                      </wpg:grpSpPr>
                      <wps:wsp>
                        <wps:cNvPr id="25" name="Rectangle 1331"/>
                        <wps:cNvSpPr>
                          <a:spLocks noChangeArrowheads="1"/>
                        </wps:cNvSpPr>
                        <wps:spPr bwMode="auto">
                          <a:xfrm>
                            <a:off x="3916" y="6740"/>
                            <a:ext cx="4401" cy="560"/>
                          </a:xfrm>
                          <a:prstGeom prst="rect">
                            <a:avLst/>
                          </a:prstGeom>
                          <a:solidFill>
                            <a:srgbClr val="FFFFFF"/>
                          </a:solidFill>
                          <a:ln w="9525">
                            <a:solidFill>
                              <a:srgbClr val="000000"/>
                            </a:solidFill>
                            <a:miter lim="800000"/>
                          </a:ln>
                        </wps:spPr>
                        <wps:txbx>
                          <w:txbxContent>
                            <w:p w14:paraId="49CEE120">
                              <w:pPr>
                                <w:ind w:firstLine="0" w:firstLineChars="0"/>
                                <w:jc w:val="center"/>
                                <w:rPr>
                                  <w:rFonts w:ascii="仿宋" w:eastAsia="仿宋" w:hAnsi="仿宋" w:hint="eastAsia"/>
                                </w:rPr>
                              </w:pPr>
                              <w:r>
                                <w:rPr>
                                  <w:rFonts w:ascii="仿宋" w:eastAsia="仿宋" w:hAnsi="仿宋" w:hint="eastAsia"/>
                                </w:rPr>
                                <w:t>危险源及环境因素辩识、评价</w:t>
                              </w:r>
                            </w:p>
                          </w:txbxContent>
                        </wps:txbx>
                        <wps:bodyPr anchor="t" anchorCtr="0" bIns="45720" lIns="91440" rIns="91440" rot="0" tIns="45720" upright="1" vert="horz" wrap="square">
                          <a:noAutofit/>
                        </wps:bodyPr>
                      </wps:wsp>
                      <wps:wsp>
                        <wps:cNvPr id="26" name="Rectangle 1332"/>
                        <wps:cNvSpPr>
                          <a:spLocks noChangeArrowheads="1"/>
                        </wps:cNvSpPr>
                        <wps:spPr bwMode="auto">
                          <a:xfrm>
                            <a:off x="4735" y="7700"/>
                            <a:ext cx="2961" cy="560"/>
                          </a:xfrm>
                          <a:prstGeom prst="rect">
                            <a:avLst/>
                          </a:prstGeom>
                          <a:solidFill>
                            <a:srgbClr val="FFFFFF"/>
                          </a:solidFill>
                          <a:ln w="9525">
                            <a:solidFill>
                              <a:srgbClr val="000000"/>
                            </a:solidFill>
                            <a:miter lim="800000"/>
                          </a:ln>
                        </wps:spPr>
                        <wps:txbx>
                          <w:txbxContent>
                            <w:p w14:paraId="1F5A4C58">
                              <w:pPr>
                                <w:ind w:firstLine="0" w:firstLineChars="0"/>
                                <w:jc w:val="center"/>
                                <w:rPr>
                                  <w:rFonts w:ascii="仿宋" w:eastAsia="仿宋" w:hAnsi="仿宋" w:hint="eastAsia"/>
                                </w:rPr>
                              </w:pPr>
                              <w:r>
                                <w:rPr>
                                  <w:rFonts w:ascii="仿宋" w:eastAsia="仿宋" w:hAnsi="仿宋" w:hint="eastAsia"/>
                                </w:rPr>
                                <w:t>编制应急预案</w:t>
                              </w:r>
                            </w:p>
                          </w:txbxContent>
                        </wps:txbx>
                        <wps:bodyPr anchor="t" anchorCtr="0" bIns="45720" lIns="91440" rIns="91440" rot="0" tIns="45720" upright="1" vert="horz" wrap="square">
                          <a:noAutofit/>
                        </wps:bodyPr>
                      </wps:wsp>
                      <wps:wsp>
                        <wps:cNvPr id="27" name="Rectangle 1334"/>
                        <wps:cNvSpPr>
                          <a:spLocks noChangeArrowheads="1"/>
                        </wps:cNvSpPr>
                        <wps:spPr bwMode="auto">
                          <a:xfrm>
                            <a:off x="4774" y="8658"/>
                            <a:ext cx="2961" cy="560"/>
                          </a:xfrm>
                          <a:prstGeom prst="rect">
                            <a:avLst/>
                          </a:prstGeom>
                          <a:solidFill>
                            <a:srgbClr val="FFFFFF"/>
                          </a:solidFill>
                          <a:ln w="9525">
                            <a:solidFill>
                              <a:srgbClr val="000000"/>
                            </a:solidFill>
                            <a:miter lim="800000"/>
                          </a:ln>
                        </wps:spPr>
                        <wps:txbx>
                          <w:txbxContent>
                            <w:p w14:paraId="46B1F02A">
                              <w:pPr>
                                <w:ind w:firstLine="0" w:firstLineChars="0"/>
                                <w:jc w:val="center"/>
                                <w:rPr>
                                  <w:rFonts w:ascii="仿宋" w:eastAsia="仿宋" w:hAnsi="仿宋" w:hint="eastAsia"/>
                                </w:rPr>
                              </w:pPr>
                              <w:r>
                                <w:rPr>
                                  <w:rFonts w:ascii="仿宋" w:eastAsia="仿宋" w:hAnsi="仿宋" w:hint="eastAsia"/>
                                </w:rPr>
                                <w:t>成立抢险领导小组</w:t>
                              </w:r>
                            </w:p>
                          </w:txbxContent>
                        </wps:txbx>
                        <wps:bodyPr anchor="t" anchorCtr="0" bIns="45720" lIns="91440" rIns="91440" rot="0" tIns="45720" upright="1" vert="horz" wrap="square">
                          <a:noAutofit/>
                        </wps:bodyPr>
                      </wps:wsp>
                      <wps:wsp>
                        <wps:cNvPr id="28" name="Rectangle 1335"/>
                        <wps:cNvSpPr>
                          <a:spLocks noChangeArrowheads="1"/>
                        </wps:cNvSpPr>
                        <wps:spPr bwMode="auto">
                          <a:xfrm>
                            <a:off x="4735" y="9638"/>
                            <a:ext cx="2961" cy="560"/>
                          </a:xfrm>
                          <a:prstGeom prst="rect">
                            <a:avLst/>
                          </a:prstGeom>
                          <a:solidFill>
                            <a:srgbClr val="FFFFFF"/>
                          </a:solidFill>
                          <a:ln w="9525">
                            <a:solidFill>
                              <a:srgbClr val="000000"/>
                            </a:solidFill>
                            <a:miter lim="800000"/>
                          </a:ln>
                        </wps:spPr>
                        <wps:txbx>
                          <w:txbxContent>
                            <w:p w14:paraId="389F0F4C">
                              <w:pPr>
                                <w:ind w:firstLine="0" w:firstLineChars="0"/>
                                <w:jc w:val="center"/>
                                <w:rPr>
                                  <w:rFonts w:ascii="仿宋" w:eastAsia="仿宋" w:hAnsi="仿宋" w:hint="eastAsia"/>
                                </w:rPr>
                              </w:pPr>
                              <w:r>
                                <w:rPr>
                                  <w:rFonts w:ascii="仿宋" w:eastAsia="仿宋" w:hAnsi="仿宋" w:hint="eastAsia"/>
                                </w:rPr>
                                <w:t>组建抢险队、救护车</w:t>
                              </w:r>
                            </w:p>
                          </w:txbxContent>
                        </wps:txbx>
                        <wps:bodyPr anchor="t" anchorCtr="0" bIns="45720" lIns="91440" rIns="91440" rot="0" tIns="45720" upright="1" vert="horz" wrap="square">
                          <a:noAutofit/>
                        </wps:bodyPr>
                      </wps:wsp>
                      <wps:wsp>
                        <wps:cNvPr id="38" name="Rectangle 1336"/>
                        <wps:cNvSpPr>
                          <a:spLocks noChangeArrowheads="1"/>
                        </wps:cNvSpPr>
                        <wps:spPr bwMode="auto">
                          <a:xfrm>
                            <a:off x="4696" y="10578"/>
                            <a:ext cx="2961" cy="560"/>
                          </a:xfrm>
                          <a:prstGeom prst="rect">
                            <a:avLst/>
                          </a:prstGeom>
                          <a:solidFill>
                            <a:srgbClr val="FFFFFF"/>
                          </a:solidFill>
                          <a:ln w="9525">
                            <a:solidFill>
                              <a:srgbClr val="000000"/>
                            </a:solidFill>
                            <a:miter lim="800000"/>
                          </a:ln>
                        </wps:spPr>
                        <wps:txbx>
                          <w:txbxContent>
                            <w:p w14:paraId="1FA260F1">
                              <w:pPr>
                                <w:ind w:firstLine="0" w:firstLineChars="0"/>
                                <w:jc w:val="center"/>
                                <w:rPr>
                                  <w:rFonts w:ascii="仿宋" w:eastAsia="仿宋" w:hAnsi="仿宋" w:hint="eastAsia"/>
                                </w:rPr>
                              </w:pPr>
                              <w:r>
                                <w:rPr>
                                  <w:rFonts w:ascii="仿宋" w:eastAsia="仿宋" w:hAnsi="仿宋" w:hint="eastAsia"/>
                                </w:rPr>
                                <w:t>配备应急物资、设备</w:t>
                              </w:r>
                            </w:p>
                          </w:txbxContent>
                        </wps:txbx>
                        <wps:bodyPr anchor="t" anchorCtr="0" bIns="45720" lIns="91440" rIns="91440" rot="0" tIns="45720" upright="1" vert="horz" wrap="square">
                          <a:noAutofit/>
                        </wps:bodyPr>
                      </wps:wsp>
                      <wps:wsp>
                        <wps:cNvPr id="40" name="Rectangle 1337"/>
                        <wps:cNvSpPr>
                          <a:spLocks noChangeArrowheads="1"/>
                        </wps:cNvSpPr>
                        <wps:spPr bwMode="auto">
                          <a:xfrm>
                            <a:off x="4717" y="11498"/>
                            <a:ext cx="2961" cy="560"/>
                          </a:xfrm>
                          <a:prstGeom prst="rect">
                            <a:avLst/>
                          </a:prstGeom>
                          <a:solidFill>
                            <a:srgbClr val="FFFFFF"/>
                          </a:solidFill>
                          <a:ln w="9525">
                            <a:solidFill>
                              <a:srgbClr val="000000"/>
                            </a:solidFill>
                            <a:miter lim="800000"/>
                          </a:ln>
                        </wps:spPr>
                        <wps:txbx>
                          <w:txbxContent>
                            <w:p w14:paraId="17491060">
                              <w:pPr>
                                <w:ind w:firstLine="0" w:firstLineChars="0"/>
                                <w:jc w:val="center"/>
                                <w:rPr>
                                  <w:rFonts w:ascii="仿宋" w:eastAsia="仿宋" w:hAnsi="仿宋" w:hint="eastAsia"/>
                                </w:rPr>
                              </w:pPr>
                              <w:r>
                                <w:rPr>
                                  <w:rFonts w:ascii="仿宋" w:eastAsia="仿宋" w:hAnsi="仿宋" w:hint="eastAsia"/>
                                </w:rPr>
                                <w:t>应急知识教育培训</w:t>
                              </w:r>
                            </w:p>
                          </w:txbxContent>
                        </wps:txbx>
                        <wps:bodyPr anchor="t" anchorCtr="0" bIns="45720" lIns="91440" rIns="91440" rot="0" tIns="45720" upright="1" vert="horz" wrap="square">
                          <a:noAutofit/>
                        </wps:bodyPr>
                      </wps:wsp>
                      <wps:wsp>
                        <wps:cNvPr id="41" name="Rectangle 1338"/>
                        <wps:cNvSpPr>
                          <a:spLocks noChangeArrowheads="1"/>
                        </wps:cNvSpPr>
                        <wps:spPr bwMode="auto">
                          <a:xfrm>
                            <a:off x="1870" y="11538"/>
                            <a:ext cx="1842" cy="560"/>
                          </a:xfrm>
                          <a:prstGeom prst="rect">
                            <a:avLst/>
                          </a:prstGeom>
                          <a:solidFill>
                            <a:srgbClr val="FFFFFF"/>
                          </a:solidFill>
                          <a:ln w="9525">
                            <a:solidFill>
                              <a:srgbClr val="000000"/>
                            </a:solidFill>
                            <a:miter lim="800000"/>
                          </a:ln>
                        </wps:spPr>
                        <wps:txbx>
                          <w:txbxContent>
                            <w:p w14:paraId="2306B4FF">
                              <w:pPr>
                                <w:ind w:firstLine="0" w:firstLineChars="0"/>
                                <w:jc w:val="center"/>
                                <w:rPr>
                                  <w:rFonts w:ascii="仿宋" w:eastAsia="仿宋" w:hAnsi="仿宋" w:hint="eastAsia"/>
                                </w:rPr>
                              </w:pPr>
                              <w:r>
                                <w:rPr>
                                  <w:rFonts w:ascii="仿宋" w:eastAsia="仿宋" w:hAnsi="仿宋" w:hint="eastAsia"/>
                                </w:rPr>
                                <w:t>定期评审</w:t>
                              </w:r>
                            </w:p>
                          </w:txbxContent>
                        </wps:txbx>
                        <wps:bodyPr anchor="t" anchorCtr="0" bIns="45720" lIns="91440" rIns="91440" rot="0" tIns="45720" upright="1" vert="horz" wrap="square">
                          <a:noAutofit/>
                        </wps:bodyPr>
                      </wps:wsp>
                      <wps:wsp>
                        <wps:cNvPr id="42" name="Rectangle 1339"/>
                        <wps:cNvSpPr>
                          <a:spLocks noChangeArrowheads="1"/>
                        </wps:cNvSpPr>
                        <wps:spPr bwMode="auto">
                          <a:xfrm>
                            <a:off x="8437" y="11516"/>
                            <a:ext cx="2181" cy="560"/>
                          </a:xfrm>
                          <a:prstGeom prst="rect">
                            <a:avLst/>
                          </a:prstGeom>
                          <a:solidFill>
                            <a:srgbClr val="FFFFFF"/>
                          </a:solidFill>
                          <a:ln w="9525">
                            <a:solidFill>
                              <a:srgbClr val="000000"/>
                            </a:solidFill>
                            <a:miter lim="800000"/>
                          </a:ln>
                        </wps:spPr>
                        <wps:txbx>
                          <w:txbxContent>
                            <w:p w14:paraId="4F6CE6EA">
                              <w:pPr>
                                <w:ind w:firstLine="0" w:firstLineChars="0"/>
                                <w:jc w:val="center"/>
                                <w:rPr>
                                  <w:rFonts w:ascii="仿宋" w:eastAsia="仿宋" w:hAnsi="仿宋" w:hint="eastAsia"/>
                                </w:rPr>
                              </w:pPr>
                              <w:r>
                                <w:rPr>
                                  <w:rFonts w:ascii="仿宋" w:eastAsia="仿宋" w:hAnsi="仿宋" w:hint="eastAsia"/>
                                </w:rPr>
                                <w:t>实施应急预案</w:t>
                              </w:r>
                            </w:p>
                          </w:txbxContent>
                        </wps:txbx>
                        <wps:bodyPr anchor="t" anchorCtr="0" bIns="45720" lIns="91440" rIns="91440" rot="0" tIns="45720" upright="1" vert="horz" wrap="square">
                          <a:noAutofit/>
                        </wps:bodyPr>
                      </wps:wsp>
                      <wps:wsp>
                        <wps:cNvPr id="72" name="Rectangle 1340"/>
                        <wps:cNvSpPr>
                          <a:spLocks noChangeArrowheads="1"/>
                        </wps:cNvSpPr>
                        <wps:spPr bwMode="auto">
                          <a:xfrm>
                            <a:off x="8278" y="10258"/>
                            <a:ext cx="2322" cy="560"/>
                          </a:xfrm>
                          <a:prstGeom prst="rect">
                            <a:avLst/>
                          </a:prstGeom>
                          <a:solidFill>
                            <a:srgbClr val="FFFFFF"/>
                          </a:solidFill>
                          <a:ln w="9525">
                            <a:solidFill>
                              <a:srgbClr val="000000"/>
                            </a:solidFill>
                            <a:miter lim="800000"/>
                          </a:ln>
                        </wps:spPr>
                        <wps:txbx>
                          <w:txbxContent>
                            <w:p w14:paraId="76ED33FD">
                              <w:pPr>
                                <w:ind w:firstLine="0" w:firstLineChars="0"/>
                                <w:jc w:val="center"/>
                                <w:rPr>
                                  <w:rFonts w:ascii="仿宋" w:eastAsia="仿宋" w:hAnsi="仿宋" w:hint="eastAsia"/>
                                </w:rPr>
                              </w:pPr>
                              <w:r>
                                <w:rPr>
                                  <w:rFonts w:ascii="仿宋" w:eastAsia="仿宋" w:hAnsi="仿宋" w:hint="eastAsia"/>
                                </w:rPr>
                                <w:t>进行评审、修订</w:t>
                              </w:r>
                            </w:p>
                          </w:txbxContent>
                        </wps:txbx>
                        <wps:bodyPr anchor="t" anchorCtr="0" bIns="45720" lIns="91440" rIns="91440" rot="0" tIns="45720" upright="1" vert="horz" wrap="square">
                          <a:noAutofit/>
                        </wps:bodyPr>
                      </wps:wsp>
                      <wps:wsp>
                        <wps:cNvPr id="73" name="Rectangle 1341"/>
                        <wps:cNvSpPr>
                          <a:spLocks noChangeArrowheads="1"/>
                        </wps:cNvSpPr>
                        <wps:spPr bwMode="auto">
                          <a:xfrm>
                            <a:off x="3598" y="11174"/>
                            <a:ext cx="1218" cy="560"/>
                          </a:xfrm>
                          <a:prstGeom prst="rect">
                            <a:avLst/>
                          </a:prstGeom>
                          <a:noFill/>
                          <a:ln>
                            <a:noFill/>
                          </a:ln>
                        </wps:spPr>
                        <wps:txbx>
                          <w:txbxContent>
                            <w:p w14:paraId="16FF598F">
                              <w:pPr>
                                <w:ind w:firstLine="0" w:firstLineChars="0"/>
                                <w:jc w:val="center"/>
                                <w:rPr>
                                  <w:rFonts w:ascii="仿宋" w:eastAsia="仿宋" w:hAnsi="仿宋" w:hint="eastAsia"/>
                                </w:rPr>
                              </w:pPr>
                              <w:r>
                                <w:rPr>
                                  <w:rFonts w:ascii="仿宋" w:eastAsia="仿宋" w:hAnsi="仿宋" w:hint="eastAsia"/>
                                </w:rPr>
                                <w:t>未发生</w:t>
                              </w:r>
                            </w:p>
                          </w:txbxContent>
                        </wps:txbx>
                        <wps:bodyPr anchor="t" anchorCtr="0" bIns="45720" lIns="91440" rIns="91440" rot="0" tIns="45720" upright="1" vert="horz" wrap="square">
                          <a:noAutofit/>
                        </wps:bodyPr>
                      </wps:wsp>
                      <wps:wsp>
                        <wps:cNvPr id="77" name="Rectangle 1342"/>
                        <wps:cNvSpPr>
                          <a:spLocks noChangeArrowheads="1"/>
                        </wps:cNvSpPr>
                        <wps:spPr bwMode="auto">
                          <a:xfrm>
                            <a:off x="7522" y="11158"/>
                            <a:ext cx="1218" cy="560"/>
                          </a:xfrm>
                          <a:prstGeom prst="rect">
                            <a:avLst/>
                          </a:prstGeom>
                          <a:noFill/>
                          <a:ln>
                            <a:noFill/>
                          </a:ln>
                        </wps:spPr>
                        <wps:txbx>
                          <w:txbxContent>
                            <w:p w14:paraId="02A09981">
                              <w:pPr>
                                <w:ind w:firstLine="0" w:firstLineChars="0"/>
                                <w:jc w:val="center"/>
                                <w:rPr>
                                  <w:rFonts w:ascii="仿宋" w:eastAsia="仿宋" w:hAnsi="仿宋" w:hint="eastAsia"/>
                                </w:rPr>
                              </w:pPr>
                              <w:r>
                                <w:rPr>
                                  <w:rFonts w:ascii="仿宋" w:eastAsia="仿宋" w:hAnsi="仿宋" w:hint="eastAsia"/>
                                </w:rPr>
                                <w:t>发生</w:t>
                              </w:r>
                            </w:p>
                          </w:txbxContent>
                        </wps:txbx>
                        <wps:bodyPr anchor="t" anchorCtr="0" bIns="45720" lIns="91440" rIns="91440" rot="0" tIns="45720" upright="1" vert="horz" wrap="square">
                          <a:noAutofit/>
                        </wps:bodyPr>
                      </wps:wsp>
                      <wps:wsp>
                        <wps:cNvPr id="101" name="Line 1347"/>
                        <wps:cNvCnPr>
                          <a:cxnSpLocks noChangeShapeType="1"/>
                        </wps:cNvCnPr>
                        <wps:spPr bwMode="auto">
                          <a:xfrm flipH="1" flipV="1">
                            <a:off x="3721" y="11760"/>
                            <a:ext cx="978" cy="0"/>
                          </a:xfrm>
                          <a:prstGeom prst="line">
                            <a:avLst/>
                          </a:prstGeom>
                          <a:noFill/>
                          <a:ln w="9525">
                            <a:solidFill>
                              <a:srgbClr val="000000"/>
                            </a:solidFill>
                            <a:round/>
                            <a:tailEnd len="med" type="triangle" w="med"/>
                          </a:ln>
                        </wps:spPr>
                        <wps:bodyPr/>
                      </wps:wsp>
                      <wps:wsp>
                        <wps:cNvPr id="102" name="Line 1348"/>
                        <wps:cNvCnPr>
                          <a:cxnSpLocks noChangeShapeType="1"/>
                        </wps:cNvCnPr>
                        <wps:spPr bwMode="auto">
                          <a:xfrm>
                            <a:off x="7681" y="11740"/>
                            <a:ext cx="738" cy="0"/>
                          </a:xfrm>
                          <a:prstGeom prst="line">
                            <a:avLst/>
                          </a:prstGeom>
                          <a:noFill/>
                          <a:ln w="9525">
                            <a:solidFill>
                              <a:srgbClr val="000000"/>
                            </a:solidFill>
                            <a:round/>
                            <a:tailEnd len="med" type="triangle" w="med"/>
                          </a:ln>
                        </wps:spPr>
                        <wps:bodyPr/>
                      </wps:wsp>
                      <wps:wsp>
                        <wps:cNvPr id="105" name="Line 1349"/>
                        <wps:cNvCnPr>
                          <a:cxnSpLocks noChangeShapeType="1"/>
                        </wps:cNvCnPr>
                        <wps:spPr bwMode="auto">
                          <a:xfrm flipV="1">
                            <a:off x="9460" y="10798"/>
                            <a:ext cx="0" cy="720"/>
                          </a:xfrm>
                          <a:prstGeom prst="line">
                            <a:avLst/>
                          </a:prstGeom>
                          <a:noFill/>
                          <a:ln w="9525">
                            <a:solidFill>
                              <a:srgbClr val="000000"/>
                            </a:solidFill>
                            <a:round/>
                            <a:tailEnd len="med" type="triangle" w="med"/>
                          </a:ln>
                        </wps:spPr>
                        <wps:bodyPr/>
                      </wps:wsp>
                      <wps:wsp>
                        <wps:cNvPr id="115" name="Line 1350"/>
                        <wps:cNvCnPr>
                          <a:cxnSpLocks noChangeShapeType="1"/>
                        </wps:cNvCnPr>
                        <wps:spPr bwMode="auto">
                          <a:xfrm flipV="1">
                            <a:off x="2875" y="7980"/>
                            <a:ext cx="1884" cy="0"/>
                          </a:xfrm>
                          <a:prstGeom prst="line">
                            <a:avLst/>
                          </a:prstGeom>
                          <a:noFill/>
                          <a:ln w="9525">
                            <a:solidFill>
                              <a:srgbClr val="000000"/>
                            </a:solidFill>
                            <a:round/>
                            <a:tailEnd len="med" type="triangle" w="med"/>
                          </a:ln>
                        </wps:spPr>
                        <wps:bodyPr/>
                      </wps:wsp>
                      <wps:wsp>
                        <wps:cNvPr id="116" name="Line 1351"/>
                        <wps:cNvCnPr>
                          <a:cxnSpLocks noChangeShapeType="1"/>
                        </wps:cNvCnPr>
                        <wps:spPr bwMode="auto">
                          <a:xfrm flipH="1" flipV="1">
                            <a:off x="7678" y="8020"/>
                            <a:ext cx="1779" cy="0"/>
                          </a:xfrm>
                          <a:prstGeom prst="line">
                            <a:avLst/>
                          </a:prstGeom>
                          <a:noFill/>
                          <a:ln w="9525">
                            <a:solidFill>
                              <a:srgbClr val="000000"/>
                            </a:solidFill>
                            <a:round/>
                            <a:tailEnd len="med" type="triangle" w="med"/>
                          </a:ln>
                        </wps:spPr>
                        <wps:bodyPr/>
                      </wps:wsp>
                      <wps:wsp>
                        <wps:cNvPr id="117" name="Line 1352"/>
                        <wps:cNvCnPr>
                          <a:cxnSpLocks noChangeShapeType="1"/>
                        </wps:cNvCnPr>
                        <wps:spPr bwMode="auto">
                          <a:xfrm>
                            <a:off x="2842" y="7980"/>
                            <a:ext cx="0" cy="3540"/>
                          </a:xfrm>
                          <a:prstGeom prst="line">
                            <a:avLst/>
                          </a:prstGeom>
                          <a:noFill/>
                          <a:ln w="9525">
                            <a:solidFill>
                              <a:srgbClr val="000000"/>
                            </a:solidFill>
                            <a:round/>
                          </a:ln>
                        </wps:spPr>
                        <wps:bodyPr/>
                      </wps:wsp>
                      <wps:wsp>
                        <wps:cNvPr id="118" name="Line 1353"/>
                        <wps:cNvCnPr>
                          <a:cxnSpLocks noChangeShapeType="1"/>
                        </wps:cNvCnPr>
                        <wps:spPr bwMode="auto">
                          <a:xfrm>
                            <a:off x="9445" y="8040"/>
                            <a:ext cx="15" cy="2200"/>
                          </a:xfrm>
                          <a:prstGeom prst="line">
                            <a:avLst/>
                          </a:prstGeom>
                          <a:noFill/>
                          <a:ln w="9525">
                            <a:solidFill>
                              <a:srgbClr val="000000"/>
                            </a:solidFill>
                            <a:round/>
                          </a:ln>
                        </wps:spPr>
                        <wps:bodyPr/>
                      </wps:wsp>
                      <wps:wsp>
                        <wps:cNvPr id="119" name="Line 1354"/>
                        <wps:cNvCnPr>
                          <a:cxnSpLocks noChangeShapeType="1"/>
                        </wps:cNvCnPr>
                        <wps:spPr bwMode="auto">
                          <a:xfrm>
                            <a:off x="6169" y="7310"/>
                            <a:ext cx="0" cy="370"/>
                          </a:xfrm>
                          <a:prstGeom prst="line">
                            <a:avLst/>
                          </a:prstGeom>
                          <a:noFill/>
                          <a:ln w="9525">
                            <a:solidFill>
                              <a:srgbClr val="000000"/>
                            </a:solidFill>
                            <a:round/>
                            <a:tailEnd len="med" type="triangle" w="med"/>
                          </a:ln>
                        </wps:spPr>
                        <wps:bodyPr/>
                      </wps:wsp>
                      <wps:wsp>
                        <wps:cNvPr id="120" name="Line 1355"/>
                        <wps:cNvCnPr>
                          <a:cxnSpLocks noChangeShapeType="1"/>
                        </wps:cNvCnPr>
                        <wps:spPr bwMode="auto">
                          <a:xfrm flipH="1">
                            <a:off x="6178" y="8250"/>
                            <a:ext cx="3" cy="430"/>
                          </a:xfrm>
                          <a:prstGeom prst="line">
                            <a:avLst/>
                          </a:prstGeom>
                          <a:noFill/>
                          <a:ln w="9525">
                            <a:solidFill>
                              <a:srgbClr val="000000"/>
                            </a:solidFill>
                            <a:round/>
                            <a:tailEnd len="med" type="triangle" w="med"/>
                          </a:ln>
                        </wps:spPr>
                        <wps:bodyPr/>
                      </wps:wsp>
                      <wps:wsp>
                        <wps:cNvPr id="121" name="Line 1356"/>
                        <wps:cNvCnPr>
                          <a:cxnSpLocks noChangeShapeType="1"/>
                        </wps:cNvCnPr>
                        <wps:spPr bwMode="auto">
                          <a:xfrm>
                            <a:off x="6211" y="9230"/>
                            <a:ext cx="6" cy="390"/>
                          </a:xfrm>
                          <a:prstGeom prst="line">
                            <a:avLst/>
                          </a:prstGeom>
                          <a:noFill/>
                          <a:ln w="9525">
                            <a:solidFill>
                              <a:srgbClr val="000000"/>
                            </a:solidFill>
                            <a:round/>
                            <a:tailEnd len="med" type="triangle" w="med"/>
                          </a:ln>
                        </wps:spPr>
                        <wps:bodyPr/>
                      </wps:wsp>
                      <wps:wsp>
                        <wps:cNvPr id="122" name="Line 1357"/>
                        <wps:cNvCnPr>
                          <a:cxnSpLocks noChangeShapeType="1"/>
                        </wps:cNvCnPr>
                        <wps:spPr bwMode="auto">
                          <a:xfrm flipH="1">
                            <a:off x="6217" y="10180"/>
                            <a:ext cx="3" cy="380"/>
                          </a:xfrm>
                          <a:prstGeom prst="line">
                            <a:avLst/>
                          </a:prstGeom>
                          <a:noFill/>
                          <a:ln w="9525">
                            <a:solidFill>
                              <a:srgbClr val="000000"/>
                            </a:solidFill>
                            <a:round/>
                            <a:tailEnd len="med" type="triangle" w="med"/>
                          </a:ln>
                        </wps:spPr>
                        <wps:bodyPr/>
                      </wps:wsp>
                      <wps:wsp>
                        <wps:cNvPr id="123" name="Line 1358"/>
                        <wps:cNvCnPr>
                          <a:cxnSpLocks noChangeShapeType="1"/>
                        </wps:cNvCnPr>
                        <wps:spPr bwMode="auto">
                          <a:xfrm>
                            <a:off x="6211" y="11140"/>
                            <a:ext cx="6" cy="360"/>
                          </a:xfrm>
                          <a:prstGeom prst="line">
                            <a:avLst/>
                          </a:prstGeom>
                          <a:noFill/>
                          <a:ln w="9525">
                            <a:solidFill>
                              <a:srgbClr val="000000"/>
                            </a:solidFill>
                            <a:round/>
                            <a:tailEnd len="med" type="triangle" w="med"/>
                          </a:ln>
                        </wps:spPr>
                        <wps:bodyPr/>
                      </wps:wsp>
                    </wpg:wgp>
                  </a:graphicData>
                </a:graphic>
              </wp:inline>
            </w:drawing>
          </mc:Choice>
        </mc:AlternateContent>
      </w:r>
    </w:p>
    <w:p w14:paraId="730C2114">
      <w:pPr>
        <w:pStyle w:val="34"/>
      </w:pPr>
      <w:r>
        <w:rPr>
          <w:rFonts w:hint="eastAsia"/>
        </w:rPr>
        <w:t>图7.2.1-1 应急准备和响应工作程序图</w:t>
      </w:r>
    </w:p>
    <w:p w14:paraId="191C1A9E">
      <w:pPr>
        <w:pStyle w:val="4"/>
      </w:pPr>
      <w:bookmarkStart w:id="70" w:name="_Toc187956744"/>
      <w:r>
        <w:rPr>
          <w:rFonts w:hint="eastAsia"/>
        </w:rPr>
        <w:t>突发事件风险分析和预防</w:t>
      </w:r>
      <w:bookmarkEnd w:id="70"/>
    </w:p>
    <w:p w14:paraId="6635D798">
      <w:pPr>
        <w:ind w:firstLine="480"/>
      </w:pPr>
      <w:r>
        <w:rPr>
          <w:rFonts w:hint="eastAsia"/>
        </w:rPr>
        <w:t>为确保正常施工，预防突发事件以及某些预想不到的、不可抗拒的事件发生，事前有充足的技术措施准备、抢险物资的储备，最大程度地减少人员伤亡、国家财产和经济损失，必须进行风险分析和预防。</w:t>
      </w:r>
    </w:p>
    <w:p w14:paraId="3A9CC4E6">
      <w:pPr>
        <w:ind w:firstLine="480"/>
      </w:pPr>
      <w:r>
        <w:rPr>
          <w:rFonts w:hint="eastAsia"/>
        </w:rPr>
        <w:t>根据本工程施工特点，在辩识、分析评价施工中危险因素和风险的基础上，确定本工程重大危险因素是物体打击、高处坠落、触电、火灾等。</w:t>
      </w:r>
    </w:p>
    <w:p w14:paraId="2B3A8DDD">
      <w:pPr>
        <w:pStyle w:val="4"/>
      </w:pPr>
      <w:bookmarkStart w:id="71" w:name="_Toc187956745"/>
      <w:r>
        <w:rPr>
          <w:rFonts w:hint="eastAsia"/>
        </w:rPr>
        <w:t>现场安全防范措施</w:t>
      </w:r>
      <w:bookmarkEnd w:id="71"/>
    </w:p>
    <w:p w14:paraId="006116C1">
      <w:pPr>
        <w:ind w:firstLine="480"/>
      </w:pPr>
      <w:r>
        <w:rPr>
          <w:rFonts w:hint="eastAsia"/>
        </w:rPr>
        <w:t>a加强施工管理，严格按标准化、规范化作业。施工中要经常分析假设过程中出现各种问题。</w:t>
      </w:r>
    </w:p>
    <w:p w14:paraId="27B297D2">
      <w:pPr>
        <w:ind w:firstLine="480"/>
      </w:pPr>
      <w:r>
        <w:rPr>
          <w:rFonts w:hint="eastAsia"/>
        </w:rPr>
        <w:t>b工地和附近医院建立密切联系，工地设医务室，配齐必要的医疗器械。一旦出现意外的工伤事故，可立即进行抢救。</w:t>
      </w:r>
    </w:p>
    <w:p w14:paraId="1CF5A02E">
      <w:pPr>
        <w:ind w:firstLine="480"/>
        <w:rPr>
          <w:rFonts w:hint="eastAsia"/>
        </w:rPr>
      </w:pPr>
      <w:r>
        <w:rPr>
          <w:rFonts w:hint="eastAsia"/>
        </w:rPr>
        <w:t>c加强施工现场的警戒。</w:t>
      </w:r>
    </w:p>
    <w:p w14:paraId="04213FE1">
      <w:pPr>
        <w:pStyle w:val="3"/>
      </w:pPr>
      <w:bookmarkStart w:id="72" w:name="_Toc187956746"/>
      <w:r>
        <w:rPr>
          <w:rFonts w:hint="eastAsia"/>
        </w:rPr>
        <w:t>应急救援组织</w:t>
      </w:r>
      <w:bookmarkEnd w:id="72"/>
    </w:p>
    <w:p w14:paraId="0A9C3CC2">
      <w:pPr>
        <w:ind w:firstLine="480"/>
      </w:pPr>
      <w:r>
        <w:rPr>
          <w:rFonts w:hint="eastAsia"/>
        </w:rPr>
        <w:t>为保证应急救援工作的反应迅速，协调有序，项目部成立以项目经理为组长的应急指挥机构，下设副组长、现场抢险小组、医疗救护小组、警戒疏导小组、后勤保障小组、善后处理小组、技术保障小组等组织机构。</w:t>
      </w:r>
    </w:p>
    <w:p w14:paraId="26D3A3C9">
      <w:pPr>
        <w:ind w:firstLine="480"/>
      </w:pPr>
      <w:r>
        <w:rPr>
          <w:rFonts w:hint="eastAsia"/>
        </w:rPr>
        <w:t>组长：王金龙（项目经理）</w:t>
      </w:r>
    </w:p>
    <w:p w14:paraId="203F3089">
      <w:pPr>
        <w:ind w:firstLine="480"/>
      </w:pPr>
      <w:r>
        <w:rPr>
          <w:rFonts w:hint="eastAsia"/>
        </w:rPr>
        <w:t>副组长：潘家富、李多、王国清</w:t>
      </w:r>
    </w:p>
    <w:p w14:paraId="3335BB6E">
      <w:pPr>
        <w:ind w:firstLine="480"/>
      </w:pPr>
      <w:r>
        <w:rPr>
          <w:rFonts w:hint="eastAsia"/>
        </w:rPr>
        <w:t>成员：曹科学、张军帅、丘文涛、王旭彤、李华、钟硙、谢均育、翁仙峰、边叔明</w:t>
      </w:r>
    </w:p>
    <w:p w14:paraId="2F6445A0">
      <w:pPr>
        <w:ind w:firstLine="480"/>
      </w:pPr>
      <w:r>
        <w:rPr>
          <w:rFonts w:hint="eastAsia"/>
        </w:rPr>
        <w:t>事故发生后，项目部应立即组织现场应急自救工作，展开力所能及的救援、抢险、处理和现场保护工作，以有效控制原生灾害的进一步发展，以免诱发产生新的次生及衍生灾害。现场应急指挥部到位后，由现场应急指挥部负责指挥应急救援指挥工作。</w:t>
      </w:r>
    </w:p>
    <w:p w14:paraId="34CFDCB9">
      <w:pPr>
        <w:pStyle w:val="4"/>
      </w:pPr>
      <w:bookmarkStart w:id="73" w:name="_Toc187956747"/>
      <w:r>
        <w:rPr>
          <w:rFonts w:hint="eastAsia"/>
        </w:rPr>
        <w:t>组长职责</w:t>
      </w:r>
      <w:bookmarkEnd w:id="73"/>
    </w:p>
    <w:p w14:paraId="255377A1">
      <w:pPr>
        <w:ind w:firstLine="480"/>
      </w:pPr>
      <w:r>
        <w:rPr>
          <w:rFonts w:hint="eastAsia"/>
        </w:rPr>
        <w:t>1．负责制定总体救援行动方案并实施；</w:t>
      </w:r>
    </w:p>
    <w:p w14:paraId="0E212DD6">
      <w:pPr>
        <w:ind w:firstLine="480"/>
      </w:pPr>
      <w:r>
        <w:rPr>
          <w:rFonts w:hint="eastAsia"/>
        </w:rPr>
        <w:t xml:space="preserve">2．迅速了解、掌握事故发生的基本情况和发展态势； </w:t>
      </w:r>
    </w:p>
    <w:p w14:paraId="29E8361F">
      <w:pPr>
        <w:ind w:firstLine="480"/>
      </w:pPr>
      <w:r>
        <w:rPr>
          <w:rFonts w:hint="eastAsia"/>
        </w:rPr>
        <w:t>3．统一协调各专项小组、应急小分队和外部救援力量；</w:t>
      </w:r>
    </w:p>
    <w:p w14:paraId="4C7112C3">
      <w:pPr>
        <w:ind w:firstLine="480"/>
      </w:pPr>
      <w:r>
        <w:rPr>
          <w:rFonts w:hint="eastAsia"/>
        </w:rPr>
        <w:t>4．统一调配应急救援物资；</w:t>
      </w:r>
    </w:p>
    <w:p w14:paraId="28E991F7">
      <w:pPr>
        <w:ind w:firstLine="480"/>
      </w:pPr>
      <w:r>
        <w:rPr>
          <w:rFonts w:hint="eastAsia"/>
        </w:rPr>
        <w:t>5．组织、配合开展事故调查，组织善后处理。</w:t>
      </w:r>
    </w:p>
    <w:p w14:paraId="23918361">
      <w:pPr>
        <w:pStyle w:val="4"/>
      </w:pPr>
      <w:bookmarkStart w:id="74" w:name="_Toc187956748"/>
      <w:r>
        <w:rPr>
          <w:rFonts w:hint="eastAsia"/>
        </w:rPr>
        <w:t>副组长职责</w:t>
      </w:r>
      <w:bookmarkEnd w:id="74"/>
    </w:p>
    <w:p w14:paraId="2069E121">
      <w:pPr>
        <w:ind w:firstLine="480"/>
      </w:pPr>
      <w:r>
        <w:rPr>
          <w:rFonts w:hint="eastAsia"/>
        </w:rPr>
        <w:t>1. 负责事故现场信息的收集和分析工作；</w:t>
      </w:r>
    </w:p>
    <w:p w14:paraId="18EE6E01">
      <w:pPr>
        <w:ind w:firstLine="480"/>
      </w:pPr>
      <w:r>
        <w:rPr>
          <w:rFonts w:hint="eastAsia"/>
        </w:rPr>
        <w:t>2. 协助总指挥制定救援行动方案；</w:t>
      </w:r>
    </w:p>
    <w:p w14:paraId="0DFEECFD">
      <w:pPr>
        <w:ind w:firstLine="480"/>
      </w:pPr>
      <w:r>
        <w:rPr>
          <w:rFonts w:hint="eastAsia"/>
        </w:rPr>
        <w:t>3. 协助总指挥具体实施应急救援的指挥工作。</w:t>
      </w:r>
    </w:p>
    <w:p w14:paraId="07D66A79">
      <w:pPr>
        <w:ind w:firstLine="480"/>
      </w:pPr>
      <w:r>
        <w:rPr>
          <w:rFonts w:hint="eastAsia"/>
        </w:rPr>
        <w:t>4. 潘家富负责现场抢险组、医疗救护组；李多负责警戒疏导组、技术保障组；王国清负责善后处理组、后勤保障组。</w:t>
      </w:r>
    </w:p>
    <w:p w14:paraId="1C992A5E">
      <w:pPr>
        <w:pStyle w:val="4"/>
      </w:pPr>
      <w:bookmarkStart w:id="75" w:name="_Toc187956749"/>
      <w:r>
        <w:rPr>
          <w:rFonts w:hint="eastAsia"/>
        </w:rPr>
        <w:t>各专项小组职责</w:t>
      </w:r>
      <w:bookmarkEnd w:id="75"/>
    </w:p>
    <w:tbl>
      <w:tblPr>
        <w:tblStyle w:val="16"/>
        <w:tblW w:type="dxa" w:w="7848"/>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108"/>
          <w:bottom w:type="dxa" w:w="0"/>
          <w:right w:type="dxa" w:w="108"/>
        </w:tblCellMar>
      </w:tblPr>
      <w:tblGrid>
        <w:gridCol w:w="1642"/>
        <w:gridCol w:w="6206"/>
      </w:tblGrid>
      <w:tr w14:paraId="069B05B6">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521"/>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540D7514">
            <w:pPr>
              <w:ind w:firstLine="0" w:firstLineChars="0"/>
              <w:jc w:val="center"/>
              <w:rPr>
                <w:sz w:val="21"/>
                <w:szCs w:val="21"/>
              </w:rPr>
            </w:pPr>
            <w:r>
              <w:rPr>
                <w:sz w:val="21"/>
                <w:szCs w:val="21"/>
              </w:rPr>
              <w:t>组成</w:t>
            </w:r>
          </w:p>
        </w:tc>
        <w:tc>
          <w:tcPr>
            <w:tcW w:type="dxa" w:w="6206"/>
            <w:tcBorders>
              <w:top w:color="000000" w:space="0" w:sz="4" w:val="single"/>
              <w:left w:color="000000" w:space="0" w:sz="4" w:val="single"/>
              <w:bottom w:color="000000" w:space="0" w:sz="4" w:val="single"/>
              <w:right w:color="000000" w:space="0" w:sz="4" w:val="single"/>
            </w:tcBorders>
            <w:vAlign w:val="center"/>
          </w:tcPr>
          <w:p w14:paraId="2351724F">
            <w:pPr>
              <w:ind w:firstLine="0" w:firstLineChars="0"/>
              <w:jc w:val="center"/>
              <w:rPr>
                <w:sz w:val="21"/>
                <w:szCs w:val="21"/>
              </w:rPr>
            </w:pPr>
            <w:r>
              <w:rPr>
                <w:sz w:val="21"/>
                <w:szCs w:val="21"/>
              </w:rPr>
              <w:t>职责</w:t>
            </w:r>
          </w:p>
        </w:tc>
      </w:tr>
      <w:tr w14:paraId="66CF77ED">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1440"/>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0436D5C3">
            <w:pPr>
              <w:ind w:firstLine="0" w:firstLineChars="0"/>
              <w:jc w:val="center"/>
              <w:rPr>
                <w:sz w:val="21"/>
                <w:szCs w:val="21"/>
              </w:rPr>
            </w:pPr>
            <w:r>
              <w:rPr>
                <w:sz w:val="21"/>
                <w:szCs w:val="21"/>
              </w:rPr>
              <w:t>抢险小组</w:t>
            </w:r>
          </w:p>
        </w:tc>
        <w:tc>
          <w:tcPr>
            <w:tcW w:type="dxa" w:w="6206"/>
            <w:tcBorders>
              <w:top w:color="000000" w:space="0" w:sz="4" w:val="single"/>
              <w:left w:color="000000" w:space="0" w:sz="4" w:val="single"/>
              <w:bottom w:color="000000" w:space="0" w:sz="4" w:val="single"/>
              <w:right w:color="000000" w:space="0" w:sz="4" w:val="single"/>
            </w:tcBorders>
            <w:vAlign w:val="center"/>
          </w:tcPr>
          <w:p w14:paraId="46B3479F">
            <w:pPr>
              <w:ind w:firstLine="420"/>
              <w:rPr>
                <w:sz w:val="21"/>
                <w:szCs w:val="21"/>
              </w:rPr>
            </w:pPr>
            <w:r>
              <w:rPr>
                <w:sz w:val="21"/>
                <w:szCs w:val="21"/>
              </w:rPr>
              <w:t>根据应急指挥部的指令，对事故现场、地形、设备、工艺等熟悉的情况下，在具有防护措施的前提下，寻找伤员及抢修设备等，防止事故扩大，降低事故损失，抑制危害范围的扩大。</w:t>
            </w:r>
          </w:p>
        </w:tc>
      </w:tr>
      <w:tr w14:paraId="6FB214C8">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657"/>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40389EC8">
            <w:pPr>
              <w:ind w:firstLine="0" w:firstLineChars="0"/>
              <w:jc w:val="center"/>
              <w:rPr>
                <w:sz w:val="21"/>
                <w:szCs w:val="21"/>
              </w:rPr>
            </w:pPr>
            <w:r>
              <w:rPr>
                <w:sz w:val="21"/>
                <w:szCs w:val="21"/>
              </w:rPr>
              <w:t>救护小组</w:t>
            </w:r>
          </w:p>
        </w:tc>
        <w:tc>
          <w:tcPr>
            <w:tcW w:type="dxa" w:w="6206"/>
            <w:tcBorders>
              <w:top w:color="000000" w:space="0" w:sz="4" w:val="single"/>
              <w:left w:color="000000" w:space="0" w:sz="4" w:val="single"/>
              <w:bottom w:color="000000" w:space="0" w:sz="4" w:val="single"/>
              <w:right w:color="000000" w:space="0" w:sz="4" w:val="single"/>
            </w:tcBorders>
            <w:vAlign w:val="center"/>
          </w:tcPr>
          <w:p w14:paraId="573036C5">
            <w:pPr>
              <w:ind w:firstLine="420"/>
              <w:rPr>
                <w:sz w:val="21"/>
                <w:szCs w:val="21"/>
              </w:rPr>
            </w:pPr>
            <w:r>
              <w:rPr>
                <w:sz w:val="21"/>
                <w:szCs w:val="21"/>
              </w:rPr>
              <w:t>寻找、营救、保护、转移事故中的受伤人员。</w:t>
            </w:r>
          </w:p>
        </w:tc>
      </w:tr>
      <w:tr w14:paraId="545FEDA3">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971"/>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1DD4281B">
            <w:pPr>
              <w:ind w:firstLine="0" w:firstLineChars="0"/>
              <w:jc w:val="center"/>
              <w:rPr>
                <w:sz w:val="21"/>
                <w:szCs w:val="21"/>
              </w:rPr>
            </w:pPr>
            <w:r>
              <w:rPr>
                <w:sz w:val="21"/>
                <w:szCs w:val="21"/>
              </w:rPr>
              <w:t>疏导小组</w:t>
            </w:r>
          </w:p>
        </w:tc>
        <w:tc>
          <w:tcPr>
            <w:tcW w:type="dxa" w:w="6206"/>
            <w:tcBorders>
              <w:top w:color="000000" w:space="0" w:sz="4" w:val="single"/>
              <w:left w:color="000000" w:space="0" w:sz="4" w:val="single"/>
              <w:bottom w:color="000000" w:space="0" w:sz="4" w:val="single"/>
              <w:right w:color="000000" w:space="0" w:sz="4" w:val="single"/>
            </w:tcBorders>
            <w:vAlign w:val="center"/>
          </w:tcPr>
          <w:p w14:paraId="6F135990">
            <w:pPr>
              <w:ind w:firstLine="420"/>
              <w:rPr>
                <w:sz w:val="21"/>
                <w:szCs w:val="21"/>
              </w:rPr>
            </w:pPr>
            <w:r>
              <w:rPr>
                <w:sz w:val="21"/>
                <w:szCs w:val="21"/>
              </w:rPr>
              <w:t>1.维持事故现场治安，按事故的发展态势有计划地疏散人员，控制事故区域边界人员车辆的进出；2.做好污染物处理及生产秩序恢复工作；3.引导救援（救护）车辆进入现场。</w:t>
            </w:r>
          </w:p>
        </w:tc>
      </w:tr>
      <w:tr w14:paraId="2439FA43">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1357"/>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7F2C57A9">
            <w:pPr>
              <w:ind w:firstLine="0" w:firstLineChars="0"/>
              <w:jc w:val="center"/>
              <w:rPr>
                <w:sz w:val="21"/>
                <w:szCs w:val="21"/>
              </w:rPr>
            </w:pPr>
            <w:r>
              <w:rPr>
                <w:sz w:val="21"/>
                <w:szCs w:val="21"/>
              </w:rPr>
              <w:t>后勤保障小组</w:t>
            </w:r>
          </w:p>
        </w:tc>
        <w:tc>
          <w:tcPr>
            <w:tcW w:type="dxa" w:w="6206"/>
            <w:tcBorders>
              <w:top w:color="000000" w:space="0" w:sz="4" w:val="single"/>
              <w:left w:color="000000" w:space="0" w:sz="4" w:val="single"/>
              <w:bottom w:color="000000" w:space="0" w:sz="4" w:val="single"/>
              <w:right w:color="000000" w:space="0" w:sz="4" w:val="single"/>
            </w:tcBorders>
            <w:vAlign w:val="center"/>
          </w:tcPr>
          <w:p w14:paraId="632BD93E">
            <w:pPr>
              <w:ind w:firstLine="420"/>
              <w:rPr>
                <w:sz w:val="21"/>
                <w:szCs w:val="21"/>
              </w:rPr>
            </w:pPr>
            <w:r>
              <w:rPr>
                <w:sz w:val="21"/>
                <w:szCs w:val="21"/>
              </w:rPr>
              <w:t xml:space="preserve">1.做好事件处置的后勤保障，做好所有抢险人员饮食及外出驻勤人员住宿的安排；2.提前做好应急食品负责应急救援材料的供应和机械设备的调度； </w:t>
            </w:r>
          </w:p>
        </w:tc>
      </w:tr>
      <w:tr w14:paraId="615A84D9">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810"/>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5F42B4E7">
            <w:pPr>
              <w:ind w:firstLine="0" w:firstLineChars="0"/>
              <w:jc w:val="center"/>
              <w:rPr>
                <w:sz w:val="21"/>
                <w:szCs w:val="21"/>
              </w:rPr>
            </w:pPr>
            <w:r>
              <w:rPr>
                <w:sz w:val="21"/>
                <w:szCs w:val="21"/>
              </w:rPr>
              <w:t>善后小组</w:t>
            </w:r>
          </w:p>
        </w:tc>
        <w:tc>
          <w:tcPr>
            <w:tcW w:type="dxa" w:w="6206"/>
            <w:tcBorders>
              <w:top w:color="000000" w:space="0" w:sz="4" w:val="single"/>
              <w:left w:color="000000" w:space="0" w:sz="4" w:val="single"/>
              <w:bottom w:color="000000" w:space="0" w:sz="4" w:val="single"/>
              <w:right w:color="000000" w:space="0" w:sz="4" w:val="single"/>
            </w:tcBorders>
            <w:vAlign w:val="center"/>
          </w:tcPr>
          <w:p w14:paraId="1D22F695">
            <w:pPr>
              <w:ind w:firstLine="420"/>
              <w:rPr>
                <w:sz w:val="21"/>
                <w:szCs w:val="21"/>
              </w:rPr>
            </w:pPr>
            <w:r>
              <w:rPr>
                <w:sz w:val="21"/>
                <w:szCs w:val="21"/>
              </w:rPr>
              <w:t>1.负责救援资金的筹集和发放；2、.安抚死亡、受伤人员家属的情绪，做好人员安置、伤亡理赔工作。</w:t>
            </w:r>
          </w:p>
        </w:tc>
      </w:tr>
      <w:tr w14:paraId="3999B55C">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1460"/>
          <w:jc w:val="center"/>
        </w:trPr>
        <w:tc>
          <w:tcPr>
            <w:tcW w:type="dxa" w:w="1642"/>
            <w:tcBorders>
              <w:top w:color="000000" w:space="0" w:sz="4" w:val="single"/>
              <w:left w:color="000000" w:space="0" w:sz="4" w:val="single"/>
              <w:bottom w:color="000000" w:space="0" w:sz="4" w:val="single"/>
              <w:right w:color="000000" w:space="0" w:sz="4" w:val="single"/>
            </w:tcBorders>
            <w:vAlign w:val="center"/>
          </w:tcPr>
          <w:p w14:paraId="68A7670D">
            <w:pPr>
              <w:ind w:firstLine="0" w:firstLineChars="0"/>
              <w:jc w:val="center"/>
              <w:rPr>
                <w:sz w:val="21"/>
                <w:szCs w:val="21"/>
              </w:rPr>
            </w:pPr>
            <w:r>
              <w:rPr>
                <w:sz w:val="21"/>
                <w:szCs w:val="21"/>
              </w:rPr>
              <w:t>技术保障小组</w:t>
            </w:r>
          </w:p>
        </w:tc>
        <w:tc>
          <w:tcPr>
            <w:tcW w:type="dxa" w:w="6206"/>
            <w:tcBorders>
              <w:top w:color="000000" w:space="0" w:sz="4" w:val="single"/>
              <w:left w:color="000000" w:space="0" w:sz="4" w:val="single"/>
              <w:bottom w:color="000000" w:space="0" w:sz="4" w:val="single"/>
              <w:right w:color="000000" w:space="0" w:sz="4" w:val="single"/>
            </w:tcBorders>
            <w:vAlign w:val="center"/>
          </w:tcPr>
          <w:p w14:paraId="79293EFA">
            <w:pPr>
              <w:ind w:firstLine="420"/>
              <w:rPr>
                <w:sz w:val="21"/>
                <w:szCs w:val="21"/>
              </w:rPr>
            </w:pPr>
            <w:r>
              <w:rPr>
                <w:sz w:val="21"/>
                <w:szCs w:val="21"/>
              </w:rPr>
              <w:t>1.按照“四不放过”的原则，对事故进行细致调查；</w:t>
            </w:r>
          </w:p>
          <w:p w14:paraId="3E61F42E">
            <w:pPr>
              <w:ind w:firstLine="420"/>
              <w:rPr>
                <w:sz w:val="21"/>
                <w:szCs w:val="21"/>
              </w:rPr>
            </w:pPr>
            <w:r>
              <w:rPr>
                <w:sz w:val="21"/>
                <w:szCs w:val="21"/>
              </w:rPr>
              <w:t>2.做好事故及救援的评估和总结分析工作。</w:t>
            </w:r>
          </w:p>
          <w:p w14:paraId="4EE17030">
            <w:pPr>
              <w:ind w:firstLine="420"/>
              <w:rPr>
                <w:sz w:val="21"/>
                <w:szCs w:val="21"/>
              </w:rPr>
            </w:pPr>
            <w:r>
              <w:rPr>
                <w:sz w:val="21"/>
                <w:szCs w:val="21"/>
              </w:rPr>
              <w:t>3.负责技术保障及应急救援技术决策工作。</w:t>
            </w:r>
          </w:p>
        </w:tc>
      </w:tr>
    </w:tbl>
    <w:p w14:paraId="6D49D28E">
      <w:pPr>
        <w:pStyle w:val="3"/>
      </w:pPr>
      <w:bookmarkStart w:id="76" w:name="_Toc187956750"/>
      <w:r>
        <w:rPr>
          <w:rFonts w:hint="eastAsia"/>
        </w:rPr>
        <w:t>应急救援实施程序</w:t>
      </w:r>
      <w:bookmarkEnd w:id="76"/>
    </w:p>
    <w:p w14:paraId="441F8F77">
      <w:pPr>
        <w:pStyle w:val="4"/>
      </w:pPr>
      <w:bookmarkStart w:id="77" w:name="_Toc187956751"/>
      <w:r>
        <w:rPr>
          <w:rFonts w:hint="eastAsia"/>
        </w:rPr>
        <w:t>报告程序和内容</w:t>
      </w:r>
      <w:bookmarkEnd w:id="77"/>
    </w:p>
    <w:p w14:paraId="09CFA811">
      <w:pPr>
        <w:ind w:firstLine="480"/>
      </w:pPr>
      <w:r>
        <w:rPr>
          <w:rFonts w:hint="eastAsia"/>
        </w:rPr>
        <w:t>1、事故报告时间要求</w:t>
      </w:r>
    </w:p>
    <w:p w14:paraId="7E6F53DD">
      <w:pPr>
        <w:ind w:firstLine="480"/>
      </w:pPr>
      <w:r>
        <w:rPr>
          <w:rFonts w:hint="eastAsia"/>
        </w:rPr>
        <w:t>发生生产安全事故后，现场技术员、安全员上报项目部项目经理，项目部应向公司应急领导小组办公室汇报，并于1小时内报告业主及监理，同时向当安全生产监督管理局及地方政府上报，应按照生产安全事故即时报告书的要求详细汇报，不得隐瞒、缓报、谎报。</w:t>
      </w:r>
    </w:p>
    <w:p w14:paraId="0FF12E43">
      <w:pPr>
        <w:ind w:firstLine="480"/>
      </w:pPr>
      <w:r>
        <w:rPr>
          <w:rFonts w:hint="eastAsia"/>
        </w:rPr>
        <w:t>在事故应急处置中遇生产经营的设备、设施遭受重大损失，以及发生人员伤亡等需要紧急报告的，应当建立续报制度，按事故分级响应报告时间要求做好续报工作；抢险救灾期间发生的一般情况，每天报告一次。</w:t>
      </w:r>
    </w:p>
    <w:p w14:paraId="32888640">
      <w:pPr>
        <w:ind w:firstLine="480"/>
      </w:pPr>
      <w:r>
        <w:rPr>
          <w:rFonts w:hint="eastAsia"/>
        </w:rPr>
        <w:t>2、生产安全事故报告程序</w:t>
      </w:r>
    </w:p>
    <w:p w14:paraId="3A930AC9">
      <w:pPr>
        <w:ind w:firstLine="480"/>
      </w:pPr>
      <w:r>
        <w:rPr>
          <w:rFonts w:hint="eastAsia"/>
        </w:rPr>
        <w:t>发生事故后，现场人员应立即报告现场负责人，现场负责人在启动现场处置方案的同时，及时向项目部应急领导小组汇报相关情况，并根据现场情况和项目部应急领导小组的指令开展现场应急处置工作；项目应急领导小组根据事故伤亡和损失情况上报相关部门。</w:t>
      </w:r>
    </w:p>
    <w:p w14:paraId="59EAD890">
      <w:pPr>
        <w:ind w:firstLine="480"/>
      </w:pPr>
      <w:r>
        <w:rPr>
          <w:rFonts w:hint="eastAsia"/>
        </w:rPr>
        <w:t>项目部应急领导小组在初步核实生产安全事故信息后，应填写《生产安全事故即时报告书》，在规定时间内上报至上级单位应急办公室。《报告书》主要内容为：</w:t>
      </w:r>
    </w:p>
    <w:p w14:paraId="2182E81A">
      <w:pPr>
        <w:ind w:firstLine="480"/>
      </w:pPr>
      <w:r>
        <w:rPr>
          <w:rFonts w:hint="eastAsia"/>
        </w:rPr>
        <w:t>（1）事故发生的时间、地点和工程项目、有关单位名称；</w:t>
      </w:r>
    </w:p>
    <w:p w14:paraId="360EF47A">
      <w:pPr>
        <w:ind w:firstLine="480"/>
      </w:pPr>
      <w:r>
        <w:rPr>
          <w:rFonts w:hint="eastAsia"/>
        </w:rPr>
        <w:t>（2）事故的简要经过（包括应急救援情况）；</w:t>
      </w:r>
    </w:p>
    <w:p w14:paraId="76C5CDA6">
      <w:pPr>
        <w:ind w:firstLine="480"/>
      </w:pPr>
      <w:r>
        <w:rPr>
          <w:rFonts w:hint="eastAsia"/>
        </w:rPr>
        <w:t>（3）事故已经造成或者可能造成的伤亡人数（包括下落不明、涉险的人数）和初步估计的直接经济损失；</w:t>
      </w:r>
    </w:p>
    <w:p w14:paraId="1D6F57A3">
      <w:pPr>
        <w:ind w:firstLine="480"/>
      </w:pPr>
      <w:r>
        <w:rPr>
          <w:rFonts w:hint="eastAsia"/>
        </w:rPr>
        <w:t>（4）事故的初步原因；</w:t>
      </w:r>
    </w:p>
    <w:p w14:paraId="5381C548">
      <w:pPr>
        <w:ind w:firstLine="480"/>
      </w:pPr>
      <w:r>
        <w:rPr>
          <w:rFonts w:hint="eastAsia"/>
        </w:rPr>
        <w:t>（5）事故发生后采取的措施及事故控制情况；</w:t>
      </w:r>
    </w:p>
    <w:p w14:paraId="347A366C">
      <w:pPr>
        <w:ind w:firstLine="480"/>
      </w:pPr>
      <w:r>
        <w:rPr>
          <w:rFonts w:hint="eastAsia"/>
        </w:rPr>
        <w:t>（6）事故报告单位或报告人；</w:t>
      </w:r>
    </w:p>
    <w:p w14:paraId="4F8689DA">
      <w:pPr>
        <w:ind w:firstLine="480"/>
      </w:pPr>
      <w:r>
        <w:rPr>
          <w:rFonts w:hint="eastAsia"/>
        </w:rPr>
        <w:t>（7）其他应当报告的情况。</w:t>
      </w:r>
    </w:p>
    <w:p w14:paraId="77634802">
      <w:pPr>
        <w:pStyle w:val="4"/>
      </w:pPr>
      <w:bookmarkStart w:id="78" w:name="_Toc187956752"/>
      <w:r>
        <w:rPr>
          <w:rFonts w:hint="eastAsia"/>
        </w:rPr>
        <w:t>应急指挥机构启动</w:t>
      </w:r>
      <w:bookmarkEnd w:id="78"/>
    </w:p>
    <w:p w14:paraId="36CE706F">
      <w:pPr>
        <w:ind w:firstLine="480"/>
      </w:pPr>
      <w:r>
        <w:rPr>
          <w:rFonts w:hint="eastAsia"/>
        </w:rPr>
        <w:t>1、 Ⅲ类事故发生后，项目部应急领导小组组长启动Ⅲ级响应，并主导成立现场应急指挥部赶赴事故现场，指挥现场各救援小组迅速按照救援方案和工作职责立即开展应急救援工作，配合和指导应急小分队进行应急自救工作，并掌握最新信息，及时报告。</w:t>
      </w:r>
    </w:p>
    <w:p w14:paraId="28BC27F8">
      <w:pPr>
        <w:ind w:firstLine="480"/>
      </w:pPr>
      <w:r>
        <w:rPr>
          <w:rFonts w:hint="eastAsia"/>
        </w:rPr>
        <w:t>2、Ⅱ类事故发生后，在项目部启动应急处置的同时，按照报告程序及时向公司应急救援领导小组报告，并由公司应急救援领导小组组长启动Ⅱ级响应，公司应急领导小组主导成立现场应急指挥部并赶赴现场指挥救援。项目部各应急小组及救援小分队负责救援的实施，积极配合公司人员，展开应急救援工作。</w:t>
      </w:r>
    </w:p>
    <w:p w14:paraId="21FBCDA8">
      <w:pPr>
        <w:ind w:firstLine="480"/>
      </w:pPr>
      <w:r>
        <w:rPr>
          <w:rFonts w:hint="eastAsia"/>
        </w:rPr>
        <w:t>3、Ⅰ类事故发生后，在项目启动项目级应急处置的同时，按照报告程序逐级及时向集团公司应急救援领导小组报告，由集团公司应急领导小组组长启动Ⅰ级响应，集团公司应急领导小组主导成立现场应急指挥部并赶赴现场指挥救援。同时公司及项目部也实施应急联动，协助做好事故抢险救援工作。</w:t>
      </w:r>
    </w:p>
    <w:p w14:paraId="6E85EC50">
      <w:pPr>
        <w:pStyle w:val="34"/>
      </w:pPr>
      <w:r>
        <w:rPr>
          <w:rFonts w:hint="eastAsia"/>
        </w:rPr>
        <w:t>表7.4.2-1 应急响应分级图</w:t>
      </w:r>
    </w:p>
    <w:tbl>
      <w:tblPr>
        <w:tblStyle w:val="16"/>
        <w:tblW w:type="dxa" w:w="8543"/>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108"/>
          <w:bottom w:type="dxa" w:w="0"/>
          <w:right w:type="dxa" w:w="108"/>
        </w:tblCellMar>
      </w:tblPr>
      <w:tblGrid>
        <w:gridCol w:w="1408"/>
        <w:gridCol w:w="1656"/>
        <w:gridCol w:w="5479"/>
      </w:tblGrid>
      <w:tr w14:paraId="7272CB5D">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850"/>
          <w:jc w:val="center"/>
        </w:trPr>
        <w:tc>
          <w:tcPr>
            <w:tcW w:type="dxa" w:w="1408"/>
            <w:vAlign w:val="center"/>
          </w:tcPr>
          <w:p w14:paraId="08E90B8A">
            <w:pPr>
              <w:pStyle w:val="34"/>
              <w:rPr>
                <w:b w:val="0"/>
                <w:bCs w:val="0"/>
              </w:rPr>
            </w:pPr>
            <w:r>
              <w:rPr>
                <w:b w:val="0"/>
                <w:bCs w:val="0"/>
              </w:rPr>
              <w:t>响应等级</w:t>
            </w:r>
          </w:p>
        </w:tc>
        <w:tc>
          <w:tcPr>
            <w:tcW w:type="dxa" w:w="1656"/>
            <w:vAlign w:val="center"/>
          </w:tcPr>
          <w:p w14:paraId="6F6C6567">
            <w:pPr>
              <w:pStyle w:val="34"/>
              <w:rPr>
                <w:b w:val="0"/>
                <w:bCs w:val="0"/>
              </w:rPr>
            </w:pPr>
            <w:r>
              <w:rPr>
                <w:b w:val="0"/>
                <w:bCs w:val="0"/>
              </w:rPr>
              <w:t>启动响应</w:t>
            </w:r>
          </w:p>
          <w:p w14:paraId="2C7B0A12">
            <w:pPr>
              <w:pStyle w:val="34"/>
              <w:rPr>
                <w:b w:val="0"/>
                <w:bCs w:val="0"/>
              </w:rPr>
            </w:pPr>
            <w:r>
              <w:rPr>
                <w:b w:val="0"/>
                <w:bCs w:val="0"/>
              </w:rPr>
              <w:t>指令单位</w:t>
            </w:r>
          </w:p>
        </w:tc>
        <w:tc>
          <w:tcPr>
            <w:tcW w:type="dxa" w:w="5479"/>
            <w:vAlign w:val="center"/>
          </w:tcPr>
          <w:p w14:paraId="073E0C84">
            <w:pPr>
              <w:pStyle w:val="34"/>
              <w:rPr>
                <w:b w:val="0"/>
                <w:bCs w:val="0"/>
              </w:rPr>
            </w:pPr>
            <w:r>
              <w:rPr>
                <w:b w:val="0"/>
                <w:bCs w:val="0"/>
              </w:rPr>
              <w:t>各级响应条件描述</w:t>
            </w:r>
          </w:p>
        </w:tc>
      </w:tr>
      <w:tr w14:paraId="7CA268FC">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1304"/>
          <w:jc w:val="center"/>
        </w:trPr>
        <w:tc>
          <w:tcPr>
            <w:tcW w:type="dxa" w:w="1408"/>
            <w:vAlign w:val="center"/>
          </w:tcPr>
          <w:p w14:paraId="38F09D74">
            <w:pPr>
              <w:pStyle w:val="34"/>
              <w:rPr>
                <w:b w:val="0"/>
                <w:bCs w:val="0"/>
              </w:rPr>
            </w:pPr>
            <w:r>
              <w:rPr>
                <w:b w:val="0"/>
                <w:bCs w:val="0"/>
              </w:rPr>
              <w:t>Ⅲ级</w:t>
            </w:r>
          </w:p>
        </w:tc>
        <w:tc>
          <w:tcPr>
            <w:tcW w:type="dxa" w:w="1656"/>
            <w:vAlign w:val="center"/>
          </w:tcPr>
          <w:p w14:paraId="01D54FEC">
            <w:pPr>
              <w:pStyle w:val="34"/>
              <w:rPr>
                <w:b w:val="0"/>
                <w:bCs w:val="0"/>
              </w:rPr>
            </w:pPr>
            <w:r>
              <w:rPr>
                <w:b w:val="0"/>
                <w:bCs w:val="0"/>
              </w:rPr>
              <w:t>项目部应急领导小组</w:t>
            </w:r>
          </w:p>
        </w:tc>
        <w:tc>
          <w:tcPr>
            <w:tcW w:type="dxa" w:w="5479"/>
            <w:vAlign w:val="center"/>
          </w:tcPr>
          <w:p w14:paraId="6F67CFF9">
            <w:pPr>
              <w:pStyle w:val="34"/>
              <w:rPr>
                <w:b w:val="0"/>
                <w:bCs w:val="0"/>
              </w:rPr>
            </w:pPr>
            <w:r>
              <w:rPr>
                <w:b w:val="0"/>
                <w:bCs w:val="0"/>
              </w:rPr>
              <w:t>（1）Ⅲ类事故：可能造成人员死亡（包括失踪），或危及人员生命安全，或1人重伤（包括中毒），或人民币100 万元以下直接经济损失的事故；（2）公司认为有必要响应的安全生产事故。</w:t>
            </w:r>
          </w:p>
        </w:tc>
      </w:tr>
      <w:tr w14:paraId="10BCC352">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1587"/>
          <w:jc w:val="center"/>
        </w:trPr>
        <w:tc>
          <w:tcPr>
            <w:tcW w:type="dxa" w:w="1408"/>
            <w:vAlign w:val="center"/>
          </w:tcPr>
          <w:p w14:paraId="7DA2811B">
            <w:pPr>
              <w:pStyle w:val="34"/>
              <w:rPr>
                <w:b w:val="0"/>
                <w:bCs w:val="0"/>
              </w:rPr>
            </w:pPr>
            <w:r>
              <w:rPr>
                <w:b w:val="0"/>
                <w:bCs w:val="0"/>
              </w:rPr>
              <w:t>Ⅱ级</w:t>
            </w:r>
          </w:p>
        </w:tc>
        <w:tc>
          <w:tcPr>
            <w:tcW w:type="dxa" w:w="1656"/>
            <w:vAlign w:val="center"/>
          </w:tcPr>
          <w:p w14:paraId="5E3FE8DC">
            <w:pPr>
              <w:pStyle w:val="34"/>
              <w:rPr>
                <w:b w:val="0"/>
                <w:bCs w:val="0"/>
              </w:rPr>
            </w:pPr>
            <w:r>
              <w:rPr>
                <w:b w:val="0"/>
                <w:bCs w:val="0"/>
              </w:rPr>
              <w:t>子分公司应急领导小组</w:t>
            </w:r>
          </w:p>
        </w:tc>
        <w:tc>
          <w:tcPr>
            <w:tcW w:type="dxa" w:w="5479"/>
            <w:vAlign w:val="center"/>
          </w:tcPr>
          <w:p w14:paraId="54D52A18">
            <w:pPr>
              <w:pStyle w:val="34"/>
              <w:rPr>
                <w:b w:val="0"/>
                <w:bCs w:val="0"/>
              </w:rPr>
            </w:pPr>
            <w:r>
              <w:rPr>
                <w:b w:val="0"/>
                <w:bCs w:val="0"/>
              </w:rPr>
              <w:t>（1）Ⅱ类事故：造成1人死亡（或失踪），或危及1人生命安全，或2 人（含）以上10 人以下重伤（包括中毒），或人民币100万元（含）以上500 万元以下直接经济损失的事故；（2）集团公司认为需要公司响应的生产安全事故。</w:t>
            </w:r>
          </w:p>
        </w:tc>
      </w:tr>
      <w:tr w14:paraId="122EFC24">
        <w:tblPrEx>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type="dxa" w:w="0"/>
            <w:left w:type="dxa" w:w="108"/>
            <w:bottom w:type="dxa" w:w="0"/>
            <w:right w:type="dxa" w:w="108"/>
          </w:tblCellMar>
        </w:tblPrEx>
        <w:trPr>
          <w:trHeight w:hRule="atLeast" w:val="1587"/>
          <w:jc w:val="center"/>
        </w:trPr>
        <w:tc>
          <w:tcPr>
            <w:tcW w:type="dxa" w:w="1408"/>
            <w:vAlign w:val="center"/>
          </w:tcPr>
          <w:p w14:paraId="349DEA25">
            <w:pPr>
              <w:pStyle w:val="34"/>
              <w:rPr>
                <w:b w:val="0"/>
                <w:bCs w:val="0"/>
              </w:rPr>
            </w:pPr>
            <w:r>
              <w:rPr>
                <w:b w:val="0"/>
                <w:bCs w:val="0"/>
              </w:rPr>
              <w:t>Ⅰ级</w:t>
            </w:r>
          </w:p>
        </w:tc>
        <w:tc>
          <w:tcPr>
            <w:tcW w:type="dxa" w:w="1656"/>
            <w:vAlign w:val="center"/>
          </w:tcPr>
          <w:p w14:paraId="292C609D">
            <w:pPr>
              <w:pStyle w:val="34"/>
              <w:rPr>
                <w:b w:val="0"/>
                <w:bCs w:val="0"/>
              </w:rPr>
            </w:pPr>
            <w:r>
              <w:rPr>
                <w:b w:val="0"/>
                <w:bCs w:val="0"/>
              </w:rPr>
              <w:t>集团公司应急领导小组</w:t>
            </w:r>
          </w:p>
        </w:tc>
        <w:tc>
          <w:tcPr>
            <w:tcW w:type="dxa" w:w="5479"/>
            <w:vAlign w:val="center"/>
          </w:tcPr>
          <w:p w14:paraId="26833257">
            <w:pPr>
              <w:pStyle w:val="34"/>
              <w:rPr>
                <w:b w:val="0"/>
                <w:bCs w:val="0"/>
              </w:rPr>
            </w:pPr>
            <w:r>
              <w:rPr>
                <w:b w:val="0"/>
                <w:bCs w:val="0"/>
              </w:rPr>
              <w:t>（1）Ⅰ类事故：造成2 人（含）以上死亡（或失踪），或危及2人（含）以上生命安全，或10 人（含）以上重伤（包括中毒），或人民币500万元（含）以上直接经济损失的事故；（2）省交通集团公司等上级主管部门认为需要集团公司响应的生产安全事故。</w:t>
            </w:r>
          </w:p>
        </w:tc>
      </w:tr>
    </w:tbl>
    <w:p w14:paraId="401C74FC">
      <w:pPr>
        <w:pStyle w:val="34"/>
      </w:pPr>
    </w:p>
    <w:p w14:paraId="616C0AD9">
      <w:pPr>
        <w:pStyle w:val="34"/>
      </w:pPr>
      <w:r>
        <w:drawing>
          <wp:inline distB="0" distL="0" distR="0" distT="0">
            <wp:extent cx="5086985" cy="4139565"/>
            <wp:effectExtent b="0" l="0" r="0" t="0"/>
            <wp:docPr descr="说明: 11" id="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1" id="747" name="图片 1"/>
                    <pic:cNvPicPr>
                      <a:picLocks noChangeArrowheads="1" noChangeAspect="1"/>
                    </pic:cNvPicPr>
                  </pic:nvPicPr>
                  <pic:blipFill>
                    <a:blip cstate="print" r:embed="rId54"/>
                    <a:srcRect/>
                    <a:stretch>
                      <a:fillRect/>
                    </a:stretch>
                  </pic:blipFill>
                  <pic:spPr>
                    <a:xfrm>
                      <a:off x="0" y="0"/>
                      <a:ext cx="5087250" cy="4140000"/>
                    </a:xfrm>
                    <a:prstGeom prst="rect">
                      <a:avLst/>
                    </a:prstGeom>
                    <a:noFill/>
                    <a:ln w="9525">
                      <a:noFill/>
                      <a:miter lim="800000"/>
                      <a:headEnd/>
                      <a:tailEnd/>
                    </a:ln>
                  </pic:spPr>
                </pic:pic>
              </a:graphicData>
            </a:graphic>
          </wp:inline>
        </w:drawing>
      </w:r>
    </w:p>
    <w:p w14:paraId="7BCF89D9">
      <w:pPr>
        <w:pStyle w:val="34"/>
      </w:pPr>
      <w:r>
        <w:rPr>
          <w:rFonts w:hint="eastAsia"/>
        </w:rPr>
        <w:t>图7.4.2-1 事故应急响应工作程序框图</w:t>
      </w:r>
    </w:p>
    <w:p w14:paraId="7A0C9466">
      <w:pPr>
        <w:pStyle w:val="4"/>
      </w:pPr>
      <w:bookmarkStart w:id="79" w:name="_Toc187956753"/>
      <w:r>
        <w:rPr>
          <w:rFonts w:hint="eastAsia"/>
        </w:rPr>
        <w:t>应急指挥</w:t>
      </w:r>
      <w:bookmarkEnd w:id="79"/>
    </w:p>
    <w:p w14:paraId="4FA5F86D">
      <w:pPr>
        <w:ind w:firstLine="480"/>
      </w:pPr>
      <w:r>
        <w:rPr>
          <w:rFonts w:hint="eastAsia"/>
        </w:rPr>
        <w:t>应急指挥由项目部应急领导小组负责实施，提出应急救援方案，统一组织指挥现场应急救援工作，负责指挥和调度各级单位和社会救援力量；项目部各专项救援小组及各工区应急小分队根据现场应急指挥部指挥机构的指令，积极配合当地应急组织机构进行现场救援，救援工作主要由各应急小组及应急小分队实施。</w:t>
      </w:r>
    </w:p>
    <w:p w14:paraId="2D3852AD">
      <w:pPr>
        <w:pStyle w:val="4"/>
      </w:pPr>
      <w:bookmarkStart w:id="80" w:name="_Toc187956754"/>
      <w:r>
        <w:rPr>
          <w:rFonts w:hint="eastAsia"/>
        </w:rPr>
        <w:t>资源调配</w:t>
      </w:r>
      <w:bookmarkEnd w:id="80"/>
    </w:p>
    <w:p w14:paraId="64C891F5">
      <w:pPr>
        <w:ind w:firstLine="480"/>
      </w:pPr>
      <w:r>
        <w:rPr>
          <w:rFonts w:hint="eastAsia"/>
        </w:rPr>
        <w:t>1、疏导小组：指挥通信器材、车辆等。</w:t>
      </w:r>
    </w:p>
    <w:p w14:paraId="7D945F68">
      <w:pPr>
        <w:ind w:firstLine="480"/>
      </w:pPr>
      <w:r>
        <w:rPr>
          <w:rFonts w:hint="eastAsia"/>
        </w:rPr>
        <w:t>2、抢险小组：绝缘鞋、抢险用的各种设备、各类抢险抢修工具等。</w:t>
      </w:r>
    </w:p>
    <w:p w14:paraId="401D1F34">
      <w:pPr>
        <w:ind w:firstLine="480"/>
      </w:pPr>
      <w:r>
        <w:rPr>
          <w:rFonts w:hint="eastAsia"/>
        </w:rPr>
        <w:t>3、救护小组：救生担架、绝缘鞋和器械等。</w:t>
      </w:r>
    </w:p>
    <w:p w14:paraId="3842E2A3">
      <w:pPr>
        <w:ind w:firstLine="480"/>
      </w:pPr>
      <w:r>
        <w:rPr>
          <w:rFonts w:hint="eastAsia"/>
        </w:rPr>
        <w:t>4、保障小组：应急抢险器材、救援防护器材、指挥通信器材、检测器材、车辆及搬运工具等。</w:t>
      </w:r>
    </w:p>
    <w:p w14:paraId="78FD4B65">
      <w:pPr>
        <w:pStyle w:val="4"/>
      </w:pPr>
      <w:bookmarkStart w:id="81" w:name="_Toc187956755"/>
      <w:r>
        <w:rPr>
          <w:rFonts w:hint="eastAsia"/>
        </w:rPr>
        <w:t>应急救援</w:t>
      </w:r>
      <w:bookmarkEnd w:id="81"/>
    </w:p>
    <w:p w14:paraId="28426D22">
      <w:pPr>
        <w:ind w:firstLine="480"/>
      </w:pPr>
      <w:r>
        <w:rPr>
          <w:rFonts w:hint="eastAsia"/>
        </w:rPr>
        <w:t>1、当发生事故后，现场人员应按照现场处置方案立即开展现场应急自救,采取有效措施防止事故的扩大和蔓延；现场负责人和安全管理人员应立即向项目应急领导小组报告，项目应急领导小组应立即启动应急救援预案，并组织应急小分队迅速赶赴事故现场展开救援，将现场的受伤人员以最快速度救离现场，直接护送或由急救中心的医务人员急送医院救治。</w:t>
      </w:r>
    </w:p>
    <w:p w14:paraId="17618C8B">
      <w:pPr>
        <w:ind w:firstLine="480"/>
      </w:pPr>
      <w:r>
        <w:rPr>
          <w:rFonts w:hint="eastAsia"/>
        </w:rPr>
        <w:t>2、应急救援人员的安全。由于事故的危险有延续性，因此在应急救援过程中，应充分考虑应急救援人员的自身安全。现场应急指挥部应明确应急人员的进出现场和紧急撤离的条件和程序，采取安全预防措施，做好个体安全防护，加强现场安全监测，确保应急救援人员的安全。</w:t>
      </w:r>
    </w:p>
    <w:p w14:paraId="14596626">
      <w:pPr>
        <w:ind w:firstLine="480"/>
      </w:pPr>
      <w:r>
        <w:rPr>
          <w:rFonts w:hint="eastAsia"/>
        </w:rPr>
        <w:t>3、上级单位接到报告后，在启动相应级别预案的情况下，应该立即成立现场应急指挥部，迅速通知各级相关人员快速赶赴现场参加现场救援，并负责指挥和协调现场的救援行动，合理高效地调配和使用应急资源。</w:t>
      </w:r>
    </w:p>
    <w:p w14:paraId="44B07561">
      <w:pPr>
        <w:ind w:firstLine="480"/>
      </w:pPr>
      <w:r>
        <w:rPr>
          <w:rFonts w:hint="eastAsia"/>
        </w:rPr>
        <w:t>4、现场应急指挥部视情况紧急程度（或上一级应急领导小组接到事故报告后），根据事故灾情判断是否要向社会求援，并由应急领导小组组长授权或负责向外发送求援信息。对于生产安全事故，联动部门主要是医疗卫生、交通、公安、消防、电力、安全监督等部门；对于自然灾害事故，联动部门主要是医疗卫生、公安、消防、气象、电力等部门和地方应急救援指挥中心。</w:t>
      </w:r>
    </w:p>
    <w:p w14:paraId="4093DF35">
      <w:pPr>
        <w:ind w:firstLine="480"/>
      </w:pPr>
      <w:r>
        <w:rPr>
          <w:rFonts w:hint="eastAsia"/>
        </w:rPr>
        <w:t>5、做好事故现场的警戒保护工作，凡与事故有关的物件、痕迹、状态，不得破坏。为抢救伤员要移动某些物体时，必须做好现场标识。</w:t>
      </w:r>
    </w:p>
    <w:p w14:paraId="03E6CD59">
      <w:pPr>
        <w:pStyle w:val="4"/>
      </w:pPr>
      <w:bookmarkStart w:id="82" w:name="_Toc187956756"/>
      <w:r>
        <w:rPr>
          <w:rFonts w:hint="eastAsia"/>
        </w:rPr>
        <w:t>应急扩大</w:t>
      </w:r>
      <w:bookmarkEnd w:id="82"/>
    </w:p>
    <w:p w14:paraId="486081AF">
      <w:pPr>
        <w:ind w:firstLine="480"/>
      </w:pPr>
      <w:r>
        <w:rPr>
          <w:rFonts w:hint="eastAsia"/>
        </w:rPr>
        <w:t>1、当事态发展超过事发项目部应急处理能力时，应立即向集团公司、地方政府、省交通投资集团公司、省安监局、省国资委报告，说明事件情况，请求给予支援。</w:t>
      </w:r>
    </w:p>
    <w:p w14:paraId="395BF2D0">
      <w:pPr>
        <w:ind w:firstLine="480"/>
      </w:pPr>
      <w:r>
        <w:rPr>
          <w:rFonts w:hint="eastAsia"/>
        </w:rPr>
        <w:t>2、当社会救援力量协助应急处理时，应及时与社会救援力量取得联系，如实向社会救援力量负责人员介绍现场基本情况、本单位应急救援中所遇到的困难、需要的专业设备、装备，以及救援工作中存在的危险；了解社会救援力量开展应急救援工作所需要的必要帮助，尽量给予满足;安排好社会救援力量的后勤服务相关事项。</w:t>
      </w:r>
    </w:p>
    <w:p w14:paraId="177EE00B">
      <w:pPr>
        <w:pStyle w:val="3"/>
      </w:pPr>
      <w:bookmarkStart w:id="83" w:name="_Toc187956757"/>
      <w:r>
        <w:rPr>
          <w:rFonts w:hint="eastAsia"/>
        </w:rPr>
        <w:t>事故应急措施</w:t>
      </w:r>
      <w:bookmarkEnd w:id="83"/>
    </w:p>
    <w:p w14:paraId="7965CE99">
      <w:pPr>
        <w:pStyle w:val="4"/>
      </w:pPr>
      <w:bookmarkStart w:id="84" w:name="_Toc187956758"/>
      <w:r>
        <w:rPr>
          <w:rFonts w:hint="eastAsia"/>
        </w:rPr>
        <w:t>应急处置基本原则</w:t>
      </w:r>
      <w:bookmarkEnd w:id="84"/>
    </w:p>
    <w:p w14:paraId="51B3C429">
      <w:pPr>
        <w:ind w:firstLine="480"/>
      </w:pPr>
      <w:r>
        <w:rPr>
          <w:rFonts w:hint="eastAsia"/>
        </w:rPr>
        <w:t>1、迅速行动、灵活应对。处理事故险情时由应急领导小组启动本预案并实施。</w:t>
      </w:r>
    </w:p>
    <w:p w14:paraId="7879270B">
      <w:pPr>
        <w:ind w:firstLine="480"/>
      </w:pPr>
      <w:r>
        <w:rPr>
          <w:rFonts w:hint="eastAsia"/>
        </w:rPr>
        <w:t>2、以人为本。险情处理应首先保证人身安全（包括救护人员和遇险人员）。</w:t>
      </w:r>
    </w:p>
    <w:p w14:paraId="5ADBBC24">
      <w:pPr>
        <w:ind w:firstLine="480"/>
      </w:pPr>
      <w:r>
        <w:rPr>
          <w:rFonts w:hint="eastAsia"/>
        </w:rPr>
        <w:t>3、强化防护。迅速疏散无关人员，阻断危险物质来源，防止次生事故发生。</w:t>
      </w:r>
    </w:p>
    <w:p w14:paraId="3ACDA7B1">
      <w:pPr>
        <w:pStyle w:val="4"/>
      </w:pPr>
      <w:bookmarkStart w:id="85" w:name="_Toc187956759"/>
      <w:r>
        <w:rPr>
          <w:rFonts w:hint="eastAsia"/>
        </w:rPr>
        <w:t>应急处置措施</w:t>
      </w:r>
      <w:bookmarkEnd w:id="85"/>
    </w:p>
    <w:p w14:paraId="7EA6F961">
      <w:pPr>
        <w:ind w:firstLine="480"/>
      </w:pPr>
      <w:r>
        <w:rPr>
          <w:rFonts w:hint="eastAsia"/>
        </w:rPr>
        <w:t>1、物体打击事故应急措施</w:t>
      </w:r>
    </w:p>
    <w:p w14:paraId="66B9F466">
      <w:pPr>
        <w:ind w:firstLine="480"/>
      </w:pPr>
      <w:r>
        <w:rPr>
          <w:rFonts w:hint="eastAsia"/>
        </w:rPr>
        <w:t>（1）物体打击事故发生的部位及可能性由于受到工期的约束，在施工中必然安排部分的或全面的交叉业，若安全防护不周，操作人员不注意安全防护，就很有可能发生物体打击事故，物体打击事故多发生在交叉作业时处于下层操作面的施工人员，是施工现场常见的事故之一。</w:t>
      </w:r>
    </w:p>
    <w:p w14:paraId="06E1D822">
      <w:pPr>
        <w:ind w:firstLine="480"/>
      </w:pPr>
      <w:r>
        <w:rPr>
          <w:rFonts w:hint="eastAsia"/>
        </w:rPr>
        <w:t>（2）对内事故报告及对外通讯联系</w:t>
      </w:r>
    </w:p>
    <w:p w14:paraId="212D331F">
      <w:pPr>
        <w:ind w:firstLine="480"/>
      </w:pPr>
      <w:r>
        <w:rPr>
          <w:rFonts w:hint="eastAsia"/>
        </w:rPr>
        <w:t>发生物体打击事故后，要立即报告，并根据伤员情况，及时与外界联系，以保证伤害能够得到及时有效的救治。</w:t>
      </w:r>
    </w:p>
    <w:p w14:paraId="5E0EEA87">
      <w:pPr>
        <w:ind w:firstLine="480"/>
      </w:pPr>
      <w:r>
        <w:rPr>
          <w:rFonts w:hint="eastAsia"/>
        </w:rPr>
        <w:t>急救电话：120</w:t>
      </w:r>
    </w:p>
    <w:p w14:paraId="7D4814B5">
      <w:pPr>
        <w:ind w:firstLine="480"/>
      </w:pPr>
      <w:r>
        <w:rPr>
          <w:rFonts w:hint="eastAsia"/>
        </w:rPr>
        <w:t>拨通“120”后，要讲清事故的地点及所用的电话号码，简要说明伤员受伤情况，并派人到路口接应救护车。</w:t>
      </w:r>
    </w:p>
    <w:p w14:paraId="514F5186">
      <w:pPr>
        <w:ind w:firstLine="480"/>
      </w:pPr>
      <w:r>
        <w:rPr>
          <w:rFonts w:hint="eastAsia"/>
        </w:rPr>
        <w:t>（3）应急方案</w:t>
      </w:r>
    </w:p>
    <w:p w14:paraId="6AF75F90">
      <w:pPr>
        <w:ind w:firstLine="480"/>
      </w:pPr>
      <w:r>
        <w:rPr>
          <w:rFonts w:hint="eastAsia"/>
        </w:rPr>
        <w:t>①发生物体打击事故后，要立即停止施工，并及时报告，迅速抢救伤员。</w:t>
      </w:r>
    </w:p>
    <w:p w14:paraId="2F1A0802">
      <w:pPr>
        <w:ind w:firstLine="480"/>
      </w:pPr>
      <w:r>
        <w:rPr>
          <w:rFonts w:hint="eastAsia"/>
        </w:rPr>
        <w:t>②要及时将伤员脱离危险区域，转移到安全区，防止事故的扩大，同时在现场采取必要的紧急救护措施，若受外伤，可用开温水洗伤，再用干净绷带或布类包扎。如伤口出血，则应立即设法止血。</w:t>
      </w:r>
    </w:p>
    <w:p w14:paraId="14B1EF66">
      <w:pPr>
        <w:ind w:firstLine="480"/>
      </w:pPr>
      <w:r>
        <w:rPr>
          <w:rFonts w:hint="eastAsia"/>
        </w:rPr>
        <w:t>③要迅速备车或求援救护车将伤员送医院或急救中心，抢救时根据伤员受伤情况及部位，尽可能送往专科医院。</w:t>
      </w:r>
    </w:p>
    <w:p w14:paraId="0939D827">
      <w:pPr>
        <w:ind w:firstLine="480"/>
      </w:pPr>
      <w:r>
        <w:rPr>
          <w:rFonts w:hint="eastAsia"/>
        </w:rPr>
        <w:t>④发生事故后，要迅速保护现场，事故现场范围内设警戒，派专人看守，或用绳索白灰将事故地点围起来，由于抢救伤员而需移动相关物件时要记录，拍照或录像。</w:t>
      </w:r>
    </w:p>
    <w:p w14:paraId="0B25F736">
      <w:pPr>
        <w:ind w:firstLine="480"/>
      </w:pPr>
      <w:r>
        <w:rPr>
          <w:rFonts w:hint="eastAsia"/>
        </w:rPr>
        <w:t>⑤在事故原因未明，未经事故调查组审查批准，严禁恢复施工生产。</w:t>
      </w:r>
    </w:p>
    <w:p w14:paraId="4A897815">
      <w:pPr>
        <w:ind w:firstLine="480"/>
      </w:pPr>
      <w:r>
        <w:rPr>
          <w:rFonts w:hint="eastAsia"/>
        </w:rPr>
        <w:t>2、高处坠落事故应急措施</w:t>
      </w:r>
    </w:p>
    <w:p w14:paraId="16D09094">
      <w:pPr>
        <w:ind w:firstLine="480"/>
      </w:pPr>
      <w:r>
        <w:rPr>
          <w:rFonts w:hint="eastAsia"/>
        </w:rPr>
        <w:t>（1）高处坠落事故发生的部位及可能性：</w:t>
      </w:r>
    </w:p>
    <w:p w14:paraId="5A47342A">
      <w:pPr>
        <w:ind w:firstLine="480"/>
      </w:pPr>
      <w:r>
        <w:rPr>
          <w:rFonts w:hint="eastAsia"/>
        </w:rPr>
        <w:t>施工现场高空作业现象较多，若防护不当，操作人员自我保护意识不强，很容易发生高处坠落事故。</w:t>
      </w:r>
    </w:p>
    <w:p w14:paraId="78A90426">
      <w:pPr>
        <w:ind w:firstLine="480"/>
      </w:pPr>
      <w:r>
        <w:rPr>
          <w:rFonts w:hint="eastAsia"/>
        </w:rPr>
        <w:t>（2）对内事故报告及对外通讯联系</w:t>
      </w:r>
    </w:p>
    <w:p w14:paraId="07111E4B">
      <w:pPr>
        <w:ind w:firstLine="480"/>
      </w:pPr>
      <w:r>
        <w:rPr>
          <w:rFonts w:hint="eastAsia"/>
        </w:rPr>
        <w:t>发生高处坠落事故后，要立即报告，并及时与外界联系、求援，以保证伤员能够得到及时有效的救治。</w:t>
      </w:r>
    </w:p>
    <w:p w14:paraId="36C3D9B8">
      <w:pPr>
        <w:ind w:firstLine="480"/>
      </w:pPr>
      <w:r>
        <w:rPr>
          <w:rFonts w:hint="eastAsia"/>
        </w:rPr>
        <w:t>急救电话：120</w:t>
      </w:r>
    </w:p>
    <w:p w14:paraId="128443B5">
      <w:pPr>
        <w:ind w:firstLine="480"/>
      </w:pPr>
      <w:r>
        <w:rPr>
          <w:rFonts w:hint="eastAsia"/>
        </w:rPr>
        <w:t>拨通“120”后，要讲清事故的地点及求援所用的电话号码，简要说明伤员</w:t>
      </w:r>
    </w:p>
    <w:p w14:paraId="772644C0">
      <w:pPr>
        <w:ind w:firstLine="480"/>
      </w:pPr>
      <w:r>
        <w:rPr>
          <w:rFonts w:hint="eastAsia"/>
        </w:rPr>
        <w:t>受伤情况，并派专人到路口接应救护车。</w:t>
      </w:r>
    </w:p>
    <w:p w14:paraId="12287D54">
      <w:pPr>
        <w:ind w:firstLine="480"/>
      </w:pPr>
      <w:r>
        <w:rPr>
          <w:rFonts w:hint="eastAsia"/>
        </w:rPr>
        <w:t>（3）应急方案</w:t>
      </w:r>
    </w:p>
    <w:p w14:paraId="365CB17E">
      <w:pPr>
        <w:ind w:firstLine="480"/>
      </w:pPr>
      <w:r>
        <w:rPr>
          <w:rFonts w:hint="eastAsia"/>
        </w:rPr>
        <w:t>①发生高处坠落事故后，要立即停止施工生产，封闭作业区域，及时报告。</w:t>
      </w:r>
    </w:p>
    <w:p w14:paraId="1D120E89">
      <w:pPr>
        <w:ind w:firstLine="480"/>
      </w:pPr>
      <w:r>
        <w:rPr>
          <w:rFonts w:hint="eastAsia"/>
        </w:rPr>
        <w:t>②要立即抢救伤员，及时将伤员脱离危险区，防止事故扩大，同时有必要在现场采取紧急救护方案，若受外伤，可用温开水洗伤，再用干净绷带或布类包扎。如伤口出血，则应设法止血。</w:t>
      </w:r>
    </w:p>
    <w:p w14:paraId="58C4567D">
      <w:pPr>
        <w:ind w:firstLine="480"/>
      </w:pPr>
      <w:r>
        <w:rPr>
          <w:rFonts w:hint="eastAsia"/>
        </w:rPr>
        <w:t>③要迅速备车或求援救护车将伤员送往医院或急救中心，抢救时送医院应注意到伤害部位，尽可能送往专科医院。</w:t>
      </w:r>
    </w:p>
    <w:p w14:paraId="7F36E681">
      <w:pPr>
        <w:ind w:firstLine="480"/>
      </w:pPr>
      <w:r>
        <w:rPr>
          <w:rFonts w:hint="eastAsia"/>
        </w:rPr>
        <w:t>④要迅速保护现场，在事故调查人员赶到施工现场前，要保护现场的原始状态，防止受自然条件或人为有意无意的破坏，事故现场范围应设警戒，派专人看守，或用绳索，撒白灰等方法标示出警戒区，禁止无关人员进入保护范围，更不允许其他部门人员擅自进入现场勘察，采取抢险、急救措施时要做好现场变动记录和拍照、录像。</w:t>
      </w:r>
    </w:p>
    <w:p w14:paraId="7835CEAF">
      <w:pPr>
        <w:ind w:firstLine="480"/>
      </w:pPr>
      <w:r>
        <w:rPr>
          <w:rFonts w:hint="eastAsia"/>
        </w:rPr>
        <w:t>⑤在事故原因未查明、未采取有效防护措施之前，严禁继续施工，必须经事故调查组同意后方可恢复生产。</w:t>
      </w:r>
    </w:p>
    <w:p w14:paraId="4346F819">
      <w:pPr>
        <w:ind w:firstLine="480"/>
      </w:pPr>
      <w:r>
        <w:rPr>
          <w:rFonts w:hint="eastAsia"/>
        </w:rPr>
        <w:t xml:space="preserve"> 3、触电事故应急措施</w:t>
      </w:r>
    </w:p>
    <w:p w14:paraId="14A8BFE9">
      <w:pPr>
        <w:ind w:firstLine="480"/>
      </w:pPr>
      <w:r>
        <w:rPr>
          <w:rFonts w:hint="eastAsia"/>
        </w:rPr>
        <w:t>（1）触电事故发生的地点及可能性</w:t>
      </w:r>
    </w:p>
    <w:p w14:paraId="28D7058B">
      <w:pPr>
        <w:ind w:firstLine="480"/>
      </w:pPr>
      <w:r>
        <w:rPr>
          <w:rFonts w:hint="eastAsia"/>
        </w:rPr>
        <w:t>工程施工离不开电力，施工现场发生触电事故的频率比较高，发生事故的地点分布较广泛，不同工种、不同人员都有可能发生触电事故，不论是工作中还是生活中若不注意用电安全，都有可能发生事故，触电事故是施工现场最常见的事故之一。</w:t>
      </w:r>
    </w:p>
    <w:p w14:paraId="5BFC6C4D">
      <w:pPr>
        <w:ind w:firstLine="480"/>
      </w:pPr>
      <w:r>
        <w:rPr>
          <w:rFonts w:hint="eastAsia"/>
        </w:rPr>
        <w:t>（2）对内事故报告及对外事故通讯联系</w:t>
      </w:r>
    </w:p>
    <w:p w14:paraId="7DD3B8C2">
      <w:pPr>
        <w:ind w:firstLine="480"/>
      </w:pPr>
      <w:r>
        <w:rPr>
          <w:rFonts w:hint="eastAsia"/>
        </w:rPr>
        <w:t>事故发生后，要立即报告，并及时向外界求援，保证伤员能够得到及时有效的救护。</w:t>
      </w:r>
    </w:p>
    <w:p w14:paraId="3E63F52B">
      <w:pPr>
        <w:ind w:firstLine="480"/>
      </w:pPr>
      <w:r>
        <w:rPr>
          <w:rFonts w:hint="eastAsia"/>
        </w:rPr>
        <w:t>急救电话：120</w:t>
      </w:r>
    </w:p>
    <w:p w14:paraId="1BC154DB">
      <w:pPr>
        <w:ind w:firstLine="480"/>
      </w:pPr>
      <w:r>
        <w:rPr>
          <w:rFonts w:hint="eastAsia"/>
        </w:rPr>
        <w:t>拨通“120”后，要讲清事故的地点及求援所用的电话号码，简要说明伤员受伤的情况，派专人到路口接应救护车。</w:t>
      </w:r>
    </w:p>
    <w:p w14:paraId="62E10E0D">
      <w:pPr>
        <w:ind w:firstLine="480"/>
      </w:pPr>
      <w:r>
        <w:rPr>
          <w:rFonts w:hint="eastAsia"/>
        </w:rPr>
        <w:t>（3）应急方案</w:t>
      </w:r>
    </w:p>
    <w:p w14:paraId="6EE50746">
      <w:pPr>
        <w:ind w:firstLine="480"/>
      </w:pPr>
      <w:r>
        <w:rPr>
          <w:rFonts w:hint="eastAsia"/>
        </w:rPr>
        <w:t>①发生触电事故后，要立即先切断电源，及时报告，采取救护措施。</w:t>
      </w:r>
    </w:p>
    <w:p w14:paraId="6355009D">
      <w:pPr>
        <w:ind w:firstLine="480"/>
      </w:pPr>
      <w:r>
        <w:rPr>
          <w:rFonts w:hint="eastAsia"/>
        </w:rPr>
        <w:t>②假如触电者伤势不重，神志清醒，未失去知觉，但有些内心惊慌，全身无力，或触电者在触电过程中曾一度昏迷，但已清醒过来时，则应将触电者置于空气清新流通处，并要注意保暖，使触电者安静休息，不要走动，同时派人守护，严密观察。</w:t>
      </w:r>
    </w:p>
    <w:p w14:paraId="4F056E5C">
      <w:pPr>
        <w:ind w:firstLine="480"/>
      </w:pPr>
      <w:r>
        <w:rPr>
          <w:rFonts w:hint="eastAsia"/>
        </w:rPr>
        <w:t>③假如触电者伤势较重，已失去知觉，但心脏跳动和呼吸还存在时，应将触电者舒适、安静的平卧，周围不围人以保持空气流通，解开触电人的衣服以利呼吸，如天气寒冷，要注意保暖，并迅速送往医院做进一步诊治。</w:t>
      </w:r>
    </w:p>
    <w:p w14:paraId="1E67ABC5">
      <w:pPr>
        <w:ind w:firstLine="480"/>
      </w:pPr>
      <w:r>
        <w:rPr>
          <w:rFonts w:hint="eastAsia"/>
        </w:rPr>
        <w:t>④假如触电者伤势严重，呼吸停止或心脏跳动停止，或二者都已停止，应立即施行人工呼吸或胸外挤压，并迅速送往医院，但应注意急救，要尽快地进行，不能等医生的到来，在送往医院的途中，也不能中止急救，在急救中施行人工呼吸时，应迅速将触电者身上妨碍呼吸的衣领，上衣、裤带等解开，使胸部能自由扩张，并迅速取出触电者口腔内妨碍呼吸的食物，以免堵塞呼吸道，同时使触电者仰卧，并使其头部充分后仰，鼻孔朝上，作胸外心脏挤压时，应使触电者仰卧在比较坚实的地方，在触电者胸骨中段叩击1~2次，如无反应再进行胸外心脏挤压，直到病人清醒为止，不要轻易放弃抢救。</w:t>
      </w:r>
    </w:p>
    <w:p w14:paraId="0A357112">
      <w:pPr>
        <w:ind w:firstLine="480"/>
      </w:pPr>
      <w:r>
        <w:rPr>
          <w:rFonts w:hint="eastAsia"/>
        </w:rPr>
        <w:t>⑤假如触电者受外伤，可先用温水或无菌生理盐水洗伤，再用干净绷带或布类包扎。如伤口出血，则应设法止血，将出血肢体高高举起，或用干净纱布扎紧止血，同时应立即送往医院进行进一步处理。</w:t>
      </w:r>
    </w:p>
    <w:p w14:paraId="3F3F8479">
      <w:pPr>
        <w:ind w:firstLine="480"/>
      </w:pPr>
      <w:r>
        <w:rPr>
          <w:rFonts w:hint="eastAsia"/>
        </w:rPr>
        <w:t>⑥成立事故调查组，查明事故原因，制定防范措施，经事故调查组同意后方可重新施工。</w:t>
      </w:r>
    </w:p>
    <w:p w14:paraId="02C9F3FF">
      <w:pPr>
        <w:ind w:firstLine="480"/>
      </w:pPr>
      <w:r>
        <w:rPr>
          <w:rFonts w:hint="eastAsia"/>
        </w:rPr>
        <w:t xml:space="preserve"> 4、机械伤害事故应急措施</w:t>
      </w:r>
    </w:p>
    <w:p w14:paraId="18A22F8B">
      <w:pPr>
        <w:ind w:firstLine="480"/>
      </w:pPr>
      <w:r>
        <w:rPr>
          <w:rFonts w:hint="eastAsia"/>
        </w:rPr>
        <w:t>（1）机械伤害事故发生的部位及可能性</w:t>
      </w:r>
    </w:p>
    <w:p w14:paraId="210699ED">
      <w:pPr>
        <w:ind w:firstLine="480"/>
      </w:pPr>
      <w:r>
        <w:rPr>
          <w:rFonts w:hint="eastAsia"/>
        </w:rPr>
        <w:t>①机械伤害事故的形式惨重，如搅死、挤死、压死等，轻者造成人身外伤或伤残。检修、检查或操作过程中忽视安全措施，如违章带电操作等。</w:t>
      </w:r>
    </w:p>
    <w:p w14:paraId="154BECF2">
      <w:pPr>
        <w:ind w:firstLine="480"/>
      </w:pPr>
      <w:r>
        <w:rPr>
          <w:rFonts w:hint="eastAsia"/>
        </w:rPr>
        <w:t>②缺乏安全装置。</w:t>
      </w:r>
    </w:p>
    <w:p w14:paraId="1CCDBD35">
      <w:pPr>
        <w:ind w:firstLine="480"/>
      </w:pPr>
      <w:r>
        <w:rPr>
          <w:rFonts w:hint="eastAsia"/>
        </w:rPr>
        <w:t>③电源开关布置不合理。</w:t>
      </w:r>
    </w:p>
    <w:p w14:paraId="1BE06410">
      <w:pPr>
        <w:ind w:firstLine="480"/>
      </w:pPr>
      <w:r>
        <w:rPr>
          <w:rFonts w:hint="eastAsia"/>
        </w:rPr>
        <w:t>④自制或任意改造机械设备。</w:t>
      </w:r>
    </w:p>
    <w:p w14:paraId="0A6B6A12">
      <w:pPr>
        <w:ind w:firstLine="480"/>
      </w:pPr>
      <w:r>
        <w:rPr>
          <w:rFonts w:hint="eastAsia"/>
        </w:rPr>
        <w:t>⑤任意进入机械运行作业区。</w:t>
      </w:r>
    </w:p>
    <w:p w14:paraId="55D0E71D">
      <w:pPr>
        <w:ind w:firstLine="480"/>
      </w:pPr>
      <w:r>
        <w:rPr>
          <w:rFonts w:hint="eastAsia"/>
        </w:rPr>
        <w:t>⑥没有资格证的人员上岗操作。</w:t>
      </w:r>
    </w:p>
    <w:p w14:paraId="4A3F34AD">
      <w:pPr>
        <w:ind w:firstLine="480"/>
      </w:pPr>
      <w:r>
        <w:rPr>
          <w:rFonts w:hint="eastAsia"/>
        </w:rPr>
        <w:t>（2)对内事故报告及对外通讯联系</w:t>
      </w:r>
    </w:p>
    <w:p w14:paraId="75D4B553">
      <w:pPr>
        <w:ind w:firstLine="480"/>
      </w:pPr>
      <w:r>
        <w:rPr>
          <w:rFonts w:hint="eastAsia"/>
        </w:rPr>
        <w:t>发生机械伤害事故后，要立即报告，并根据伤员情况及时与外界联系，求援，以保证伤员能够得到及时有效的救治。</w:t>
      </w:r>
    </w:p>
    <w:p w14:paraId="7C3D213E">
      <w:pPr>
        <w:ind w:firstLine="480"/>
      </w:pPr>
      <w:r>
        <w:rPr>
          <w:rFonts w:hint="eastAsia"/>
        </w:rPr>
        <w:t>急救电话：120</w:t>
      </w:r>
    </w:p>
    <w:p w14:paraId="50313D89">
      <w:pPr>
        <w:ind w:firstLine="480"/>
      </w:pPr>
      <w:r>
        <w:rPr>
          <w:rFonts w:hint="eastAsia"/>
        </w:rPr>
        <w:t>拨通“120”后，要讲清事故的地点及求援所用的电话号码，简要说明伤员受伤情况，并派专人到路口接应救护车。</w:t>
      </w:r>
    </w:p>
    <w:p w14:paraId="0C128DE9">
      <w:pPr>
        <w:ind w:firstLine="480"/>
      </w:pPr>
      <w:r>
        <w:rPr>
          <w:rFonts w:hint="eastAsia"/>
        </w:rPr>
        <w:t>（3）应急方案</w:t>
      </w:r>
    </w:p>
    <w:p w14:paraId="3EDACEA7">
      <w:pPr>
        <w:ind w:firstLine="480"/>
      </w:pPr>
      <w:r>
        <w:rPr>
          <w:rFonts w:hint="eastAsia"/>
        </w:rPr>
        <w:t>发生断手、断指等严重情况时，对伤者伤口要进行包扎止血、止痛、进行半握拳状的功能固定。对断手、断指应用消毒或清洁敷料包好，不要将断指进入酒精等消毒液中。以防止细胞变质。将包好的的断手、断指放在无泄露的塑料袋内扎好，并放置冰块，随伤者送医院抢救。</w:t>
      </w:r>
    </w:p>
    <w:p w14:paraId="6B36C08C">
      <w:pPr>
        <w:ind w:firstLine="480"/>
      </w:pPr>
      <w:r>
        <w:rPr>
          <w:rFonts w:hint="eastAsia"/>
        </w:rPr>
        <w:t>发生头皮撕裂的必须及时对伤者进行抢救，采取止痛及其他对症措施；用生理盐水冲洗有伤部位，涂红汞后用消毒大纱布、消毒绵紧紧包扎，压迫止血；使用抗菌素，注射抗破伤风血清，预防感染；送医院进行治疗。</w:t>
      </w:r>
    </w:p>
    <w:p w14:paraId="2E859992">
      <w:pPr>
        <w:ind w:firstLine="480"/>
      </w:pPr>
      <w:r>
        <w:rPr>
          <w:rFonts w:hint="eastAsia"/>
        </w:rPr>
        <w:t>备注：如果遇到此类情况，没有条件进行现场处理的，立即送伤者到医院救治。</w:t>
      </w:r>
    </w:p>
    <w:p w14:paraId="5661404B">
      <w:pPr>
        <w:ind w:firstLine="480"/>
      </w:pPr>
      <w:r>
        <w:rPr>
          <w:rFonts w:hint="eastAsia"/>
        </w:rPr>
        <w:t>5、火灾事故应急措施</w:t>
      </w:r>
    </w:p>
    <w:p w14:paraId="6BEC574F">
      <w:pPr>
        <w:ind w:firstLine="480"/>
      </w:pPr>
      <w:r>
        <w:rPr>
          <w:rFonts w:hint="eastAsia"/>
        </w:rPr>
        <w:t>（1）带电火灾应急</w:t>
      </w:r>
    </w:p>
    <w:p w14:paraId="64DE5846">
      <w:pPr>
        <w:ind w:firstLine="480"/>
      </w:pPr>
      <w:r>
        <w:rPr>
          <w:rFonts w:hint="eastAsia"/>
        </w:rPr>
        <w:t>①迅速切断电源，以免事态扩大，切断电源时应戴绝缘手套，使用有绝缘柄的工具。当火场离开关较远时需剪断电线时，火线和零线应分开错位剪断，以免在钳口处造成短路，并防止电源线掉在地上造成短路使人员触电。</w:t>
      </w:r>
    </w:p>
    <w:p w14:paraId="40ED68E5">
      <w:pPr>
        <w:ind w:firstLine="480"/>
      </w:pPr>
      <w:r>
        <w:rPr>
          <w:rFonts w:hint="eastAsia"/>
        </w:rPr>
        <w:t>②当电源线因其他原因不能及时切断时，一方面派人去供电端拉闸，一方面灭火时，人体的各部位与带电体保持一定充分距离，抢险人员必须穿戴绝缘用品。</w:t>
      </w:r>
    </w:p>
    <w:p w14:paraId="6EDDEF82">
      <w:pPr>
        <w:ind w:firstLine="480"/>
      </w:pPr>
      <w:r>
        <w:rPr>
          <w:rFonts w:hint="eastAsia"/>
        </w:rPr>
        <w:t>③扑灭电气火灾时要用绝缘性能好的灭火剂如干粉灭火机，二氧化碳灭火器、1211灭火器或干燥砂子，严禁使用导电灭火剂扑救。</w:t>
      </w:r>
    </w:p>
    <w:p w14:paraId="533A31A8">
      <w:pPr>
        <w:ind w:firstLine="480"/>
      </w:pPr>
      <w:r>
        <w:rPr>
          <w:rFonts w:hint="eastAsia"/>
        </w:rPr>
        <w:t>（2）乙炔、氧气瓶失火</w:t>
      </w:r>
    </w:p>
    <w:p w14:paraId="7A8FD55E">
      <w:pPr>
        <w:ind w:firstLine="480"/>
      </w:pPr>
      <w:r>
        <w:rPr>
          <w:rFonts w:hint="eastAsia"/>
        </w:rPr>
        <w:t>气焊中，氧气软管着火时，不得折弯软管断气，应迅速关闭氧气阀门停止供氧。</w:t>
      </w:r>
    </w:p>
    <w:p w14:paraId="7AF96118">
      <w:pPr>
        <w:ind w:firstLine="480"/>
      </w:pPr>
      <w:r>
        <w:rPr>
          <w:rFonts w:hint="eastAsia"/>
        </w:rPr>
        <w:t>①为了进一步贯彻执行防火法规，成立义务消防队，强化消防管理，必须对职工进行消防知识教育和培训。</w:t>
      </w:r>
    </w:p>
    <w:p w14:paraId="4C0ECFED">
      <w:pPr>
        <w:ind w:firstLine="480"/>
      </w:pPr>
      <w:r>
        <w:rPr>
          <w:rFonts w:hint="eastAsia"/>
        </w:rPr>
        <w:t>②配备必要的灭火工具及器材（灭火器、二号工具、麻袋、灭火弹等），指定专人负责，做好灭火工具及器材的保养和更换工作，并挂置在明显和易取的地方。</w:t>
      </w:r>
    </w:p>
    <w:p w14:paraId="6F4B9AD3">
      <w:pPr>
        <w:ind w:firstLine="480"/>
      </w:pPr>
      <w:r>
        <w:rPr>
          <w:rFonts w:hint="eastAsia"/>
        </w:rPr>
        <w:t>③一旦发生火灾必须立即采取以下措施：</w:t>
      </w:r>
    </w:p>
    <w:p w14:paraId="427F87CA">
      <w:pPr>
        <w:ind w:firstLine="480"/>
      </w:pPr>
      <w:r>
        <w:rPr>
          <w:rFonts w:hint="eastAsia"/>
        </w:rPr>
        <w:t>拨打119电话向公安消防部门报警，必须讲清楚发生火灾现场的详细地址、火灾情况、报警人姓名和地址、电话号码，便于消防部门联系。报警后立即派人在路口接应消防车。</w:t>
      </w:r>
    </w:p>
    <w:p w14:paraId="31892308">
      <w:pPr>
        <w:ind w:firstLine="480"/>
      </w:pPr>
      <w:r>
        <w:rPr>
          <w:rFonts w:hint="eastAsia"/>
        </w:rPr>
        <w:t>立即组织疏散人员，迅速切断电源，救人第一和集中力量抢救的原则。使用灭火器以先控制后消灭的原则进行扑救。掌握四种灭火法：冷却法、隔离法、窒息法、抑制法。</w:t>
      </w:r>
    </w:p>
    <w:p w14:paraId="7511AACB">
      <w:pPr>
        <w:ind w:firstLine="480"/>
      </w:pPr>
      <w:r>
        <w:rPr>
          <w:rFonts w:hint="eastAsia"/>
        </w:rPr>
        <w:t>掌握安全疏散和逃生的指挥方法，尽量减少人员伤亡和财产损失。</w:t>
      </w:r>
    </w:p>
    <w:p w14:paraId="41D21320">
      <w:pPr>
        <w:ind w:firstLine="480"/>
      </w:pPr>
      <w:r>
        <w:rPr>
          <w:rFonts w:hint="eastAsia"/>
        </w:rPr>
        <w:t>6、交通施工应急措施</w:t>
      </w:r>
    </w:p>
    <w:p w14:paraId="33348353">
      <w:pPr>
        <w:ind w:firstLine="480"/>
      </w:pPr>
      <w:r>
        <w:rPr>
          <w:rFonts w:hint="eastAsia"/>
        </w:rPr>
        <w:t>（1）组织领导</w:t>
      </w:r>
    </w:p>
    <w:p w14:paraId="009ED2AF">
      <w:pPr>
        <w:ind w:firstLine="480"/>
      </w:pPr>
      <w:r>
        <w:rPr>
          <w:rFonts w:hint="eastAsia"/>
        </w:rPr>
        <w:t>成立项目部交通安全事故应急救援领导小组，由项目经理任组长，安全部、工程部、综合办的负责同志为成员。领导小组在指挥部、监理办统一领导下，指导、协调我标段的道路交通安全事故的处理工作。交通事故应急救援办公室设在综合办公室，并安排有关人员24小时值班。</w:t>
      </w:r>
    </w:p>
    <w:p w14:paraId="68053AA5">
      <w:pPr>
        <w:ind w:firstLine="480"/>
      </w:pPr>
      <w:r>
        <w:rPr>
          <w:rFonts w:hint="eastAsia"/>
        </w:rPr>
        <w:t>（2）接警处置</w:t>
      </w:r>
    </w:p>
    <w:p w14:paraId="2BA7B931">
      <w:pPr>
        <w:ind w:firstLine="480"/>
      </w:pPr>
      <w:r>
        <w:rPr>
          <w:rFonts w:hint="eastAsia"/>
        </w:rPr>
        <w:t>值班人员在接到道路交通安全事故报警后，立即报告道路交通安全事故紧急处置领导小组组长或副组长，并报告当地交通主管部门。由组长或副组长组织开展以下工作：</w:t>
      </w:r>
    </w:p>
    <w:p w14:paraId="5C78454C">
      <w:pPr>
        <w:ind w:firstLine="480"/>
      </w:pPr>
      <w:r>
        <w:rPr>
          <w:rFonts w:hint="eastAsia"/>
        </w:rPr>
        <w:t>①立即组织力量，迅速赶赴现场。</w:t>
      </w:r>
    </w:p>
    <w:p w14:paraId="0D074CCE">
      <w:pPr>
        <w:ind w:firstLine="480"/>
      </w:pPr>
      <w:r>
        <w:rPr>
          <w:rFonts w:hint="eastAsia"/>
        </w:rPr>
        <w:t>②迅速向当地交通主管部门汇报简要案情及后果，并根据事故现场情况，商请卫生、保险、交通、消防等部门予以配合，协同进行伤员抢救和现场勘查、施救工作。</w:t>
      </w:r>
    </w:p>
    <w:p w14:paraId="6C1A264B">
      <w:pPr>
        <w:ind w:firstLine="480"/>
      </w:pPr>
      <w:r>
        <w:rPr>
          <w:rFonts w:hint="eastAsia"/>
        </w:rPr>
        <w:t>③封闭、保护现场，必要时可以申请当地交通主管部门中断交通，但应设立明显标志，标明车辆通行路线。</w:t>
      </w:r>
    </w:p>
    <w:p w14:paraId="423BF293">
      <w:pPr>
        <w:ind w:firstLine="480"/>
      </w:pPr>
      <w:r>
        <w:rPr>
          <w:rFonts w:hint="eastAsia"/>
        </w:rPr>
        <w:t>④采取抢救等紧急措施。抢救伤者应尽量就近、集中。</w:t>
      </w:r>
    </w:p>
    <w:p w14:paraId="10D5B777">
      <w:pPr>
        <w:ind w:firstLine="480"/>
      </w:pPr>
      <w:r>
        <w:rPr>
          <w:rFonts w:hint="eastAsia"/>
        </w:rPr>
        <w:t>⑤监护当事人，寻找并调查证人。</w:t>
      </w:r>
    </w:p>
    <w:p w14:paraId="71EBFD56">
      <w:pPr>
        <w:ind w:firstLine="480"/>
      </w:pPr>
      <w:r>
        <w:rPr>
          <w:rFonts w:hint="eastAsia"/>
        </w:rPr>
        <w:t>⑥确定指挥员指导现场勘查。</w:t>
      </w:r>
    </w:p>
    <w:p w14:paraId="0562B36C">
      <w:pPr>
        <w:ind w:firstLine="480"/>
      </w:pPr>
      <w:r>
        <w:rPr>
          <w:rFonts w:hint="eastAsia"/>
        </w:rPr>
        <w:t>（3）现场救护</w:t>
      </w:r>
    </w:p>
    <w:p w14:paraId="3689EE5B">
      <w:pPr>
        <w:ind w:firstLine="480"/>
      </w:pPr>
      <w:r>
        <w:rPr>
          <w:rFonts w:hint="eastAsia"/>
        </w:rPr>
        <w:t>①现场急救队</w:t>
      </w:r>
    </w:p>
    <w:p w14:paraId="6489F4C5">
      <w:pPr>
        <w:ind w:firstLine="480"/>
      </w:pPr>
      <w:r>
        <w:rPr>
          <w:rFonts w:hint="eastAsia"/>
        </w:rPr>
        <w:t>项目部成立现场急救队，队长由项目经理担任，主要成员应包括工班长、医生、面包车司机。人员数量3～5名。</w:t>
      </w:r>
    </w:p>
    <w:p w14:paraId="1B800FFF">
      <w:pPr>
        <w:ind w:firstLine="480"/>
      </w:pPr>
      <w:r>
        <w:rPr>
          <w:rFonts w:hint="eastAsia"/>
        </w:rPr>
        <w:t>②现场急救药品及医疗器械</w:t>
      </w:r>
    </w:p>
    <w:p w14:paraId="1AF268BB">
      <w:pPr>
        <w:ind w:firstLine="480"/>
      </w:pPr>
      <w:r>
        <w:rPr>
          <w:rFonts w:hint="eastAsia"/>
        </w:rPr>
        <w:t>现场卫生员必须配备担架、简单止血包扎物、氧气袋等医疗器具，施工现场应配备车辆，值班室应配备电话、其它施工现场应配备必要的通讯设施。</w:t>
      </w:r>
    </w:p>
    <w:p w14:paraId="60A87F29">
      <w:pPr>
        <w:ind w:firstLine="480"/>
      </w:pPr>
      <w:r>
        <w:rPr>
          <w:rFonts w:hint="eastAsia"/>
        </w:rPr>
        <w:t>③急救医院考察</w:t>
      </w:r>
    </w:p>
    <w:p w14:paraId="3B232EB2">
      <w:pPr>
        <w:ind w:firstLine="480"/>
      </w:pPr>
      <w:r>
        <w:rPr>
          <w:rFonts w:hint="eastAsia"/>
        </w:rPr>
        <w:t>项目部对就近较好得医院进行考察，并记录医院的急救联系电话。</w:t>
      </w:r>
    </w:p>
    <w:p w14:paraId="4FC34498">
      <w:pPr>
        <w:ind w:firstLine="480"/>
      </w:pPr>
      <w:r>
        <w:rPr>
          <w:rFonts w:hint="eastAsia"/>
        </w:rPr>
        <w:t>④人员急救实施程序及事项</w:t>
      </w:r>
    </w:p>
    <w:p w14:paraId="112B6492">
      <w:pPr>
        <w:ind w:firstLine="480"/>
      </w:pPr>
      <w:r>
        <w:rPr>
          <w:rFonts w:hint="eastAsia"/>
        </w:rPr>
        <w:t>事故发生后，事故现场人员应及时组织现场其他人员临时救护，由值班人员及时上报人员抢救领导小组，启动人员伤害预案程序。</w:t>
      </w:r>
    </w:p>
    <w:p w14:paraId="48BDF75A">
      <w:pPr>
        <w:ind w:firstLine="480"/>
      </w:pPr>
      <w:r>
        <w:rPr>
          <w:rFonts w:hint="eastAsia"/>
        </w:rPr>
        <w:t>抢救领导小组人员组织抢救，卫生员及时带上担架和医疗器械赶到事故现场急救。</w:t>
      </w:r>
    </w:p>
    <w:p w14:paraId="3AC70805">
      <w:pPr>
        <w:ind w:firstLine="480"/>
      </w:pPr>
      <w:r>
        <w:rPr>
          <w:rFonts w:hint="eastAsia"/>
        </w:rPr>
        <w:t>办公室人员在接到通知应及时到医院或电话联系急救手续，并派出车辆到事故现场迎接，如受伤人员情况严重应联系医院急救120救护车。</w:t>
      </w:r>
    </w:p>
    <w:p w14:paraId="008B76DF">
      <w:pPr>
        <w:ind w:firstLine="480"/>
      </w:pPr>
      <w:r>
        <w:rPr>
          <w:rFonts w:hint="eastAsia"/>
        </w:rPr>
        <w:t>财务人员及时到医院办理住院手续。</w:t>
      </w:r>
    </w:p>
    <w:p w14:paraId="015BEE55">
      <w:pPr>
        <w:ind w:firstLine="480"/>
      </w:pPr>
      <w:r>
        <w:rPr>
          <w:rFonts w:hint="eastAsia"/>
        </w:rPr>
        <w:t>（4）组织指挥现场勘查</w:t>
      </w:r>
    </w:p>
    <w:p w14:paraId="3ED2D187">
      <w:pPr>
        <w:ind w:firstLine="480"/>
      </w:pPr>
      <w:r>
        <w:rPr>
          <w:rFonts w:hint="eastAsia"/>
        </w:rPr>
        <w:t>指挥员到达现场后，首先必须迅速全面地了解现场情况，听取先期到达现场的民警和有关人员汇报，对事故发生的性质、案件性质、现场范围、现场中心、现场是否发生变动和破坏，以及有无必要对现场采取警戒、封闭或其它紧急措施等作出初步的判断和决策，然后立即组织力量，进行如下分组分工，并开展现场勘查工作：</w:t>
      </w:r>
    </w:p>
    <w:p w14:paraId="38BCF22F">
      <w:pPr>
        <w:ind w:firstLine="480"/>
      </w:pPr>
      <w:r>
        <w:rPr>
          <w:rFonts w:hint="eastAsia"/>
        </w:rPr>
        <w:t>①现场保护、交通指挥疏导组：由安全部人员组织有关人员组成，负责保护现场不受破坏，指挥车辆有序停放等待或绕道通行。</w:t>
      </w:r>
    </w:p>
    <w:p w14:paraId="43A3C0E7">
      <w:pPr>
        <w:ind w:firstLine="480"/>
      </w:pPr>
      <w:r>
        <w:rPr>
          <w:rFonts w:hint="eastAsia"/>
        </w:rPr>
        <w:t>②现场勘查组：由安质部和综合办协助当地交警，负责对事故现场的痕迹、物证进行拍照、测量、提取、勘验、制图和记录等工作。</w:t>
      </w:r>
    </w:p>
    <w:p w14:paraId="7C2C30DC">
      <w:pPr>
        <w:ind w:firstLine="480"/>
      </w:pPr>
      <w:r>
        <w:rPr>
          <w:rFonts w:hint="eastAsia"/>
        </w:rPr>
        <w:t>③调查访问组：由安全部和综合办协助当地交警，负责走访事故知情人和见证人，收集证人证言，监护当事人。</w:t>
      </w:r>
    </w:p>
    <w:p w14:paraId="465B6B0C">
      <w:pPr>
        <w:ind w:firstLine="480"/>
      </w:pPr>
      <w:r>
        <w:rPr>
          <w:rFonts w:hint="eastAsia"/>
        </w:rPr>
        <w:t>④后勤接待组：由项目经理办公室组织有关人员组成，根据实际需要，在有关部门的领导下,负责交通调度、后勤安排，接待受害者亲属等后勤工作。</w:t>
      </w:r>
    </w:p>
    <w:p w14:paraId="3C268067">
      <w:pPr>
        <w:ind w:firstLine="480"/>
      </w:pPr>
      <w:r>
        <w:rPr>
          <w:rFonts w:hint="eastAsia"/>
        </w:rPr>
        <w:t>⑤现场勘查工作结束，经核实无误和指挥员同意，应抓紧清理、撤除现场保护措施，恢复交通。</w:t>
      </w:r>
    </w:p>
    <w:p w14:paraId="2C18CF7A">
      <w:pPr>
        <w:ind w:firstLine="480"/>
      </w:pPr>
      <w:r>
        <w:rPr>
          <w:rFonts w:hint="eastAsia"/>
        </w:rPr>
        <w:t>（5）组织临场讨论</w:t>
      </w:r>
    </w:p>
    <w:p w14:paraId="4EDC4FEA">
      <w:pPr>
        <w:ind w:firstLine="480"/>
      </w:pPr>
      <w:r>
        <w:rPr>
          <w:rFonts w:hint="eastAsia"/>
        </w:rPr>
        <w:t>现场勘查工作基本结束后，指挥员应召集有关人员召开临场会议，根据实地勘查和现场调查所得材料，对事故案情作出分析判断。根据临场讨论会的结果，指导有关部门开展下一步工作，如认为勘查不详尽，应及时进行补充勘查。</w:t>
      </w:r>
    </w:p>
    <w:p w14:paraId="74F2A09E">
      <w:pPr>
        <w:ind w:firstLine="480"/>
      </w:pPr>
      <w:r>
        <w:rPr>
          <w:rFonts w:hint="eastAsia"/>
        </w:rPr>
        <w:t>（6）书面报告</w:t>
      </w:r>
    </w:p>
    <w:p w14:paraId="1B08BAB9">
      <w:pPr>
        <w:ind w:firstLine="480"/>
      </w:pPr>
      <w:r>
        <w:rPr>
          <w:rFonts w:hint="eastAsia"/>
        </w:rPr>
        <w:t>在基本查明事故原因和损害后果的情况下，尽快拟出事故情况的书面材料，按规定的时间和程序向上级机关报告。包括对现场救援措施和效果的评价。</w:t>
      </w:r>
    </w:p>
    <w:p w14:paraId="38EFFF48">
      <w:pPr>
        <w:ind w:firstLine="480"/>
      </w:pPr>
      <w:r>
        <w:rPr>
          <w:rFonts w:hint="eastAsia"/>
        </w:rPr>
        <w:t>（7）指导交通事故责任认定和善后处理工作</w:t>
      </w:r>
    </w:p>
    <w:p w14:paraId="6DEB23B6">
      <w:pPr>
        <w:ind w:firstLine="480"/>
      </w:pPr>
      <w:r>
        <w:rPr>
          <w:rFonts w:hint="eastAsia"/>
        </w:rPr>
        <w:t>在事故原因查明后，协助当地交警部门进行事故处理，按法定程序，组织公开听证，公开、公平、公正地对事故责任作出认定，依法处理交通事故责任者，积极、稳妥地对交通事故所造成的损害后果进行善后调解。</w:t>
      </w:r>
    </w:p>
    <w:p w14:paraId="76225F85">
      <w:pPr>
        <w:pStyle w:val="3"/>
      </w:pPr>
      <w:bookmarkStart w:id="86" w:name="_Toc187956760"/>
      <w:r>
        <w:rPr>
          <w:rFonts w:hint="eastAsia"/>
        </w:rPr>
        <w:t>应急物资</w:t>
      </w:r>
      <w:bookmarkEnd w:id="86"/>
    </w:p>
    <w:p w14:paraId="05B562FA">
      <w:pPr>
        <w:pStyle w:val="34"/>
      </w:pPr>
      <w:r>
        <w:rPr>
          <w:rFonts w:hint="eastAsia"/>
        </w:rPr>
        <w:t>表7.6-1 应急救援物资</w:t>
      </w:r>
    </w:p>
    <w:tbl>
      <w:tblPr>
        <w:tblStyle w:val="16"/>
        <w:tblW w:type="dxa" w:w="865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133"/>
        <w:gridCol w:w="2131"/>
        <w:gridCol w:w="952"/>
        <w:gridCol w:w="982"/>
        <w:gridCol w:w="1707"/>
        <w:gridCol w:w="1752"/>
      </w:tblGrid>
      <w:tr w14:paraId="60E6D357">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tblHeader/>
          <w:jc w:val="center"/>
        </w:trPr>
        <w:tc>
          <w:tcPr>
            <w:tcW w:type="dxa" w:w="1133"/>
            <w:vAlign w:val="center"/>
          </w:tcPr>
          <w:p w14:paraId="3D628CB0">
            <w:pPr>
              <w:spacing w:line="240" w:lineRule="auto"/>
              <w:ind w:firstLine="0" w:firstLineChars="0"/>
              <w:jc w:val="center"/>
              <w:rPr>
                <w:rFonts w:ascii="宋体" w:cs="宋体" w:hAnsi="宋体" w:hint="eastAsia"/>
                <w:b/>
                <w:bCs/>
                <w:sz w:val="21"/>
                <w:szCs w:val="21"/>
              </w:rPr>
            </w:pPr>
            <w:r>
              <w:rPr>
                <w:rFonts w:ascii="宋体" w:cs="宋体" w:hAnsi="宋体" w:hint="eastAsia"/>
                <w:b/>
                <w:bCs/>
                <w:sz w:val="21"/>
                <w:szCs w:val="21"/>
              </w:rPr>
              <w:t>序号</w:t>
            </w:r>
          </w:p>
        </w:tc>
        <w:tc>
          <w:tcPr>
            <w:tcW w:type="dxa" w:w="2131"/>
            <w:vAlign w:val="center"/>
          </w:tcPr>
          <w:p w14:paraId="08BC1C00">
            <w:pPr>
              <w:spacing w:line="240" w:lineRule="auto"/>
              <w:ind w:firstLine="0" w:firstLineChars="0"/>
              <w:jc w:val="center"/>
              <w:rPr>
                <w:rFonts w:ascii="宋体" w:cs="宋体" w:hAnsi="宋体" w:hint="eastAsia"/>
                <w:b/>
                <w:bCs/>
                <w:sz w:val="21"/>
                <w:szCs w:val="21"/>
              </w:rPr>
            </w:pPr>
            <w:r>
              <w:rPr>
                <w:rFonts w:ascii="宋体" w:cs="宋体" w:hAnsi="宋体" w:hint="eastAsia"/>
                <w:b/>
                <w:bCs/>
                <w:sz w:val="21"/>
                <w:szCs w:val="21"/>
              </w:rPr>
              <w:t>应急物质名称</w:t>
            </w:r>
          </w:p>
        </w:tc>
        <w:tc>
          <w:tcPr>
            <w:tcW w:type="dxa" w:w="952"/>
            <w:vAlign w:val="center"/>
          </w:tcPr>
          <w:p w14:paraId="338ADA3B">
            <w:pPr>
              <w:spacing w:line="240" w:lineRule="auto"/>
              <w:ind w:firstLine="0" w:firstLineChars="0"/>
              <w:jc w:val="center"/>
              <w:rPr>
                <w:rFonts w:ascii="宋体" w:cs="宋体" w:hAnsi="宋体" w:hint="eastAsia"/>
                <w:b/>
                <w:bCs/>
                <w:sz w:val="21"/>
                <w:szCs w:val="21"/>
              </w:rPr>
            </w:pPr>
            <w:r>
              <w:rPr>
                <w:rFonts w:ascii="宋体" w:cs="宋体" w:hAnsi="宋体" w:hint="eastAsia"/>
                <w:b/>
                <w:bCs/>
                <w:sz w:val="21"/>
                <w:szCs w:val="21"/>
              </w:rPr>
              <w:t>单位</w:t>
            </w:r>
          </w:p>
        </w:tc>
        <w:tc>
          <w:tcPr>
            <w:tcW w:type="dxa" w:w="982"/>
            <w:vAlign w:val="center"/>
          </w:tcPr>
          <w:p w14:paraId="70E2E60B">
            <w:pPr>
              <w:spacing w:line="240" w:lineRule="auto"/>
              <w:ind w:firstLine="0" w:firstLineChars="0"/>
              <w:jc w:val="center"/>
              <w:rPr>
                <w:rFonts w:ascii="宋体" w:cs="宋体" w:hAnsi="宋体" w:hint="eastAsia"/>
                <w:b/>
                <w:bCs/>
                <w:sz w:val="21"/>
                <w:szCs w:val="21"/>
              </w:rPr>
            </w:pPr>
            <w:r>
              <w:rPr>
                <w:rFonts w:ascii="宋体" w:cs="宋体" w:hAnsi="宋体" w:hint="eastAsia"/>
                <w:b/>
                <w:bCs/>
                <w:sz w:val="21"/>
                <w:szCs w:val="21"/>
              </w:rPr>
              <w:t>数量</w:t>
            </w:r>
          </w:p>
        </w:tc>
        <w:tc>
          <w:tcPr>
            <w:tcW w:type="dxa" w:w="1707"/>
            <w:vAlign w:val="center"/>
          </w:tcPr>
          <w:p w14:paraId="4BA02151">
            <w:pPr>
              <w:spacing w:line="240" w:lineRule="auto"/>
              <w:ind w:firstLine="0" w:firstLineChars="0"/>
              <w:jc w:val="center"/>
              <w:rPr>
                <w:rFonts w:ascii="宋体" w:cs="宋体" w:hAnsi="宋体" w:hint="eastAsia"/>
                <w:b/>
                <w:bCs/>
                <w:sz w:val="21"/>
                <w:szCs w:val="21"/>
              </w:rPr>
            </w:pPr>
            <w:r>
              <w:rPr>
                <w:rFonts w:ascii="宋体" w:cs="宋体" w:hAnsi="宋体" w:hint="eastAsia"/>
                <w:b/>
                <w:bCs/>
                <w:sz w:val="21"/>
                <w:szCs w:val="21"/>
              </w:rPr>
              <w:t>规格、型号</w:t>
            </w:r>
          </w:p>
        </w:tc>
        <w:tc>
          <w:tcPr>
            <w:tcW w:type="dxa" w:w="1752"/>
            <w:vAlign w:val="center"/>
          </w:tcPr>
          <w:p w14:paraId="592AFADD">
            <w:pPr>
              <w:spacing w:line="240" w:lineRule="auto"/>
              <w:ind w:firstLine="0" w:firstLineChars="0"/>
              <w:jc w:val="center"/>
              <w:rPr>
                <w:rFonts w:ascii="宋体" w:cs="宋体" w:hAnsi="宋体" w:hint="eastAsia"/>
                <w:b/>
                <w:bCs/>
                <w:sz w:val="21"/>
                <w:szCs w:val="21"/>
              </w:rPr>
            </w:pPr>
            <w:r>
              <w:rPr>
                <w:rFonts w:ascii="宋体" w:cs="宋体" w:hAnsi="宋体" w:hint="eastAsia"/>
                <w:b/>
                <w:bCs/>
                <w:sz w:val="21"/>
                <w:szCs w:val="21"/>
              </w:rPr>
              <w:t>拥有单位</w:t>
            </w:r>
          </w:p>
        </w:tc>
      </w:tr>
      <w:tr w14:paraId="45C6B793">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12468F6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w:t>
            </w:r>
          </w:p>
        </w:tc>
        <w:tc>
          <w:tcPr>
            <w:tcW w:type="dxa" w:w="2131"/>
            <w:vAlign w:val="center"/>
          </w:tcPr>
          <w:p w14:paraId="37F7C08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挖掘机</w:t>
            </w:r>
          </w:p>
        </w:tc>
        <w:tc>
          <w:tcPr>
            <w:tcW w:type="dxa" w:w="952"/>
            <w:vAlign w:val="center"/>
          </w:tcPr>
          <w:p w14:paraId="36A2B72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台</w:t>
            </w:r>
          </w:p>
        </w:tc>
        <w:tc>
          <w:tcPr>
            <w:tcW w:type="dxa" w:w="982"/>
            <w:vAlign w:val="center"/>
          </w:tcPr>
          <w:p w14:paraId="1B59AD3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5</w:t>
            </w:r>
          </w:p>
        </w:tc>
        <w:tc>
          <w:tcPr>
            <w:tcW w:type="dxa" w:w="1707"/>
            <w:vAlign w:val="center"/>
          </w:tcPr>
          <w:p w14:paraId="5A56BA1F">
            <w:pPr>
              <w:spacing w:line="240" w:lineRule="auto"/>
              <w:ind w:firstLine="0" w:firstLineChars="0"/>
              <w:jc w:val="center"/>
              <w:rPr>
                <w:rFonts w:ascii="宋体" w:cs="宋体" w:hAnsi="宋体" w:hint="eastAsia"/>
                <w:bCs/>
                <w:sz w:val="21"/>
                <w:szCs w:val="21"/>
              </w:rPr>
            </w:pPr>
          </w:p>
        </w:tc>
        <w:tc>
          <w:tcPr>
            <w:tcW w:type="dxa" w:w="1752"/>
            <w:vAlign w:val="center"/>
          </w:tcPr>
          <w:p w14:paraId="4C2F185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67F05F88">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737D4BA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w:t>
            </w:r>
          </w:p>
        </w:tc>
        <w:tc>
          <w:tcPr>
            <w:tcW w:type="dxa" w:w="2131"/>
            <w:vAlign w:val="center"/>
          </w:tcPr>
          <w:p w14:paraId="28CD44C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吊车</w:t>
            </w:r>
          </w:p>
        </w:tc>
        <w:tc>
          <w:tcPr>
            <w:tcW w:type="dxa" w:w="952"/>
            <w:vAlign w:val="center"/>
          </w:tcPr>
          <w:p w14:paraId="65D455CA">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台</w:t>
            </w:r>
          </w:p>
        </w:tc>
        <w:tc>
          <w:tcPr>
            <w:tcW w:type="dxa" w:w="982"/>
            <w:vAlign w:val="center"/>
          </w:tcPr>
          <w:p w14:paraId="1DEC1BD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w:t>
            </w:r>
          </w:p>
        </w:tc>
        <w:tc>
          <w:tcPr>
            <w:tcW w:type="dxa" w:w="1707"/>
            <w:vAlign w:val="center"/>
          </w:tcPr>
          <w:p w14:paraId="05F60CA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25T</w:t>
            </w:r>
          </w:p>
        </w:tc>
        <w:tc>
          <w:tcPr>
            <w:tcW w:type="dxa" w:w="1752"/>
            <w:vAlign w:val="center"/>
          </w:tcPr>
          <w:p w14:paraId="4B50704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0880C88F">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0B8DDB6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3</w:t>
            </w:r>
          </w:p>
        </w:tc>
        <w:tc>
          <w:tcPr>
            <w:tcW w:type="dxa" w:w="2131"/>
            <w:vAlign w:val="center"/>
          </w:tcPr>
          <w:p w14:paraId="5C26764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喊话喇叭</w:t>
            </w:r>
          </w:p>
        </w:tc>
        <w:tc>
          <w:tcPr>
            <w:tcW w:type="dxa" w:w="952"/>
            <w:vAlign w:val="center"/>
          </w:tcPr>
          <w:p w14:paraId="4A9356C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个</w:t>
            </w:r>
          </w:p>
        </w:tc>
        <w:tc>
          <w:tcPr>
            <w:tcW w:type="dxa" w:w="982"/>
            <w:vAlign w:val="center"/>
          </w:tcPr>
          <w:p w14:paraId="117609B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4</w:t>
            </w:r>
          </w:p>
        </w:tc>
        <w:tc>
          <w:tcPr>
            <w:tcW w:type="dxa" w:w="1707"/>
            <w:vAlign w:val="center"/>
          </w:tcPr>
          <w:p w14:paraId="785F3BAB">
            <w:pPr>
              <w:spacing w:line="240" w:lineRule="auto"/>
              <w:ind w:firstLine="0" w:firstLineChars="0"/>
              <w:jc w:val="center"/>
              <w:rPr>
                <w:rFonts w:ascii="宋体" w:cs="宋体" w:hAnsi="宋体" w:hint="eastAsia"/>
                <w:bCs/>
                <w:sz w:val="21"/>
                <w:szCs w:val="21"/>
              </w:rPr>
            </w:pPr>
          </w:p>
        </w:tc>
        <w:tc>
          <w:tcPr>
            <w:tcW w:type="dxa" w:w="1752"/>
            <w:vAlign w:val="center"/>
          </w:tcPr>
          <w:p w14:paraId="788103E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0A6B67DE">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4F9ADC9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4</w:t>
            </w:r>
          </w:p>
        </w:tc>
        <w:tc>
          <w:tcPr>
            <w:tcW w:type="dxa" w:w="2131"/>
            <w:vAlign w:val="center"/>
          </w:tcPr>
          <w:p w14:paraId="030E0B2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安全设施</w:t>
            </w:r>
          </w:p>
        </w:tc>
        <w:tc>
          <w:tcPr>
            <w:tcW w:type="dxa" w:w="952"/>
            <w:vAlign w:val="center"/>
          </w:tcPr>
          <w:p w14:paraId="4CCF107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套</w:t>
            </w:r>
          </w:p>
        </w:tc>
        <w:tc>
          <w:tcPr>
            <w:tcW w:type="dxa" w:w="982"/>
            <w:vAlign w:val="center"/>
          </w:tcPr>
          <w:p w14:paraId="3EB786A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20</w:t>
            </w:r>
          </w:p>
        </w:tc>
        <w:tc>
          <w:tcPr>
            <w:tcW w:type="dxa" w:w="1707"/>
            <w:vAlign w:val="center"/>
          </w:tcPr>
          <w:p w14:paraId="21B51127">
            <w:pPr>
              <w:spacing w:line="240" w:lineRule="auto"/>
              <w:ind w:firstLine="0" w:firstLineChars="0"/>
              <w:jc w:val="center"/>
              <w:rPr>
                <w:rFonts w:ascii="宋体" w:cs="宋体" w:hAnsi="宋体" w:hint="eastAsia"/>
                <w:bCs/>
                <w:sz w:val="21"/>
                <w:szCs w:val="21"/>
              </w:rPr>
            </w:pPr>
          </w:p>
        </w:tc>
        <w:tc>
          <w:tcPr>
            <w:tcW w:type="dxa" w:w="1752"/>
            <w:vAlign w:val="center"/>
          </w:tcPr>
          <w:p w14:paraId="3A5FDB4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0C0CD2CB">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557C70E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5</w:t>
            </w:r>
          </w:p>
        </w:tc>
        <w:tc>
          <w:tcPr>
            <w:tcW w:type="dxa" w:w="2131"/>
            <w:vAlign w:val="center"/>
          </w:tcPr>
          <w:p w14:paraId="22047C8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发电机</w:t>
            </w:r>
          </w:p>
        </w:tc>
        <w:tc>
          <w:tcPr>
            <w:tcW w:type="dxa" w:w="952"/>
            <w:vAlign w:val="center"/>
          </w:tcPr>
          <w:p w14:paraId="21291CE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台</w:t>
            </w:r>
          </w:p>
        </w:tc>
        <w:tc>
          <w:tcPr>
            <w:tcW w:type="dxa" w:w="982"/>
            <w:vAlign w:val="center"/>
          </w:tcPr>
          <w:p w14:paraId="4145D08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w:t>
            </w:r>
          </w:p>
        </w:tc>
        <w:tc>
          <w:tcPr>
            <w:tcW w:type="dxa" w:w="1707"/>
            <w:vAlign w:val="center"/>
          </w:tcPr>
          <w:p w14:paraId="2E5DE7B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200kw</w:t>
            </w:r>
          </w:p>
        </w:tc>
        <w:tc>
          <w:tcPr>
            <w:tcW w:type="dxa" w:w="1752"/>
            <w:vAlign w:val="center"/>
          </w:tcPr>
          <w:p w14:paraId="638F506A">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75691F7F">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62FF78E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6</w:t>
            </w:r>
          </w:p>
        </w:tc>
        <w:tc>
          <w:tcPr>
            <w:tcW w:type="dxa" w:w="2131"/>
            <w:vAlign w:val="center"/>
          </w:tcPr>
          <w:p w14:paraId="7DCD465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担架</w:t>
            </w:r>
          </w:p>
        </w:tc>
        <w:tc>
          <w:tcPr>
            <w:tcW w:type="dxa" w:w="952"/>
            <w:vAlign w:val="center"/>
          </w:tcPr>
          <w:p w14:paraId="4710B2C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部</w:t>
            </w:r>
          </w:p>
        </w:tc>
        <w:tc>
          <w:tcPr>
            <w:tcW w:type="dxa" w:w="982"/>
            <w:vAlign w:val="center"/>
          </w:tcPr>
          <w:p w14:paraId="66A74C3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5</w:t>
            </w:r>
          </w:p>
        </w:tc>
        <w:tc>
          <w:tcPr>
            <w:tcW w:type="dxa" w:w="1707"/>
            <w:vAlign w:val="center"/>
          </w:tcPr>
          <w:p w14:paraId="3B24B918">
            <w:pPr>
              <w:spacing w:line="240" w:lineRule="auto"/>
              <w:ind w:firstLine="0" w:firstLineChars="0"/>
              <w:jc w:val="center"/>
              <w:rPr>
                <w:rFonts w:ascii="宋体" w:cs="宋体" w:hAnsi="宋体" w:hint="eastAsia"/>
                <w:bCs/>
                <w:sz w:val="21"/>
                <w:szCs w:val="21"/>
              </w:rPr>
            </w:pPr>
          </w:p>
        </w:tc>
        <w:tc>
          <w:tcPr>
            <w:tcW w:type="dxa" w:w="1752"/>
            <w:vAlign w:val="center"/>
          </w:tcPr>
          <w:p w14:paraId="0ADDAE0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522442E0">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5CEA41B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7</w:t>
            </w:r>
          </w:p>
        </w:tc>
        <w:tc>
          <w:tcPr>
            <w:tcW w:type="dxa" w:w="2131"/>
            <w:vAlign w:val="center"/>
          </w:tcPr>
          <w:p w14:paraId="21E92AE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急救箱</w:t>
            </w:r>
          </w:p>
        </w:tc>
        <w:tc>
          <w:tcPr>
            <w:tcW w:type="dxa" w:w="952"/>
            <w:vAlign w:val="center"/>
          </w:tcPr>
          <w:p w14:paraId="091FDD0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个</w:t>
            </w:r>
          </w:p>
        </w:tc>
        <w:tc>
          <w:tcPr>
            <w:tcW w:type="dxa" w:w="982"/>
            <w:vAlign w:val="center"/>
          </w:tcPr>
          <w:p w14:paraId="266FFC3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w:t>
            </w:r>
          </w:p>
        </w:tc>
        <w:tc>
          <w:tcPr>
            <w:tcW w:type="dxa" w:w="1707"/>
            <w:vAlign w:val="center"/>
          </w:tcPr>
          <w:p w14:paraId="312C72B3">
            <w:pPr>
              <w:spacing w:line="240" w:lineRule="auto"/>
              <w:ind w:firstLine="0" w:firstLineChars="0"/>
              <w:jc w:val="center"/>
              <w:rPr>
                <w:rFonts w:ascii="宋体" w:cs="宋体" w:hAnsi="宋体" w:hint="eastAsia"/>
                <w:bCs/>
                <w:sz w:val="21"/>
                <w:szCs w:val="21"/>
              </w:rPr>
            </w:pPr>
          </w:p>
        </w:tc>
        <w:tc>
          <w:tcPr>
            <w:tcW w:type="dxa" w:w="1752"/>
            <w:vAlign w:val="center"/>
          </w:tcPr>
          <w:p w14:paraId="1138FBE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0CD15EC2">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35DF0EE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8</w:t>
            </w:r>
          </w:p>
        </w:tc>
        <w:tc>
          <w:tcPr>
            <w:tcW w:type="dxa" w:w="2131"/>
            <w:vAlign w:val="center"/>
          </w:tcPr>
          <w:p w14:paraId="494AD30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救生网</w:t>
            </w:r>
          </w:p>
        </w:tc>
        <w:tc>
          <w:tcPr>
            <w:tcW w:type="dxa" w:w="952"/>
            <w:vAlign w:val="center"/>
          </w:tcPr>
          <w:p w14:paraId="568EDF6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张</w:t>
            </w:r>
          </w:p>
        </w:tc>
        <w:tc>
          <w:tcPr>
            <w:tcW w:type="dxa" w:w="982"/>
            <w:vAlign w:val="center"/>
          </w:tcPr>
          <w:p w14:paraId="421E4CA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10</w:t>
            </w:r>
          </w:p>
        </w:tc>
        <w:tc>
          <w:tcPr>
            <w:tcW w:type="dxa" w:w="1707"/>
            <w:vAlign w:val="center"/>
          </w:tcPr>
          <w:p w14:paraId="1F6FD719">
            <w:pPr>
              <w:spacing w:line="240" w:lineRule="auto"/>
              <w:ind w:firstLine="0" w:firstLineChars="0"/>
              <w:jc w:val="center"/>
              <w:rPr>
                <w:rFonts w:ascii="宋体" w:cs="宋体" w:hAnsi="宋体" w:hint="eastAsia"/>
                <w:bCs/>
                <w:sz w:val="21"/>
                <w:szCs w:val="21"/>
              </w:rPr>
            </w:pPr>
          </w:p>
        </w:tc>
        <w:tc>
          <w:tcPr>
            <w:tcW w:type="dxa" w:w="1752"/>
            <w:vAlign w:val="center"/>
          </w:tcPr>
          <w:p w14:paraId="209B9C8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42E64B20">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572CFF4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9</w:t>
            </w:r>
          </w:p>
        </w:tc>
        <w:tc>
          <w:tcPr>
            <w:tcW w:type="dxa" w:w="2131"/>
            <w:vAlign w:val="center"/>
          </w:tcPr>
          <w:p w14:paraId="744A5FF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编织袋</w:t>
            </w:r>
          </w:p>
        </w:tc>
        <w:tc>
          <w:tcPr>
            <w:tcW w:type="dxa" w:w="952"/>
            <w:vAlign w:val="center"/>
          </w:tcPr>
          <w:p w14:paraId="644FAB3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个</w:t>
            </w:r>
          </w:p>
        </w:tc>
        <w:tc>
          <w:tcPr>
            <w:tcW w:type="dxa" w:w="982"/>
            <w:vAlign w:val="center"/>
          </w:tcPr>
          <w:p w14:paraId="5F694BC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若干</w:t>
            </w:r>
          </w:p>
        </w:tc>
        <w:tc>
          <w:tcPr>
            <w:tcW w:type="dxa" w:w="1707"/>
            <w:vAlign w:val="center"/>
          </w:tcPr>
          <w:p w14:paraId="658C09F8">
            <w:pPr>
              <w:spacing w:line="240" w:lineRule="auto"/>
              <w:ind w:firstLine="0" w:firstLineChars="0"/>
              <w:jc w:val="center"/>
              <w:rPr>
                <w:rFonts w:ascii="宋体" w:cs="宋体" w:hAnsi="宋体" w:hint="eastAsia"/>
                <w:bCs/>
                <w:sz w:val="21"/>
                <w:szCs w:val="21"/>
              </w:rPr>
            </w:pPr>
          </w:p>
        </w:tc>
        <w:tc>
          <w:tcPr>
            <w:tcW w:type="dxa" w:w="1752"/>
            <w:vAlign w:val="center"/>
          </w:tcPr>
          <w:p w14:paraId="48676DA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0A7023AC">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17DCF1F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10</w:t>
            </w:r>
          </w:p>
        </w:tc>
        <w:tc>
          <w:tcPr>
            <w:tcW w:type="dxa" w:w="2131"/>
            <w:vAlign w:val="center"/>
          </w:tcPr>
          <w:p w14:paraId="123AE3A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手电筒</w:t>
            </w:r>
          </w:p>
        </w:tc>
        <w:tc>
          <w:tcPr>
            <w:tcW w:type="dxa" w:w="952"/>
            <w:vAlign w:val="center"/>
          </w:tcPr>
          <w:p w14:paraId="783B3DA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个</w:t>
            </w:r>
          </w:p>
        </w:tc>
        <w:tc>
          <w:tcPr>
            <w:tcW w:type="dxa" w:w="982"/>
            <w:vAlign w:val="center"/>
          </w:tcPr>
          <w:p w14:paraId="13B80E6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若干</w:t>
            </w:r>
          </w:p>
        </w:tc>
        <w:tc>
          <w:tcPr>
            <w:tcW w:type="dxa" w:w="1707"/>
            <w:vAlign w:val="center"/>
          </w:tcPr>
          <w:p w14:paraId="170E2346">
            <w:pPr>
              <w:spacing w:line="240" w:lineRule="auto"/>
              <w:ind w:firstLine="0" w:firstLineChars="0"/>
              <w:jc w:val="center"/>
              <w:rPr>
                <w:rFonts w:ascii="宋体" w:cs="宋体" w:hAnsi="宋体" w:hint="eastAsia"/>
                <w:bCs/>
                <w:sz w:val="21"/>
                <w:szCs w:val="21"/>
              </w:rPr>
            </w:pPr>
          </w:p>
        </w:tc>
        <w:tc>
          <w:tcPr>
            <w:tcW w:type="dxa" w:w="1752"/>
            <w:vAlign w:val="center"/>
          </w:tcPr>
          <w:p w14:paraId="146BE65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099C839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0B153A5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11</w:t>
            </w:r>
          </w:p>
        </w:tc>
        <w:tc>
          <w:tcPr>
            <w:tcW w:type="dxa" w:w="2131"/>
            <w:vAlign w:val="center"/>
          </w:tcPr>
          <w:p w14:paraId="486B6EE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探照灯</w:t>
            </w:r>
          </w:p>
        </w:tc>
        <w:tc>
          <w:tcPr>
            <w:tcW w:type="dxa" w:w="952"/>
            <w:vAlign w:val="center"/>
          </w:tcPr>
          <w:p w14:paraId="5C89505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个</w:t>
            </w:r>
          </w:p>
        </w:tc>
        <w:tc>
          <w:tcPr>
            <w:tcW w:type="dxa" w:w="982"/>
            <w:vAlign w:val="center"/>
          </w:tcPr>
          <w:p w14:paraId="1ADC89C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若干</w:t>
            </w:r>
          </w:p>
        </w:tc>
        <w:tc>
          <w:tcPr>
            <w:tcW w:type="dxa" w:w="1707"/>
            <w:vAlign w:val="center"/>
          </w:tcPr>
          <w:p w14:paraId="199D6AA9">
            <w:pPr>
              <w:spacing w:line="240" w:lineRule="auto"/>
              <w:ind w:firstLine="0" w:firstLineChars="0"/>
              <w:jc w:val="center"/>
              <w:rPr>
                <w:rFonts w:ascii="宋体" w:cs="宋体" w:hAnsi="宋体" w:hint="eastAsia"/>
                <w:bCs/>
                <w:sz w:val="21"/>
                <w:szCs w:val="21"/>
              </w:rPr>
            </w:pPr>
          </w:p>
        </w:tc>
        <w:tc>
          <w:tcPr>
            <w:tcW w:type="dxa" w:w="1752"/>
            <w:vAlign w:val="center"/>
          </w:tcPr>
          <w:p w14:paraId="47119C0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62471D1E">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54708AF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12</w:t>
            </w:r>
          </w:p>
        </w:tc>
        <w:tc>
          <w:tcPr>
            <w:tcW w:type="dxa" w:w="2131"/>
            <w:vAlign w:val="center"/>
          </w:tcPr>
          <w:p w14:paraId="7C9053D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彩布条</w:t>
            </w:r>
          </w:p>
        </w:tc>
        <w:tc>
          <w:tcPr>
            <w:tcW w:type="dxa" w:w="952"/>
            <w:vAlign w:val="center"/>
          </w:tcPr>
          <w:p w14:paraId="47EE243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条</w:t>
            </w:r>
          </w:p>
        </w:tc>
        <w:tc>
          <w:tcPr>
            <w:tcW w:type="dxa" w:w="982"/>
            <w:vAlign w:val="center"/>
          </w:tcPr>
          <w:p w14:paraId="15F0579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若干</w:t>
            </w:r>
          </w:p>
        </w:tc>
        <w:tc>
          <w:tcPr>
            <w:tcW w:type="dxa" w:w="1707"/>
            <w:vAlign w:val="center"/>
          </w:tcPr>
          <w:p w14:paraId="405C9D6F">
            <w:pPr>
              <w:spacing w:line="240" w:lineRule="auto"/>
              <w:ind w:firstLine="0" w:firstLineChars="0"/>
              <w:jc w:val="center"/>
              <w:rPr>
                <w:rFonts w:ascii="宋体" w:cs="宋体" w:hAnsi="宋体" w:hint="eastAsia"/>
                <w:bCs/>
                <w:sz w:val="21"/>
                <w:szCs w:val="21"/>
              </w:rPr>
            </w:pPr>
          </w:p>
        </w:tc>
        <w:tc>
          <w:tcPr>
            <w:tcW w:type="dxa" w:w="1752"/>
            <w:vAlign w:val="center"/>
          </w:tcPr>
          <w:p w14:paraId="3C108EE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6590A58E">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5D34E2A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13</w:t>
            </w:r>
          </w:p>
        </w:tc>
        <w:tc>
          <w:tcPr>
            <w:tcW w:type="dxa" w:w="2131"/>
            <w:vAlign w:val="center"/>
          </w:tcPr>
          <w:p w14:paraId="50E75FC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绝缘手套</w:t>
            </w:r>
          </w:p>
        </w:tc>
        <w:tc>
          <w:tcPr>
            <w:tcW w:type="dxa" w:w="952"/>
            <w:vAlign w:val="center"/>
          </w:tcPr>
          <w:p w14:paraId="575249F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副</w:t>
            </w:r>
          </w:p>
        </w:tc>
        <w:tc>
          <w:tcPr>
            <w:tcW w:type="dxa" w:w="982"/>
            <w:vAlign w:val="center"/>
          </w:tcPr>
          <w:p w14:paraId="0AEC0EBA">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5</w:t>
            </w:r>
          </w:p>
        </w:tc>
        <w:tc>
          <w:tcPr>
            <w:tcW w:type="dxa" w:w="1707"/>
            <w:vAlign w:val="center"/>
          </w:tcPr>
          <w:p w14:paraId="1CFDBD6E">
            <w:pPr>
              <w:spacing w:line="240" w:lineRule="auto"/>
              <w:ind w:firstLine="0" w:firstLineChars="0"/>
              <w:jc w:val="center"/>
              <w:rPr>
                <w:rFonts w:ascii="宋体" w:cs="宋体" w:hAnsi="宋体" w:hint="eastAsia"/>
                <w:bCs/>
                <w:sz w:val="21"/>
                <w:szCs w:val="21"/>
              </w:rPr>
            </w:pPr>
          </w:p>
        </w:tc>
        <w:tc>
          <w:tcPr>
            <w:tcW w:type="dxa" w:w="1752"/>
            <w:vAlign w:val="center"/>
          </w:tcPr>
          <w:p w14:paraId="4D58DFD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4B071837">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792C1FF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14</w:t>
            </w:r>
          </w:p>
        </w:tc>
        <w:tc>
          <w:tcPr>
            <w:tcW w:type="dxa" w:w="2131"/>
            <w:vAlign w:val="center"/>
          </w:tcPr>
          <w:p w14:paraId="2CD3F9D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灭火器</w:t>
            </w:r>
          </w:p>
        </w:tc>
        <w:tc>
          <w:tcPr>
            <w:tcW w:type="dxa" w:w="952"/>
            <w:vAlign w:val="center"/>
          </w:tcPr>
          <w:p w14:paraId="5B255BB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具</w:t>
            </w:r>
          </w:p>
        </w:tc>
        <w:tc>
          <w:tcPr>
            <w:tcW w:type="dxa" w:w="982"/>
            <w:vAlign w:val="center"/>
          </w:tcPr>
          <w:p w14:paraId="433D544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4</w:t>
            </w:r>
          </w:p>
        </w:tc>
        <w:tc>
          <w:tcPr>
            <w:tcW w:type="dxa" w:w="1707"/>
            <w:vAlign w:val="center"/>
          </w:tcPr>
          <w:p w14:paraId="22D7E45E">
            <w:pPr>
              <w:spacing w:line="240" w:lineRule="auto"/>
              <w:ind w:firstLine="0" w:firstLineChars="0"/>
              <w:jc w:val="center"/>
              <w:rPr>
                <w:rFonts w:ascii="宋体" w:cs="宋体" w:hAnsi="宋体" w:hint="eastAsia"/>
                <w:bCs/>
                <w:sz w:val="21"/>
                <w:szCs w:val="21"/>
              </w:rPr>
            </w:pPr>
          </w:p>
        </w:tc>
        <w:tc>
          <w:tcPr>
            <w:tcW w:type="dxa" w:w="1752"/>
            <w:vAlign w:val="center"/>
          </w:tcPr>
          <w:p w14:paraId="4F60AE2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139F475F">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6A38D95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15</w:t>
            </w:r>
          </w:p>
        </w:tc>
        <w:tc>
          <w:tcPr>
            <w:tcW w:type="dxa" w:w="2131"/>
            <w:vAlign w:val="center"/>
          </w:tcPr>
          <w:p w14:paraId="21F68C8A">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铁锹</w:t>
            </w:r>
          </w:p>
        </w:tc>
        <w:tc>
          <w:tcPr>
            <w:tcW w:type="dxa" w:w="952"/>
            <w:vAlign w:val="center"/>
          </w:tcPr>
          <w:p w14:paraId="0A7A4AE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把</w:t>
            </w:r>
          </w:p>
        </w:tc>
        <w:tc>
          <w:tcPr>
            <w:tcW w:type="dxa" w:w="982"/>
            <w:vAlign w:val="center"/>
          </w:tcPr>
          <w:p w14:paraId="10972475">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10</w:t>
            </w:r>
          </w:p>
        </w:tc>
        <w:tc>
          <w:tcPr>
            <w:tcW w:type="dxa" w:w="1707"/>
            <w:vAlign w:val="center"/>
          </w:tcPr>
          <w:p w14:paraId="115E4F02">
            <w:pPr>
              <w:spacing w:line="240" w:lineRule="auto"/>
              <w:ind w:firstLine="0" w:firstLineChars="0"/>
              <w:jc w:val="center"/>
              <w:rPr>
                <w:rFonts w:ascii="宋体" w:cs="宋体" w:hAnsi="宋体" w:hint="eastAsia"/>
                <w:bCs/>
                <w:sz w:val="21"/>
                <w:szCs w:val="21"/>
              </w:rPr>
            </w:pPr>
          </w:p>
        </w:tc>
        <w:tc>
          <w:tcPr>
            <w:tcW w:type="dxa" w:w="1752"/>
            <w:vAlign w:val="center"/>
          </w:tcPr>
          <w:p w14:paraId="6A09C38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28D45842">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6081D0D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16</w:t>
            </w:r>
          </w:p>
        </w:tc>
        <w:tc>
          <w:tcPr>
            <w:tcW w:type="dxa" w:w="2131"/>
            <w:vAlign w:val="center"/>
          </w:tcPr>
          <w:p w14:paraId="6F36A7D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扶梯</w:t>
            </w:r>
          </w:p>
        </w:tc>
        <w:tc>
          <w:tcPr>
            <w:tcW w:type="dxa" w:w="952"/>
            <w:vAlign w:val="center"/>
          </w:tcPr>
          <w:p w14:paraId="1ED0EE9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把</w:t>
            </w:r>
          </w:p>
        </w:tc>
        <w:tc>
          <w:tcPr>
            <w:tcW w:type="dxa" w:w="982"/>
            <w:vAlign w:val="center"/>
          </w:tcPr>
          <w:p w14:paraId="505E05D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3</w:t>
            </w:r>
          </w:p>
        </w:tc>
        <w:tc>
          <w:tcPr>
            <w:tcW w:type="dxa" w:w="1707"/>
            <w:vAlign w:val="center"/>
          </w:tcPr>
          <w:p w14:paraId="421249DE">
            <w:pPr>
              <w:spacing w:line="240" w:lineRule="auto"/>
              <w:ind w:firstLine="0" w:firstLineChars="0"/>
              <w:jc w:val="center"/>
              <w:rPr>
                <w:rFonts w:ascii="宋体" w:cs="宋体" w:hAnsi="宋体" w:hint="eastAsia"/>
                <w:bCs/>
                <w:sz w:val="21"/>
                <w:szCs w:val="21"/>
              </w:rPr>
            </w:pPr>
          </w:p>
        </w:tc>
        <w:tc>
          <w:tcPr>
            <w:tcW w:type="dxa" w:w="1752"/>
            <w:vAlign w:val="center"/>
          </w:tcPr>
          <w:p w14:paraId="52A897C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54E6E572">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754AAC1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17</w:t>
            </w:r>
          </w:p>
        </w:tc>
        <w:tc>
          <w:tcPr>
            <w:tcW w:type="dxa" w:w="2131"/>
            <w:vAlign w:val="center"/>
          </w:tcPr>
          <w:p w14:paraId="4CB8356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绝缘鞋</w:t>
            </w:r>
          </w:p>
        </w:tc>
        <w:tc>
          <w:tcPr>
            <w:tcW w:type="dxa" w:w="952"/>
            <w:vAlign w:val="center"/>
          </w:tcPr>
          <w:p w14:paraId="51E5D52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双</w:t>
            </w:r>
          </w:p>
        </w:tc>
        <w:tc>
          <w:tcPr>
            <w:tcW w:type="dxa" w:w="982"/>
            <w:vAlign w:val="center"/>
          </w:tcPr>
          <w:p w14:paraId="7930565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5</w:t>
            </w:r>
          </w:p>
        </w:tc>
        <w:tc>
          <w:tcPr>
            <w:tcW w:type="dxa" w:w="1707"/>
            <w:vAlign w:val="center"/>
          </w:tcPr>
          <w:p w14:paraId="4E6C775B">
            <w:pPr>
              <w:spacing w:line="240" w:lineRule="auto"/>
              <w:ind w:firstLine="0" w:firstLineChars="0"/>
              <w:jc w:val="center"/>
              <w:rPr>
                <w:rFonts w:ascii="宋体" w:cs="宋体" w:hAnsi="宋体" w:hint="eastAsia"/>
                <w:bCs/>
                <w:sz w:val="21"/>
                <w:szCs w:val="21"/>
              </w:rPr>
            </w:pPr>
          </w:p>
        </w:tc>
        <w:tc>
          <w:tcPr>
            <w:tcW w:type="dxa" w:w="1752"/>
            <w:vAlign w:val="center"/>
          </w:tcPr>
          <w:p w14:paraId="322BC9B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4E071FF5">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38FD307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18</w:t>
            </w:r>
          </w:p>
        </w:tc>
        <w:tc>
          <w:tcPr>
            <w:tcW w:type="dxa" w:w="2131"/>
            <w:vAlign w:val="center"/>
          </w:tcPr>
          <w:p w14:paraId="6438135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安全带</w:t>
            </w:r>
          </w:p>
        </w:tc>
        <w:tc>
          <w:tcPr>
            <w:tcW w:type="dxa" w:w="952"/>
            <w:vAlign w:val="center"/>
          </w:tcPr>
          <w:p w14:paraId="564B354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根</w:t>
            </w:r>
          </w:p>
        </w:tc>
        <w:tc>
          <w:tcPr>
            <w:tcW w:type="dxa" w:w="982"/>
            <w:vAlign w:val="center"/>
          </w:tcPr>
          <w:p w14:paraId="1E4850A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10</w:t>
            </w:r>
          </w:p>
        </w:tc>
        <w:tc>
          <w:tcPr>
            <w:tcW w:type="dxa" w:w="1707"/>
            <w:vAlign w:val="center"/>
          </w:tcPr>
          <w:p w14:paraId="574B8277">
            <w:pPr>
              <w:spacing w:line="240" w:lineRule="auto"/>
              <w:ind w:firstLine="0" w:firstLineChars="0"/>
              <w:jc w:val="center"/>
              <w:rPr>
                <w:rFonts w:ascii="宋体" w:cs="宋体" w:hAnsi="宋体" w:hint="eastAsia"/>
                <w:bCs/>
                <w:sz w:val="21"/>
                <w:szCs w:val="21"/>
              </w:rPr>
            </w:pPr>
          </w:p>
        </w:tc>
        <w:tc>
          <w:tcPr>
            <w:tcW w:type="dxa" w:w="1752"/>
            <w:vAlign w:val="center"/>
          </w:tcPr>
          <w:p w14:paraId="06D900FA">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49F160B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0261C92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19</w:t>
            </w:r>
          </w:p>
        </w:tc>
        <w:tc>
          <w:tcPr>
            <w:tcW w:type="dxa" w:w="2131"/>
            <w:vAlign w:val="center"/>
          </w:tcPr>
          <w:p w14:paraId="7C6DC9A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创可贴</w:t>
            </w:r>
          </w:p>
        </w:tc>
        <w:tc>
          <w:tcPr>
            <w:tcW w:type="dxa" w:w="952"/>
            <w:vAlign w:val="center"/>
          </w:tcPr>
          <w:p w14:paraId="1ADD331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盒</w:t>
            </w:r>
          </w:p>
        </w:tc>
        <w:tc>
          <w:tcPr>
            <w:tcW w:type="dxa" w:w="982"/>
            <w:vAlign w:val="center"/>
          </w:tcPr>
          <w:p w14:paraId="32FE68E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20</w:t>
            </w:r>
          </w:p>
        </w:tc>
        <w:tc>
          <w:tcPr>
            <w:tcW w:type="dxa" w:w="1707"/>
            <w:vAlign w:val="center"/>
          </w:tcPr>
          <w:p w14:paraId="650B3471">
            <w:pPr>
              <w:spacing w:line="240" w:lineRule="auto"/>
              <w:ind w:firstLine="0" w:firstLineChars="0"/>
              <w:jc w:val="center"/>
              <w:rPr>
                <w:rFonts w:ascii="宋体" w:cs="宋体" w:hAnsi="宋体" w:hint="eastAsia"/>
                <w:bCs/>
                <w:sz w:val="21"/>
                <w:szCs w:val="21"/>
              </w:rPr>
            </w:pPr>
          </w:p>
        </w:tc>
        <w:tc>
          <w:tcPr>
            <w:tcW w:type="dxa" w:w="1752"/>
            <w:vAlign w:val="center"/>
          </w:tcPr>
          <w:p w14:paraId="79E7BAA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42D18AED">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4C17BBE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20</w:t>
            </w:r>
          </w:p>
        </w:tc>
        <w:tc>
          <w:tcPr>
            <w:tcW w:type="dxa" w:w="2131"/>
            <w:vAlign w:val="center"/>
          </w:tcPr>
          <w:p w14:paraId="4591211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铁丝</w:t>
            </w:r>
          </w:p>
        </w:tc>
        <w:tc>
          <w:tcPr>
            <w:tcW w:type="dxa" w:w="952"/>
            <w:vAlign w:val="center"/>
          </w:tcPr>
          <w:p w14:paraId="6BAFD08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m</w:t>
            </w:r>
          </w:p>
        </w:tc>
        <w:tc>
          <w:tcPr>
            <w:tcW w:type="dxa" w:w="982"/>
            <w:vAlign w:val="center"/>
          </w:tcPr>
          <w:p w14:paraId="52DF2B4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100</w:t>
            </w:r>
          </w:p>
        </w:tc>
        <w:tc>
          <w:tcPr>
            <w:tcW w:type="dxa" w:w="1707"/>
            <w:vAlign w:val="center"/>
          </w:tcPr>
          <w:p w14:paraId="568BF5AB">
            <w:pPr>
              <w:spacing w:line="240" w:lineRule="auto"/>
              <w:ind w:firstLine="0" w:firstLineChars="0"/>
              <w:jc w:val="center"/>
              <w:rPr>
                <w:rFonts w:ascii="宋体" w:cs="宋体" w:hAnsi="宋体" w:hint="eastAsia"/>
                <w:bCs/>
                <w:sz w:val="21"/>
                <w:szCs w:val="21"/>
              </w:rPr>
            </w:pPr>
          </w:p>
        </w:tc>
        <w:tc>
          <w:tcPr>
            <w:tcW w:type="dxa" w:w="1752"/>
            <w:vAlign w:val="center"/>
          </w:tcPr>
          <w:p w14:paraId="525C87C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182ADFCE">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7BCB715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21</w:t>
            </w:r>
          </w:p>
        </w:tc>
        <w:tc>
          <w:tcPr>
            <w:tcW w:type="dxa" w:w="2131"/>
            <w:vAlign w:val="center"/>
          </w:tcPr>
          <w:p w14:paraId="46C7651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安全警示带</w:t>
            </w:r>
          </w:p>
        </w:tc>
        <w:tc>
          <w:tcPr>
            <w:tcW w:type="dxa" w:w="952"/>
            <w:vAlign w:val="center"/>
          </w:tcPr>
          <w:p w14:paraId="6A7D87B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卷</w:t>
            </w:r>
          </w:p>
        </w:tc>
        <w:tc>
          <w:tcPr>
            <w:tcW w:type="dxa" w:w="982"/>
            <w:vAlign w:val="center"/>
          </w:tcPr>
          <w:p w14:paraId="6CCC039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3</w:t>
            </w:r>
          </w:p>
        </w:tc>
        <w:tc>
          <w:tcPr>
            <w:tcW w:type="dxa" w:w="1707"/>
            <w:vAlign w:val="center"/>
          </w:tcPr>
          <w:p w14:paraId="69B3AE92">
            <w:pPr>
              <w:spacing w:line="240" w:lineRule="auto"/>
              <w:ind w:firstLine="0" w:firstLineChars="0"/>
              <w:jc w:val="center"/>
              <w:rPr>
                <w:rFonts w:ascii="宋体" w:cs="宋体" w:hAnsi="宋体" w:hint="eastAsia"/>
                <w:bCs/>
                <w:sz w:val="21"/>
                <w:szCs w:val="21"/>
              </w:rPr>
            </w:pPr>
          </w:p>
        </w:tc>
        <w:tc>
          <w:tcPr>
            <w:tcW w:type="dxa" w:w="1752"/>
            <w:vAlign w:val="center"/>
          </w:tcPr>
          <w:p w14:paraId="2D3CFFB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24FB261A">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3FD8B0E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22</w:t>
            </w:r>
          </w:p>
        </w:tc>
        <w:tc>
          <w:tcPr>
            <w:tcW w:type="dxa" w:w="2131"/>
            <w:vAlign w:val="center"/>
          </w:tcPr>
          <w:p w14:paraId="7706C02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雨衣</w:t>
            </w:r>
          </w:p>
        </w:tc>
        <w:tc>
          <w:tcPr>
            <w:tcW w:type="dxa" w:w="952"/>
            <w:vAlign w:val="center"/>
          </w:tcPr>
          <w:p w14:paraId="5906107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件</w:t>
            </w:r>
          </w:p>
        </w:tc>
        <w:tc>
          <w:tcPr>
            <w:tcW w:type="dxa" w:w="982"/>
            <w:vAlign w:val="center"/>
          </w:tcPr>
          <w:p w14:paraId="58B1F0DB">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20</w:t>
            </w:r>
          </w:p>
        </w:tc>
        <w:tc>
          <w:tcPr>
            <w:tcW w:type="dxa" w:w="1707"/>
            <w:vAlign w:val="center"/>
          </w:tcPr>
          <w:p w14:paraId="3D71DCAC">
            <w:pPr>
              <w:spacing w:line="240" w:lineRule="auto"/>
              <w:ind w:firstLine="0" w:firstLineChars="0"/>
              <w:jc w:val="center"/>
              <w:rPr>
                <w:rFonts w:ascii="宋体" w:cs="宋体" w:hAnsi="宋体" w:hint="eastAsia"/>
                <w:bCs/>
                <w:sz w:val="21"/>
                <w:szCs w:val="21"/>
              </w:rPr>
            </w:pPr>
          </w:p>
        </w:tc>
        <w:tc>
          <w:tcPr>
            <w:tcW w:type="dxa" w:w="1752"/>
            <w:vAlign w:val="center"/>
          </w:tcPr>
          <w:p w14:paraId="542B878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5A759990">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51F1880A">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23</w:t>
            </w:r>
          </w:p>
        </w:tc>
        <w:tc>
          <w:tcPr>
            <w:tcW w:type="dxa" w:w="2131"/>
            <w:vAlign w:val="center"/>
          </w:tcPr>
          <w:p w14:paraId="39FCC43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强力剪刀</w:t>
            </w:r>
          </w:p>
        </w:tc>
        <w:tc>
          <w:tcPr>
            <w:tcW w:type="dxa" w:w="952"/>
            <w:vAlign w:val="center"/>
          </w:tcPr>
          <w:p w14:paraId="31016BD8">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把</w:t>
            </w:r>
          </w:p>
        </w:tc>
        <w:tc>
          <w:tcPr>
            <w:tcW w:type="dxa" w:w="982"/>
            <w:vAlign w:val="center"/>
          </w:tcPr>
          <w:p w14:paraId="1E9317D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w:t>
            </w:r>
          </w:p>
        </w:tc>
        <w:tc>
          <w:tcPr>
            <w:tcW w:type="dxa" w:w="1707"/>
            <w:vAlign w:val="center"/>
          </w:tcPr>
          <w:p w14:paraId="0C062278">
            <w:pPr>
              <w:spacing w:line="240" w:lineRule="auto"/>
              <w:ind w:firstLine="0" w:firstLineChars="0"/>
              <w:jc w:val="center"/>
              <w:rPr>
                <w:rFonts w:ascii="宋体" w:cs="宋体" w:hAnsi="宋体" w:hint="eastAsia"/>
                <w:bCs/>
                <w:sz w:val="21"/>
                <w:szCs w:val="21"/>
              </w:rPr>
            </w:pPr>
          </w:p>
        </w:tc>
        <w:tc>
          <w:tcPr>
            <w:tcW w:type="dxa" w:w="1752"/>
            <w:vAlign w:val="center"/>
          </w:tcPr>
          <w:p w14:paraId="62651222">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6F081DA6">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6C9102C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24</w:t>
            </w:r>
          </w:p>
        </w:tc>
        <w:tc>
          <w:tcPr>
            <w:tcW w:type="dxa" w:w="2131"/>
            <w:vAlign w:val="center"/>
          </w:tcPr>
          <w:p w14:paraId="1224617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工具车</w:t>
            </w:r>
          </w:p>
        </w:tc>
        <w:tc>
          <w:tcPr>
            <w:tcW w:type="dxa" w:w="952"/>
            <w:vAlign w:val="center"/>
          </w:tcPr>
          <w:p w14:paraId="18BCC01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辆</w:t>
            </w:r>
          </w:p>
        </w:tc>
        <w:tc>
          <w:tcPr>
            <w:tcW w:type="dxa" w:w="982"/>
            <w:vAlign w:val="center"/>
          </w:tcPr>
          <w:p w14:paraId="1C23123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w:t>
            </w:r>
          </w:p>
        </w:tc>
        <w:tc>
          <w:tcPr>
            <w:tcW w:type="dxa" w:w="1707"/>
            <w:vAlign w:val="center"/>
          </w:tcPr>
          <w:p w14:paraId="087EC796">
            <w:pPr>
              <w:spacing w:line="240" w:lineRule="auto"/>
              <w:ind w:firstLine="0" w:firstLineChars="0"/>
              <w:jc w:val="center"/>
              <w:rPr>
                <w:rFonts w:ascii="宋体" w:cs="宋体" w:hAnsi="宋体" w:hint="eastAsia"/>
                <w:bCs/>
                <w:sz w:val="21"/>
                <w:szCs w:val="21"/>
              </w:rPr>
            </w:pPr>
          </w:p>
        </w:tc>
        <w:tc>
          <w:tcPr>
            <w:tcW w:type="dxa" w:w="1752"/>
            <w:vAlign w:val="center"/>
          </w:tcPr>
          <w:p w14:paraId="02BB85C9">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4B511701">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25665AE6">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25</w:t>
            </w:r>
          </w:p>
        </w:tc>
        <w:tc>
          <w:tcPr>
            <w:tcW w:type="dxa" w:w="2131"/>
            <w:vAlign w:val="center"/>
          </w:tcPr>
          <w:p w14:paraId="62BA0231">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应急照明灯</w:t>
            </w:r>
          </w:p>
        </w:tc>
        <w:tc>
          <w:tcPr>
            <w:tcW w:type="dxa" w:w="952"/>
            <w:vAlign w:val="center"/>
          </w:tcPr>
          <w:p w14:paraId="14F30D6F">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盏</w:t>
            </w:r>
          </w:p>
        </w:tc>
        <w:tc>
          <w:tcPr>
            <w:tcW w:type="dxa" w:w="982"/>
            <w:vAlign w:val="center"/>
          </w:tcPr>
          <w:p w14:paraId="4B5729EC">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5</w:t>
            </w:r>
          </w:p>
        </w:tc>
        <w:tc>
          <w:tcPr>
            <w:tcW w:type="dxa" w:w="1707"/>
            <w:vAlign w:val="center"/>
          </w:tcPr>
          <w:p w14:paraId="69F03154">
            <w:pPr>
              <w:spacing w:line="240" w:lineRule="auto"/>
              <w:ind w:firstLine="0" w:firstLineChars="0"/>
              <w:jc w:val="center"/>
              <w:rPr>
                <w:rFonts w:ascii="宋体" w:cs="宋体" w:hAnsi="宋体" w:hint="eastAsia"/>
                <w:bCs/>
                <w:sz w:val="21"/>
                <w:szCs w:val="21"/>
              </w:rPr>
            </w:pPr>
          </w:p>
        </w:tc>
        <w:tc>
          <w:tcPr>
            <w:tcW w:type="dxa" w:w="1752"/>
            <w:vAlign w:val="center"/>
          </w:tcPr>
          <w:p w14:paraId="3EA14140">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r w14:paraId="2CD7B253">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hRule="atLeast" w:val="20"/>
          <w:jc w:val="center"/>
        </w:trPr>
        <w:tc>
          <w:tcPr>
            <w:tcW w:type="dxa" w:w="1133"/>
            <w:vAlign w:val="center"/>
          </w:tcPr>
          <w:p w14:paraId="00EC6AA4">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26</w:t>
            </w:r>
          </w:p>
        </w:tc>
        <w:tc>
          <w:tcPr>
            <w:tcW w:type="dxa" w:w="2131"/>
            <w:vAlign w:val="center"/>
          </w:tcPr>
          <w:p w14:paraId="08C3D0ED">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沙袋</w:t>
            </w:r>
          </w:p>
        </w:tc>
        <w:tc>
          <w:tcPr>
            <w:tcW w:type="dxa" w:w="952"/>
            <w:vAlign w:val="center"/>
          </w:tcPr>
          <w:p w14:paraId="5B32C22E">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包</w:t>
            </w:r>
          </w:p>
        </w:tc>
        <w:tc>
          <w:tcPr>
            <w:tcW w:type="dxa" w:w="982"/>
            <w:vAlign w:val="center"/>
          </w:tcPr>
          <w:p w14:paraId="455038E3">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20</w:t>
            </w:r>
          </w:p>
        </w:tc>
        <w:tc>
          <w:tcPr>
            <w:tcW w:type="dxa" w:w="1707"/>
            <w:vAlign w:val="center"/>
          </w:tcPr>
          <w:p w14:paraId="31A33A47">
            <w:pPr>
              <w:spacing w:line="240" w:lineRule="auto"/>
              <w:ind w:firstLine="0" w:firstLineChars="0"/>
              <w:jc w:val="center"/>
              <w:rPr>
                <w:rFonts w:ascii="宋体" w:cs="宋体" w:hAnsi="宋体" w:hint="eastAsia"/>
                <w:bCs/>
                <w:sz w:val="21"/>
                <w:szCs w:val="21"/>
              </w:rPr>
            </w:pPr>
          </w:p>
        </w:tc>
        <w:tc>
          <w:tcPr>
            <w:tcW w:type="dxa" w:w="1752"/>
            <w:vAlign w:val="center"/>
          </w:tcPr>
          <w:p w14:paraId="5DFF7927">
            <w:pPr>
              <w:spacing w:line="240" w:lineRule="auto"/>
              <w:ind w:firstLine="0" w:firstLineChars="0"/>
              <w:jc w:val="center"/>
              <w:rPr>
                <w:rFonts w:ascii="宋体" w:cs="宋体" w:hAnsi="宋体" w:hint="eastAsia"/>
                <w:bCs/>
                <w:sz w:val="21"/>
                <w:szCs w:val="21"/>
              </w:rPr>
            </w:pPr>
            <w:r>
              <w:rPr>
                <w:rFonts w:ascii="宋体" w:cs="宋体" w:hAnsi="宋体" w:hint="eastAsia"/>
                <w:bCs/>
                <w:sz w:val="21"/>
                <w:szCs w:val="21"/>
              </w:rPr>
              <w:t>项目部</w:t>
            </w:r>
          </w:p>
        </w:tc>
      </w:tr>
    </w:tbl>
    <w:p w14:paraId="633F874A">
      <w:pPr>
        <w:pStyle w:val="3"/>
      </w:pPr>
      <w:bookmarkStart w:id="87" w:name="_Toc187956761"/>
      <w:r>
        <w:rPr>
          <w:rFonts w:hint="eastAsia"/>
        </w:rPr>
        <w:t>培训和演练</w:t>
      </w:r>
      <w:bookmarkEnd w:id="87"/>
    </w:p>
    <w:p w14:paraId="173617E6">
      <w:pPr>
        <w:pStyle w:val="4"/>
      </w:pPr>
      <w:bookmarkStart w:id="88" w:name="_Toc187956762"/>
      <w:r>
        <w:rPr>
          <w:rFonts w:hint="eastAsia"/>
        </w:rPr>
        <w:t>培训</w:t>
      </w:r>
      <w:bookmarkEnd w:id="88"/>
    </w:p>
    <w:p w14:paraId="113F8941">
      <w:pPr>
        <w:ind w:firstLine="480"/>
      </w:pPr>
      <w:r>
        <w:rPr>
          <w:rFonts w:hint="eastAsia"/>
        </w:rPr>
        <w:t>（1）根据受训人员和工作岗位的不同，选择培训内容，制定培训计划，同时对应急领导小组成员每年进行不少于两次培训。</w:t>
      </w:r>
    </w:p>
    <w:p w14:paraId="4D814D04">
      <w:pPr>
        <w:ind w:firstLine="480"/>
      </w:pPr>
      <w:r>
        <w:rPr>
          <w:rFonts w:hint="eastAsia"/>
        </w:rPr>
        <w:t>（2）培训内容：支架施工工艺和安全知识；鉴别异常情况并及时上报的能力与意识；如何正确处理各种事故；自救与互救能力；各种救援器材和工具使用知识；与上下级联系的方法和各种信号的含义；工作岗位存在哪些危险隐患；防护用具的使用和自制简单防护用具；紧急状态下如何行动；安全心理学。</w:t>
      </w:r>
    </w:p>
    <w:p w14:paraId="74747A73">
      <w:pPr>
        <w:pStyle w:val="4"/>
      </w:pPr>
      <w:bookmarkStart w:id="89" w:name="_Toc187956763"/>
      <w:r>
        <w:rPr>
          <w:rFonts w:hint="eastAsia"/>
        </w:rPr>
        <w:t>演练</w:t>
      </w:r>
      <w:bookmarkEnd w:id="89"/>
    </w:p>
    <w:p w14:paraId="338A927A">
      <w:pPr>
        <w:ind w:firstLine="480"/>
      </w:pPr>
      <w:r>
        <w:rPr>
          <w:rFonts w:hint="eastAsia"/>
        </w:rPr>
        <w:t>项目队按照假设的事故情景，每年至少自制一次现场模拟演练，将演练方案及经过记录在案，并及时总结演练情况，对应急响应的有效性进行评价。</w:t>
      </w:r>
    </w:p>
    <w:p w14:paraId="6622202B">
      <w:pPr>
        <w:pStyle w:val="4"/>
      </w:pPr>
      <w:bookmarkStart w:id="90" w:name="_Toc187956764"/>
      <w:r>
        <w:rPr>
          <w:rFonts w:hint="eastAsia"/>
        </w:rPr>
        <w:t>应急结束</w:t>
      </w:r>
      <w:bookmarkEnd w:id="90"/>
    </w:p>
    <w:p w14:paraId="46390742">
      <w:pPr>
        <w:ind w:firstLine="480"/>
      </w:pPr>
      <w:r>
        <w:rPr>
          <w:rFonts w:hint="eastAsia"/>
        </w:rPr>
        <w:t>事故应急救援行动结束后应尽快处理善后赔偿，整理、恢复、补充应急物资设备，恢复生产秩序，开展各类针对性的安全培训，及时对本次应急救援进行总结，进一步完善应急救援体系和救援程序，修订预案中不完善之处。</w:t>
      </w:r>
    </w:p>
    <w:p w14:paraId="64B2763D">
      <w:pPr>
        <w:pStyle w:val="3"/>
      </w:pPr>
      <w:bookmarkStart w:id="91" w:name="_Toc187956765"/>
      <w:r>
        <w:rPr>
          <w:rFonts w:hint="eastAsia"/>
        </w:rPr>
        <w:t>外部救援机构</w:t>
      </w:r>
      <w:bookmarkEnd w:id="91"/>
    </w:p>
    <w:p w14:paraId="4970FFF5">
      <w:pPr>
        <w:ind w:firstLine="480"/>
      </w:pPr>
      <w:r>
        <w:rPr>
          <w:rFonts w:hint="eastAsia"/>
        </w:rPr>
        <w:t>项目部先与地方医院、宾馆建立正式的互助协议，以便在事故发生后及时得到外部救援力量和资源的援助。</w:t>
      </w:r>
    </w:p>
    <w:p w14:paraId="7C8777EB">
      <w:pPr>
        <w:ind w:firstLine="480"/>
      </w:pPr>
      <w:r>
        <w:rPr>
          <w:rFonts w:hint="eastAsia"/>
        </w:rPr>
        <w:t>一旦发生受伤严重事故，应立即组织人员对受伤人员进行抢救同时组织施工指挥车对人员进行运送，并联附近医院的紧急救护车赶往事故现场，在运输途中把受伤人员转移到救护车上进行更好的施救，争分夺秒使受伤人员得到及时的救治，使伤亡降至最低。外部救援机构联系方式如下：</w:t>
      </w:r>
    </w:p>
    <w:tbl>
      <w:tblPr>
        <w:tblStyle w:val="16"/>
        <w:tblW w:type="auto" w:w="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autofit"/>
        <w:tblCellMar>
          <w:top w:type="dxa" w:w="0"/>
          <w:left w:type="dxa" w:w="108"/>
          <w:bottom w:type="dxa" w:w="0"/>
          <w:right w:type="dxa" w:w="108"/>
        </w:tblCellMar>
      </w:tblPr>
      <w:tblGrid>
        <w:gridCol w:w="1266"/>
        <w:gridCol w:w="2596"/>
        <w:gridCol w:w="3368"/>
      </w:tblGrid>
      <w:tr w14:paraId="75F9A5F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auto" w:w="0"/>
          </w:tcPr>
          <w:p w14:paraId="6FD92B11">
            <w:pPr>
              <w:ind w:firstLine="0" w:firstLineChars="0"/>
              <w:jc w:val="center"/>
              <w:rPr>
                <w:sz w:val="21"/>
                <w:szCs w:val="32"/>
              </w:rPr>
            </w:pPr>
            <w:r>
              <w:rPr>
                <w:rFonts w:hint="eastAsia"/>
                <w:sz w:val="21"/>
                <w:szCs w:val="32"/>
              </w:rPr>
              <w:t>急救中心</w:t>
            </w:r>
          </w:p>
        </w:tc>
        <w:tc>
          <w:tcPr>
            <w:tcW w:type="auto" w:w="0"/>
          </w:tcPr>
          <w:p w14:paraId="795611E6">
            <w:pPr>
              <w:ind w:firstLine="0" w:firstLineChars="0"/>
              <w:jc w:val="center"/>
              <w:rPr>
                <w:sz w:val="21"/>
                <w:szCs w:val="32"/>
              </w:rPr>
            </w:pPr>
            <w:r>
              <w:rPr>
                <w:rFonts w:hint="eastAsia"/>
                <w:sz w:val="21"/>
                <w:szCs w:val="32"/>
              </w:rPr>
              <w:t>联系电话：120</w:t>
            </w:r>
          </w:p>
        </w:tc>
        <w:tc>
          <w:tcPr>
            <w:tcW w:type="dxa" w:w="3368"/>
          </w:tcPr>
          <w:p w14:paraId="102B2310">
            <w:pPr>
              <w:ind w:firstLine="0" w:firstLineChars="0"/>
              <w:jc w:val="center"/>
              <w:rPr>
                <w:rFonts w:hint="eastAsia"/>
                <w:sz w:val="21"/>
                <w:szCs w:val="32"/>
              </w:rPr>
            </w:pPr>
          </w:p>
        </w:tc>
      </w:tr>
      <w:tr w14:paraId="33B95065">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auto" w:w="0"/>
          </w:tcPr>
          <w:p w14:paraId="05607628">
            <w:pPr>
              <w:ind w:firstLine="0" w:firstLineChars="0"/>
              <w:jc w:val="center"/>
              <w:rPr>
                <w:sz w:val="21"/>
                <w:szCs w:val="32"/>
              </w:rPr>
            </w:pPr>
            <w:r>
              <w:rPr>
                <w:rFonts w:hint="eastAsia"/>
                <w:sz w:val="21"/>
                <w:szCs w:val="32"/>
              </w:rPr>
              <w:t>消防大队</w:t>
            </w:r>
          </w:p>
        </w:tc>
        <w:tc>
          <w:tcPr>
            <w:tcW w:type="auto" w:w="0"/>
          </w:tcPr>
          <w:p w14:paraId="60A1A164">
            <w:pPr>
              <w:ind w:firstLine="0" w:firstLineChars="0"/>
              <w:jc w:val="center"/>
              <w:rPr>
                <w:sz w:val="21"/>
                <w:szCs w:val="32"/>
              </w:rPr>
            </w:pPr>
            <w:r>
              <w:rPr>
                <w:rFonts w:hint="eastAsia"/>
                <w:sz w:val="21"/>
                <w:szCs w:val="32"/>
              </w:rPr>
              <w:t>报警电话：119</w:t>
            </w:r>
          </w:p>
        </w:tc>
        <w:tc>
          <w:tcPr>
            <w:tcW w:type="dxa" w:w="3368"/>
          </w:tcPr>
          <w:p w14:paraId="58CB0CD7">
            <w:pPr>
              <w:ind w:firstLine="0" w:firstLineChars="0"/>
              <w:jc w:val="center"/>
              <w:rPr>
                <w:rFonts w:hint="eastAsia"/>
                <w:sz w:val="21"/>
                <w:szCs w:val="32"/>
              </w:rPr>
            </w:pPr>
          </w:p>
        </w:tc>
      </w:tr>
      <w:tr w14:paraId="382EDBF0">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auto" w:w="0"/>
          </w:tcPr>
          <w:p w14:paraId="674E0F13">
            <w:pPr>
              <w:ind w:firstLine="0" w:firstLineChars="0"/>
              <w:jc w:val="center"/>
              <w:rPr>
                <w:sz w:val="21"/>
                <w:szCs w:val="32"/>
              </w:rPr>
            </w:pPr>
            <w:r>
              <w:rPr>
                <w:rFonts w:hint="eastAsia"/>
                <w:sz w:val="21"/>
                <w:szCs w:val="32"/>
              </w:rPr>
              <w:t>公安机关</w:t>
            </w:r>
          </w:p>
        </w:tc>
        <w:tc>
          <w:tcPr>
            <w:tcW w:type="auto" w:w="0"/>
          </w:tcPr>
          <w:p w14:paraId="38A54AAF">
            <w:pPr>
              <w:ind w:firstLine="0" w:firstLineChars="0"/>
              <w:jc w:val="center"/>
              <w:rPr>
                <w:sz w:val="21"/>
                <w:szCs w:val="32"/>
              </w:rPr>
            </w:pPr>
            <w:r>
              <w:rPr>
                <w:rFonts w:hint="eastAsia"/>
                <w:sz w:val="21"/>
                <w:szCs w:val="32"/>
              </w:rPr>
              <w:t>报警电话：110</w:t>
            </w:r>
          </w:p>
        </w:tc>
        <w:tc>
          <w:tcPr>
            <w:tcW w:type="dxa" w:w="3368"/>
          </w:tcPr>
          <w:p w14:paraId="42470195">
            <w:pPr>
              <w:ind w:firstLine="0" w:firstLineChars="0"/>
              <w:jc w:val="center"/>
              <w:rPr>
                <w:rFonts w:hint="eastAsia"/>
                <w:sz w:val="21"/>
                <w:szCs w:val="32"/>
              </w:rPr>
            </w:pPr>
          </w:p>
        </w:tc>
      </w:tr>
      <w:tr w14:paraId="7BD651CD">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auto" w:w="0"/>
            <w:vAlign w:val="center"/>
          </w:tcPr>
          <w:p w14:paraId="78B86126">
            <w:pPr>
              <w:ind w:firstLine="0" w:firstLineChars="0"/>
              <w:jc w:val="center"/>
              <w:rPr>
                <w:sz w:val="21"/>
                <w:szCs w:val="32"/>
              </w:rPr>
            </w:pPr>
            <w:r>
              <w:rPr>
                <w:rFonts w:hint="eastAsia"/>
                <w:sz w:val="21"/>
                <w:szCs w:val="32"/>
              </w:rPr>
              <w:t>供电机关</w:t>
            </w:r>
          </w:p>
        </w:tc>
        <w:tc>
          <w:tcPr>
            <w:tcW w:type="auto" w:w="0"/>
            <w:vAlign w:val="center"/>
          </w:tcPr>
          <w:p w14:paraId="5473DC46">
            <w:pPr>
              <w:ind w:firstLine="0" w:firstLineChars="0"/>
              <w:jc w:val="center"/>
              <w:rPr>
                <w:sz w:val="21"/>
                <w:szCs w:val="32"/>
              </w:rPr>
            </w:pPr>
            <w:r>
              <w:rPr>
                <w:rFonts w:hint="eastAsia"/>
                <w:sz w:val="21"/>
                <w:szCs w:val="32"/>
              </w:rPr>
              <w:t>抢修电话：95598</w:t>
            </w:r>
          </w:p>
        </w:tc>
        <w:tc>
          <w:tcPr>
            <w:tcW w:type="dxa" w:w="3368"/>
          </w:tcPr>
          <w:p w14:paraId="61DF835A">
            <w:pPr>
              <w:ind w:firstLine="0" w:firstLineChars="0"/>
              <w:jc w:val="center"/>
              <w:rPr>
                <w:rFonts w:hint="eastAsia"/>
                <w:sz w:val="21"/>
                <w:szCs w:val="32"/>
              </w:rPr>
            </w:pPr>
          </w:p>
        </w:tc>
      </w:tr>
      <w:tr w14:paraId="539E3B4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auto" w:w="0"/>
            <w:shd w:color="auto" w:fill="auto" w:val="clear"/>
            <w:vAlign w:val="center"/>
          </w:tcPr>
          <w:p w14:paraId="680D26A6">
            <w:pPr>
              <w:ind w:firstLine="0" w:firstLineChars="0"/>
              <w:jc w:val="center"/>
              <w:rPr>
                <w:sz w:val="21"/>
                <w:szCs w:val="32"/>
              </w:rPr>
            </w:pPr>
            <w:r>
              <w:rPr>
                <w:rFonts w:hint="eastAsia"/>
                <w:sz w:val="21"/>
                <w:szCs w:val="32"/>
              </w:rPr>
              <w:t>安溪中医院</w:t>
            </w:r>
          </w:p>
        </w:tc>
        <w:tc>
          <w:tcPr>
            <w:tcW w:type="auto" w:w="0"/>
            <w:shd w:color="auto" w:fill="auto" w:val="clear"/>
            <w:vAlign w:val="center"/>
          </w:tcPr>
          <w:p w14:paraId="5B908DD6">
            <w:pPr>
              <w:ind w:firstLine="0" w:firstLineChars="0"/>
              <w:jc w:val="center"/>
              <w:rPr>
                <w:sz w:val="21"/>
                <w:szCs w:val="32"/>
              </w:rPr>
            </w:pPr>
            <w:r>
              <w:rPr>
                <w:rFonts w:hint="eastAsia"/>
                <w:sz w:val="21"/>
                <w:szCs w:val="32"/>
              </w:rPr>
              <w:t>联系电话：0595-</w:t>
            </w:r>
            <w:r>
              <w:rPr>
                <w:sz w:val="21"/>
                <w:szCs w:val="32"/>
              </w:rPr>
              <w:t>68786120</w:t>
            </w:r>
          </w:p>
        </w:tc>
        <w:tc>
          <w:tcPr>
            <w:tcW w:type="dxa" w:w="3368"/>
          </w:tcPr>
          <w:p w14:paraId="786BB2C1">
            <w:pPr>
              <w:ind w:firstLine="0" w:firstLineChars="0"/>
              <w:jc w:val="center"/>
              <w:rPr>
                <w:rFonts w:hint="eastAsia"/>
                <w:sz w:val="21"/>
                <w:szCs w:val="32"/>
              </w:rPr>
            </w:pPr>
            <w:r>
              <w:rPr>
                <w:rFonts w:hint="eastAsia"/>
                <w:sz w:val="21"/>
                <w:szCs w:val="32"/>
              </w:rPr>
              <w:t>凤城镇八三一路178号，3.9公里</w:t>
            </w:r>
          </w:p>
        </w:tc>
      </w:tr>
    </w:tbl>
    <w:p w14:paraId="58687BAA">
      <w:pPr>
        <w:pStyle w:val="34"/>
        <w:rPr>
          <w:rFonts w:ascii="宋体" w:hAnsi="宋体"/>
        </w:rPr>
      </w:pPr>
    </w:p>
    <w:p w14:paraId="229F771D">
      <w:pPr>
        <w:pStyle w:val="34"/>
        <w:rPr>
          <w:rFonts w:ascii="宋体" w:hAnsi="宋体" w:hint="eastAsia"/>
        </w:rPr>
      </w:pPr>
      <w:r>
        <w:rPr>
          <w:rFonts w:hint="eastAsia"/>
        </w:rPr>
        <w:drawing>
          <wp:inline distB="0" distL="114300" distR="114300" distT="0">
            <wp:extent cx="2238375" cy="3073400"/>
            <wp:effectExtent b="0" l="0" r="9525" t="0"/>
            <wp:docPr descr="1709378393124" id="104" name="图片 13"/>
            <wp:cNvGraphicFramePr>
              <a:graphicFrameLocks xmlns:a="http://schemas.openxmlformats.org/drawingml/2006/main" noChangeAspect="1"/>
              <a:extLst xmlns:a="http://schemas.openxmlformats.org/drawingml/2006/main">
                <a:ext uri="{7FBC4E63-A832-4D11-8238-D91031DB1400}">
                  <s:tag xmlns:s="http://www.wps.cn/officeDocument/2013/wpsCustomData" xmlns="http://www.wps.cn/officeDocument/2013/wpsCustomData">
                    <s:item s:name="picid" s:val="{94804c18-9e4f-432c-b0bc-66fc288c0bed}"/>
                  </s:tag>
                </a:ext>
              </a:extLst>
            </wp:cNvGraphicFramePr>
            <a:graphic xmlns:a="http://schemas.openxmlformats.org/drawingml/2006/main">
              <a:graphicData uri="http://schemas.openxmlformats.org/drawingml/2006/picture">
                <pic:pic xmlns:pic="http://schemas.openxmlformats.org/drawingml/2006/picture">
                  <pic:nvPicPr>
                    <pic:cNvPr descr="1709378393124" id="104" name="图片 13"/>
                    <pic:cNvPicPr>
                      <a:picLocks noChangeAspect="1"/>
                    </pic:cNvPicPr>
                  </pic:nvPicPr>
                  <pic:blipFill>
                    <a:blip r:embed="rId55"/>
                    <a:stretch>
                      <a:fillRect/>
                    </a:stretch>
                  </pic:blipFill>
                  <pic:spPr>
                    <a:xfrm>
                      <a:off x="0" y="0"/>
                      <a:ext cx="2238375" cy="3073400"/>
                    </a:xfrm>
                    <a:prstGeom prst="rect">
                      <a:avLst/>
                    </a:prstGeom>
                    <a:noFill/>
                    <a:ln>
                      <a:noFill/>
                    </a:ln>
                  </pic:spPr>
                </pic:pic>
              </a:graphicData>
            </a:graphic>
          </wp:inline>
        </w:drawing>
      </w:r>
    </w:p>
    <w:p w14:paraId="6D8F811D">
      <w:pPr>
        <w:pStyle w:val="34"/>
        <w:rPr>
          <w:rFonts w:hint="eastAsia"/>
        </w:rPr>
      </w:pPr>
      <w:r>
        <w:rPr>
          <w:rFonts w:hint="eastAsia"/>
        </w:rPr>
        <w:t>图7.8-1 安溪中医院线路图</w:t>
      </w:r>
    </w:p>
    <w:p w14:paraId="2B03448F">
      <w:pPr>
        <w:pStyle w:val="2"/>
        <w:bidi w:val="0"/>
        <w:rPr>
          <w:rFonts w:hint="eastAsia"/>
          <w:lang w:eastAsia="zh-CN" w:val="en-US"/>
        </w:rPr>
      </w:pPr>
      <w:bookmarkStart w:id="92" w:name="_Toc2027"/>
      <w:r>
        <w:rPr>
          <w:rFonts w:hint="eastAsia"/>
          <w:lang w:eastAsia="zh-CN" w:val="en-US"/>
        </w:rPr>
        <w:t>安全保障措施</w:t>
      </w:r>
      <w:bookmarkEnd w:id="92"/>
    </w:p>
    <w:p w14:paraId="5E4DAFA2">
      <w:pPr>
        <w:pStyle w:val="4"/>
        <w:numPr>
          <w:ilvl w:val="2"/>
          <w:numId w:val="0"/>
        </w:numPr>
        <w:ind w:firstLine="482" w:firstLineChars="0" w:left="0" w:leftChars="0"/>
        <w:rPr>
          <w:rFonts w:ascii="Times New Roman" w:cs="Times New Roman" w:eastAsia="宋体" w:hAnsi="Times New Roman" w:hint="default"/>
          <w:lang w:eastAsia="zh-CN" w:val="en-US"/>
        </w:rPr>
      </w:pPr>
      <w:r>
        <w:rPr>
          <w:rFonts w:ascii="Times New Roman" w:cs="Times New Roman" w:eastAsia="宋体" w:hAnsi="Times New Roman" w:hint="eastAsia"/>
          <w:lang w:eastAsia="zh-CN" w:val="en-US"/>
        </w:rPr>
        <w:t>8.1技术保障</w:t>
      </w:r>
    </w:p>
    <w:p w14:paraId="06AA58DE">
      <w:pPr>
        <w:ind w:firstLine="480"/>
        <w:rPr>
          <w:rFonts w:ascii="Times New Roman" w:hAnsi="Times New Roman" w:hint="eastAsia"/>
          <w:lang w:eastAsia="zh-CN" w:val="en-US"/>
        </w:rPr>
      </w:pPr>
      <w:r>
        <w:rPr>
          <w:rFonts w:hint="eastAsia"/>
        </w:rPr>
        <w:t>（</w:t>
      </w:r>
      <w:r>
        <w:rPr>
          <w:rFonts w:ascii="Times New Roman" w:hAnsi="Times New Roman" w:hint="eastAsia"/>
          <w:lang w:eastAsia="zh-CN" w:val="en-US"/>
        </w:rPr>
        <w:t>（1）工程开工前，集中有关技术人员仔细审阅图纸，将不清或不明的问题汇总后报监理、设计人员及时解决。</w:t>
      </w:r>
    </w:p>
    <w:p w14:paraId="7AE76A2C">
      <w:pPr>
        <w:ind w:firstLine="480"/>
        <w:rPr>
          <w:rFonts w:ascii="Times New Roman" w:hAnsi="Times New Roman" w:hint="eastAsia"/>
          <w:lang w:eastAsia="zh-CN" w:val="en-US"/>
        </w:rPr>
      </w:pPr>
      <w:r>
        <w:rPr>
          <w:rFonts w:ascii="Times New Roman" w:hAnsi="Times New Roman" w:hint="eastAsia"/>
          <w:lang w:eastAsia="zh-CN" w:val="en-US"/>
        </w:rPr>
        <w:t>（2）组织进行墩柱施工技术交底。由项目总工向管理人员、技术人员和施工班组管理人员进行交底，并组织班组技术人员熟悉施工技术规范，质量检验评定标准和有关环保、文明施工、交通管制等文件。各工序施工前均由现场技术负责人对施工班组进行交底。</w:t>
      </w:r>
    </w:p>
    <w:p w14:paraId="18A45694">
      <w:pPr>
        <w:pStyle w:val="4"/>
        <w:numPr>
          <w:ilvl w:val="2"/>
          <w:numId w:val="0"/>
        </w:numPr>
        <w:ind w:firstLine="482" w:firstLineChars="0" w:left="0" w:leftChars="0"/>
      </w:pPr>
      <w:r>
        <w:rPr>
          <w:rFonts w:hint="eastAsia"/>
          <w:lang w:eastAsia="zh-CN" w:val="en-US"/>
        </w:rPr>
        <w:t>8.2</w:t>
      </w:r>
      <w:r>
        <w:rPr>
          <w:rFonts w:ascii="宋体" w:hAnsi="宋体" w:hint="eastAsia"/>
        </w:rPr>
        <w:t>加强内部管理措施</w:t>
      </w:r>
    </w:p>
    <w:p w14:paraId="52EF4006">
      <w:pPr>
        <w:ind w:firstLine="480"/>
      </w:pPr>
      <w:r>
        <w:t>1</w:t>
      </w:r>
      <w:r>
        <w:rPr>
          <w:rFonts w:ascii="宋体" w:hAnsi="宋体" w:hint="eastAsia"/>
        </w:rPr>
        <w:t>、制定施工组织设计，编制详细的质量保证措施，没有质量保证措施不许开工。质量保证体系和措施不完善或没有落实的，停工整顿，达到要求后再继续施工。</w:t>
      </w:r>
    </w:p>
    <w:p w14:paraId="1A7A3E3C">
      <w:pPr>
        <w:ind w:firstLine="480"/>
      </w:pPr>
      <w:r>
        <w:t>2</w:t>
      </w:r>
      <w:r>
        <w:rPr>
          <w:rFonts w:ascii="宋体" w:hAnsi="宋体" w:hint="eastAsia"/>
        </w:rPr>
        <w:t>、坚持三级测量复核制，各测量</w:t>
      </w:r>
      <w:r>
        <w:rPr>
          <w:rFonts w:ascii="宋体" w:hAnsi="宋体" w:hint="eastAsia"/>
          <w:lang w:eastAsia="zh-CN" w:val="en-US"/>
        </w:rPr>
        <w:t>点位</w:t>
      </w:r>
      <w:r>
        <w:rPr>
          <w:rFonts w:ascii="宋体" w:hAnsi="宋体" w:hint="eastAsia"/>
        </w:rPr>
        <w:t>认真保护，施工测量放线要反复校核。认真进行交接班，确保放样及结构物尺寸位置正确。</w:t>
      </w:r>
    </w:p>
    <w:p w14:paraId="6F4B81A2">
      <w:pPr>
        <w:ind w:firstLine="480"/>
      </w:pPr>
      <w:r>
        <w:t>3</w:t>
      </w:r>
      <w:r>
        <w:rPr>
          <w:rFonts w:ascii="宋体" w:hAnsi="宋体" w:hint="eastAsia"/>
        </w:rPr>
        <w:t>、施工所用的各种检验、测量、试验仪器设备定期进行校核和检定，确保仪器设备的精度和准确度。</w:t>
      </w:r>
    </w:p>
    <w:p w14:paraId="29758833">
      <w:pPr>
        <w:ind w:firstLine="480"/>
      </w:pPr>
      <w:r>
        <w:t>4</w:t>
      </w:r>
      <w:r>
        <w:rPr>
          <w:rFonts w:ascii="宋体" w:hAnsi="宋体" w:hint="eastAsia"/>
        </w:rPr>
        <w:t>、要把好各工序质量检验关，在施工过程中不定时的对工序进行检查，并报监理工程师检查</w:t>
      </w:r>
      <w:r>
        <w:rPr>
          <w:rFonts w:ascii="宋体" w:hAnsi="宋体" w:hint="eastAsia"/>
          <w:lang w:eastAsia="zh-CN" w:val="en-US"/>
        </w:rPr>
        <w:t>验收</w:t>
      </w:r>
      <w:r>
        <w:rPr>
          <w:rFonts w:ascii="宋体" w:hAnsi="宋体" w:hint="eastAsia"/>
        </w:rPr>
        <w:t>。</w:t>
      </w:r>
    </w:p>
    <w:p w14:paraId="01416103">
      <w:pPr>
        <w:ind w:firstLine="480"/>
      </w:pPr>
      <w:r>
        <w:t>5</w:t>
      </w:r>
      <w:r>
        <w:rPr>
          <w:rFonts w:ascii="宋体" w:hAnsi="宋体" w:hint="eastAsia"/>
        </w:rPr>
        <w:t>、</w:t>
      </w:r>
      <w:r>
        <w:rPr>
          <w:rFonts w:ascii="宋体" w:hAnsi="宋体" w:hint="eastAsia"/>
          <w:lang w:eastAsia="zh-CN" w:val="en-US"/>
        </w:rPr>
        <w:t>对投入的</w:t>
      </w:r>
      <w:r>
        <w:rPr>
          <w:rFonts w:ascii="宋体" w:hAnsi="宋体" w:hint="eastAsia"/>
        </w:rPr>
        <w:t>机械设备，加强其维修和管理，以完好的施工机械确保工程质量。</w:t>
      </w:r>
    </w:p>
    <w:p w14:paraId="3E6D5074">
      <w:pPr>
        <w:ind w:firstLine="480"/>
      </w:pPr>
      <w:r>
        <w:rPr>
          <w:rFonts w:hint="eastAsia"/>
        </w:rPr>
        <w:t>6</w:t>
      </w:r>
      <w:r>
        <w:rPr>
          <w:rFonts w:ascii="宋体" w:hAnsi="宋体" w:hint="eastAsia"/>
        </w:rPr>
        <w:t>、坚持实行三级交底制度，在项目部施工前由总工对项目全体管理人员进行施工方案交底，明确各自的施工工艺流程、施工重难点、施工控制要点、验收标准、施工红线、安全红线及职责；待作业队伍进场时由项目部技术员对作业队伍进行质量、安全及环保交底，明确作业队伍内部人员的各自施工任务、施工工艺、施工流程、施工验收标准、作业危险源及隐患防治措施。</w:t>
      </w:r>
    </w:p>
    <w:p w14:paraId="2E9CF1C7">
      <w:pPr>
        <w:adjustRightInd w:val="0"/>
        <w:snapToGrid w:val="0"/>
        <w:ind w:firstLine="480"/>
      </w:pPr>
      <w:r>
        <w:rPr>
          <w:rFonts w:hint="eastAsia"/>
        </w:rPr>
        <w:t>7</w:t>
      </w:r>
      <w:r>
        <w:rPr>
          <w:rFonts w:ascii="宋体" w:hAnsi="宋体" w:hint="eastAsia"/>
        </w:rPr>
        <w:t>、施工队伍人员需按要求完成三级安全教育后方可进场施工。</w:t>
      </w:r>
    </w:p>
    <w:p w14:paraId="7775A0DB">
      <w:pPr>
        <w:ind w:firstLine="480"/>
      </w:pPr>
      <w:bookmarkStart w:id="93" w:name="_Toc23298"/>
      <w:bookmarkEnd w:id="93"/>
      <w:r>
        <w:rPr>
          <w:rFonts w:ascii="宋体" w:hAnsi="宋体" w:hint="eastAsia"/>
          <w:lang w:eastAsia="zh-CN" w:val="en-US"/>
        </w:rPr>
        <w:t>8、</w:t>
      </w:r>
      <w:r>
        <w:rPr>
          <w:rFonts w:ascii="宋体" w:hAnsi="宋体"/>
        </w:rPr>
        <w:t>落实施工机械设备进场报验，并经检验、检测合格，上报监理</w:t>
      </w:r>
      <w:r>
        <w:rPr>
          <w:rFonts w:ascii="宋体" w:hAnsi="宋体" w:hint="eastAsia"/>
          <w:lang w:eastAsia="zh-CN" w:val="en-US"/>
        </w:rPr>
        <w:t>办</w:t>
      </w:r>
      <w:r>
        <w:rPr>
          <w:rFonts w:ascii="宋体" w:hAnsi="宋体"/>
        </w:rPr>
        <w:t>，获得批准后方可施工；对现场施工人员，进行</w:t>
      </w:r>
      <w:r>
        <w:rPr>
          <w:rFonts w:ascii="宋体" w:hAnsi="宋体" w:hint="eastAsia"/>
          <w:lang w:eastAsia="zh-CN" w:val="en-US"/>
        </w:rPr>
        <w:t>下构施工</w:t>
      </w:r>
      <w:r>
        <w:rPr>
          <w:rFonts w:ascii="宋体" w:hAnsi="宋体"/>
        </w:rPr>
        <w:t>安全操作、安全培训；特种作业人员持证上岗；对安全设施、设备的防护，以及施工人员安全防护用品的检查验收；临时用电严格按照</w:t>
      </w:r>
      <w:r>
        <w:t>“</w:t>
      </w:r>
      <w:r>
        <w:rPr>
          <w:rFonts w:ascii="宋体" w:hAnsi="宋体"/>
        </w:rPr>
        <w:t>三级配电</w:t>
      </w:r>
      <w:r>
        <w:t>”“</w:t>
      </w:r>
      <w:r>
        <w:rPr>
          <w:rFonts w:ascii="宋体" w:hAnsi="宋体"/>
        </w:rPr>
        <w:t>一机一闸一箱一漏</w:t>
      </w:r>
      <w:r>
        <w:t>”</w:t>
      </w:r>
      <w:r>
        <w:rPr>
          <w:rFonts w:ascii="宋体" w:hAnsi="宋体"/>
        </w:rPr>
        <w:t>规定配置；加强现场安全巡查和施工现场安全管理。</w:t>
      </w:r>
      <w:bookmarkStart w:id="94" w:name="_Toc297647199"/>
      <w:bookmarkEnd w:id="94"/>
      <w:bookmarkStart w:id="95" w:name="_Toc318204398"/>
      <w:bookmarkEnd w:id="95"/>
      <w:bookmarkStart w:id="96" w:name="_Toc326479174"/>
      <w:bookmarkEnd w:id="96"/>
      <w:bookmarkStart w:id="97" w:name="_Toc326054275"/>
      <w:bookmarkEnd w:id="97"/>
      <w:bookmarkStart w:id="98" w:name="_Toc28185"/>
      <w:bookmarkEnd w:id="98"/>
      <w:bookmarkStart w:id="99" w:name="_Toc326487217"/>
      <w:bookmarkEnd w:id="99"/>
      <w:bookmarkStart w:id="100" w:name="_Toc338251601"/>
      <w:bookmarkEnd w:id="100"/>
      <w:bookmarkStart w:id="101" w:name="_Toc326414528"/>
      <w:bookmarkEnd w:id="101"/>
      <w:bookmarkStart w:id="102" w:name="_Toc318205158"/>
      <w:bookmarkEnd w:id="102"/>
      <w:bookmarkStart w:id="103" w:name="_Toc20054"/>
      <w:bookmarkEnd w:id="103"/>
    </w:p>
    <w:p w14:paraId="2FC78D00">
      <w:pPr>
        <w:pStyle w:val="4"/>
        <w:numPr>
          <w:ilvl w:val="2"/>
          <w:numId w:val="0"/>
        </w:numPr>
        <w:ind w:firstLine="482" w:firstLineChars="0" w:left="0" w:leftChars="0"/>
        <w:rPr>
          <w:rFonts w:ascii="Times New Roman" w:cs="Times New Roman" w:eastAsia="宋体" w:hAnsi="Times New Roman" w:hint="eastAsia"/>
          <w:lang w:eastAsia="zh-CN" w:val="en-US"/>
        </w:rPr>
      </w:pPr>
      <w:bookmarkStart w:id="104" w:name="_Toc16591"/>
      <w:bookmarkEnd w:id="104"/>
      <w:bookmarkStart w:id="105" w:name="_Toc338251602"/>
      <w:bookmarkEnd w:id="105"/>
      <w:bookmarkStart w:id="106" w:name="_Toc186083130"/>
      <w:bookmarkEnd w:id="106"/>
      <w:bookmarkStart w:id="107" w:name="_Toc326487218"/>
      <w:bookmarkEnd w:id="107"/>
      <w:bookmarkStart w:id="108" w:name="_Toc186539246"/>
      <w:bookmarkEnd w:id="108"/>
      <w:bookmarkStart w:id="109" w:name="_Toc185827787"/>
      <w:bookmarkEnd w:id="109"/>
      <w:bookmarkStart w:id="110" w:name="_Toc27614"/>
      <w:bookmarkEnd w:id="110"/>
      <w:bookmarkStart w:id="111" w:name="_Toc326054276"/>
      <w:bookmarkEnd w:id="111"/>
      <w:bookmarkStart w:id="112" w:name="_Toc27889"/>
      <w:bookmarkEnd w:id="112"/>
      <w:bookmarkStart w:id="113" w:name="_Toc326414529"/>
      <w:bookmarkEnd w:id="113"/>
      <w:bookmarkStart w:id="114" w:name="_Toc488521678"/>
      <w:bookmarkEnd w:id="114"/>
      <w:bookmarkStart w:id="115" w:name="_Toc186083129"/>
      <w:bookmarkEnd w:id="115"/>
      <w:bookmarkStart w:id="116" w:name="_Toc488521679"/>
      <w:bookmarkEnd w:id="116"/>
      <w:bookmarkStart w:id="117" w:name="_Toc186083015"/>
      <w:bookmarkEnd w:id="117"/>
      <w:bookmarkStart w:id="118" w:name="_Toc186539247"/>
      <w:bookmarkEnd w:id="118"/>
      <w:bookmarkStart w:id="119" w:name="_Toc326479175"/>
      <w:bookmarkEnd w:id="119"/>
      <w:bookmarkStart w:id="120" w:name="_Toc186539141"/>
      <w:bookmarkEnd w:id="120"/>
      <w:bookmarkStart w:id="121" w:name="_Toc186083016"/>
      <w:bookmarkEnd w:id="121"/>
      <w:bookmarkStart w:id="122" w:name="_Toc186539140"/>
      <w:bookmarkEnd w:id="122"/>
      <w:r>
        <w:rPr>
          <w:rFonts w:ascii="Times New Roman" w:cs="Times New Roman" w:eastAsia="宋体" w:hAnsi="Times New Roman" w:hint="eastAsia"/>
          <w:lang w:eastAsia="zh-CN" w:val="en-US"/>
        </w:rPr>
        <w:t>8.4夜间施工安全技术措施</w:t>
      </w:r>
    </w:p>
    <w:p w14:paraId="5400C924">
      <w:pPr>
        <w:ind w:firstLine="480"/>
      </w:pPr>
      <w:bookmarkStart w:id="123" w:name="_Toc7678"/>
      <w:bookmarkEnd w:id="123"/>
      <w:r>
        <w:t>（1）科学合理地组织和安排夜间施工。各施工单位要正确处理好人机料、工艺与设备、专业与协作等各种矛盾</w:t>
      </w:r>
      <w:r>
        <w:rPr>
          <w:rFonts w:hint="eastAsia"/>
          <w:lang w:eastAsia="zh-CN"/>
        </w:rPr>
        <w:t>，</w:t>
      </w:r>
      <w:r>
        <w:t>制定严密的施工计划</w:t>
      </w:r>
      <w:r>
        <w:rPr>
          <w:rFonts w:hint="eastAsia"/>
          <w:lang w:eastAsia="zh-CN"/>
        </w:rPr>
        <w:t>，</w:t>
      </w:r>
      <w:r>
        <w:t>科学地组织和指导施工</w:t>
      </w:r>
      <w:r>
        <w:rPr>
          <w:rFonts w:hint="eastAsia"/>
          <w:lang w:eastAsia="zh-CN"/>
        </w:rPr>
        <w:t>，</w:t>
      </w:r>
      <w:r>
        <w:t>建立良好的施工秩序，坚决杜绝因施工组织不当造成的夜间盲目施工和赶工现象的发生。</w:t>
      </w:r>
    </w:p>
    <w:p w14:paraId="318794D9">
      <w:pPr>
        <w:ind w:firstLine="480"/>
      </w:pPr>
      <w:r>
        <w:t>（2）建立健全夜间施工管理制度和保障措施。确实需要夜间连续施工的工程，各施工单位要结合工程建设实际，建立完善夜间施工的各项审批、报备和检查等管理制度，并加大安全生产投入，确保夜间施工条件和安全保障措施落实到位。</w:t>
      </w:r>
    </w:p>
    <w:p w14:paraId="66552284">
      <w:pPr>
        <w:ind w:firstLine="480"/>
      </w:pPr>
      <w:r>
        <w:t xml:space="preserve">（3）加强夜间施工现场安全检查。加强夜间施工安全检查，做好安全检查记录，对检查发现的施工安全隐患，要及时进行整改消除。 </w:t>
      </w:r>
    </w:p>
    <w:p w14:paraId="6932F798">
      <w:pPr>
        <w:ind w:firstLine="480"/>
      </w:pPr>
      <w:r>
        <w:t>1）坚守岗位，遵守时间，严格执行交接班制度。</w:t>
      </w:r>
    </w:p>
    <w:p w14:paraId="4F2C35F9">
      <w:pPr>
        <w:ind w:firstLine="480"/>
      </w:pPr>
      <w:r>
        <w:t>2）严格检查车辆和人员进出，并做好登记。无通行证车辆和人员严禁进入。</w:t>
      </w:r>
    </w:p>
    <w:p w14:paraId="22642472">
      <w:pPr>
        <w:ind w:firstLine="480"/>
      </w:pPr>
      <w:r>
        <w:t>3）做到勤巡视勤检查，要害部位重点检查。</w:t>
      </w:r>
    </w:p>
    <w:p w14:paraId="2E51DB5C">
      <w:pPr>
        <w:ind w:firstLine="480"/>
      </w:pPr>
      <w:r>
        <w:t>4）值班工作中严禁睡觉。</w:t>
      </w:r>
    </w:p>
    <w:p w14:paraId="1739C292">
      <w:pPr>
        <w:ind w:firstLine="480"/>
      </w:pPr>
      <w:r>
        <w:t>5）值班中严禁喝酒 ，严禁擅离职守，严禁本人或他人在值班内进行娱乐活动。</w:t>
      </w:r>
    </w:p>
    <w:p w14:paraId="4C1AB285">
      <w:pPr>
        <w:ind w:firstLine="480"/>
      </w:pPr>
      <w:r>
        <w:t>6）检查夜间工地各个重点部位情况，做到心中有数。</w:t>
      </w:r>
    </w:p>
    <w:p w14:paraId="72E44534">
      <w:pPr>
        <w:ind w:firstLine="480"/>
      </w:pPr>
      <w:r>
        <w:t>7）发现隐患及时采取措施，并立即报告。</w:t>
      </w:r>
    </w:p>
    <w:p w14:paraId="60B64FD2">
      <w:pPr>
        <w:ind w:firstLine="480"/>
      </w:pPr>
      <w:r>
        <w:t>8）巡查人员分工明确、各司其职，认真填写夜间施工记录。</w:t>
      </w:r>
    </w:p>
    <w:p w14:paraId="687A66E2">
      <w:pPr>
        <w:ind w:firstLine="480"/>
      </w:pPr>
      <w:r>
        <w:rPr>
          <w:rFonts w:hint="eastAsia"/>
        </w:rPr>
        <w:t>（4）夜间工作时，作业区与驾驶室内应有足够的照明设施，灯具应齐全完好。</w:t>
      </w:r>
    </w:p>
    <w:p w14:paraId="3EE72470">
      <w:pPr>
        <w:ind w:firstLine="480"/>
      </w:pPr>
      <w:r>
        <w:rPr>
          <w:rFonts w:hint="eastAsia"/>
        </w:rPr>
        <w:t>（5）现场照明应采用高光效、长寿命的照明光源。对需大面积照明的场所，应采用高压汞灯、高压钠灯或混光用的卤钨灯等。</w:t>
      </w:r>
    </w:p>
    <w:p w14:paraId="3660A20F">
      <w:pPr>
        <w:ind w:firstLine="480"/>
      </w:pPr>
      <w:r>
        <w:rPr>
          <w:rFonts w:hint="eastAsia"/>
        </w:rPr>
        <w:t>（6）照明器具和器材的质量应符合国家现行有关强制性标准的规定，不得使绝缘老化或破损的器具和器材。</w:t>
      </w:r>
    </w:p>
    <w:p w14:paraId="5349EE91">
      <w:pPr>
        <w:ind w:firstLine="480"/>
      </w:pPr>
      <w:r>
        <w:rPr>
          <w:rFonts w:hint="eastAsia"/>
        </w:rPr>
        <w:t>（7）上下人通道、密闭空间布置的照明灯具应采用安全电压及灯具。</w:t>
      </w:r>
    </w:p>
    <w:p w14:paraId="599C56E9">
      <w:pPr>
        <w:ind w:firstLine="480"/>
        <w:rPr>
          <w:rFonts w:hint="eastAsia"/>
        </w:rPr>
      </w:pPr>
      <w:r>
        <w:rPr>
          <w:rFonts w:hint="eastAsia"/>
        </w:rPr>
        <w:t>（8）在一个工作场所内，不得只设局部照明。停电后，操作人员需及时</w:t>
      </w:r>
      <w:r>
        <w:rPr>
          <w:rFonts w:hint="eastAsia"/>
          <w:lang w:eastAsia="zh-CN"/>
        </w:rPr>
        <w:t>撤离</w:t>
      </w:r>
      <w:r>
        <w:rPr>
          <w:rFonts w:hint="eastAsia"/>
        </w:rPr>
        <w:t>施工现场，必须装设自备电源的应急照明。</w:t>
      </w:r>
    </w:p>
    <w:p w14:paraId="3E684AB4">
      <w:pPr>
        <w:pStyle w:val="4"/>
        <w:numPr>
          <w:ilvl w:val="2"/>
          <w:numId w:val="0"/>
        </w:numPr>
        <w:ind w:firstLine="482" w:firstLineChars="0" w:left="0" w:leftChars="0"/>
        <w:rPr>
          <w:rFonts w:ascii="Times New Roman" w:cs="Times New Roman" w:eastAsia="宋体" w:hAnsi="Times New Roman" w:hint="eastAsia"/>
          <w:lang w:eastAsia="zh-CN" w:val="en-US"/>
        </w:rPr>
      </w:pPr>
      <w:bookmarkStart w:id="124" w:name="_Toc15808"/>
      <w:bookmarkStart w:id="125" w:name="_Toc24474"/>
      <w:r>
        <w:rPr>
          <w:rFonts w:ascii="Times New Roman" w:cs="Times New Roman" w:eastAsia="宋体" w:hAnsi="Times New Roman" w:hint="eastAsia"/>
          <w:lang w:eastAsia="zh-CN" w:val="en-US"/>
        </w:rPr>
        <w:t>8.5模板安装安全技术保证措施</w:t>
      </w:r>
      <w:bookmarkEnd w:id="124"/>
    </w:p>
    <w:p w14:paraId="0C956B4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（1）进入施工现场人员必须戴好安全帽，作业在高处时人员必须佩戴安全带，并做到高挂低用及系牢固。</w:t>
      </w:r>
    </w:p>
    <w:p w14:paraId="1B91C5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（2）安装与拆除2m以上的模板，应设置警戒区，并防止上下在同一垂直面操作。</w:t>
      </w:r>
    </w:p>
    <w:p w14:paraId="6DE2C8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（3）模板安装要按技术方案进行施工。</w:t>
      </w:r>
    </w:p>
    <w:p w14:paraId="0F4A17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（4）相邻模板之间的连接螺栓一定要上满并将螺帽拧紧，拼缝要严密。</w:t>
      </w:r>
    </w:p>
    <w:p w14:paraId="2A4B2B6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（5）模板严格执行模板准入制，报驻地办验收合格后方可使用。</w:t>
      </w:r>
    </w:p>
    <w:p w14:paraId="2D9663B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（6）模板安装时应遵循从下往上的原则，每层模板固定牢固后，方可进行上层模板的安装。</w:t>
      </w:r>
    </w:p>
    <w:p w14:paraId="01BEF6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7）模板安装、拆除作业中使用电焊、气割时，焊割设备必须安全保护措施完善，动火区域材料、杂物必须清理干净，并设专人看护。焊机必须接地有效，气瓶立放、固定牢靠，必须保证两瓶之间有足够的安全距离5m，距动火点10m。乙炔减压阀、表处必须设防回火装置。同时严格遵守“十不焊”原则和相关安全管理规定，做好吊具索具防搭火保护工作。</w:t>
      </w:r>
    </w:p>
    <w:p w14:paraId="415B0863">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26" w:name="_Toc29965"/>
      <w:r>
        <w:rPr>
          <w:rFonts w:ascii="Times New Roman" w:cs="宋体" w:eastAsia="宋体" w:hAnsi="Times New Roman" w:hint="eastAsia"/>
          <w:b/>
          <w:bCs/>
          <w:kern w:val="2"/>
          <w:sz w:val="24"/>
          <w:szCs w:val="32"/>
          <w:lang w:bidi="ar-SA" w:eastAsia="zh-CN" w:val="en-US"/>
        </w:rPr>
        <w:t>8.6模板拆除安全技术保证措施</w:t>
      </w:r>
      <w:bookmarkEnd w:id="126"/>
    </w:p>
    <w:p w14:paraId="4C3FD9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（1）模板的拆除应遵循自上而下，先拆水平支撑后拆垂直支撑。</w:t>
      </w:r>
    </w:p>
    <w:p w14:paraId="4455CD2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（2）模板应自上而下、分层拆除。拆除第一层时，用木锤或带橡皮垫的锤向外侧轻击模板上口，使之松动，脱离混凝土。依次拆下一层模板时，要轻击模边肋，切不可用撬棍从底角撬离。</w:t>
      </w:r>
    </w:p>
    <w:p w14:paraId="2BEBA8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（3）拆除模板应经施工技术人员同意。操作时应按顺序分段进行，严禁猛撬、硬砸或大面积撬落和拉倒。完工前，不得留下松动和悬挂的模板。拆下的模板应及时运送到指定地点集中堆放，防止钉子扎脚。</w:t>
      </w:r>
    </w:p>
    <w:p w14:paraId="280BC1C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（4）使用吊车拆模时，钢丝绳必须挂设牢固，并用卡扣卡牢。</w:t>
      </w:r>
    </w:p>
    <w:p w14:paraId="295C65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（5）高处模板拆除，应有专人指挥和切实的安全措施，并在下面标出工作面，严禁非操作人员进入工作区。</w:t>
      </w:r>
    </w:p>
    <w:p w14:paraId="70D790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（6）拆除模板一般应采用长撬杆，严禁操作人员站在正拆除的模板上。拆模间隙时，应将已活动的模板、拉杆、支撑等固定牢固，严防突然坠落，倒塌伤人。</w:t>
      </w:r>
    </w:p>
    <w:p w14:paraId="284E50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（7）砼强度达到规定要求后方可进行拆模施工。</w:t>
      </w:r>
    </w:p>
    <w:p w14:paraId="5D1A45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（8）拆除模板时，作业人员要站立在安全地点进行操作，防止上下在同一垂直面工作；操作人员要主动避让吊物，增强自我保护和相互保护的安全意识。</w:t>
      </w:r>
    </w:p>
    <w:p w14:paraId="6EBB55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（9）拆模必须一次性拆清，不得留下无支撑模板。拆下的模板要及时清理，堆放整齐。</w:t>
      </w:r>
    </w:p>
    <w:p w14:paraId="515DEF5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（10）模板安装、拆除作业过程中，必须注意天气、水文变化，当遇有大雾、雷雨、洪水时，必须暂停作业，完成防范措施后有序撤离所有人员。</w:t>
      </w:r>
    </w:p>
    <w:p w14:paraId="2C062242">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27" w:name="_Toc11037"/>
      <w:r>
        <w:rPr>
          <w:rFonts w:ascii="Times New Roman" w:cs="宋体" w:eastAsia="宋体" w:hAnsi="Times New Roman" w:hint="eastAsia"/>
          <w:b/>
          <w:bCs/>
          <w:kern w:val="2"/>
          <w:sz w:val="24"/>
          <w:szCs w:val="32"/>
          <w:lang w:bidi="ar-SA" w:eastAsia="zh-CN" w:val="en-US"/>
        </w:rPr>
        <w:t>8.7钢筋工程安全技术保证措施</w:t>
      </w:r>
      <w:bookmarkEnd w:id="127"/>
    </w:p>
    <w:p w14:paraId="3A6FFC5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钢筋调直前事先检查调直设备各部件是否安全可靠。进行钢筋除锈和焊接时，施工人员穿戴好防护用品。起吊钢筋骨架时，做到稳起稳落，安装牢靠后脱钩。严格按吊装作业安全技术规程施工。</w:t>
      </w:r>
    </w:p>
    <w:p w14:paraId="4E14AD2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snapToGrid w:val="0"/>
        </w:rPr>
        <w:t>凡进入现场人员必须正确穿戴好规定的劳防用品</w:t>
      </w:r>
      <w:r>
        <w:rPr>
          <w:rFonts w:hint="eastAsia"/>
          <w:snapToGrid w:val="0"/>
          <w:lang w:eastAsia="zh-CN"/>
        </w:rPr>
        <w:t>，</w:t>
      </w:r>
      <w:r>
        <w:rPr>
          <w:snapToGrid w:val="0"/>
        </w:rPr>
        <w:t>特别是安全帽的带子要系牢</w:t>
      </w:r>
      <w:r>
        <w:rPr>
          <w:rFonts w:hint="eastAsia"/>
          <w:snapToGrid w:val="0"/>
          <w:lang w:eastAsia="zh-CN"/>
        </w:rPr>
        <w:t>，</w:t>
      </w:r>
      <w:r>
        <w:rPr>
          <w:snapToGrid w:val="0"/>
        </w:rPr>
        <w:t>特殊工种</w:t>
      </w:r>
      <w:r>
        <w:rPr>
          <w:rFonts w:hint="eastAsia"/>
          <w:snapToGrid w:val="0"/>
          <w:lang w:eastAsia="zh-CN"/>
        </w:rPr>
        <w:t>（</w:t>
      </w:r>
      <w:r>
        <w:rPr>
          <w:snapToGrid w:val="0"/>
        </w:rPr>
        <w:t>电工、电焊工</w:t>
      </w:r>
      <w:r>
        <w:rPr>
          <w:rFonts w:hint="eastAsia"/>
          <w:snapToGrid w:val="0"/>
          <w:lang w:eastAsia="zh-CN"/>
        </w:rPr>
        <w:t>）</w:t>
      </w:r>
      <w:r>
        <w:rPr>
          <w:snapToGrid w:val="0"/>
        </w:rPr>
        <w:t>必须持证上岗；施工中严格遵守各项操作规程，严禁违章指挥和违章操作</w:t>
      </w:r>
      <w:r>
        <w:rPr>
          <w:rFonts w:hint="eastAsia"/>
          <w:snapToGrid w:val="0"/>
        </w:rPr>
        <w:t>。</w:t>
      </w:r>
      <w:r>
        <w:rPr>
          <w:snapToGrid w:val="0"/>
        </w:rPr>
        <w:t>夜间施工应有足够的照明，照明专用回路应设漏电保护，灯具金属外壳作接</w:t>
      </w:r>
      <w:r>
        <w:rPr>
          <w:rFonts w:hint="eastAsia"/>
          <w:snapToGrid w:val="0"/>
        </w:rPr>
        <w:t>地</w:t>
      </w:r>
      <w:r>
        <w:rPr>
          <w:snapToGrid w:val="0"/>
        </w:rPr>
        <w:t>保护</w:t>
      </w:r>
      <w:r>
        <w:rPr>
          <w:rFonts w:hint="eastAsia"/>
          <w:snapToGrid w:val="0"/>
        </w:rPr>
        <w:t>。</w:t>
      </w:r>
      <w:r>
        <w:rPr>
          <w:snapToGrid w:val="0"/>
        </w:rPr>
        <w:t>使用钢筋加工机械应遵守操作规程；两人以上抬钢筋时，注意协调一致，听从统一指挥</w:t>
      </w:r>
      <w:r>
        <w:rPr>
          <w:rFonts w:hint="eastAsia"/>
          <w:snapToGrid w:val="0"/>
        </w:rPr>
        <w:t>。</w:t>
      </w:r>
      <w:r>
        <w:rPr>
          <w:snapToGrid w:val="0"/>
        </w:rPr>
        <w:t>对氧气、乙炔、油漆等易燃易爆物品不得混放，并设专人管理。</w:t>
      </w:r>
      <w:r>
        <w:rPr>
          <w:rFonts w:hint="eastAsia"/>
          <w:snapToGrid w:val="0"/>
        </w:rPr>
        <w:t>氧气</w:t>
      </w:r>
      <w:r>
        <w:rPr>
          <w:snapToGrid w:val="0"/>
        </w:rPr>
        <w:t>切割时氧气瓶与乙炔瓶应保持在相距5米的安全距离，乙炔瓶直立放置</w:t>
      </w:r>
      <w:r>
        <w:rPr>
          <w:rFonts w:hint="eastAsia"/>
          <w:snapToGrid w:val="0"/>
        </w:rPr>
        <w:t>；氧气瓶、乙炔瓶上必须设有防雨、防晒设施。</w:t>
      </w:r>
      <w:r>
        <w:rPr>
          <w:snapToGrid w:val="0"/>
        </w:rPr>
        <w:t>严禁酒后进行作业</w:t>
      </w:r>
      <w:r>
        <w:rPr>
          <w:rFonts w:hint="eastAsia"/>
          <w:snapToGrid w:val="0"/>
        </w:rPr>
        <w:t>。</w:t>
      </w:r>
      <w:r>
        <w:rPr>
          <w:snapToGrid w:val="0"/>
        </w:rPr>
        <w:t>在钢筋弯曲机的作业半径内和机身不设固定的一侧严禁站人。钢筋切断机在运转中严禁用手直接清除切刀附近的断头和杂物，钢筋摆动周围和切刀周围，不得停留非操作人员。</w:t>
      </w:r>
    </w:p>
    <w:p w14:paraId="21AF1C1A">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28" w:name="_Toc1714"/>
      <w:r>
        <w:rPr>
          <w:rFonts w:ascii="Times New Roman" w:cs="宋体" w:eastAsia="宋体" w:hAnsi="Times New Roman" w:hint="eastAsia"/>
          <w:b/>
          <w:bCs/>
          <w:kern w:val="2"/>
          <w:sz w:val="24"/>
          <w:szCs w:val="32"/>
          <w:lang w:bidi="ar-SA" w:eastAsia="zh-CN" w:val="en-US"/>
        </w:rPr>
        <w:t>8.8混凝土浇筑安全技术保证措施</w:t>
      </w:r>
      <w:bookmarkEnd w:id="128"/>
    </w:p>
    <w:p w14:paraId="5AEF6E4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拌合站的操纵台应使操作人员能看到各部分工作情况，仪表、指示信号准确可靠，操纵台应垫上橡胶板或干燥木板。长期停放或使用时间超过三个月以上时，轮轴端部应做好清洁和防锈工作。空车运转，检查搅拌筒或搅拌叶的转动方向，各工作装置的操作、制动确认正常，方可作业。</w:t>
      </w:r>
    </w:p>
    <w:p w14:paraId="4EC949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拌合站作业前，检查搅拌机的传动部分，工作装置、防护装置等均牢固可靠，操作灵活。启动后，先空运转，检查搅拌叶旋转方向是否正确。作业中，不得用手或木棒等伸进搅拌筒内或筒口清理灰浆。如发现故障，应立即切断电源。将筒内砼倒出，进行检修排除故障。进料时，料斗提升处严禁人员在其下方工作或穿行。清理料坑时，必须拉闸断电并将料斗用链条扣牢。</w:t>
      </w:r>
    </w:p>
    <w:p w14:paraId="796462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（3）严禁在工作平台上存放较多材料和浮置物、滚动物。每段浇筑完成，及时清净富余材料。</w:t>
      </w:r>
    </w:p>
    <w:p w14:paraId="4C44085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（4）砼浇筑期间，必须专人观察模板、支撑情况，随着砼的浇筑，及时拧紧拉杆螺帽。发现支撑、模板有变形迹象，立即停止砼浇筑，采取加固措施后再慢速进行施工。</w:t>
      </w:r>
    </w:p>
    <w:p w14:paraId="011709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（5）在施工过程中，如发生安全事故，必须及时上报，同时启动应急预案，做好人员撤离、疏散。如有人员受伤，及时抢救伤者，并做好事故现场保护工作。</w:t>
      </w:r>
    </w:p>
    <w:p w14:paraId="1FDECC80">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29" w:name="_Toc1426"/>
      <w:r>
        <w:rPr>
          <w:rFonts w:ascii="Times New Roman" w:cs="宋体" w:eastAsia="宋体" w:hAnsi="Times New Roman" w:hint="eastAsia"/>
          <w:b/>
          <w:bCs/>
          <w:kern w:val="2"/>
          <w:sz w:val="24"/>
          <w:szCs w:val="32"/>
          <w:lang w:bidi="ar-SA" w:eastAsia="zh-CN" w:val="en-US"/>
        </w:rPr>
        <w:t>8.9施工现场安全技术保证措施</w:t>
      </w:r>
      <w:bookmarkEnd w:id="129"/>
    </w:p>
    <w:p w14:paraId="595CC2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（1）施工现场必须设有固定的出入口、安全通道和消防通道，严禁存放机具、材料、杂物等，必须确保随时畅通。</w:t>
      </w:r>
    </w:p>
    <w:p w14:paraId="2CE18F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工具、构件、材料堆放必须安全，按品种、规格分类堆码整齐，并设置明显标牌。大型工具、机具必须一头见齐，用方木垫起并加以覆盖。各类机具必须保持外观清洁，机械性能良好并设置项目部统一标志。</w:t>
      </w:r>
    </w:p>
    <w:p w14:paraId="767552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现场设置的安全防护设施、安全警示、公示、提示、宣传标志、标牌颜色、图案、文字必须符合国家标准。各种施工机具必须设置相应的安全操作规程或注意事项。消防设施，器材必须齐备、完好。施工现场设置安全警示标志，设置安全生产宣传栏。</w:t>
      </w:r>
    </w:p>
    <w:p w14:paraId="279E8A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施工场地必须保证平整、干净，设置的排水设施必须畅通有效。严禁有大面积积水现象，严禁随意开挖、乱堆乱放，严禁随处大小便。施工作业区域的便道必须经常洒水，防止发生扬尘现象。必须尽最大努力保护绿地，严禁乱砍滥伐现象，严禁占道施工现象，严格控制垃圾处理、污水排放、噪音污染、粉尘扬飞、光源伤害等。施工现场必须做到工完、料净、场清。</w:t>
      </w:r>
    </w:p>
    <w:p w14:paraId="691A0982">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0" w:name="_Toc29513"/>
      <w:r>
        <w:rPr>
          <w:rFonts w:ascii="Times New Roman" w:cs="宋体" w:eastAsia="宋体" w:hAnsi="Times New Roman" w:hint="eastAsia"/>
          <w:b/>
          <w:bCs/>
          <w:kern w:val="2"/>
          <w:sz w:val="24"/>
          <w:szCs w:val="32"/>
          <w:lang w:bidi="ar-SA" w:eastAsia="zh-CN" w:val="en-US"/>
        </w:rPr>
        <w:t>8.10高空作业安全技术保证措施</w:t>
      </w:r>
      <w:bookmarkEnd w:id="130"/>
    </w:p>
    <w:p w14:paraId="557E062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非施工人员不得进入施工现场；高空作业设置围栏，挂安全网，防止物体坠落伤及人员及财产；制定详细的安全作业指导书，并对作业员工进行培训教育。高空作业人员进行身体检查，不合格者不得参加，作业时系安全带、戴安全帽，并将安全带在牢靠的架子上拴好，严禁双层作业，确保安全。高空作业不得穿拖鞋和硬塑料底鞋。在工地醒目位置树立安全标识牌，注明安全注意事项，写明安全负责人。</w:t>
      </w:r>
    </w:p>
    <w:p w14:paraId="6E948724">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1" w:name="_Toc19858"/>
      <w:r>
        <w:rPr>
          <w:rFonts w:ascii="Times New Roman" w:cs="宋体" w:eastAsia="宋体" w:hAnsi="Times New Roman" w:hint="eastAsia"/>
          <w:b/>
          <w:bCs/>
          <w:kern w:val="2"/>
          <w:sz w:val="24"/>
          <w:szCs w:val="32"/>
          <w:lang w:bidi="ar-SA" w:eastAsia="zh-CN" w:val="en-US"/>
        </w:rPr>
        <w:t>8.11吊装作业安全技术保证措施</w:t>
      </w:r>
      <w:bookmarkEnd w:id="131"/>
      <w:r>
        <w:rPr>
          <w:rFonts w:ascii="Times New Roman" w:cs="宋体" w:eastAsia="宋体" w:hAnsi="Times New Roman" w:hint="eastAsia"/>
          <w:b/>
          <w:bCs/>
          <w:kern w:val="2"/>
          <w:sz w:val="24"/>
          <w:szCs w:val="32"/>
          <w:lang w:bidi="ar-SA" w:eastAsia="zh-CN" w:val="en-US"/>
        </w:rPr>
        <w:tab/>
      </w:r>
    </w:p>
    <w:p w14:paraId="6877C8A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吊车必须由专业驾驶员驾驶操作，持证上岗。每次上班前，司机必须检查吊车的指示仪表完好，钢丝绳及连接部位符合有关规定，燃油、润滑油、液压油及冷却水添加充足，各个连接杆无松动，轮胎气压符合规定。</w:t>
      </w:r>
    </w:p>
    <w:p w14:paraId="2A0E1B9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（2）吊车准备作业前，司机及安全员要检查吊车支腿必须全部伸出，撑脚下垫方木支垫牢靠。</w:t>
      </w:r>
    </w:p>
    <w:p w14:paraId="2F5B45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（3）起吊作业，必须专人指挥，作业时回转半径内不得有障碍物，起重臂伸缩时，在伸臂的同时应相应下降吊钩，当限制器报警时，立即停止伸臂，起重臂缩回时，仰角不宜太小。</w:t>
      </w:r>
    </w:p>
    <w:p w14:paraId="49F519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（4）起吊或降下重物时，速度要均匀、平稳，保持机身的稳定，防止重心倾斜，严禁起吊的重物自由下落。</w:t>
      </w:r>
    </w:p>
    <w:p w14:paraId="05EE5F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（5）在起吊作业时，驾驶室内不得有人，重物不得超越驾驶室上方，且不得在车的前方起吊。</w:t>
      </w:r>
    </w:p>
    <w:p w14:paraId="41196B7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（6）作业中发现起重机倾斜、支腿不稳等异常现象时，应立即使重物下降，落在安全的地方，下降中严禁制动。</w:t>
      </w:r>
    </w:p>
    <w:p w14:paraId="200CEE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（7）吊装模板时，不能将模板临时存放在辅助脚手架上，要专人指挥模板吊装到位连接牢固后才能松开吊钩。</w:t>
      </w:r>
    </w:p>
    <w:p w14:paraId="1E925D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（8）作业后，应将起重臂全部缩回放在支架上，再缩回支腿。吊钩应用专用钢丝绳挂牢。</w:t>
      </w:r>
    </w:p>
    <w:p w14:paraId="2B1A9DA7">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2" w:name="_Toc27933"/>
      <w:r>
        <w:rPr>
          <w:rFonts w:ascii="Times New Roman" w:cs="宋体" w:eastAsia="宋体" w:hAnsi="Times New Roman" w:hint="eastAsia"/>
          <w:b/>
          <w:bCs/>
          <w:kern w:val="2"/>
          <w:sz w:val="24"/>
          <w:szCs w:val="32"/>
          <w:lang w:bidi="ar-SA" w:eastAsia="zh-CN" w:val="en-US"/>
        </w:rPr>
        <w:t>8.12物体打击安全措施</w:t>
      </w:r>
      <w:bookmarkEnd w:id="132"/>
    </w:p>
    <w:p w14:paraId="5F1D96F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 xml:space="preserve">（1）使用前，必须对施工机械吊车进行检查、验收；并经过恩施州特种设备检验检测所检测合格才能使用。同时，机械设备部门要负责对机械操作人员进行安全操作技术交底，落实设备的日常检查，督促操作人员做好机械的维修保养工作。  </w:t>
      </w:r>
    </w:p>
    <w:p w14:paraId="7396FC3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（2）应确定危险部位和过程，落实监控人员。确定监控、措施和方式，实施重点监控，必要时应连续监控，对此要在安全保证计划中作出安排。</w:t>
      </w:r>
    </w:p>
    <w:p w14:paraId="69660D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（3）应把危险性较大的悬空作业、起重机械安装和拆除等定为危险作业，施工重点监控。对悬空作业、整体式提升脚手架升降时的重点监控，必须落实监控人员。</w:t>
      </w:r>
    </w:p>
    <w:p w14:paraId="7E40BCC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（4）脚手架应按施工设计方案规定的要求进行搭设。各种脚手架搭设到一定高度时，由有关部门或人员进行检查、验收，合格后方可投入使用。使用中要落实专人负责维护。</w:t>
      </w:r>
    </w:p>
    <w:p w14:paraId="290322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（5）在被提升、悬挂或吊起至一定高度的机械设备或其他结构物下部进行检修或其他作业时，必须确保起吊设备的安全。就位后，必须将机体或物体支撑牢固后方可进行作业。</w:t>
      </w:r>
    </w:p>
    <w:p w14:paraId="0A8075E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（6）严禁在机械回转半径内及起吊物移动范围内的下部逗留或作业。</w:t>
      </w:r>
    </w:p>
    <w:p w14:paraId="1E4712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（7）对于搭设或拆除的安全防护设施、脚手架、起重机械或其他设施、设备，如当天未能完成时，应做好局部的收尾工作，并设置临时安全设施。</w:t>
      </w:r>
    </w:p>
    <w:p w14:paraId="5B6FCDAB">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3" w:name="_Toc31037"/>
      <w:r>
        <w:rPr>
          <w:rFonts w:ascii="Times New Roman" w:cs="宋体" w:eastAsia="宋体" w:hAnsi="Times New Roman" w:hint="eastAsia"/>
          <w:b/>
          <w:bCs/>
          <w:kern w:val="2"/>
          <w:sz w:val="24"/>
          <w:szCs w:val="32"/>
          <w:lang w:bidi="ar-SA" w:eastAsia="zh-CN" w:val="en-US"/>
        </w:rPr>
        <w:t>8.13设备管理安全措施</w:t>
      </w:r>
      <w:bookmarkEnd w:id="133"/>
    </w:p>
    <w:p w14:paraId="76A368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（1）对所有各种机械设备进场后，必须由</w:t>
      </w:r>
      <w:r>
        <w:rPr>
          <w:rFonts w:ascii="宋体" w:cs="宋体" w:hAnsi="宋体" w:hint="eastAsia"/>
          <w:sz w:val="24"/>
          <w:szCs w:val="24"/>
          <w:lang w:eastAsia="zh-CN" w:val="en-US"/>
        </w:rPr>
        <w:t>机料科</w:t>
      </w:r>
      <w:r>
        <w:rPr>
          <w:rFonts w:ascii="宋体" w:cs="宋体" w:eastAsia="宋体" w:hAnsi="宋体" w:hint="eastAsia"/>
          <w:sz w:val="24"/>
          <w:szCs w:val="24"/>
          <w:lang w:eastAsia="zh-CN" w:val="en-US"/>
        </w:rPr>
        <w:t>负责人会同安全员和使用机械的人员共同对该机械设备进行进场验收工作，经验收发现安全防护装置不齐全的或有其他故障的应退回设备保障部门进行维修和安装。</w:t>
      </w:r>
    </w:p>
    <w:p w14:paraId="5578D8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（2）设备安装调试合格后，应进行检查，并按标准要求对该设备进行验收，经项目经理部组织验收合格后方能正常使用。</w:t>
      </w:r>
    </w:p>
    <w:p w14:paraId="3604E2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（3）使用前要对设备使用人员进行必要的安全技术交底和教育工作，使用人员必须严格执行交底内容及按操作规程操作。</w:t>
      </w:r>
    </w:p>
    <w:p w14:paraId="3FA7C9A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（4）使用中要经常对该设备进行维修保养。</w:t>
      </w:r>
    </w:p>
    <w:p w14:paraId="560AA6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（5）各种机械设备必须专人专机，凡属特种设备，其操作负责人要按规定每周对施工现场的所有机械设备进行检查，发现问题及隐患及时解决处理，确保机械设备的完好，防止机械伤害事故的发生。</w:t>
      </w:r>
    </w:p>
    <w:p w14:paraId="55329C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（6）作业人员必须持证上岗，没有资格证的人员应通过培训经考核合格，取得操作资格证后方可进行机械操作。</w:t>
      </w:r>
    </w:p>
    <w:p w14:paraId="750BEB55">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4" w:name="_Toc29384"/>
      <w:r>
        <w:rPr>
          <w:rFonts w:ascii="Times New Roman" w:cs="宋体" w:eastAsia="宋体" w:hAnsi="Times New Roman" w:hint="eastAsia"/>
          <w:b/>
          <w:bCs/>
          <w:kern w:val="2"/>
          <w:sz w:val="24"/>
          <w:szCs w:val="32"/>
          <w:lang w:bidi="ar-SA" w:eastAsia="zh-CN" w:val="en-US"/>
        </w:rPr>
        <w:t>8.14起重伤害安全措施</w:t>
      </w:r>
      <w:bookmarkEnd w:id="134"/>
    </w:p>
    <w:p w14:paraId="03AF3A6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（1）提升机应摆放平稳，并配有足够的配重；</w:t>
      </w:r>
    </w:p>
    <w:p w14:paraId="42DE20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（2）提升机应配有断电自锁保护装置；</w:t>
      </w:r>
    </w:p>
    <w:p w14:paraId="0E13A0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（3）重物不能长时间在空中停留；</w:t>
      </w:r>
    </w:p>
    <w:p w14:paraId="4DF3AB1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（4）井内人员与提升机操作人员应保持联系畅通，口令清晰。</w:t>
      </w:r>
    </w:p>
    <w:p w14:paraId="1230F7F4">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5" w:name="_Toc8521"/>
      <w:r>
        <w:rPr>
          <w:rFonts w:ascii="Times New Roman" w:cs="宋体" w:eastAsia="宋体" w:hAnsi="Times New Roman" w:hint="eastAsia"/>
          <w:b/>
          <w:bCs/>
          <w:kern w:val="2"/>
          <w:sz w:val="24"/>
          <w:szCs w:val="32"/>
          <w:lang w:bidi="ar-SA" w:eastAsia="zh-CN" w:val="en-US"/>
        </w:rPr>
        <w:t>8.15车辆伤害安全措施</w:t>
      </w:r>
      <w:bookmarkEnd w:id="135"/>
    </w:p>
    <w:p w14:paraId="6F47910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（1）严禁无证驾驶机动车辆在施工区域行驶，严禁酒后驾驶、疲劳驾驶。</w:t>
      </w:r>
    </w:p>
    <w:p w14:paraId="34788C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（2）陡坡便道临空侧应设置土埂，防止车辆冲出便道。</w:t>
      </w:r>
    </w:p>
    <w:p w14:paraId="0B1DE5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（3）雨天行驶的车辆应限制行驶速度，防止因路滑造成行车事故。</w:t>
      </w:r>
    </w:p>
    <w:p w14:paraId="35822D2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（4）进入施工区域的施工车辆在行驶中严禁超车。</w:t>
      </w:r>
    </w:p>
    <w:p w14:paraId="4DECFF4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（5）车辆倒车、卸料要有专人指挥。</w:t>
      </w:r>
    </w:p>
    <w:p w14:paraId="27FEC00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rPr>
      </w:pPr>
      <w:r>
        <w:rPr>
          <w:rFonts w:ascii="宋体" w:cs="宋体" w:eastAsia="宋体" w:hAnsi="宋体" w:hint="eastAsia"/>
          <w:sz w:val="24"/>
          <w:szCs w:val="24"/>
          <w:lang w:eastAsia="zh-CN" w:val="en-US"/>
        </w:rPr>
        <w:t>（6）夜间行驶车辆要有足够的照明</w:t>
      </w:r>
      <w:r>
        <w:rPr>
          <w:rFonts w:hint="eastAsia"/>
        </w:rPr>
        <w:t>。</w:t>
      </w:r>
    </w:p>
    <w:p w14:paraId="5701B312">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6" w:name="_Toc15877"/>
      <w:r>
        <w:rPr>
          <w:rFonts w:ascii="Times New Roman" w:cs="宋体" w:eastAsia="宋体" w:hAnsi="Times New Roman" w:hint="eastAsia"/>
          <w:b/>
          <w:bCs/>
          <w:kern w:val="2"/>
          <w:sz w:val="24"/>
          <w:szCs w:val="32"/>
          <w:lang w:bidi="ar-SA" w:eastAsia="zh-CN" w:val="en-US"/>
        </w:rPr>
        <w:t>8.16触电伤害安全监控措施</w:t>
      </w:r>
      <w:bookmarkEnd w:id="136"/>
    </w:p>
    <w:p w14:paraId="734F838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（1）临时用电必须专业电工操作，现场设配电箱、安装漏电保护器，配电箱随时上锁。</w:t>
      </w:r>
    </w:p>
    <w:p w14:paraId="4B13E7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（2）电线布设规范，严禁乱拉乱放现象出现，采取架空或地埋。</w:t>
      </w:r>
    </w:p>
    <w:p w14:paraId="4166885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（3）设置安全警示告知牌。严格按照</w:t>
      </w:r>
      <w:r>
        <w:rPr>
          <w:rFonts w:ascii="宋体" w:cs="宋体" w:eastAsia="宋体" w:hAnsi="宋体" w:hint="eastAsia"/>
          <w:sz w:val="24"/>
          <w:szCs w:val="24"/>
          <w:highlight w:val="none"/>
          <w:lang w:eastAsia="zh-CN" w:val="en-US"/>
        </w:rPr>
        <w:t>“一机一闸一漏”的要求规范用电</w:t>
      </w:r>
      <w:r>
        <w:rPr>
          <w:rFonts w:ascii="宋体" w:cs="宋体" w:eastAsia="宋体" w:hAnsi="宋体" w:hint="eastAsia"/>
          <w:sz w:val="24"/>
          <w:szCs w:val="24"/>
          <w:lang w:eastAsia="zh-CN" w:val="en-US"/>
        </w:rPr>
        <w:t>。</w:t>
      </w:r>
    </w:p>
    <w:bookmarkEnd w:id="125"/>
    <w:p w14:paraId="0429CA45">
      <w:pPr>
        <w:pStyle w:val="4"/>
        <w:numPr>
          <w:ilvl w:val="2"/>
          <w:numId w:val="0"/>
        </w:numPr>
        <w:ind w:firstLine="482" w:firstLineChars="0" w:left="0" w:leftChars="0"/>
        <w:rPr>
          <w:rFonts w:ascii="Times New Roman" w:cs="宋体" w:eastAsia="宋体" w:hAnsi="Times New Roman" w:hint="eastAsia"/>
          <w:b/>
          <w:bCs/>
          <w:kern w:val="2"/>
          <w:sz w:val="24"/>
          <w:szCs w:val="32"/>
          <w:lang w:bidi="ar-SA" w:eastAsia="zh-CN" w:val="en-US"/>
        </w:rPr>
      </w:pPr>
      <w:bookmarkStart w:id="137" w:name="_Toc28125"/>
      <w:bookmarkStart w:id="138" w:name="_Toc5067"/>
      <w:bookmarkStart w:id="139" w:name="_Toc7500"/>
      <w:r>
        <w:rPr>
          <w:rFonts w:ascii="Times New Roman" w:cs="宋体" w:eastAsia="宋体" w:hAnsi="Times New Roman" w:hint="eastAsia"/>
          <w:b/>
          <w:bCs/>
          <w:kern w:val="2"/>
          <w:sz w:val="24"/>
          <w:szCs w:val="32"/>
          <w:lang w:bidi="ar-SA" w:eastAsia="zh-CN" w:val="en-US"/>
        </w:rPr>
        <w:t>8.17台风防御措施</w:t>
      </w:r>
      <w:bookmarkEnd w:id="137"/>
      <w:bookmarkEnd w:id="138"/>
      <w:bookmarkEnd w:id="139"/>
    </w:p>
    <w:p w14:paraId="6521D7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（1）进入特别紧急防风状态，所有作业面停工；</w:t>
      </w:r>
    </w:p>
    <w:p w14:paraId="299EFCF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（2）通知作业人员撤离准备，机械设备退避到安全地带，随时准备启动抢险应急方案；</w:t>
      </w:r>
    </w:p>
    <w:p w14:paraId="2EB0349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（3）各类机械设备开到安全避风处；</w:t>
      </w:r>
    </w:p>
    <w:p w14:paraId="5821BD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cs="宋体" w:eastAsia="宋体" w:hAnsi="宋体" w:hint="eastAsia"/>
          <w:sz w:val="24"/>
          <w:szCs w:val="24"/>
          <w:lang w:eastAsia="zh-CN" w:val="en-US"/>
        </w:rPr>
      </w:pPr>
      <w:r>
        <w:rPr>
          <w:rFonts w:ascii="宋体" w:cs="宋体" w:eastAsia="宋体" w:hAnsi="宋体" w:hint="eastAsia"/>
          <w:sz w:val="24"/>
          <w:szCs w:val="24"/>
          <w:lang w:eastAsia="zh-CN" w:val="en-US"/>
        </w:rPr>
        <w:t>（4）台风来临前，作业人员要全部撤离。并做好生产、生活房屋的防护工作。</w:t>
      </w:r>
    </w:p>
    <w:p w14:paraId="5187105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cs="宋体" w:eastAsia="宋体" w:hAnsi="Times New Roman" w:hint="eastAsia"/>
          <w:b/>
          <w:bCs/>
          <w:kern w:val="2"/>
          <w:sz w:val="24"/>
          <w:szCs w:val="32"/>
          <w:lang w:bidi="ar-SA" w:eastAsia="zh-CN" w:val="en-US"/>
        </w:rPr>
      </w:pPr>
      <w:r>
        <w:rPr>
          <w:rFonts w:ascii="宋体" w:cs="宋体" w:eastAsia="宋体" w:hAnsi="宋体" w:hint="eastAsia"/>
          <w:sz w:val="24"/>
          <w:szCs w:val="24"/>
          <w:lang w:eastAsia="zh-CN" w:val="en-US"/>
        </w:rPr>
        <w:t>（5）组织抢险队，要派人值班，发现问题立刻报告，以便能及时进行抢救，尽可能减少因台风造成的损失。</w:t>
      </w:r>
    </w:p>
    <w:p w14:paraId="2566D068">
      <w:pPr>
        <w:pStyle w:val="4"/>
        <w:numPr>
          <w:numId w:val="0"/>
        </w:numPr>
        <w:ind w:left="480" w:leftChars="0"/>
        <w:rPr>
          <w:rFonts w:ascii="Times New Roman" w:cs="Times New Roman" w:eastAsia="宋体" w:hAnsi="Times New Roman" w:hint="default"/>
          <w:lang w:eastAsia="zh-CN" w:val="en-US"/>
        </w:rPr>
      </w:pPr>
      <w:bookmarkStart w:id="140" w:name="_Toc28583"/>
      <w:bookmarkStart w:id="141" w:name="_Toc30095"/>
      <w:bookmarkStart w:id="142" w:name="_Toc25494"/>
      <w:bookmarkStart w:id="143" w:name="_Toc3792"/>
      <w:bookmarkStart w:id="144" w:name="_Toc11652"/>
      <w:r>
        <w:rPr>
          <w:rFonts w:ascii="Times New Roman" w:cs="Times New Roman" w:eastAsia="宋体" w:hAnsi="Times New Roman" w:hint="eastAsia"/>
          <w:lang w:eastAsia="zh-CN" w:val="en-US"/>
        </w:rPr>
        <w:t>8.18</w:t>
      </w:r>
      <w:r>
        <w:rPr>
          <w:rFonts w:ascii="Times New Roman" w:cs="Times New Roman" w:eastAsia="宋体" w:hAnsi="Times New Roman" w:hint="default"/>
          <w:lang w:eastAsia="zh-CN" w:val="en-US"/>
        </w:rPr>
        <w:t>雨季</w:t>
      </w:r>
      <w:r>
        <w:rPr>
          <w:rFonts w:ascii="Times New Roman" w:cs="Times New Roman" w:eastAsia="宋体" w:hAnsi="Times New Roman" w:hint="eastAsia"/>
          <w:lang w:eastAsia="zh-CN" w:val="en-US"/>
        </w:rPr>
        <w:t>（汛期）</w:t>
      </w:r>
      <w:r>
        <w:rPr>
          <w:rFonts w:ascii="Times New Roman" w:cs="Times New Roman" w:eastAsia="宋体" w:hAnsi="Times New Roman" w:hint="default"/>
          <w:lang w:eastAsia="zh-CN" w:val="en-US"/>
        </w:rPr>
        <w:t>施工保障措施</w:t>
      </w:r>
      <w:bookmarkEnd w:id="140"/>
      <w:bookmarkEnd w:id="141"/>
      <w:bookmarkEnd w:id="142"/>
      <w:bookmarkEnd w:id="143"/>
      <w:bookmarkEnd w:id="144"/>
    </w:p>
    <w:p w14:paraId="0990E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w:t>
      </w:r>
      <w:r>
        <w:rPr>
          <w:rFonts w:ascii="宋体" w:cs="宋体" w:eastAsia="宋体" w:hAnsi="宋体" w:hint="eastAsia"/>
          <w:sz w:val="24"/>
          <w:szCs w:val="24"/>
          <w:lang w:eastAsia="zh-CN" w:val="en-US"/>
        </w:rPr>
        <w:t>1</w:t>
      </w:r>
      <w:r>
        <w:rPr>
          <w:rFonts w:ascii="宋体" w:cs="宋体" w:eastAsia="宋体" w:hAnsi="宋体" w:hint="eastAsia"/>
          <w:sz w:val="24"/>
          <w:szCs w:val="24"/>
          <w:lang w:eastAsia="zh-CN"/>
        </w:rPr>
        <w:t>）及时掌握天气状况</w:t>
      </w:r>
    </w:p>
    <w:p w14:paraId="7FEB81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积极与当地水利、气象部门取得联系，了解历年来的水文、气象资料，同时与当地气象部门签订气象服务合同，掌握施工期间天气预报和气候趋势及动态，以利安排施工，做好预防和准备工作。</w:t>
      </w:r>
    </w:p>
    <w:p w14:paraId="3F284F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w:t>
      </w:r>
      <w:r>
        <w:rPr>
          <w:rFonts w:ascii="宋体" w:cs="宋体" w:eastAsia="宋体" w:hAnsi="宋体" w:hint="eastAsia"/>
          <w:sz w:val="24"/>
          <w:szCs w:val="24"/>
          <w:lang w:eastAsia="zh-CN" w:val="en-US"/>
        </w:rPr>
        <w:t>2</w:t>
      </w:r>
      <w:r>
        <w:rPr>
          <w:rFonts w:ascii="宋体" w:cs="宋体" w:eastAsia="宋体" w:hAnsi="宋体" w:hint="eastAsia"/>
          <w:sz w:val="24"/>
          <w:szCs w:val="24"/>
          <w:lang w:eastAsia="zh-CN"/>
        </w:rPr>
        <w:t>）提前做好防排准备</w:t>
      </w:r>
    </w:p>
    <w:p w14:paraId="0DF2F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在进行施工现场布置时，充分考虑气象、水文特点，大型施工机械、材料库、人员驻地一律不安排在河滩及地势低洼处存放，确保汛期施工时，人员、设备、材料的安全，以及工程的安全。</w:t>
      </w:r>
    </w:p>
    <w:p w14:paraId="0893FD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开工前，应调查好施工范围内的自然与农田水系，按防排水规律提前做好排水系统。机械设备和水泥等材料的存放应选择适宜场地，并做好防雨、防洪工作。对主要的工程和运输便道做好排水，路面用砂卵石或碎石土硬化，保证雨后道路畅通。</w:t>
      </w:r>
    </w:p>
    <w:p w14:paraId="414598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w:t>
      </w:r>
      <w:r>
        <w:rPr>
          <w:rFonts w:ascii="宋体" w:cs="宋体" w:eastAsia="宋体" w:hAnsi="宋体" w:hint="eastAsia"/>
          <w:sz w:val="24"/>
          <w:szCs w:val="24"/>
          <w:lang w:eastAsia="zh-CN" w:val="en-US"/>
        </w:rPr>
        <w:t>3</w:t>
      </w:r>
      <w:r>
        <w:rPr>
          <w:rFonts w:ascii="宋体" w:cs="宋体" w:eastAsia="宋体" w:hAnsi="宋体" w:hint="eastAsia"/>
          <w:sz w:val="24"/>
          <w:szCs w:val="24"/>
          <w:lang w:eastAsia="zh-CN"/>
        </w:rPr>
        <w:t>）排水设施永临结合</w:t>
      </w:r>
    </w:p>
    <w:p w14:paraId="0ADBD7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在雨季施工中，开工前要先做好临时排水设施，包括临时排水沟、截水沟及横向排水沟、排水管等，以利雨期排水、排洪；对可提前做永久性排水设施的排水工程提前进行施工。加强对支架、脚手架和土方工程的检查，防止倾倒和坍塌。对处于洪水可能淹没地带的机械设备、材料等应做好防范措施，施工人员要做好安全撤离的准备。施工中遇有暴风雨应暂停施工。</w:t>
      </w:r>
    </w:p>
    <w:p w14:paraId="3303B1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highlight w:val="yellow"/>
          <w:lang w:eastAsia="zh-CN" w:val="en-US"/>
        </w:rPr>
        <w:t>连接线处于沟谷地段，为保证排水畅通，施工全过程应设置临时排水沟渠，在右侧设计边坡坡脚位置采用挖机开挖一道宽50cm，深40cm的临时排水沟，贯穿连接线并接入现状排水涵洞，施工过程要随路基填筑设置，确保排水畅通。</w:t>
      </w:r>
    </w:p>
    <w:p w14:paraId="70DEA4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w:t>
      </w:r>
      <w:r>
        <w:rPr>
          <w:rFonts w:ascii="宋体" w:cs="宋体" w:eastAsia="宋体" w:hAnsi="宋体" w:hint="eastAsia"/>
          <w:sz w:val="24"/>
          <w:szCs w:val="24"/>
          <w:lang w:eastAsia="zh-CN" w:val="en-US"/>
        </w:rPr>
        <w:t>4</w:t>
      </w:r>
      <w:r>
        <w:rPr>
          <w:rFonts w:ascii="宋体" w:cs="宋体" w:eastAsia="宋体" w:hAnsi="宋体" w:hint="eastAsia"/>
          <w:sz w:val="24"/>
          <w:szCs w:val="24"/>
          <w:lang w:eastAsia="zh-CN"/>
        </w:rPr>
        <w:t>）设置防雨覆盖设施</w:t>
      </w:r>
    </w:p>
    <w:p w14:paraId="548D8E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小型设备按规定加防雨罩或搭防雨棚，机电设备安装好接地安全装置，机动电闸箱的漏电保护装置安全可靠；外露的电杆、电线采取可靠的固定措施；雨季前对现场设备做绝缘检测。对停用的机械设备采取遮雨、防潮措施，现场物资的存放台等均垫高，防止雨水浸泡。</w:t>
      </w:r>
    </w:p>
    <w:p w14:paraId="742AC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为保证混凝土的质量，混凝土开盘前根据混凝土含水率调整施工配合比，适当减少加水量。施工要保持连续性，混凝土安排一次浇筑完，并经常检查砂石料的含水量，</w:t>
      </w:r>
    </w:p>
    <w:p w14:paraId="4C1DF9D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控制水灰比。混凝土、砂浆在终凝前要进行覆盖，防止雨淋而影响质量。</w:t>
      </w:r>
    </w:p>
    <w:p w14:paraId="482556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w:t>
      </w:r>
      <w:r>
        <w:rPr>
          <w:rFonts w:ascii="宋体" w:cs="宋体" w:eastAsia="宋体" w:hAnsi="宋体" w:hint="eastAsia"/>
          <w:sz w:val="24"/>
          <w:szCs w:val="24"/>
          <w:lang w:eastAsia="zh-CN" w:val="en-US"/>
        </w:rPr>
        <w:t>5</w:t>
      </w:r>
      <w:r>
        <w:rPr>
          <w:rFonts w:ascii="宋体" w:cs="宋体" w:eastAsia="宋体" w:hAnsi="宋体" w:hint="eastAsia"/>
          <w:sz w:val="24"/>
          <w:szCs w:val="24"/>
          <w:lang w:eastAsia="zh-CN"/>
        </w:rPr>
        <w:t>）备足物资安全度汛</w:t>
      </w:r>
    </w:p>
    <w:p w14:paraId="15CA65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eastAsia="宋体" w:hAnsi="宋体" w:hint="eastAsia"/>
          <w:sz w:val="24"/>
          <w:szCs w:val="24"/>
          <w:lang w:eastAsia="zh-CN"/>
        </w:rPr>
      </w:pPr>
      <w:r>
        <w:rPr>
          <w:rFonts w:ascii="宋体" w:cs="宋体" w:eastAsia="宋体" w:hAnsi="宋体" w:hint="eastAsia"/>
          <w:sz w:val="24"/>
          <w:szCs w:val="24"/>
          <w:lang w:eastAsia="zh-CN"/>
        </w:rPr>
        <w:t>在汛期施工时及时与地方防汛部门取得联系，并成立防汛工作领导小组，加强值班调度和安全检查，备足防汛物资、器材及施工设备，随时听候调遣，确保安全渡汛。雨季时派专人在危险地段值班，重点加强对深路堑边坡观测、安全巡视，并派专人对施工区排水系统进行检查和清理，确保排水系统排水通畅。</w:t>
      </w:r>
    </w:p>
    <w:p w14:paraId="50F0FC03">
      <w:pPr>
        <w:pStyle w:val="4"/>
        <w:numPr>
          <w:numId w:val="0"/>
        </w:numPr>
        <w:ind w:left="480" w:leftChars="0"/>
        <w:rPr>
          <w:rFonts w:ascii="Times New Roman" w:cs="Times New Roman" w:eastAsia="宋体" w:hAnsi="Times New Roman" w:hint="default"/>
          <w:lang w:eastAsia="zh-CN" w:val="en-US"/>
        </w:rPr>
      </w:pPr>
      <w:r>
        <w:rPr>
          <w:rFonts w:ascii="Times New Roman" w:cs="Times New Roman" w:eastAsia="宋体" w:hAnsi="Times New Roman" w:hint="eastAsia"/>
          <w:lang w:eastAsia="zh-CN" w:val="en-US"/>
        </w:rPr>
        <w:t>8.19施工过程对现状</w:t>
      </w:r>
      <w:r>
        <w:rPr>
          <w:rFonts w:hint="eastAsia"/>
        </w:rPr>
        <w:t>楼仔</w:t>
      </w:r>
      <w:r>
        <w:rPr>
          <w:rFonts w:hint="eastAsia"/>
          <w:lang w:eastAsia="zh-CN" w:val="en-US"/>
        </w:rPr>
        <w:t>大桥保护措施</w:t>
      </w:r>
    </w:p>
    <w:p w14:paraId="5D58E697">
      <w:pPr>
        <w:rPr>
          <w:rFonts w:hint="eastAsia"/>
          <w:lang w:eastAsia="zh-CN" w:val="en-US"/>
        </w:rPr>
      </w:pPr>
      <w:r>
        <w:rPr>
          <w:rFonts w:hint="eastAsia"/>
          <w:lang w:eastAsia="zh-CN" w:val="en-US"/>
        </w:rPr>
        <w:t>路基填筑、泡沫混凝土浇筑及桥梁上、下部结构施工过程中，需对现状</w:t>
      </w:r>
      <w:r>
        <w:rPr>
          <w:rFonts w:hint="eastAsia"/>
        </w:rPr>
        <w:t>楼仔</w:t>
      </w:r>
      <w:r>
        <w:rPr>
          <w:rFonts w:hint="eastAsia"/>
          <w:lang w:eastAsia="zh-CN" w:val="en-US"/>
        </w:rPr>
        <w:t>大桥进行保护，</w:t>
      </w:r>
      <w:r>
        <w:rPr>
          <w:rFonts w:hint="eastAsia"/>
        </w:rPr>
        <w:t>于楼仔</w:t>
      </w:r>
      <w:r>
        <w:rPr>
          <w:rFonts w:hint="eastAsia"/>
          <w:lang w:eastAsia="zh-CN" w:val="en-US"/>
        </w:rPr>
        <w:t>大桥</w:t>
      </w:r>
      <w:r>
        <w:rPr>
          <w:rFonts w:hint="eastAsia"/>
        </w:rPr>
        <w:t>承台边外2m范围设置施工保护区域，</w:t>
      </w:r>
      <w:r>
        <w:rPr>
          <w:rFonts w:hint="eastAsia"/>
          <w:lang w:eastAsia="zh-CN" w:val="en-US"/>
        </w:rPr>
        <w:t>并</w:t>
      </w:r>
      <w:r>
        <w:rPr>
          <w:rFonts w:hint="eastAsia"/>
        </w:rPr>
        <w:t>在桥墩上设置2道红白反光贴</w:t>
      </w:r>
      <w:r>
        <w:rPr>
          <w:rFonts w:hint="eastAsia"/>
          <w:lang w:eastAsia="zh-CN"/>
        </w:rPr>
        <w:t>，</w:t>
      </w:r>
      <w:r>
        <w:rPr>
          <w:rFonts w:hint="eastAsia"/>
        </w:rPr>
        <w:t>避免破坏桥墩。</w:t>
      </w:r>
      <w:r>
        <w:rPr>
          <w:rFonts w:hint="eastAsia"/>
          <w:lang w:eastAsia="zh-CN" w:val="en-US"/>
        </w:rPr>
        <w:t>各分项工程施工过程中在临近保护区域安排专人指挥，确保现状桥的安全。</w:t>
      </w:r>
    </w:p>
    <w:p w14:paraId="58A5B970">
      <w:pPr>
        <w:pStyle w:val="2"/>
        <w:bidi w:val="0"/>
        <w:rPr>
          <w:rFonts w:ascii="Times New Roman" w:eastAsia="宋体" w:hAnsi="Times New Roman" w:hint="default"/>
          <w:lang w:eastAsia="zh-CN" w:val="en-US"/>
        </w:rPr>
      </w:pPr>
      <w:r>
        <w:rPr>
          <w:rFonts w:ascii="Times New Roman" w:eastAsia="宋体" w:hAnsi="Times New Roman" w:hint="eastAsia"/>
          <w:lang w:eastAsia="zh-CN" w:val="en-US"/>
        </w:rPr>
        <w:t>附件</w:t>
      </w:r>
    </w:p>
    <w:p w14:paraId="0CCDA21D">
      <w:pPr>
        <w:rPr>
          <w:rFonts w:hint="default"/>
          <w:lang w:eastAsia="zh-CN" w:val="en-US"/>
        </w:rPr>
      </w:pPr>
      <w:r>
        <w:rPr>
          <w:rFonts w:ascii="Times New Roman" w:eastAsia="宋体" w:hAnsi="Times New Roman" w:hint="eastAsia"/>
          <w:lang w:eastAsia="zh-CN" w:val="en-US"/>
        </w:rPr>
        <w:t>1、安溪县林业局关于批准安溪县三安大桥连接线延伸段工程防护绿地临时用地建设项目等设施占用林地的决定</w:t>
      </w:r>
    </w:p>
    <w:sectPr>
      <w:footerReference r:id="rId11" w:type="default"/>
      <w:pgSz w:h="16838" w:w="11906"/>
      <w:pgMar w:bottom="1418" w:footer="454" w:gutter="0" w:header="964" w:left="1616" w:right="1304" w:top="1418"/>
      <w:pgNumType w:start="1"/>
      <w:cols w:num="1" w:space="425"/>
      <w:docGrid w:charSpace="0" w:linePitch="326" w:type="line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文鼎书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FD9ED">
    <w:pPr>
      <w:pStyle w:val="1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D9A6D">
    <w:pPr>
      <w:pStyle w:val="11"/>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CB5C">
    <w:pPr>
      <w:pStyle w:val="11"/>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024D6">
    <w:pPr>
      <w:pStyle w:val="11"/>
      <w:jc w:val="center"/>
      <w:rPr>
        <w:rFonts w:hint="eastAsia" w:ascii="黑体" w:hAnsi="黑体" w:eastAsia="黑体"/>
        <w:b/>
        <w:bCs/>
        <w:sz w:val="21"/>
        <w:szCs w:val="21"/>
      </w:rPr>
    </w:pPr>
    <w:r>
      <w:rPr>
        <w:rFonts w:hint="eastAsia" w:ascii="黑体" w:hAnsi="黑体" w:eastAsia="黑体"/>
        <w:b/>
        <w:bCs/>
        <w:sz w:val="21"/>
        <w:szCs w:val="21"/>
      </w:rPr>
      <w:t>第</w:t>
    </w:r>
    <w:sdt>
      <w:sdtPr>
        <w:rPr>
          <w:rFonts w:ascii="黑体" w:hAnsi="黑体" w:eastAsia="黑体"/>
          <w:b/>
          <w:bCs/>
          <w:sz w:val="21"/>
          <w:szCs w:val="21"/>
        </w:rPr>
        <w:id w:val="571628051"/>
        <w:docPartObj>
          <w:docPartGallery w:val="AutoText"/>
        </w:docPartObj>
      </w:sdtPr>
      <w:sdtEndPr>
        <w:rPr>
          <w:rFonts w:ascii="黑体" w:hAnsi="黑体" w:eastAsia="黑体"/>
          <w:b/>
          <w:bCs/>
          <w:sz w:val="21"/>
          <w:szCs w:val="21"/>
        </w:rPr>
      </w:sdtEndPr>
      <w:sdtContent>
        <w:r>
          <w:rPr>
            <w:rFonts w:ascii="黑体" w:hAnsi="黑体" w:eastAsia="黑体"/>
            <w:b/>
            <w:bCs/>
            <w:sz w:val="21"/>
            <w:szCs w:val="21"/>
          </w:rPr>
          <w:fldChar w:fldCharType="begin"/>
        </w:r>
        <w:r>
          <w:rPr>
            <w:rFonts w:ascii="黑体" w:hAnsi="黑体" w:eastAsia="黑体"/>
            <w:b/>
            <w:bCs/>
            <w:sz w:val="21"/>
            <w:szCs w:val="21"/>
          </w:rPr>
          <w:instrText xml:space="preserve">PAGE   \* MERGEFORMAT</w:instrText>
        </w:r>
        <w:r>
          <w:rPr>
            <w:rFonts w:ascii="黑体" w:hAnsi="黑体" w:eastAsia="黑体"/>
            <w:b/>
            <w:bCs/>
            <w:sz w:val="21"/>
            <w:szCs w:val="21"/>
          </w:rPr>
          <w:fldChar w:fldCharType="separate"/>
        </w:r>
        <w:r>
          <w:rPr>
            <w:rFonts w:ascii="黑体" w:hAnsi="黑体" w:eastAsia="黑体"/>
            <w:b/>
            <w:bCs/>
            <w:sz w:val="21"/>
            <w:szCs w:val="21"/>
            <w:lang w:val="zh-CN"/>
          </w:rPr>
          <w:t>2</w:t>
        </w:r>
        <w:r>
          <w:rPr>
            <w:rFonts w:ascii="黑体" w:hAnsi="黑体" w:eastAsia="黑体"/>
            <w:b/>
            <w:bCs/>
            <w:sz w:val="21"/>
            <w:szCs w:val="21"/>
          </w:rPr>
          <w:fldChar w:fldCharType="end"/>
        </w:r>
        <w:r>
          <w:rPr>
            <w:rFonts w:hint="eastAsia" w:ascii="黑体" w:hAnsi="黑体" w:eastAsia="黑体"/>
            <w:b/>
            <w:bCs/>
            <w:sz w:val="21"/>
            <w:szCs w:val="21"/>
          </w:rPr>
          <w:t>页  共38页</w:t>
        </w:r>
      </w:sdtContent>
    </w:sdt>
  </w:p>
  <w:p w14:paraId="7F5206C5">
    <w:pPr>
      <w:pStyle w:val="11"/>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3091">
    <w:pPr>
      <w:pStyle w:val="12"/>
      <w:rPr>
        <w:rFonts w:hint="eastAsia" w:ascii="宋体" w:hAnsi="宋体"/>
        <w:sz w:val="21"/>
        <w:szCs w:val="21"/>
        <w:u w:val="single"/>
      </w:rPr>
    </w:pPr>
    <w:r>
      <w:rPr>
        <w:rFonts w:hint="eastAsia" w:ascii="宋体" w:hAnsi="宋体"/>
        <w:sz w:val="21"/>
        <w:szCs w:val="21"/>
        <w:u w:val="single"/>
      </w:rPr>
      <w:t>国道G358线安溪城厢至官桥段公路工程及市政配套工程(第Ⅳ标段)  下穿甬莞高速专项施工方案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D3617">
    <w:pPr>
      <w:pStyle w:val="12"/>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9348">
    <w:pPr>
      <w:pStyle w:val="12"/>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2DDCBA"/>
    <w:multiLevelType w:val="singleLevel"/>
    <w:tmpl w:val="2F2DDCBA"/>
    <w:lvl w:ilvl="0" w:tentative="0">
      <w:start w:val="1"/>
      <w:numFmt w:val="decimal"/>
      <w:suff w:val="nothing"/>
      <w:lvlText w:val="（%1）"/>
      <w:lvlJc w:val="left"/>
    </w:lvl>
  </w:abstractNum>
  <w:abstractNum w:abstractNumId="1">
    <w:nsid w:val="740B1A94"/>
    <w:multiLevelType w:val="multilevel"/>
    <w:tmpl w:val="740B1A94"/>
    <w:lvl w:ilvl="0" w:tentative="0">
      <w:start w:val="1"/>
      <w:numFmt w:val="decimal"/>
      <w:pStyle w:val="2"/>
      <w:suff w:val="space"/>
      <w:lvlText w:val="%1"/>
      <w:lvlJc w:val="left"/>
      <w:pPr>
        <w:ind w:left="440" w:hanging="440"/>
      </w:pPr>
      <w:rPr>
        <w:rFonts w:hint="eastAsia"/>
      </w:rPr>
    </w:lvl>
    <w:lvl w:ilvl="1" w:tentative="0">
      <w:start w:val="1"/>
      <w:numFmt w:val="decimal"/>
      <w:suff w:val="space"/>
      <w:lvlText w:val="%1.%2"/>
      <w:lvlJc w:val="left"/>
      <w:pPr>
        <w:ind w:left="400" w:hanging="40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num w:numId="1">
    <w:abstractNumId w:val="1"/>
  </w:num>
  <w:num w:numId="2">
    <w:abstractNumId w:val="1"/>
    <w:lvlOverride w:ilvl="0">
      <w:lvl w:ilvl="0" w:tentative="1">
        <w:start w:val="1"/>
        <w:numFmt w:val="decimal"/>
        <w:suff w:val="space"/>
        <w:lvlText w:val="%1"/>
        <w:lvlJc w:val="left"/>
        <w:pPr>
          <w:ind w:left="440" w:hanging="440"/>
        </w:pPr>
        <w:rPr>
          <w:rFonts w:hint="eastAsia"/>
        </w:rPr>
      </w:lvl>
    </w:lvlOverride>
    <w:lvlOverride w:ilvl="1">
      <w:lvl w:ilvl="1" w:tentative="1">
        <w:start w:val="1"/>
        <w:numFmt w:val="decimal"/>
        <w:pStyle w:val="3"/>
        <w:suff w:val="space"/>
        <w:lvlText w:val="%1.%2"/>
        <w:lvlJc w:val="left"/>
        <w:pPr>
          <w:ind w:left="400" w:hanging="400"/>
        </w:pPr>
        <w:rPr>
          <w:rFonts w:hint="eastAsia"/>
        </w:rPr>
      </w:lvl>
    </w:lvlOverride>
    <w:lvlOverride w:ilvl="2">
      <w:lvl w:ilvl="2" w:tentative="1">
        <w:start w:val="1"/>
        <w:numFmt w:val="decimal"/>
        <w:suff w:val="space"/>
        <w:lvlText w:val="%1.%2.%3"/>
        <w:lvlJc w:val="left"/>
        <w:pPr>
          <w:ind w:left="0" w:firstLine="0"/>
        </w:pPr>
        <w:rPr>
          <w:rFonts w:hint="eastAsia"/>
        </w:rPr>
      </w:lvl>
    </w:lvlOverride>
    <w:lvlOverride w:ilvl="3">
      <w:lvl w:ilvl="3" w:tentative="1">
        <w:start w:val="1"/>
        <w:numFmt w:val="decimal"/>
        <w:lvlText w:val="%4."/>
        <w:lvlJc w:val="left"/>
        <w:pPr>
          <w:ind w:left="1760" w:hanging="440"/>
        </w:pPr>
        <w:rPr>
          <w:rFonts w:hint="eastAsia"/>
        </w:rPr>
      </w:lvl>
    </w:lvlOverride>
    <w:lvlOverride w:ilvl="4">
      <w:lvl w:ilvl="4" w:tentative="1">
        <w:start w:val="1"/>
        <w:numFmt w:val="lowerLetter"/>
        <w:lvlText w:val="%5)"/>
        <w:lvlJc w:val="left"/>
        <w:pPr>
          <w:ind w:left="2200" w:hanging="440"/>
        </w:pPr>
        <w:rPr>
          <w:rFonts w:hint="eastAsia"/>
        </w:rPr>
      </w:lvl>
    </w:lvlOverride>
    <w:lvlOverride w:ilvl="5">
      <w:lvl w:ilvl="5" w:tentative="1">
        <w:start w:val="1"/>
        <w:numFmt w:val="lowerRoman"/>
        <w:lvlText w:val="%6."/>
        <w:lvlJc w:val="right"/>
        <w:pPr>
          <w:ind w:left="2640" w:hanging="440"/>
        </w:pPr>
        <w:rPr>
          <w:rFonts w:hint="eastAsia"/>
        </w:rPr>
      </w:lvl>
    </w:lvlOverride>
    <w:lvlOverride w:ilvl="6">
      <w:lvl w:ilvl="6" w:tentative="1">
        <w:start w:val="1"/>
        <w:numFmt w:val="decimal"/>
        <w:lvlText w:val="%7."/>
        <w:lvlJc w:val="left"/>
        <w:pPr>
          <w:ind w:left="3080" w:hanging="440"/>
        </w:pPr>
        <w:rPr>
          <w:rFonts w:hint="eastAsia"/>
        </w:rPr>
      </w:lvl>
    </w:lvlOverride>
    <w:lvlOverride w:ilvl="7">
      <w:lvl w:ilvl="7" w:tentative="1">
        <w:start w:val="1"/>
        <w:numFmt w:val="lowerLetter"/>
        <w:lvlText w:val="%8)"/>
        <w:lvlJc w:val="left"/>
        <w:pPr>
          <w:ind w:left="3520" w:hanging="440"/>
        </w:pPr>
        <w:rPr>
          <w:rFonts w:hint="eastAsia"/>
        </w:rPr>
      </w:lvl>
    </w:lvlOverride>
    <w:lvlOverride w:ilvl="8">
      <w:lvl w:ilvl="8" w:tentative="1">
        <w:start w:val="1"/>
        <w:numFmt w:val="lowerRoman"/>
        <w:lvlText w:val="%9."/>
        <w:lvlJc w:val="right"/>
        <w:pPr>
          <w:ind w:left="3960" w:hanging="440"/>
        </w:pPr>
        <w:rPr>
          <w:rFonts w:hint="eastAsia"/>
        </w:rPr>
      </w:lvl>
    </w:lvlOverride>
  </w:num>
  <w:num w:numId="3">
    <w:abstractNumId w:val="1"/>
    <w:lvlOverride w:ilvl="0">
      <w:lvl w:ilvl="0" w:tentative="1">
        <w:start w:val="1"/>
        <w:numFmt w:val="decimal"/>
        <w:suff w:val="space"/>
        <w:lvlText w:val="%1"/>
        <w:lvlJc w:val="left"/>
        <w:pPr>
          <w:ind w:left="440" w:hanging="440"/>
        </w:pPr>
        <w:rPr>
          <w:rFonts w:hint="eastAsia"/>
        </w:rPr>
      </w:lvl>
    </w:lvlOverride>
    <w:lvlOverride w:ilvl="1">
      <w:lvl w:ilvl="1" w:tentative="1">
        <w:start w:val="1"/>
        <w:numFmt w:val="decimal"/>
        <w:suff w:val="space"/>
        <w:lvlText w:val="%1.%2"/>
        <w:lvlJc w:val="left"/>
        <w:pPr>
          <w:ind w:left="400" w:hanging="400"/>
        </w:pPr>
        <w:rPr>
          <w:rFonts w:hint="eastAsia"/>
        </w:rPr>
      </w:lvl>
    </w:lvlOverride>
    <w:lvlOverride w:ilvl="2">
      <w:lvl w:ilvl="2" w:tentative="1">
        <w:start w:val="1"/>
        <w:numFmt w:val="decimal"/>
        <w:suff w:val="space"/>
        <w:lvlText w:val="%1.%2.%3"/>
        <w:lvlJc w:val="left"/>
        <w:pPr>
          <w:ind w:left="0" w:firstLine="0"/>
        </w:pPr>
        <w:rPr>
          <w:rFonts w:hint="eastAsia"/>
        </w:rPr>
      </w:lvl>
    </w:lvlOverride>
    <w:lvlOverride w:ilvl="3">
      <w:lvl w:ilvl="3" w:tentative="1">
        <w:start w:val="1"/>
        <w:numFmt w:val="decimal"/>
        <w:lvlText w:val="%4."/>
        <w:lvlJc w:val="left"/>
        <w:pPr>
          <w:ind w:left="1760" w:hanging="440"/>
        </w:pPr>
        <w:rPr>
          <w:rFonts w:hint="eastAsia"/>
        </w:rPr>
      </w:lvl>
    </w:lvlOverride>
    <w:lvlOverride w:ilvl="4">
      <w:lvl w:ilvl="4" w:tentative="1">
        <w:start w:val="1"/>
        <w:numFmt w:val="lowerLetter"/>
        <w:lvlText w:val="%5)"/>
        <w:lvlJc w:val="left"/>
        <w:pPr>
          <w:ind w:left="2200" w:hanging="440"/>
        </w:pPr>
        <w:rPr>
          <w:rFonts w:hint="eastAsia"/>
        </w:rPr>
      </w:lvl>
    </w:lvlOverride>
    <w:lvlOverride w:ilvl="5">
      <w:lvl w:ilvl="5" w:tentative="1">
        <w:start w:val="1"/>
        <w:numFmt w:val="lowerRoman"/>
        <w:lvlText w:val="%6."/>
        <w:lvlJc w:val="right"/>
        <w:pPr>
          <w:ind w:left="2640" w:hanging="440"/>
        </w:pPr>
        <w:rPr>
          <w:rFonts w:hint="eastAsia"/>
        </w:rPr>
      </w:lvl>
    </w:lvlOverride>
    <w:lvlOverride w:ilvl="6">
      <w:lvl w:ilvl="6" w:tentative="1">
        <w:start w:val="1"/>
        <w:numFmt w:val="decimal"/>
        <w:lvlText w:val="%7."/>
        <w:lvlJc w:val="left"/>
        <w:pPr>
          <w:ind w:left="3080" w:hanging="440"/>
        </w:pPr>
        <w:rPr>
          <w:rFonts w:hint="eastAsia"/>
        </w:rPr>
      </w:lvl>
    </w:lvlOverride>
    <w:lvlOverride w:ilvl="7">
      <w:lvl w:ilvl="7" w:tentative="1">
        <w:start w:val="1"/>
        <w:numFmt w:val="lowerLetter"/>
        <w:lvlText w:val="%8)"/>
        <w:lvlJc w:val="left"/>
        <w:pPr>
          <w:ind w:left="3520" w:hanging="440"/>
        </w:pPr>
        <w:rPr>
          <w:rFonts w:hint="eastAsia"/>
        </w:rPr>
      </w:lvl>
    </w:lvlOverride>
    <w:lvlOverride w:ilvl="8">
      <w:lvl w:ilvl="8" w:tentative="1">
        <w:start w:val="1"/>
        <w:numFmt w:val="lowerRoman"/>
        <w:lvlText w:val="%9."/>
        <w:lvlJc w:val="right"/>
        <w:pPr>
          <w:ind w:left="3960" w:hanging="440"/>
        </w:pPr>
        <w:rPr>
          <w:rFonts w:hint="eastAsia"/>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725"/>
    <w:rsid w:val="00001D64"/>
    <w:rsid w:val="00005FC9"/>
    <w:rsid w:val="0001112C"/>
    <w:rsid w:val="00015613"/>
    <w:rsid w:val="0002287E"/>
    <w:rsid w:val="0003072D"/>
    <w:rsid w:val="00037FBC"/>
    <w:rsid w:val="000431A5"/>
    <w:rsid w:val="00046BB0"/>
    <w:rsid w:val="00056C7A"/>
    <w:rsid w:val="00063B79"/>
    <w:rsid w:val="00072224"/>
    <w:rsid w:val="000B1E35"/>
    <w:rsid w:val="000C2EB7"/>
    <w:rsid w:val="000D16E9"/>
    <w:rsid w:val="000F5B7B"/>
    <w:rsid w:val="00123213"/>
    <w:rsid w:val="001519C1"/>
    <w:rsid w:val="00154EDE"/>
    <w:rsid w:val="00172C65"/>
    <w:rsid w:val="001746A3"/>
    <w:rsid w:val="001832B5"/>
    <w:rsid w:val="00184228"/>
    <w:rsid w:val="001860F4"/>
    <w:rsid w:val="0018638A"/>
    <w:rsid w:val="00192F16"/>
    <w:rsid w:val="001A75AC"/>
    <w:rsid w:val="001B061D"/>
    <w:rsid w:val="001C0037"/>
    <w:rsid w:val="001D5BE8"/>
    <w:rsid w:val="001D61E0"/>
    <w:rsid w:val="0021736B"/>
    <w:rsid w:val="002201CA"/>
    <w:rsid w:val="002276DB"/>
    <w:rsid w:val="00234A70"/>
    <w:rsid w:val="0024435A"/>
    <w:rsid w:val="002474F1"/>
    <w:rsid w:val="002513C7"/>
    <w:rsid w:val="002513DE"/>
    <w:rsid w:val="002532C8"/>
    <w:rsid w:val="00256F10"/>
    <w:rsid w:val="002601F3"/>
    <w:rsid w:val="00287175"/>
    <w:rsid w:val="00290B23"/>
    <w:rsid w:val="002A1CD1"/>
    <w:rsid w:val="002A2CEC"/>
    <w:rsid w:val="002C26D7"/>
    <w:rsid w:val="002C77FE"/>
    <w:rsid w:val="002D1773"/>
    <w:rsid w:val="002D72F2"/>
    <w:rsid w:val="002E4221"/>
    <w:rsid w:val="003006BB"/>
    <w:rsid w:val="00324DEA"/>
    <w:rsid w:val="00332107"/>
    <w:rsid w:val="0034276B"/>
    <w:rsid w:val="0034444A"/>
    <w:rsid w:val="0035271E"/>
    <w:rsid w:val="0035590F"/>
    <w:rsid w:val="00362616"/>
    <w:rsid w:val="0036654D"/>
    <w:rsid w:val="0036745D"/>
    <w:rsid w:val="00375006"/>
    <w:rsid w:val="00380510"/>
    <w:rsid w:val="00385D96"/>
    <w:rsid w:val="003B3728"/>
    <w:rsid w:val="003B4790"/>
    <w:rsid w:val="003F4A35"/>
    <w:rsid w:val="00403D84"/>
    <w:rsid w:val="0041734C"/>
    <w:rsid w:val="004323D9"/>
    <w:rsid w:val="00436363"/>
    <w:rsid w:val="004467DE"/>
    <w:rsid w:val="0045696B"/>
    <w:rsid w:val="00470EB4"/>
    <w:rsid w:val="004A3E49"/>
    <w:rsid w:val="004A523B"/>
    <w:rsid w:val="004A672A"/>
    <w:rsid w:val="004B37E4"/>
    <w:rsid w:val="004C1D61"/>
    <w:rsid w:val="004E57BD"/>
    <w:rsid w:val="004F5CEA"/>
    <w:rsid w:val="0050127E"/>
    <w:rsid w:val="00501941"/>
    <w:rsid w:val="00517BC3"/>
    <w:rsid w:val="00520C77"/>
    <w:rsid w:val="00540085"/>
    <w:rsid w:val="0054389B"/>
    <w:rsid w:val="00557486"/>
    <w:rsid w:val="00565915"/>
    <w:rsid w:val="00566750"/>
    <w:rsid w:val="00590C5C"/>
    <w:rsid w:val="005E2951"/>
    <w:rsid w:val="005E3A49"/>
    <w:rsid w:val="00611368"/>
    <w:rsid w:val="00612F9C"/>
    <w:rsid w:val="00647B27"/>
    <w:rsid w:val="006706D0"/>
    <w:rsid w:val="006728F5"/>
    <w:rsid w:val="00680572"/>
    <w:rsid w:val="00690B6C"/>
    <w:rsid w:val="006A350A"/>
    <w:rsid w:val="006C6A07"/>
    <w:rsid w:val="006D374D"/>
    <w:rsid w:val="006D4F27"/>
    <w:rsid w:val="006F07CE"/>
    <w:rsid w:val="006F3725"/>
    <w:rsid w:val="007019CC"/>
    <w:rsid w:val="0070298B"/>
    <w:rsid w:val="00702BC0"/>
    <w:rsid w:val="0073704C"/>
    <w:rsid w:val="007437DB"/>
    <w:rsid w:val="00747172"/>
    <w:rsid w:val="00753F3D"/>
    <w:rsid w:val="00754B39"/>
    <w:rsid w:val="00756739"/>
    <w:rsid w:val="00776692"/>
    <w:rsid w:val="0078015E"/>
    <w:rsid w:val="00794CB3"/>
    <w:rsid w:val="007A4DA6"/>
    <w:rsid w:val="007B2A2E"/>
    <w:rsid w:val="007B6732"/>
    <w:rsid w:val="007D5D63"/>
    <w:rsid w:val="007D7900"/>
    <w:rsid w:val="007D793E"/>
    <w:rsid w:val="007E2358"/>
    <w:rsid w:val="007E67F2"/>
    <w:rsid w:val="007E70B7"/>
    <w:rsid w:val="007F1B23"/>
    <w:rsid w:val="007F72AF"/>
    <w:rsid w:val="0080196B"/>
    <w:rsid w:val="00810344"/>
    <w:rsid w:val="008558BF"/>
    <w:rsid w:val="00873270"/>
    <w:rsid w:val="008B132F"/>
    <w:rsid w:val="008B135F"/>
    <w:rsid w:val="008B28BD"/>
    <w:rsid w:val="008D1049"/>
    <w:rsid w:val="008D4545"/>
    <w:rsid w:val="008E26EB"/>
    <w:rsid w:val="00910BEB"/>
    <w:rsid w:val="0091765A"/>
    <w:rsid w:val="009355D8"/>
    <w:rsid w:val="00936FEB"/>
    <w:rsid w:val="00942734"/>
    <w:rsid w:val="00945B16"/>
    <w:rsid w:val="0094635B"/>
    <w:rsid w:val="00953290"/>
    <w:rsid w:val="00960FF6"/>
    <w:rsid w:val="009634A8"/>
    <w:rsid w:val="00975A4E"/>
    <w:rsid w:val="00977665"/>
    <w:rsid w:val="00981F2A"/>
    <w:rsid w:val="00993FFD"/>
    <w:rsid w:val="00997F40"/>
    <w:rsid w:val="009B0C64"/>
    <w:rsid w:val="009B21EC"/>
    <w:rsid w:val="009E0384"/>
    <w:rsid w:val="009E09C1"/>
    <w:rsid w:val="009E6D24"/>
    <w:rsid w:val="009F1B06"/>
    <w:rsid w:val="009F2FE7"/>
    <w:rsid w:val="00A52CE8"/>
    <w:rsid w:val="00A5774C"/>
    <w:rsid w:val="00A71CA6"/>
    <w:rsid w:val="00A71E48"/>
    <w:rsid w:val="00A80A4D"/>
    <w:rsid w:val="00A94CBB"/>
    <w:rsid w:val="00A96BD5"/>
    <w:rsid w:val="00A96FB3"/>
    <w:rsid w:val="00AA2C2A"/>
    <w:rsid w:val="00AA74C6"/>
    <w:rsid w:val="00AB1916"/>
    <w:rsid w:val="00AB1A37"/>
    <w:rsid w:val="00AD3EEF"/>
    <w:rsid w:val="00B0613C"/>
    <w:rsid w:val="00B12B68"/>
    <w:rsid w:val="00B32547"/>
    <w:rsid w:val="00B33A76"/>
    <w:rsid w:val="00B36294"/>
    <w:rsid w:val="00B474D2"/>
    <w:rsid w:val="00B73394"/>
    <w:rsid w:val="00B8458E"/>
    <w:rsid w:val="00B85866"/>
    <w:rsid w:val="00B85A17"/>
    <w:rsid w:val="00B86C24"/>
    <w:rsid w:val="00B87834"/>
    <w:rsid w:val="00B953A4"/>
    <w:rsid w:val="00BA389E"/>
    <w:rsid w:val="00BC2418"/>
    <w:rsid w:val="00BD7388"/>
    <w:rsid w:val="00BE71CF"/>
    <w:rsid w:val="00C072F3"/>
    <w:rsid w:val="00C37E51"/>
    <w:rsid w:val="00C43AC2"/>
    <w:rsid w:val="00C457CE"/>
    <w:rsid w:val="00C55E97"/>
    <w:rsid w:val="00C62E99"/>
    <w:rsid w:val="00C95691"/>
    <w:rsid w:val="00CA56E1"/>
    <w:rsid w:val="00CB0567"/>
    <w:rsid w:val="00CB7F06"/>
    <w:rsid w:val="00CC11CE"/>
    <w:rsid w:val="00CC1B22"/>
    <w:rsid w:val="00CC5547"/>
    <w:rsid w:val="00CD0F3D"/>
    <w:rsid w:val="00CF2395"/>
    <w:rsid w:val="00D04CE4"/>
    <w:rsid w:val="00D14812"/>
    <w:rsid w:val="00D21968"/>
    <w:rsid w:val="00D302D8"/>
    <w:rsid w:val="00D43F3B"/>
    <w:rsid w:val="00D52327"/>
    <w:rsid w:val="00D54188"/>
    <w:rsid w:val="00D66555"/>
    <w:rsid w:val="00D70638"/>
    <w:rsid w:val="00D72202"/>
    <w:rsid w:val="00D905E3"/>
    <w:rsid w:val="00D931DD"/>
    <w:rsid w:val="00DB4947"/>
    <w:rsid w:val="00DC63A1"/>
    <w:rsid w:val="00DD55E1"/>
    <w:rsid w:val="00DD65C5"/>
    <w:rsid w:val="00DE48B5"/>
    <w:rsid w:val="00E0060F"/>
    <w:rsid w:val="00E234F8"/>
    <w:rsid w:val="00E2407B"/>
    <w:rsid w:val="00E340EE"/>
    <w:rsid w:val="00E41535"/>
    <w:rsid w:val="00E4794B"/>
    <w:rsid w:val="00E60B01"/>
    <w:rsid w:val="00E62F9F"/>
    <w:rsid w:val="00E7518B"/>
    <w:rsid w:val="00E8525B"/>
    <w:rsid w:val="00EC66FD"/>
    <w:rsid w:val="00ED2460"/>
    <w:rsid w:val="00F01B41"/>
    <w:rsid w:val="00F01C08"/>
    <w:rsid w:val="00F03A2A"/>
    <w:rsid w:val="00F226A9"/>
    <w:rsid w:val="00F40D05"/>
    <w:rsid w:val="00F42AC2"/>
    <w:rsid w:val="00F43E36"/>
    <w:rsid w:val="00F44A7D"/>
    <w:rsid w:val="00F61F20"/>
    <w:rsid w:val="00F65ACA"/>
    <w:rsid w:val="00F9566A"/>
    <w:rsid w:val="00FA09D9"/>
    <w:rsid w:val="00FC0C15"/>
    <w:rsid w:val="00FD0281"/>
    <w:rsid w:val="00FD5CDE"/>
    <w:rsid w:val="00FE13C4"/>
    <w:rsid w:val="56FC462B"/>
    <w:rsid w:val="5D1F6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360" w:lineRule="auto"/>
      <w:ind w:firstLine="200" w:firstLineChars="200"/>
      <w:jc w:val="both"/>
    </w:pPr>
    <w:rPr>
      <w:rFonts w:ascii="Times New Roman" w:hAnsi="Times New Roman" w:eastAsia="宋体" w:cstheme="minorBidi"/>
      <w:kern w:val="2"/>
      <w:sz w:val="24"/>
      <w:szCs w:val="24"/>
      <w:lang w:val="en-US" w:eastAsia="zh-CN" w:bidi="ar-SA"/>
      <w14:ligatures w14:val="none"/>
    </w:rPr>
  </w:style>
  <w:style w:type="paragraph" w:styleId="2">
    <w:name w:val="heading 1"/>
    <w:basedOn w:val="1"/>
    <w:next w:val="1"/>
    <w:link w:val="23"/>
    <w:qFormat/>
    <w:uiPriority w:val="0"/>
    <w:pPr>
      <w:pageBreakBefore/>
      <w:numPr>
        <w:ilvl w:val="0"/>
        <w:numId w:val="1"/>
      </w:numPr>
      <w:ind w:left="442" w:hanging="442" w:firstLineChars="0"/>
      <w:outlineLvl w:val="0"/>
    </w:pPr>
    <w:rPr>
      <w:b/>
      <w:kern w:val="44"/>
      <w:sz w:val="30"/>
    </w:rPr>
  </w:style>
  <w:style w:type="paragraph" w:styleId="3">
    <w:name w:val="heading 2"/>
    <w:basedOn w:val="2"/>
    <w:next w:val="2"/>
    <w:link w:val="24"/>
    <w:unhideWhenUsed/>
    <w:qFormat/>
    <w:uiPriority w:val="9"/>
    <w:pPr>
      <w:keepNext/>
      <w:keepLines/>
      <w:numPr>
        <w:ilvl w:val="1"/>
        <w:numId w:val="2"/>
      </w:numPr>
      <w:ind w:firstLine="0" w:firstLineChars="0"/>
      <w:jc w:val="left"/>
      <w:outlineLvl w:val="1"/>
    </w:pPr>
    <w:rPr>
      <w:rFonts w:cstheme="majorBidi"/>
      <w:bCs/>
      <w:szCs w:val="32"/>
    </w:rPr>
  </w:style>
  <w:style w:type="paragraph" w:styleId="4">
    <w:name w:val="heading 3"/>
    <w:basedOn w:val="1"/>
    <w:next w:val="1"/>
    <w:link w:val="25"/>
    <w:qFormat/>
    <w:uiPriority w:val="9"/>
    <w:pPr>
      <w:numPr>
        <w:ilvl w:val="2"/>
        <w:numId w:val="1"/>
      </w:numPr>
      <w:ind w:left="480" w:firstLineChars="0"/>
      <w:jc w:val="left"/>
      <w:outlineLvl w:val="2"/>
    </w:pPr>
    <w:rPr>
      <w:rFonts w:cs="Times New Roman"/>
      <w:b/>
      <w:bCs/>
      <w:kern w:val="0"/>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ind w:firstLine="0" w:firstLineChars="0"/>
      <w:jc w:val="center"/>
    </w:pPr>
    <w:rPr>
      <w:rFonts w:cs="Arial"/>
      <w:b/>
      <w:sz w:val="21"/>
      <w:szCs w:val="20"/>
    </w:rPr>
  </w:style>
  <w:style w:type="paragraph" w:styleId="7">
    <w:name w:val="annotation text"/>
    <w:basedOn w:val="1"/>
    <w:link w:val="26"/>
    <w:uiPriority w:val="0"/>
    <w:pPr>
      <w:jc w:val="left"/>
    </w:pPr>
  </w:style>
  <w:style w:type="paragraph" w:styleId="8">
    <w:name w:val="Body Text"/>
    <w:basedOn w:val="1"/>
    <w:next w:val="1"/>
    <w:semiHidden/>
    <w:qFormat/>
    <w:uiPriority w:val="0"/>
    <w:rPr>
      <w:rFonts w:ascii="Arial" w:hAnsi="Arial" w:eastAsia="Arial" w:cs="Arial"/>
      <w:sz w:val="21"/>
      <w:szCs w:val="21"/>
      <w:lang w:val="en-US" w:eastAsia="en-US" w:bidi="ar-SA"/>
    </w:rPr>
  </w:style>
  <w:style w:type="paragraph" w:styleId="9">
    <w:name w:val="Body Text Indent"/>
    <w:basedOn w:val="1"/>
    <w:link w:val="27"/>
    <w:semiHidden/>
    <w:unhideWhenUsed/>
    <w:qFormat/>
    <w:uiPriority w:val="99"/>
    <w:pPr>
      <w:spacing w:after="120"/>
      <w:ind w:left="420" w:leftChars="200"/>
    </w:pPr>
  </w:style>
  <w:style w:type="paragraph" w:styleId="10">
    <w:name w:val="toc 3"/>
    <w:basedOn w:val="1"/>
    <w:next w:val="1"/>
    <w:autoRedefine/>
    <w:unhideWhenUsed/>
    <w:uiPriority w:val="39"/>
    <w:pPr>
      <w:widowControl/>
      <w:spacing w:after="100" w:line="259" w:lineRule="auto"/>
      <w:ind w:left="440" w:firstLine="0" w:firstLineChars="0"/>
      <w:jc w:val="left"/>
    </w:pPr>
    <w:rPr>
      <w:rFonts w:cs="Times New Roman" w:asciiTheme="minorHAnsi" w:hAnsiTheme="minorHAnsi"/>
      <w:kern w:val="0"/>
      <w:sz w:val="22"/>
      <w:szCs w:val="22"/>
    </w:rPr>
  </w:style>
  <w:style w:type="paragraph" w:styleId="11">
    <w:name w:val="footer"/>
    <w:basedOn w:val="1"/>
    <w:link w:val="22"/>
    <w:unhideWhenUsed/>
    <w:qFormat/>
    <w:uiPriority w:val="99"/>
    <w:pPr>
      <w:tabs>
        <w:tab w:val="center" w:pos="4153"/>
        <w:tab w:val="right" w:pos="8306"/>
      </w:tabs>
      <w:snapToGrid w:val="0"/>
      <w:spacing w:after="160" w:line="240" w:lineRule="auto"/>
      <w:ind w:firstLine="0" w:firstLineChars="0"/>
      <w:jc w:val="left"/>
    </w:pPr>
    <w:rPr>
      <w:rFonts w:asciiTheme="minorHAnsi" w:hAnsiTheme="minorHAnsi"/>
      <w:sz w:val="18"/>
      <w:szCs w:val="18"/>
      <w14:ligatures w14:val="standardContextual"/>
    </w:rPr>
  </w:style>
  <w:style w:type="paragraph" w:styleId="12">
    <w:name w:val="header"/>
    <w:basedOn w:val="1"/>
    <w:link w:val="21"/>
    <w:unhideWhenUsed/>
    <w:qFormat/>
    <w:uiPriority w:val="99"/>
    <w:pPr>
      <w:tabs>
        <w:tab w:val="center" w:pos="4153"/>
        <w:tab w:val="right" w:pos="8306"/>
      </w:tabs>
      <w:snapToGrid w:val="0"/>
      <w:spacing w:after="160" w:line="240" w:lineRule="auto"/>
      <w:ind w:firstLine="0" w:firstLineChars="0"/>
      <w:jc w:val="center"/>
    </w:pPr>
    <w:rPr>
      <w:rFonts w:asciiTheme="minorHAnsi" w:hAnsiTheme="minorHAnsi"/>
      <w:sz w:val="18"/>
      <w:szCs w:val="18"/>
      <w14:ligatures w14:val="standardContextual"/>
    </w:rPr>
  </w:style>
  <w:style w:type="paragraph" w:styleId="13">
    <w:name w:val="toc 1"/>
    <w:basedOn w:val="1"/>
    <w:next w:val="1"/>
    <w:autoRedefine/>
    <w:unhideWhenUsed/>
    <w:uiPriority w:val="39"/>
    <w:pPr>
      <w:widowControl/>
      <w:spacing w:after="100" w:line="259" w:lineRule="auto"/>
      <w:ind w:firstLine="0" w:firstLineChars="0"/>
      <w:jc w:val="left"/>
    </w:pPr>
    <w:rPr>
      <w:rFonts w:cs="Times New Roman" w:asciiTheme="minorHAnsi" w:hAnsiTheme="minorHAnsi"/>
      <w:kern w:val="0"/>
      <w:sz w:val="22"/>
      <w:szCs w:val="22"/>
    </w:rPr>
  </w:style>
  <w:style w:type="paragraph" w:styleId="14">
    <w:name w:val="toc 2"/>
    <w:basedOn w:val="1"/>
    <w:next w:val="1"/>
    <w:autoRedefine/>
    <w:unhideWhenUsed/>
    <w:uiPriority w:val="39"/>
    <w:pPr>
      <w:widowControl/>
      <w:spacing w:after="100" w:line="259" w:lineRule="auto"/>
      <w:ind w:left="220" w:firstLine="0" w:firstLineChars="0"/>
      <w:jc w:val="left"/>
    </w:pPr>
    <w:rPr>
      <w:rFonts w:cs="Times New Roman" w:asciiTheme="minorHAnsi" w:hAnsiTheme="minorHAnsi"/>
      <w:kern w:val="0"/>
      <w:sz w:val="22"/>
      <w:szCs w:val="22"/>
    </w:rPr>
  </w:style>
  <w:style w:type="paragraph" w:styleId="15">
    <w:name w:val="Body Text First Indent 2"/>
    <w:basedOn w:val="9"/>
    <w:link w:val="28"/>
    <w:qFormat/>
    <w:uiPriority w:val="0"/>
    <w:pPr>
      <w:spacing w:after="0"/>
      <w:ind w:left="0" w:leftChars="0" w:firstLine="420"/>
    </w:pPr>
    <w:rPr>
      <w:rFonts w:ascii="文鼎书宋简" w:hAnsi="宋体" w:eastAsia="文鼎书宋简" w:cs="宋体"/>
      <w:color w:val="000000"/>
      <w:spacing w:val="12"/>
      <w:kern w:val="0"/>
      <w:szCs w:val="28"/>
    </w:rPr>
  </w:style>
  <w:style w:type="table" w:styleId="17">
    <w:name w:val="Table Grid"/>
    <w:basedOn w:val="1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954F72"/>
      <w:u w:val="single"/>
    </w:rPr>
  </w:style>
  <w:style w:type="character" w:styleId="20">
    <w:name w:val="Hyperlink"/>
    <w:basedOn w:val="18"/>
    <w:unhideWhenUsed/>
    <w:uiPriority w:val="99"/>
    <w:rPr>
      <w:color w:val="467886" w:themeColor="hyperlink"/>
      <w:u w:val="single"/>
      <w14:textFill>
        <w14:solidFill>
          <w14:schemeClr w14:val="hlink"/>
        </w14:solidFill>
      </w14:textFill>
    </w:rPr>
  </w:style>
  <w:style w:type="character" w:customStyle="1" w:styleId="21">
    <w:name w:val="页眉 字符"/>
    <w:basedOn w:val="18"/>
    <w:link w:val="12"/>
    <w:uiPriority w:val="99"/>
    <w:rPr>
      <w:sz w:val="18"/>
      <w:szCs w:val="18"/>
    </w:rPr>
  </w:style>
  <w:style w:type="character" w:customStyle="1" w:styleId="22">
    <w:name w:val="页脚 字符"/>
    <w:basedOn w:val="18"/>
    <w:link w:val="11"/>
    <w:uiPriority w:val="99"/>
    <w:rPr>
      <w:sz w:val="18"/>
      <w:szCs w:val="18"/>
    </w:rPr>
  </w:style>
  <w:style w:type="character" w:customStyle="1" w:styleId="23">
    <w:name w:val="标题 1 字符"/>
    <w:basedOn w:val="18"/>
    <w:link w:val="2"/>
    <w:qFormat/>
    <w:uiPriority w:val="0"/>
    <w:rPr>
      <w:rFonts w:ascii="Times New Roman" w:hAnsi="Times New Roman" w:eastAsia="宋体"/>
      <w:b/>
      <w:kern w:val="44"/>
      <w:sz w:val="30"/>
      <w14:ligatures w14:val="none"/>
    </w:rPr>
  </w:style>
  <w:style w:type="character" w:customStyle="1" w:styleId="24">
    <w:name w:val="标题 2 字符"/>
    <w:basedOn w:val="18"/>
    <w:link w:val="3"/>
    <w:uiPriority w:val="9"/>
    <w:rPr>
      <w:rFonts w:ascii="Times New Roman" w:hAnsi="Times New Roman" w:eastAsia="宋体" w:cstheme="majorBidi"/>
      <w:b/>
      <w:bCs/>
      <w:sz w:val="24"/>
      <w:szCs w:val="32"/>
      <w14:ligatures w14:val="none"/>
    </w:rPr>
  </w:style>
  <w:style w:type="character" w:customStyle="1" w:styleId="25">
    <w:name w:val="标题 3 字符"/>
    <w:basedOn w:val="18"/>
    <w:link w:val="4"/>
    <w:uiPriority w:val="9"/>
    <w:rPr>
      <w:rFonts w:ascii="Times New Roman" w:hAnsi="Times New Roman" w:eastAsia="宋体" w:cs="Times New Roman"/>
      <w:b/>
      <w:bCs/>
      <w:kern w:val="0"/>
      <w:sz w:val="24"/>
      <w:szCs w:val="32"/>
      <w14:ligatures w14:val="none"/>
    </w:rPr>
  </w:style>
  <w:style w:type="character" w:customStyle="1" w:styleId="26">
    <w:name w:val="批注文字 字符"/>
    <w:basedOn w:val="18"/>
    <w:link w:val="7"/>
    <w:qFormat/>
    <w:uiPriority w:val="0"/>
    <w:rPr>
      <w:rFonts w:ascii="Times New Roman" w:hAnsi="Times New Roman"/>
      <w:sz w:val="24"/>
      <w14:ligatures w14:val="none"/>
    </w:rPr>
  </w:style>
  <w:style w:type="character" w:customStyle="1" w:styleId="27">
    <w:name w:val="正文文本缩进 字符"/>
    <w:basedOn w:val="18"/>
    <w:link w:val="9"/>
    <w:semiHidden/>
    <w:qFormat/>
    <w:uiPriority w:val="99"/>
    <w:rPr>
      <w:rFonts w:ascii="Times New Roman" w:hAnsi="Times New Roman"/>
      <w:sz w:val="24"/>
      <w14:ligatures w14:val="none"/>
    </w:rPr>
  </w:style>
  <w:style w:type="character" w:customStyle="1" w:styleId="28">
    <w:name w:val="正文文本首行缩进 2 字符"/>
    <w:basedOn w:val="27"/>
    <w:link w:val="15"/>
    <w:uiPriority w:val="0"/>
    <w:rPr>
      <w:rFonts w:ascii="文鼎书宋简" w:hAnsi="宋体" w:eastAsia="文鼎书宋简" w:cs="宋体"/>
      <w:color w:val="000000"/>
      <w:spacing w:val="12"/>
      <w:kern w:val="0"/>
      <w:sz w:val="24"/>
      <w:szCs w:val="28"/>
      <w14:ligatures w14:val="none"/>
    </w:rPr>
  </w:style>
  <w:style w:type="paragraph" w:styleId="29">
    <w:name w:val="List Paragraph"/>
    <w:basedOn w:val="1"/>
    <w:qFormat/>
    <w:uiPriority w:val="34"/>
    <w:pPr>
      <w:ind w:firstLine="420"/>
    </w:pPr>
  </w:style>
  <w:style w:type="paragraph" w:customStyle="1" w:styleId="30">
    <w:name w:val="TOC Heading"/>
    <w:basedOn w:val="2"/>
    <w:next w:val="1"/>
    <w:unhideWhenUsed/>
    <w:uiPriority w:val="39"/>
    <w:pPr>
      <w:widowControl/>
      <w:spacing w:before="240" w:line="259" w:lineRule="auto"/>
      <w:jc w:val="left"/>
      <w:outlineLvl w:val="9"/>
    </w:pPr>
    <w:rPr>
      <w:rFonts w:asciiTheme="majorHAnsi" w:hAnsiTheme="majorHAnsi" w:eastAsiaTheme="majorEastAsia" w:cstheme="majorBidi"/>
      <w:b w:val="0"/>
      <w:color w:val="104862" w:themeColor="accent1" w:themeShade="BF"/>
      <w:kern w:val="0"/>
      <w:sz w:val="32"/>
      <w:szCs w:val="32"/>
    </w:rPr>
  </w:style>
  <w:style w:type="paragraph" w:customStyle="1" w:styleId="31">
    <w:name w:val="样式1"/>
    <w:basedOn w:val="3"/>
    <w:link w:val="32"/>
    <w:qFormat/>
    <w:uiPriority w:val="0"/>
    <w:pPr>
      <w:tabs>
        <w:tab w:val="left" w:pos="0"/>
      </w:tabs>
      <w:outlineLvl w:val="2"/>
    </w:pPr>
  </w:style>
  <w:style w:type="character" w:customStyle="1" w:styleId="32">
    <w:name w:val="样式1 字符"/>
    <w:basedOn w:val="24"/>
    <w:link w:val="31"/>
    <w:uiPriority w:val="0"/>
    <w:rPr>
      <w:rFonts w:ascii="Times New Roman" w:hAnsi="Times New Roman" w:eastAsia="宋体" w:cstheme="majorBidi"/>
      <w:sz w:val="24"/>
      <w:szCs w:val="32"/>
      <w14:ligatures w14:val="none"/>
    </w:rPr>
  </w:style>
  <w:style w:type="character" w:customStyle="1" w:styleId="33">
    <w:name w:val="标题 4 字符"/>
    <w:basedOn w:val="18"/>
    <w:link w:val="5"/>
    <w:qFormat/>
    <w:uiPriority w:val="9"/>
    <w:rPr>
      <w:rFonts w:asciiTheme="majorHAnsi" w:hAnsiTheme="majorHAnsi" w:eastAsiaTheme="majorEastAsia" w:cstheme="majorBidi"/>
      <w:b/>
      <w:bCs/>
      <w:sz w:val="28"/>
      <w:szCs w:val="28"/>
      <w14:ligatures w14:val="none"/>
    </w:rPr>
  </w:style>
  <w:style w:type="paragraph" w:customStyle="1" w:styleId="34">
    <w:name w:val="图片"/>
    <w:basedOn w:val="1"/>
    <w:next w:val="1"/>
    <w:qFormat/>
    <w:uiPriority w:val="0"/>
    <w:pPr>
      <w:spacing w:line="240" w:lineRule="auto"/>
      <w:ind w:firstLine="0" w:firstLineChars="0"/>
      <w:jc w:val="center"/>
    </w:pPr>
    <w:rPr>
      <w:b/>
      <w:bCs/>
      <w:sz w:val="21"/>
      <w14:ligatures w14:val="standardContextual"/>
    </w:rPr>
  </w:style>
  <w:style w:type="paragraph" w:customStyle="1" w:styleId="35">
    <w:name w:val="msonormal"/>
    <w:basedOn w:val="1"/>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36">
    <w:name w:val="font5"/>
    <w:basedOn w:val="1"/>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37">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0">
    <w:name w:val="xl68"/>
    <w:basedOn w:val="1"/>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2">
    <w:name w:val="1 正文"/>
    <w:basedOn w:val="1"/>
    <w:autoRedefine/>
    <w:qFormat/>
    <w:uiPriority w:val="0"/>
    <w:rPr>
      <w:rFonts w:ascii="Calibri" w:hAnsi="Calibri" w:eastAsia="仿宋_GB2312"/>
      <w:snapToGrid w:val="0"/>
      <w:szCs w:val="24"/>
    </w:rPr>
  </w:style>
  <w:style w:type="paragraph" w:customStyle="1" w:styleId="43">
    <w:name w:val="3级标题"/>
    <w:next w:val="1"/>
    <w:autoRedefine/>
    <w:qFormat/>
    <w:uiPriority w:val="0"/>
    <w:pPr>
      <w:spacing w:line="360" w:lineRule="auto"/>
      <w:outlineLvl w:val="2"/>
    </w:pPr>
    <w:rPr>
      <w:rFonts w:ascii="Times New Roman" w:hAnsi="Times New Roman" w:eastAsia="宋体" w:cs="Times New Roman"/>
      <w:b/>
      <w:kern w:val="2"/>
      <w:sz w:val="28"/>
      <w:szCs w:val="20"/>
      <w:lang w:val="en-US" w:eastAsia="zh-CN" w:bidi="ar-SA"/>
    </w:rPr>
  </w:style>
  <w:style w:type="paragraph" w:customStyle="1" w:styleId="44">
    <w:name w:val="表格标题"/>
    <w:basedOn w:val="1"/>
    <w:autoRedefine/>
    <w:qFormat/>
    <w:uiPriority w:val="0"/>
    <w:pPr>
      <w:jc w:val="center"/>
    </w:pPr>
    <w:rPr>
      <w:b/>
    </w:rPr>
  </w:style>
  <w:style w:type="paragraph" w:customStyle="1" w:styleId="45">
    <w:name w:val="表格内容"/>
    <w:basedOn w:val="1"/>
    <w:autoRedefine/>
    <w:qFormat/>
    <w:uiPriority w:val="0"/>
    <w:pPr>
      <w:adjustRightInd w:val="0"/>
      <w:snapToGrid w:val="0"/>
      <w:spacing w:line="240" w:lineRule="auto"/>
      <w:ind w:firstLine="0" w:firstLineChars="0"/>
      <w:jc w:val="center"/>
      <w:textAlignment w:val="baseline"/>
    </w:pPr>
    <w:rPr>
      <w:rFonts w:eastAsia="宋体" w:cs="Times New Roman"/>
      <w:kern w:val="0"/>
      <w:sz w:val="21"/>
      <w:szCs w:val="21"/>
      <w:lang w:val="zh-CN"/>
    </w:rPr>
  </w:style>
  <w:style w:type="paragraph" w:customStyle="1" w:styleId="46">
    <w:name w:val="插图"/>
    <w:basedOn w:val="1"/>
    <w:autoRedefine/>
    <w:qFormat/>
    <w:uiPriority w:val="0"/>
    <w:pPr>
      <w:spacing w:line="240" w:lineRule="auto"/>
      <w:ind w:firstLine="0" w:firstLineChars="0"/>
      <w:jc w:val="center"/>
    </w:pPr>
    <w:rPr>
      <w:rFonts w:eastAsia="宋体"/>
      <w:b/>
      <w:color w:val="120AB6"/>
      <w:sz w:val="21"/>
      <w:szCs w:val="20"/>
    </w:rPr>
  </w:style>
  <w:style w:type="paragraph" w:customStyle="1" w:styleId="47">
    <w:name w:val="图表名"/>
    <w:basedOn w:val="1"/>
    <w:next w:val="1"/>
    <w:autoRedefine/>
    <w:qFormat/>
    <w:uiPriority w:val="0"/>
    <w:pPr>
      <w:ind w:firstLine="0" w:firstLineChars="0"/>
      <w:jc w:val="center"/>
    </w:pPr>
    <w:rPr>
      <w:b/>
      <w:sz w:val="21"/>
      <w:szCs w:val="24"/>
    </w:rPr>
  </w:style>
</w:styles>
</file>

<file path=word/_rels/document.xml.rels><?xml version="1.0" encoding="UTF-8" standalone="yes" ?><Relationships xmlns="http://schemas.openxmlformats.org/package/2006/relationships"><Relationship Id="rId9" Target="footer2.xml" Type="http://schemas.openxmlformats.org/officeDocument/2006/relationships/footer"/><Relationship Id="rId8" Target="footer1.xml" Type="http://schemas.openxmlformats.org/officeDocument/2006/relationships/footer"/><Relationship Id="rId7" Target="header3.xml" Type="http://schemas.openxmlformats.org/officeDocument/2006/relationships/header"/><Relationship Id="rId6" Target="header2.xml" Type="http://schemas.openxmlformats.org/officeDocument/2006/relationships/header"/><Relationship Id="rId59" Target="fontTable.xml" Type="http://schemas.openxmlformats.org/officeDocument/2006/relationships/fontTable"/><Relationship Id="rId58" Target="../customXml/item2.xml" Type="http://schemas.openxmlformats.org/officeDocument/2006/relationships/customXml"/><Relationship Id="rId57" Target="numbering.xml" Type="http://schemas.openxmlformats.org/officeDocument/2006/relationships/numbering"/><Relationship Id="rId56" Target="../customXml/item1.xml" Type="http://schemas.openxmlformats.org/officeDocument/2006/relationships/customXml"/><Relationship Id="rId55" Target="media/image43.jpeg" Type="http://schemas.openxmlformats.org/officeDocument/2006/relationships/image"/><Relationship Id="rId54" Target="media/image42.jpeg" Type="http://schemas.openxmlformats.org/officeDocument/2006/relationships/image"/><Relationship Id="rId53" Target="media/image41.png" Type="http://schemas.openxmlformats.org/officeDocument/2006/relationships/image"/><Relationship Id="rId52" Target="media/image40.png" Type="http://schemas.openxmlformats.org/officeDocument/2006/relationships/image"/><Relationship Id="rId51" Target="media/image39.png" Type="http://schemas.openxmlformats.org/officeDocument/2006/relationships/image"/><Relationship Id="rId50" Target="media/image38.png" Type="http://schemas.openxmlformats.org/officeDocument/2006/relationships/image"/><Relationship Id="rId5" Target="header1.xml" Type="http://schemas.openxmlformats.org/officeDocument/2006/relationships/header"/><Relationship Id="rId49" Target="media/image37.jpeg" Type="http://schemas.openxmlformats.org/officeDocument/2006/relationships/image"/><Relationship Id="rId48" Target="media/image36.jpeg" Type="http://schemas.openxmlformats.org/officeDocument/2006/relationships/image"/><Relationship Id="rId47" Target="media/image35.png" Type="http://schemas.openxmlformats.org/officeDocument/2006/relationships/image"/><Relationship Id="rId46" Target="media/image34.jpeg" Type="http://schemas.openxmlformats.org/officeDocument/2006/relationships/image"/><Relationship Id="rId45" Target="media/image33.png" Type="http://schemas.openxmlformats.org/officeDocument/2006/relationships/image"/><Relationship Id="rId44" Target="media/image32.png" Type="http://schemas.openxmlformats.org/officeDocument/2006/relationships/image"/><Relationship Id="rId43" Target="media/image31.jpeg" Type="http://schemas.openxmlformats.org/officeDocument/2006/relationships/image"/><Relationship Id="rId42" Target="media/image30.png" Type="http://schemas.openxmlformats.org/officeDocument/2006/relationships/image"/><Relationship Id="rId41" Target="media/image29.emf" Type="http://schemas.openxmlformats.org/officeDocument/2006/relationships/image"/><Relationship Id="rId40" Target="media/image28.jpeg" Type="http://schemas.openxmlformats.org/officeDocument/2006/relationships/image"/><Relationship Id="rId4" Target="endnotes.xml" Type="http://schemas.openxmlformats.org/officeDocument/2006/relationships/endnotes"/><Relationship Id="rId39" Target="media/image27.jpeg" Type="http://schemas.openxmlformats.org/officeDocument/2006/relationships/image"/><Relationship Id="rId38" Target="media/image26.png" Type="http://schemas.openxmlformats.org/officeDocument/2006/relationships/image"/><Relationship Id="rId37" Target="media/image25.png" Type="http://schemas.openxmlformats.org/officeDocument/2006/relationships/image"/><Relationship Id="rId36" Target="media/image24.png" Type="http://schemas.openxmlformats.org/officeDocument/2006/relationships/image"/><Relationship Id="rId35" Target="media/image23.png" Type="http://schemas.openxmlformats.org/officeDocument/2006/relationships/image"/><Relationship Id="rId34" Target="media/image22.jpeg" Type="http://schemas.openxmlformats.org/officeDocument/2006/relationships/image"/><Relationship Id="rId33" Target="media/image21.png" Type="http://schemas.openxmlformats.org/officeDocument/2006/relationships/image"/><Relationship Id="rId32" Target="media/image20.jpeg" Type="http://schemas.openxmlformats.org/officeDocument/2006/relationships/image"/><Relationship Id="rId31" Target="media/image19.png" Type="http://schemas.openxmlformats.org/officeDocument/2006/relationships/image"/><Relationship Id="rId30" Target="media/image18.png" Type="http://schemas.openxmlformats.org/officeDocument/2006/relationships/image"/><Relationship Id="rId3" Target="footnotes.xml" Type="http://schemas.openxmlformats.org/officeDocument/2006/relationships/footnotes"/><Relationship Id="rId29" Target="media/image17.png" Type="http://schemas.openxmlformats.org/officeDocument/2006/relationships/image"/><Relationship Id="rId28" Target="media/image16.png" Type="http://schemas.openxmlformats.org/officeDocument/2006/relationships/image"/><Relationship Id="rId27" Target="media/image15.jpeg" Type="http://schemas.openxmlformats.org/officeDocument/2006/relationships/image"/><Relationship Id="rId26" Target="media/image14.jpeg" Type="http://schemas.openxmlformats.org/officeDocument/2006/relationships/image"/><Relationship Id="rId25" Target="media/image13.jpeg" Type="http://schemas.openxmlformats.org/officeDocument/2006/relationships/image"/><Relationship Id="rId24" Target="media/image12.jpeg" Type="http://schemas.openxmlformats.org/officeDocument/2006/relationships/image"/><Relationship Id="rId23" Target="media/image11.jpeg" Type="http://schemas.openxmlformats.org/officeDocument/2006/relationships/image"/><Relationship Id="rId22" Target="media/image10.png" Type="http://schemas.openxmlformats.org/officeDocument/2006/relationships/image"/><Relationship Id="rId21" Target="media/image9.png" Type="http://schemas.openxmlformats.org/officeDocument/2006/relationships/image"/><Relationship Id="rId20" Target="media/image8.png" Type="http://schemas.openxmlformats.org/officeDocument/2006/relationships/image"/><Relationship Id="rId2" Target="settings.xml" Type="http://schemas.openxmlformats.org/officeDocument/2006/relationships/settings"/><Relationship Id="rId19" Target="media/image7.png" Type="http://schemas.openxmlformats.org/officeDocument/2006/relationships/image"/><Relationship Id="rId18" Target="media/image6.png" Type="http://schemas.openxmlformats.org/officeDocument/2006/relationships/image"/><Relationship Id="rId17" Target="media/image5.png" Type="http://schemas.openxmlformats.org/officeDocument/2006/relationships/image"/><Relationship Id="rId16" Target="media/image4.png" Type="http://schemas.openxmlformats.org/officeDocument/2006/relationships/image"/><Relationship Id="rId15" Target="media/image3.png" Type="http://schemas.openxmlformats.org/officeDocument/2006/relationships/image"/><Relationship Id="rId14" Target="media/image2.jpeg" Type="http://schemas.openxmlformats.org/officeDocument/2006/relationships/image"/><Relationship Id="rId13" Target="media/image1.jpeg" Type="http://schemas.openxmlformats.org/officeDocument/2006/relationships/image"/><Relationship Id="rId12" Target="theme/theme1.xml" Type="http://schemas.openxmlformats.org/officeDocument/2006/relationships/theme"/><Relationship Id="rId11" Target="footer4.xml" Type="http://schemas.openxmlformats.org/officeDocument/2006/relationships/footer"/><Relationship Id="rId10" Target="footer3.xml" Type="http://schemas.openxmlformats.org/officeDocument/2006/relationships/footer"/><Relationship Id="rId1"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48E2BD-EC44-4963-AB14-D4CE72714DC2}">
  <ds:schemaRefs/>
</ds:datastoreItem>
</file>

<file path=docProps/app.xml><?xml version="1.0" encoding="utf-8"?>
<Properties xmlns="http://schemas.openxmlformats.org/officeDocument/2006/extended-properties" xmlns:vt="http://schemas.openxmlformats.org/officeDocument/2006/docPropsVTypes">
  <Template>Normal</Template>
  <Pages>78</Pages>
  <Words>17369</Words>
  <Characters>18343</Characters>
  <Lines>171</Lines>
  <Paragraphs>48</Paragraphs>
  <TotalTime>8</TotalTime>
  <ScaleCrop>false</ScaleCrop>
  <LinksUpToDate>false</LinksUpToDate>
  <CharactersWithSpaces>18704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2025-01-16T13:21:00Z</dcterms:created>
  <dc:creator>多 李</dc:creator>
  <cp:lastModifiedBy>钟硙</cp:lastModifiedBy>
  <dcterms:modified xsi:type="dcterms:W3CDTF">2025-02-24T13:22:11Z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5AD9C91009E24DDF8CF2727E0C1BE7FB_13</vt:lpwstr>
  </property>
  <property fmtid="{D5CDD505-2E9C-101B-9397-08002B2CF9AE}" name="KSOProductBuildVer" pid="3">
    <vt:lpwstr>2052-12.1.0.19770</vt:lpwstr>
  </property>
  <property fmtid="{D5CDD505-2E9C-101B-9397-08002B2CF9AE}" name="KSOTemplateDocerSaveRecord" pid="4">
    <vt:lpwstr>eyJoZGlkIjoiZWVlOWUwYWExMWFlMWRlNTgwODI2YmI0NDI3NzNhZjYiLCJ1c2VySWQiOiI0OTQzMDY1MzMifQ==</vt:lpwstr>
  </property>
  <property fmtid="{D5CDD505-2E9C-101B-9397-08002B2CF9AE}" name="NXPowerLiteLastOptimized" pid="5">
    <vt:lpwstr>3004204</vt:lpwstr>
  </property>
  <property fmtid="{D5CDD505-2E9C-101B-9397-08002B2CF9AE}" name="NXPowerLiteSettings" pid="6">
    <vt:lpwstr>C70005D002A000</vt:lpwstr>
  </property>
  <property fmtid="{D5CDD505-2E9C-101B-9397-08002B2CF9AE}" name="NXPowerLiteVersion" pid="7">
    <vt:lpwstr>D10.3.2</vt:lpwstr>
  </property>
</Properties>
</file>