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A683FB">
      <w:pPr>
        <w:ind w:firstLine="0" w:firstLineChars="0"/>
        <w:jc w:val="center"/>
        <w:rPr>
          <w:b/>
          <w:sz w:val="44"/>
          <w:szCs w:val="44"/>
        </w:rPr>
      </w:pPr>
      <w:r>
        <w:rPr>
          <w:b/>
          <w:sz w:val="44"/>
          <w:szCs w:val="44"/>
        </w:rPr>
        <w:t>目   录</w:t>
      </w:r>
    </w:p>
    <w:p w14:paraId="44B77110">
      <w:pPr>
        <w:pStyle w:val="21"/>
        <w:tabs>
          <w:tab w:val="right" w:leader="dot" w:pos="9525"/>
        </w:tabs>
      </w:pPr>
      <w:r>
        <w:rPr>
          <w:rFonts w:hAnsi="宋体"/>
          <w:szCs w:val="24"/>
        </w:rPr>
        <w:fldChar w:fldCharType="begin"/>
      </w:r>
      <w:r>
        <w:rPr>
          <w:rFonts w:hAnsi="宋体"/>
          <w:szCs w:val="24"/>
        </w:rPr>
        <w:instrText xml:space="preserve"> TOC \o "1-2" \h \z \u </w:instrText>
      </w:r>
      <w:r>
        <w:rPr>
          <w:rFonts w:hAnsi="宋体"/>
          <w:szCs w:val="24"/>
        </w:rPr>
        <w:fldChar w:fldCharType="separate"/>
      </w:r>
      <w:r>
        <w:rPr>
          <w:rFonts w:hAnsi="宋体"/>
          <w:szCs w:val="24"/>
        </w:rPr>
        <w:fldChar w:fldCharType="begin"/>
      </w:r>
      <w:r>
        <w:rPr>
          <w:rFonts w:hAnsi="宋体"/>
          <w:szCs w:val="24"/>
        </w:rPr>
        <w:instrText xml:space="preserve"> HYPERLINK \l _Toc29929 </w:instrText>
      </w:r>
      <w:r>
        <w:rPr>
          <w:rFonts w:hAnsi="宋体"/>
          <w:szCs w:val="24"/>
        </w:rPr>
        <w:fldChar w:fldCharType="separate"/>
      </w:r>
      <w:r>
        <w:rPr>
          <w:rFonts w:hint="eastAsia" w:ascii="宋体" w:hAnsi="宋体" w:eastAsia="宋体" w:cs="Times New Roman"/>
          <w:bCs/>
          <w:szCs w:val="30"/>
          <w:highlight w:val="none"/>
          <w:lang w:val="en-US" w:eastAsia="zh-CN"/>
        </w:rPr>
        <w:t>1、工程概况</w:t>
      </w:r>
      <w:r>
        <w:tab/>
      </w:r>
      <w:r>
        <w:fldChar w:fldCharType="begin"/>
      </w:r>
      <w:r>
        <w:instrText xml:space="preserve"> PAGEREF _Toc29929 \h </w:instrText>
      </w:r>
      <w:r>
        <w:fldChar w:fldCharType="separate"/>
      </w:r>
      <w:r>
        <w:t>1</w:t>
      </w:r>
      <w:r>
        <w:fldChar w:fldCharType="end"/>
      </w:r>
      <w:r>
        <w:rPr>
          <w:rFonts w:hAnsi="宋体"/>
          <w:szCs w:val="24"/>
        </w:rPr>
        <w:fldChar w:fldCharType="end"/>
      </w:r>
    </w:p>
    <w:p w14:paraId="0233B720">
      <w:pPr>
        <w:pStyle w:val="22"/>
        <w:tabs>
          <w:tab w:val="right" w:leader="dot" w:pos="9525"/>
        </w:tabs>
      </w:pPr>
      <w:r>
        <w:rPr>
          <w:rFonts w:ascii="宋体" w:hAnsi="宋体"/>
          <w:szCs w:val="24"/>
        </w:rPr>
        <w:fldChar w:fldCharType="begin"/>
      </w:r>
      <w:r>
        <w:rPr>
          <w:rFonts w:ascii="宋体" w:hAnsi="宋体"/>
          <w:szCs w:val="24"/>
        </w:rPr>
        <w:instrText xml:space="preserve"> HYPERLINK \l _Toc12852 </w:instrText>
      </w:r>
      <w:r>
        <w:rPr>
          <w:rFonts w:ascii="宋体" w:hAnsi="宋体"/>
          <w:szCs w:val="24"/>
        </w:rPr>
        <w:fldChar w:fldCharType="separate"/>
      </w:r>
      <w:r>
        <w:rPr>
          <w:rFonts w:hint="eastAsia" w:ascii="宋体" w:hAnsi="宋体" w:eastAsia="宋体" w:cs="宋体"/>
          <w:spacing w:val="10"/>
          <w:highlight w:val="none"/>
          <w:lang w:val="en-US" w:eastAsia="zh-CN"/>
        </w:rPr>
        <w:t>1.1工程简介</w:t>
      </w:r>
      <w:r>
        <w:tab/>
      </w:r>
      <w:r>
        <w:fldChar w:fldCharType="begin"/>
      </w:r>
      <w:r>
        <w:instrText xml:space="preserve"> PAGEREF _Toc12852 \h </w:instrText>
      </w:r>
      <w:r>
        <w:fldChar w:fldCharType="separate"/>
      </w:r>
      <w:r>
        <w:t>1</w:t>
      </w:r>
      <w:r>
        <w:fldChar w:fldCharType="end"/>
      </w:r>
      <w:r>
        <w:rPr>
          <w:rFonts w:ascii="宋体" w:hAnsi="宋体"/>
          <w:szCs w:val="24"/>
        </w:rPr>
        <w:fldChar w:fldCharType="end"/>
      </w:r>
    </w:p>
    <w:p w14:paraId="5628280D">
      <w:pPr>
        <w:pStyle w:val="22"/>
        <w:tabs>
          <w:tab w:val="right" w:leader="dot" w:pos="9525"/>
        </w:tabs>
      </w:pPr>
      <w:r>
        <w:rPr>
          <w:rFonts w:ascii="宋体" w:hAnsi="宋体"/>
          <w:szCs w:val="24"/>
        </w:rPr>
        <w:fldChar w:fldCharType="begin"/>
      </w:r>
      <w:r>
        <w:rPr>
          <w:rFonts w:ascii="宋体" w:hAnsi="宋体"/>
          <w:szCs w:val="24"/>
        </w:rPr>
        <w:instrText xml:space="preserve"> HYPERLINK \l _Toc30186 </w:instrText>
      </w:r>
      <w:r>
        <w:rPr>
          <w:rFonts w:ascii="宋体" w:hAnsi="宋体"/>
          <w:szCs w:val="24"/>
        </w:rPr>
        <w:fldChar w:fldCharType="separate"/>
      </w:r>
      <w:r>
        <w:rPr>
          <w:rFonts w:hint="eastAsia" w:ascii="宋体" w:hAnsi="宋体" w:eastAsia="宋体" w:cs="宋体"/>
          <w:spacing w:val="10"/>
          <w:highlight w:val="none"/>
          <w:lang w:val="en-US" w:eastAsia="zh-CN"/>
        </w:rPr>
        <w:t>1.2工程地质</w:t>
      </w:r>
      <w:r>
        <w:tab/>
      </w:r>
      <w:r>
        <w:fldChar w:fldCharType="begin"/>
      </w:r>
      <w:r>
        <w:instrText xml:space="preserve"> PAGEREF _Toc30186 \h </w:instrText>
      </w:r>
      <w:r>
        <w:fldChar w:fldCharType="separate"/>
      </w:r>
      <w:r>
        <w:t>1</w:t>
      </w:r>
      <w:r>
        <w:fldChar w:fldCharType="end"/>
      </w:r>
      <w:r>
        <w:rPr>
          <w:rFonts w:ascii="宋体" w:hAnsi="宋体"/>
          <w:szCs w:val="24"/>
        </w:rPr>
        <w:fldChar w:fldCharType="end"/>
      </w:r>
    </w:p>
    <w:p w14:paraId="657E39FF">
      <w:pPr>
        <w:pStyle w:val="21"/>
        <w:tabs>
          <w:tab w:val="right" w:leader="dot" w:pos="9525"/>
        </w:tabs>
      </w:pPr>
      <w:r>
        <w:rPr>
          <w:rFonts w:ascii="宋体" w:hAnsi="宋体"/>
          <w:szCs w:val="24"/>
        </w:rPr>
        <w:fldChar w:fldCharType="begin"/>
      </w:r>
      <w:r>
        <w:rPr>
          <w:rFonts w:ascii="宋体" w:hAnsi="宋体"/>
          <w:szCs w:val="24"/>
        </w:rPr>
        <w:instrText xml:space="preserve"> HYPERLINK \l _Toc24824 </w:instrText>
      </w:r>
      <w:r>
        <w:rPr>
          <w:rFonts w:ascii="宋体" w:hAnsi="宋体"/>
          <w:szCs w:val="24"/>
        </w:rPr>
        <w:fldChar w:fldCharType="separate"/>
      </w:r>
      <w:r>
        <w:rPr>
          <w:rFonts w:hint="eastAsia" w:ascii="宋体" w:hAnsi="宋体" w:eastAsia="宋体" w:cs="Times New Roman"/>
          <w:bCs/>
          <w:szCs w:val="30"/>
          <w:highlight w:val="none"/>
          <w:lang w:val="en-US" w:eastAsia="zh-CN"/>
        </w:rPr>
        <w:t>2、监测依据、原则及目的</w:t>
      </w:r>
      <w:r>
        <w:tab/>
      </w:r>
      <w:r>
        <w:fldChar w:fldCharType="begin"/>
      </w:r>
      <w:r>
        <w:instrText xml:space="preserve"> PAGEREF _Toc24824 \h </w:instrText>
      </w:r>
      <w:r>
        <w:fldChar w:fldCharType="separate"/>
      </w:r>
      <w:r>
        <w:t>3</w:t>
      </w:r>
      <w:r>
        <w:fldChar w:fldCharType="end"/>
      </w:r>
      <w:r>
        <w:rPr>
          <w:rFonts w:ascii="宋体" w:hAnsi="宋体"/>
          <w:szCs w:val="24"/>
        </w:rPr>
        <w:fldChar w:fldCharType="end"/>
      </w:r>
    </w:p>
    <w:p w14:paraId="2090AD60">
      <w:pPr>
        <w:pStyle w:val="22"/>
        <w:tabs>
          <w:tab w:val="right" w:leader="dot" w:pos="9525"/>
        </w:tabs>
      </w:pPr>
      <w:r>
        <w:rPr>
          <w:rFonts w:ascii="宋体" w:hAnsi="宋体"/>
          <w:szCs w:val="24"/>
        </w:rPr>
        <w:fldChar w:fldCharType="begin"/>
      </w:r>
      <w:r>
        <w:rPr>
          <w:rFonts w:ascii="宋体" w:hAnsi="宋体"/>
          <w:szCs w:val="24"/>
        </w:rPr>
        <w:instrText xml:space="preserve"> HYPERLINK \l _Toc17007 </w:instrText>
      </w:r>
      <w:r>
        <w:rPr>
          <w:rFonts w:ascii="宋体" w:hAnsi="宋体"/>
          <w:szCs w:val="24"/>
        </w:rPr>
        <w:fldChar w:fldCharType="separate"/>
      </w:r>
      <w:r>
        <w:rPr>
          <w:rFonts w:hint="eastAsia" w:ascii="宋体" w:hAnsi="宋体" w:eastAsia="宋体" w:cs="宋体"/>
          <w:spacing w:val="10"/>
          <w:highlight w:val="none"/>
          <w:lang w:val="en-US" w:eastAsia="zh-CN"/>
        </w:rPr>
        <w:t>2.1监测依据</w:t>
      </w:r>
      <w:r>
        <w:tab/>
      </w:r>
      <w:r>
        <w:fldChar w:fldCharType="begin"/>
      </w:r>
      <w:r>
        <w:instrText xml:space="preserve"> PAGEREF _Toc17007 \h </w:instrText>
      </w:r>
      <w:r>
        <w:fldChar w:fldCharType="separate"/>
      </w:r>
      <w:r>
        <w:t>3</w:t>
      </w:r>
      <w:r>
        <w:fldChar w:fldCharType="end"/>
      </w:r>
      <w:r>
        <w:rPr>
          <w:rFonts w:ascii="宋体" w:hAnsi="宋体"/>
          <w:szCs w:val="24"/>
        </w:rPr>
        <w:fldChar w:fldCharType="end"/>
      </w:r>
    </w:p>
    <w:p w14:paraId="22835097">
      <w:pPr>
        <w:pStyle w:val="22"/>
        <w:tabs>
          <w:tab w:val="right" w:leader="dot" w:pos="9525"/>
        </w:tabs>
      </w:pPr>
      <w:r>
        <w:rPr>
          <w:rFonts w:ascii="宋体" w:hAnsi="宋体"/>
          <w:szCs w:val="24"/>
        </w:rPr>
        <w:fldChar w:fldCharType="begin"/>
      </w:r>
      <w:r>
        <w:rPr>
          <w:rFonts w:ascii="宋体" w:hAnsi="宋体"/>
          <w:szCs w:val="24"/>
        </w:rPr>
        <w:instrText xml:space="preserve"> HYPERLINK \l _Toc9878 </w:instrText>
      </w:r>
      <w:r>
        <w:rPr>
          <w:rFonts w:ascii="宋体" w:hAnsi="宋体"/>
          <w:szCs w:val="24"/>
        </w:rPr>
        <w:fldChar w:fldCharType="separate"/>
      </w:r>
      <w:r>
        <w:rPr>
          <w:rFonts w:hint="eastAsia" w:ascii="宋体" w:hAnsi="宋体" w:eastAsia="宋体" w:cs="宋体"/>
          <w:spacing w:val="10"/>
          <w:highlight w:val="none"/>
          <w:lang w:val="en-US" w:eastAsia="zh-CN"/>
        </w:rPr>
        <w:t>2.2监测原则</w:t>
      </w:r>
      <w:r>
        <w:tab/>
      </w:r>
      <w:r>
        <w:fldChar w:fldCharType="begin"/>
      </w:r>
      <w:r>
        <w:instrText xml:space="preserve"> PAGEREF _Toc9878 \h </w:instrText>
      </w:r>
      <w:r>
        <w:fldChar w:fldCharType="separate"/>
      </w:r>
      <w:r>
        <w:t>4</w:t>
      </w:r>
      <w:r>
        <w:fldChar w:fldCharType="end"/>
      </w:r>
      <w:r>
        <w:rPr>
          <w:rFonts w:ascii="宋体" w:hAnsi="宋体"/>
          <w:szCs w:val="24"/>
        </w:rPr>
        <w:fldChar w:fldCharType="end"/>
      </w:r>
    </w:p>
    <w:p w14:paraId="668DC027">
      <w:pPr>
        <w:pStyle w:val="22"/>
        <w:tabs>
          <w:tab w:val="right" w:leader="dot" w:pos="9525"/>
        </w:tabs>
      </w:pPr>
      <w:r>
        <w:rPr>
          <w:rFonts w:ascii="宋体" w:hAnsi="宋体"/>
          <w:szCs w:val="24"/>
        </w:rPr>
        <w:fldChar w:fldCharType="begin"/>
      </w:r>
      <w:r>
        <w:rPr>
          <w:rFonts w:ascii="宋体" w:hAnsi="宋体"/>
          <w:szCs w:val="24"/>
        </w:rPr>
        <w:instrText xml:space="preserve"> HYPERLINK \l _Toc20269 </w:instrText>
      </w:r>
      <w:r>
        <w:rPr>
          <w:rFonts w:ascii="宋体" w:hAnsi="宋体"/>
          <w:szCs w:val="24"/>
        </w:rPr>
        <w:fldChar w:fldCharType="separate"/>
      </w:r>
      <w:r>
        <w:rPr>
          <w:rFonts w:hint="eastAsia" w:ascii="宋体" w:hAnsi="宋体" w:eastAsia="宋体" w:cs="宋体"/>
          <w:spacing w:val="10"/>
          <w:highlight w:val="none"/>
          <w:lang w:val="en-US" w:eastAsia="zh-CN"/>
        </w:rPr>
        <w:t>2.3监测目的</w:t>
      </w:r>
      <w:r>
        <w:tab/>
      </w:r>
      <w:r>
        <w:fldChar w:fldCharType="begin"/>
      </w:r>
      <w:r>
        <w:instrText xml:space="preserve"> PAGEREF _Toc20269 \h </w:instrText>
      </w:r>
      <w:r>
        <w:fldChar w:fldCharType="separate"/>
      </w:r>
      <w:r>
        <w:t>4</w:t>
      </w:r>
      <w:r>
        <w:fldChar w:fldCharType="end"/>
      </w:r>
      <w:r>
        <w:rPr>
          <w:rFonts w:ascii="宋体" w:hAnsi="宋体"/>
          <w:szCs w:val="24"/>
        </w:rPr>
        <w:fldChar w:fldCharType="end"/>
      </w:r>
    </w:p>
    <w:p w14:paraId="05181C06">
      <w:pPr>
        <w:pStyle w:val="21"/>
        <w:tabs>
          <w:tab w:val="right" w:leader="dot" w:pos="9525"/>
        </w:tabs>
      </w:pPr>
      <w:r>
        <w:rPr>
          <w:rFonts w:ascii="宋体" w:hAnsi="宋体"/>
          <w:szCs w:val="24"/>
        </w:rPr>
        <w:fldChar w:fldCharType="begin"/>
      </w:r>
      <w:r>
        <w:rPr>
          <w:rFonts w:ascii="宋体" w:hAnsi="宋体"/>
          <w:szCs w:val="24"/>
        </w:rPr>
        <w:instrText xml:space="preserve"> HYPERLINK \l _Toc18995 </w:instrText>
      </w:r>
      <w:r>
        <w:rPr>
          <w:rFonts w:ascii="宋体" w:hAnsi="宋体"/>
          <w:szCs w:val="24"/>
        </w:rPr>
        <w:fldChar w:fldCharType="separate"/>
      </w:r>
      <w:r>
        <w:rPr>
          <w:rFonts w:hint="eastAsia" w:ascii="宋体" w:hAnsi="宋体" w:eastAsia="宋体" w:cs="Times New Roman"/>
          <w:bCs/>
          <w:szCs w:val="30"/>
          <w:highlight w:val="none"/>
          <w:lang w:val="en-US" w:eastAsia="zh-CN"/>
        </w:rPr>
        <w:t>3、监测范围和内容</w:t>
      </w:r>
      <w:r>
        <w:tab/>
      </w:r>
      <w:r>
        <w:fldChar w:fldCharType="begin"/>
      </w:r>
      <w:r>
        <w:instrText xml:space="preserve"> PAGEREF _Toc18995 \h </w:instrText>
      </w:r>
      <w:r>
        <w:fldChar w:fldCharType="separate"/>
      </w:r>
      <w:r>
        <w:t>4</w:t>
      </w:r>
      <w:r>
        <w:fldChar w:fldCharType="end"/>
      </w:r>
      <w:r>
        <w:rPr>
          <w:rFonts w:ascii="宋体" w:hAnsi="宋体"/>
          <w:szCs w:val="24"/>
        </w:rPr>
        <w:fldChar w:fldCharType="end"/>
      </w:r>
    </w:p>
    <w:p w14:paraId="2A89AB8E">
      <w:pPr>
        <w:pStyle w:val="22"/>
        <w:tabs>
          <w:tab w:val="right" w:leader="dot" w:pos="9525"/>
        </w:tabs>
      </w:pPr>
      <w:r>
        <w:rPr>
          <w:rFonts w:ascii="宋体" w:hAnsi="宋体"/>
          <w:szCs w:val="24"/>
        </w:rPr>
        <w:fldChar w:fldCharType="begin"/>
      </w:r>
      <w:r>
        <w:rPr>
          <w:rFonts w:ascii="宋体" w:hAnsi="宋体"/>
          <w:szCs w:val="24"/>
        </w:rPr>
        <w:instrText xml:space="preserve"> HYPERLINK \l _Toc24304 </w:instrText>
      </w:r>
      <w:r>
        <w:rPr>
          <w:rFonts w:ascii="宋体" w:hAnsi="宋体"/>
          <w:szCs w:val="24"/>
        </w:rPr>
        <w:fldChar w:fldCharType="separate"/>
      </w:r>
      <w:r>
        <w:rPr>
          <w:rFonts w:hint="eastAsia" w:ascii="宋体" w:hAnsi="宋体" w:eastAsia="宋体" w:cs="宋体"/>
          <w:spacing w:val="10"/>
          <w:highlight w:val="none"/>
          <w:lang w:val="en-US" w:eastAsia="zh-CN"/>
        </w:rPr>
        <w:t>3.1监测范围</w:t>
      </w:r>
      <w:r>
        <w:tab/>
      </w:r>
      <w:r>
        <w:fldChar w:fldCharType="begin"/>
      </w:r>
      <w:r>
        <w:instrText xml:space="preserve"> PAGEREF _Toc24304 \h </w:instrText>
      </w:r>
      <w:r>
        <w:fldChar w:fldCharType="separate"/>
      </w:r>
      <w:r>
        <w:t>4</w:t>
      </w:r>
      <w:r>
        <w:fldChar w:fldCharType="end"/>
      </w:r>
      <w:r>
        <w:rPr>
          <w:rFonts w:ascii="宋体" w:hAnsi="宋体"/>
          <w:szCs w:val="24"/>
        </w:rPr>
        <w:fldChar w:fldCharType="end"/>
      </w:r>
    </w:p>
    <w:p w14:paraId="760DBB22">
      <w:pPr>
        <w:pStyle w:val="22"/>
        <w:tabs>
          <w:tab w:val="right" w:leader="dot" w:pos="9525"/>
        </w:tabs>
      </w:pPr>
      <w:r>
        <w:rPr>
          <w:rFonts w:ascii="宋体" w:hAnsi="宋体"/>
          <w:szCs w:val="24"/>
        </w:rPr>
        <w:fldChar w:fldCharType="begin"/>
      </w:r>
      <w:r>
        <w:rPr>
          <w:rFonts w:ascii="宋体" w:hAnsi="宋体"/>
          <w:szCs w:val="24"/>
        </w:rPr>
        <w:instrText xml:space="preserve"> HYPERLINK \l _Toc8893 </w:instrText>
      </w:r>
      <w:r>
        <w:rPr>
          <w:rFonts w:ascii="宋体" w:hAnsi="宋体"/>
          <w:szCs w:val="24"/>
        </w:rPr>
        <w:fldChar w:fldCharType="separate"/>
      </w:r>
      <w:r>
        <w:rPr>
          <w:rFonts w:hint="eastAsia" w:ascii="宋体" w:hAnsi="宋体" w:eastAsia="宋体" w:cs="宋体"/>
          <w:spacing w:val="10"/>
          <w:highlight w:val="none"/>
          <w:lang w:val="en-US" w:eastAsia="zh-CN"/>
        </w:rPr>
        <w:t>3.2监测内容</w:t>
      </w:r>
      <w:r>
        <w:tab/>
      </w:r>
      <w:r>
        <w:fldChar w:fldCharType="begin"/>
      </w:r>
      <w:r>
        <w:instrText xml:space="preserve"> PAGEREF _Toc8893 \h </w:instrText>
      </w:r>
      <w:r>
        <w:fldChar w:fldCharType="separate"/>
      </w:r>
      <w:r>
        <w:t>5</w:t>
      </w:r>
      <w:r>
        <w:fldChar w:fldCharType="end"/>
      </w:r>
      <w:r>
        <w:rPr>
          <w:rFonts w:ascii="宋体" w:hAnsi="宋体"/>
          <w:szCs w:val="24"/>
        </w:rPr>
        <w:fldChar w:fldCharType="end"/>
      </w:r>
    </w:p>
    <w:p w14:paraId="1FF26A87">
      <w:pPr>
        <w:pStyle w:val="21"/>
        <w:tabs>
          <w:tab w:val="right" w:leader="dot" w:pos="9525"/>
        </w:tabs>
      </w:pPr>
      <w:r>
        <w:rPr>
          <w:rFonts w:ascii="宋体" w:hAnsi="宋体"/>
          <w:szCs w:val="24"/>
        </w:rPr>
        <w:fldChar w:fldCharType="begin"/>
      </w:r>
      <w:r>
        <w:rPr>
          <w:rFonts w:ascii="宋体" w:hAnsi="宋体"/>
          <w:szCs w:val="24"/>
        </w:rPr>
        <w:instrText xml:space="preserve"> HYPERLINK \l _Toc22261 </w:instrText>
      </w:r>
      <w:r>
        <w:rPr>
          <w:rFonts w:ascii="宋体" w:hAnsi="宋体"/>
          <w:szCs w:val="24"/>
        </w:rPr>
        <w:fldChar w:fldCharType="separate"/>
      </w:r>
      <w:r>
        <w:rPr>
          <w:rFonts w:hint="eastAsia" w:ascii="宋体" w:hAnsi="宋体" w:eastAsia="宋体" w:cs="Times New Roman"/>
          <w:bCs/>
          <w:szCs w:val="30"/>
          <w:highlight w:val="none"/>
          <w:lang w:val="en-US" w:eastAsia="zh-CN"/>
        </w:rPr>
        <w:t>4、监测技术体系</w:t>
      </w:r>
      <w:r>
        <w:tab/>
      </w:r>
      <w:r>
        <w:fldChar w:fldCharType="begin"/>
      </w:r>
      <w:r>
        <w:instrText xml:space="preserve"> PAGEREF _Toc22261 \h </w:instrText>
      </w:r>
      <w:r>
        <w:fldChar w:fldCharType="separate"/>
      </w:r>
      <w:r>
        <w:t>5</w:t>
      </w:r>
      <w:r>
        <w:fldChar w:fldCharType="end"/>
      </w:r>
      <w:r>
        <w:rPr>
          <w:rFonts w:ascii="宋体" w:hAnsi="宋体"/>
          <w:szCs w:val="24"/>
        </w:rPr>
        <w:fldChar w:fldCharType="end"/>
      </w:r>
    </w:p>
    <w:p w14:paraId="35327057">
      <w:pPr>
        <w:pStyle w:val="22"/>
        <w:tabs>
          <w:tab w:val="right" w:leader="dot" w:pos="9525"/>
        </w:tabs>
      </w:pPr>
      <w:r>
        <w:rPr>
          <w:rFonts w:ascii="宋体" w:hAnsi="宋体"/>
          <w:szCs w:val="24"/>
        </w:rPr>
        <w:fldChar w:fldCharType="begin"/>
      </w:r>
      <w:r>
        <w:rPr>
          <w:rFonts w:ascii="宋体" w:hAnsi="宋体"/>
          <w:szCs w:val="24"/>
        </w:rPr>
        <w:instrText xml:space="preserve"> HYPERLINK \l _Toc27232 </w:instrText>
      </w:r>
      <w:r>
        <w:rPr>
          <w:rFonts w:ascii="宋体" w:hAnsi="宋体"/>
          <w:szCs w:val="24"/>
        </w:rPr>
        <w:fldChar w:fldCharType="separate"/>
      </w:r>
      <w:r>
        <w:rPr>
          <w:rFonts w:hint="eastAsia" w:ascii="宋体" w:hAnsi="宋体" w:eastAsia="宋体" w:cs="宋体"/>
          <w:spacing w:val="10"/>
          <w:highlight w:val="none"/>
          <w:lang w:val="en-US" w:eastAsia="zh-CN"/>
        </w:rPr>
        <w:t>4.1监测基准网测量</w:t>
      </w:r>
      <w:r>
        <w:tab/>
      </w:r>
      <w:r>
        <w:fldChar w:fldCharType="begin"/>
      </w:r>
      <w:r>
        <w:instrText xml:space="preserve"> PAGEREF _Toc27232 \h </w:instrText>
      </w:r>
      <w:r>
        <w:fldChar w:fldCharType="separate"/>
      </w:r>
      <w:r>
        <w:t>5</w:t>
      </w:r>
      <w:r>
        <w:fldChar w:fldCharType="end"/>
      </w:r>
      <w:r>
        <w:rPr>
          <w:rFonts w:ascii="宋体" w:hAnsi="宋体"/>
          <w:szCs w:val="24"/>
        </w:rPr>
        <w:fldChar w:fldCharType="end"/>
      </w:r>
    </w:p>
    <w:p w14:paraId="26CF3A34">
      <w:pPr>
        <w:pStyle w:val="22"/>
        <w:tabs>
          <w:tab w:val="right" w:leader="dot" w:pos="9525"/>
        </w:tabs>
      </w:pPr>
      <w:r>
        <w:rPr>
          <w:rFonts w:ascii="宋体" w:hAnsi="宋体"/>
          <w:szCs w:val="24"/>
        </w:rPr>
        <w:fldChar w:fldCharType="begin"/>
      </w:r>
      <w:r>
        <w:rPr>
          <w:rFonts w:ascii="宋体" w:hAnsi="宋体"/>
          <w:szCs w:val="24"/>
        </w:rPr>
        <w:instrText xml:space="preserve"> HYPERLINK \l _Toc21270 </w:instrText>
      </w:r>
      <w:r>
        <w:rPr>
          <w:rFonts w:ascii="宋体" w:hAnsi="宋体"/>
          <w:szCs w:val="24"/>
        </w:rPr>
        <w:fldChar w:fldCharType="separate"/>
      </w:r>
      <w:r>
        <w:rPr>
          <w:rFonts w:hint="eastAsia" w:ascii="宋体" w:hAnsi="宋体" w:eastAsia="宋体" w:cs="宋体"/>
          <w:spacing w:val="10"/>
          <w:highlight w:val="none"/>
          <w:lang w:val="en-US" w:eastAsia="zh-CN"/>
        </w:rPr>
        <w:t>4.2监测点布置</w:t>
      </w:r>
      <w:r>
        <w:tab/>
      </w:r>
      <w:r>
        <w:fldChar w:fldCharType="begin"/>
      </w:r>
      <w:r>
        <w:instrText xml:space="preserve"> PAGEREF _Toc21270 \h </w:instrText>
      </w:r>
      <w:r>
        <w:fldChar w:fldCharType="separate"/>
      </w:r>
      <w:r>
        <w:t>9</w:t>
      </w:r>
      <w:r>
        <w:fldChar w:fldCharType="end"/>
      </w:r>
      <w:r>
        <w:rPr>
          <w:rFonts w:ascii="宋体" w:hAnsi="宋体"/>
          <w:szCs w:val="24"/>
        </w:rPr>
        <w:fldChar w:fldCharType="end"/>
      </w:r>
    </w:p>
    <w:p w14:paraId="55B43BBF">
      <w:pPr>
        <w:pStyle w:val="22"/>
        <w:tabs>
          <w:tab w:val="right" w:leader="dot" w:pos="9525"/>
        </w:tabs>
      </w:pPr>
      <w:r>
        <w:rPr>
          <w:rFonts w:ascii="宋体" w:hAnsi="宋体"/>
          <w:szCs w:val="24"/>
        </w:rPr>
        <w:fldChar w:fldCharType="begin"/>
      </w:r>
      <w:r>
        <w:rPr>
          <w:rFonts w:ascii="宋体" w:hAnsi="宋体"/>
          <w:szCs w:val="24"/>
        </w:rPr>
        <w:instrText xml:space="preserve"> HYPERLINK \l _Toc22145 </w:instrText>
      </w:r>
      <w:r>
        <w:rPr>
          <w:rFonts w:ascii="宋体" w:hAnsi="宋体"/>
          <w:szCs w:val="24"/>
        </w:rPr>
        <w:fldChar w:fldCharType="separate"/>
      </w:r>
      <w:r>
        <w:rPr>
          <w:rFonts w:hint="eastAsia" w:ascii="宋体" w:hAnsi="宋体" w:eastAsia="宋体" w:cs="宋体"/>
          <w:spacing w:val="10"/>
          <w:highlight w:val="none"/>
          <w:lang w:val="en-US" w:eastAsia="zh-CN"/>
        </w:rPr>
        <w:t>4.3监测点安装方法</w:t>
      </w:r>
      <w:r>
        <w:tab/>
      </w:r>
      <w:r>
        <w:fldChar w:fldCharType="begin"/>
      </w:r>
      <w:r>
        <w:instrText xml:space="preserve"> PAGEREF _Toc22145 \h </w:instrText>
      </w:r>
      <w:r>
        <w:fldChar w:fldCharType="separate"/>
      </w:r>
      <w:r>
        <w:t>10</w:t>
      </w:r>
      <w:r>
        <w:fldChar w:fldCharType="end"/>
      </w:r>
      <w:r>
        <w:rPr>
          <w:rFonts w:ascii="宋体" w:hAnsi="宋体"/>
          <w:szCs w:val="24"/>
        </w:rPr>
        <w:fldChar w:fldCharType="end"/>
      </w:r>
    </w:p>
    <w:p w14:paraId="3E7E5EE7">
      <w:pPr>
        <w:pStyle w:val="21"/>
        <w:tabs>
          <w:tab w:val="right" w:leader="dot" w:pos="9525"/>
        </w:tabs>
      </w:pPr>
      <w:r>
        <w:rPr>
          <w:rFonts w:ascii="宋体" w:hAnsi="宋体"/>
          <w:szCs w:val="24"/>
        </w:rPr>
        <w:fldChar w:fldCharType="begin"/>
      </w:r>
      <w:r>
        <w:rPr>
          <w:rFonts w:ascii="宋体" w:hAnsi="宋体"/>
          <w:szCs w:val="24"/>
        </w:rPr>
        <w:instrText xml:space="preserve"> HYPERLINK \l _Toc24652 </w:instrText>
      </w:r>
      <w:r>
        <w:rPr>
          <w:rFonts w:ascii="宋体" w:hAnsi="宋体"/>
          <w:szCs w:val="24"/>
        </w:rPr>
        <w:fldChar w:fldCharType="separate"/>
      </w:r>
      <w:r>
        <w:rPr>
          <w:rFonts w:hint="eastAsia" w:cs="Times New Roman"/>
          <w:bCs/>
          <w:szCs w:val="30"/>
          <w:highlight w:val="none"/>
          <w:lang w:val="en-US" w:eastAsia="zh-CN"/>
        </w:rPr>
        <w:t>5、监测实施方法</w:t>
      </w:r>
      <w:r>
        <w:tab/>
      </w:r>
      <w:r>
        <w:fldChar w:fldCharType="begin"/>
      </w:r>
      <w:r>
        <w:instrText xml:space="preserve"> PAGEREF _Toc24652 \h </w:instrText>
      </w:r>
      <w:r>
        <w:fldChar w:fldCharType="separate"/>
      </w:r>
      <w:r>
        <w:t>11</w:t>
      </w:r>
      <w:r>
        <w:fldChar w:fldCharType="end"/>
      </w:r>
      <w:r>
        <w:rPr>
          <w:rFonts w:ascii="宋体" w:hAnsi="宋体"/>
          <w:szCs w:val="24"/>
        </w:rPr>
        <w:fldChar w:fldCharType="end"/>
      </w:r>
    </w:p>
    <w:p w14:paraId="1F567656">
      <w:pPr>
        <w:pStyle w:val="22"/>
        <w:tabs>
          <w:tab w:val="right" w:leader="dot" w:pos="9525"/>
        </w:tabs>
      </w:pPr>
      <w:r>
        <w:rPr>
          <w:rFonts w:ascii="宋体" w:hAnsi="宋体"/>
          <w:szCs w:val="24"/>
        </w:rPr>
        <w:fldChar w:fldCharType="begin"/>
      </w:r>
      <w:r>
        <w:rPr>
          <w:rFonts w:ascii="宋体" w:hAnsi="宋体"/>
          <w:szCs w:val="24"/>
        </w:rPr>
        <w:instrText xml:space="preserve"> HYPERLINK \l _Toc24756 </w:instrText>
      </w:r>
      <w:r>
        <w:rPr>
          <w:rFonts w:ascii="宋体" w:hAnsi="宋体"/>
          <w:szCs w:val="24"/>
        </w:rPr>
        <w:fldChar w:fldCharType="separate"/>
      </w:r>
      <w:r>
        <w:rPr>
          <w:rFonts w:hint="eastAsia" w:ascii="宋体" w:hAnsi="宋体" w:eastAsia="宋体" w:cs="宋体"/>
          <w:spacing w:val="10"/>
          <w:highlight w:val="none"/>
          <w:lang w:val="en-US" w:eastAsia="zh-CN"/>
        </w:rPr>
        <w:t>5.</w:t>
      </w:r>
      <w:r>
        <w:rPr>
          <w:rFonts w:hint="eastAsia" w:cs="宋体"/>
          <w:spacing w:val="10"/>
          <w:highlight w:val="none"/>
          <w:lang w:val="en-US" w:eastAsia="zh-CN"/>
        </w:rPr>
        <w:t>1边坡</w:t>
      </w:r>
      <w:r>
        <w:rPr>
          <w:rFonts w:hint="eastAsia" w:ascii="宋体" w:hAnsi="宋体" w:eastAsia="宋体" w:cs="宋体"/>
          <w:spacing w:val="10"/>
          <w:highlight w:val="none"/>
          <w:lang w:val="en-US" w:eastAsia="zh-CN"/>
        </w:rPr>
        <w:t>竖向位移监测</w:t>
      </w:r>
      <w:r>
        <w:tab/>
      </w:r>
      <w:r>
        <w:fldChar w:fldCharType="begin"/>
      </w:r>
      <w:r>
        <w:instrText xml:space="preserve"> PAGEREF _Toc24756 \h </w:instrText>
      </w:r>
      <w:r>
        <w:fldChar w:fldCharType="separate"/>
      </w:r>
      <w:r>
        <w:t>11</w:t>
      </w:r>
      <w:r>
        <w:fldChar w:fldCharType="end"/>
      </w:r>
      <w:r>
        <w:rPr>
          <w:rFonts w:ascii="宋体" w:hAnsi="宋体"/>
          <w:szCs w:val="24"/>
        </w:rPr>
        <w:fldChar w:fldCharType="end"/>
      </w:r>
    </w:p>
    <w:p w14:paraId="7E7719A2">
      <w:pPr>
        <w:pStyle w:val="22"/>
        <w:tabs>
          <w:tab w:val="right" w:leader="dot" w:pos="9525"/>
        </w:tabs>
      </w:pPr>
      <w:r>
        <w:rPr>
          <w:rFonts w:ascii="宋体" w:hAnsi="宋体"/>
          <w:szCs w:val="24"/>
        </w:rPr>
        <w:fldChar w:fldCharType="begin"/>
      </w:r>
      <w:r>
        <w:rPr>
          <w:rFonts w:ascii="宋体" w:hAnsi="宋体"/>
          <w:szCs w:val="24"/>
        </w:rPr>
        <w:instrText xml:space="preserve"> HYPERLINK \l _Toc14424 </w:instrText>
      </w:r>
      <w:r>
        <w:rPr>
          <w:rFonts w:ascii="宋体" w:hAnsi="宋体"/>
          <w:szCs w:val="24"/>
        </w:rPr>
        <w:fldChar w:fldCharType="separate"/>
      </w:r>
      <w:r>
        <w:rPr>
          <w:rFonts w:hint="eastAsia" w:ascii="宋体" w:hAnsi="宋体" w:eastAsia="宋体" w:cs="宋体"/>
          <w:spacing w:val="10"/>
          <w:highlight w:val="none"/>
          <w:lang w:val="en-US" w:eastAsia="zh-CN"/>
        </w:rPr>
        <w:t>5.2边坡水平位移监测</w:t>
      </w:r>
      <w:r>
        <w:tab/>
      </w:r>
      <w:r>
        <w:fldChar w:fldCharType="begin"/>
      </w:r>
      <w:r>
        <w:instrText xml:space="preserve"> PAGEREF _Toc14424 \h </w:instrText>
      </w:r>
      <w:r>
        <w:fldChar w:fldCharType="separate"/>
      </w:r>
      <w:r>
        <w:t>13</w:t>
      </w:r>
      <w:r>
        <w:fldChar w:fldCharType="end"/>
      </w:r>
      <w:r>
        <w:rPr>
          <w:rFonts w:ascii="宋体" w:hAnsi="宋体"/>
          <w:szCs w:val="24"/>
        </w:rPr>
        <w:fldChar w:fldCharType="end"/>
      </w:r>
    </w:p>
    <w:p w14:paraId="336EC5C3">
      <w:pPr>
        <w:pStyle w:val="21"/>
        <w:tabs>
          <w:tab w:val="right" w:leader="dot" w:pos="9525"/>
        </w:tabs>
      </w:pPr>
      <w:r>
        <w:rPr>
          <w:rFonts w:ascii="宋体" w:hAnsi="宋体"/>
          <w:szCs w:val="24"/>
        </w:rPr>
        <w:fldChar w:fldCharType="begin"/>
      </w:r>
      <w:r>
        <w:rPr>
          <w:rFonts w:ascii="宋体" w:hAnsi="宋体"/>
          <w:szCs w:val="24"/>
        </w:rPr>
        <w:instrText xml:space="preserve"> HYPERLINK \l _Toc20553 </w:instrText>
      </w:r>
      <w:r>
        <w:rPr>
          <w:rFonts w:ascii="宋体" w:hAnsi="宋体"/>
          <w:szCs w:val="24"/>
        </w:rPr>
        <w:fldChar w:fldCharType="separate"/>
      </w:r>
      <w:r>
        <w:rPr>
          <w:rFonts w:hint="eastAsia" w:ascii="宋体" w:hAnsi="宋体" w:eastAsia="宋体" w:cs="Times New Roman"/>
          <w:bCs/>
          <w:szCs w:val="30"/>
          <w:highlight w:val="none"/>
          <w:lang w:val="en-US" w:eastAsia="zh-CN"/>
        </w:rPr>
        <w:t>6、监测期及监测频次</w:t>
      </w:r>
      <w:r>
        <w:tab/>
      </w:r>
      <w:r>
        <w:fldChar w:fldCharType="begin"/>
      </w:r>
      <w:r>
        <w:instrText xml:space="preserve"> PAGEREF _Toc20553 \h </w:instrText>
      </w:r>
      <w:r>
        <w:fldChar w:fldCharType="separate"/>
      </w:r>
      <w:r>
        <w:t>16</w:t>
      </w:r>
      <w:r>
        <w:fldChar w:fldCharType="end"/>
      </w:r>
      <w:r>
        <w:rPr>
          <w:rFonts w:ascii="宋体" w:hAnsi="宋体"/>
          <w:szCs w:val="24"/>
        </w:rPr>
        <w:fldChar w:fldCharType="end"/>
      </w:r>
    </w:p>
    <w:p w14:paraId="7AA31D9C">
      <w:pPr>
        <w:pStyle w:val="22"/>
        <w:tabs>
          <w:tab w:val="right" w:leader="dot" w:pos="9525"/>
        </w:tabs>
      </w:pPr>
      <w:r>
        <w:rPr>
          <w:rFonts w:ascii="宋体" w:hAnsi="宋体"/>
          <w:szCs w:val="24"/>
        </w:rPr>
        <w:fldChar w:fldCharType="begin"/>
      </w:r>
      <w:r>
        <w:rPr>
          <w:rFonts w:ascii="宋体" w:hAnsi="宋体"/>
          <w:szCs w:val="24"/>
        </w:rPr>
        <w:instrText xml:space="preserve"> HYPERLINK \l _Toc28557 </w:instrText>
      </w:r>
      <w:r>
        <w:rPr>
          <w:rFonts w:ascii="宋体" w:hAnsi="宋体"/>
          <w:szCs w:val="24"/>
        </w:rPr>
        <w:fldChar w:fldCharType="separate"/>
      </w:r>
      <w:r>
        <w:rPr>
          <w:rFonts w:hint="eastAsia" w:ascii="宋体" w:hAnsi="宋体" w:eastAsia="宋体" w:cs="宋体"/>
          <w:spacing w:val="10"/>
          <w:highlight w:val="none"/>
          <w:lang w:val="en-US" w:eastAsia="zh-CN"/>
        </w:rPr>
        <w:t>6.1监测频次</w:t>
      </w:r>
      <w:r>
        <w:tab/>
      </w:r>
      <w:r>
        <w:fldChar w:fldCharType="begin"/>
      </w:r>
      <w:r>
        <w:instrText xml:space="preserve"> PAGEREF _Toc28557 \h </w:instrText>
      </w:r>
      <w:r>
        <w:fldChar w:fldCharType="separate"/>
      </w:r>
      <w:r>
        <w:t>16</w:t>
      </w:r>
      <w:r>
        <w:fldChar w:fldCharType="end"/>
      </w:r>
      <w:r>
        <w:rPr>
          <w:rFonts w:ascii="宋体" w:hAnsi="宋体"/>
          <w:szCs w:val="24"/>
        </w:rPr>
        <w:fldChar w:fldCharType="end"/>
      </w:r>
    </w:p>
    <w:p w14:paraId="092EF5E0">
      <w:pPr>
        <w:pStyle w:val="22"/>
        <w:tabs>
          <w:tab w:val="right" w:leader="dot" w:pos="9525"/>
        </w:tabs>
      </w:pPr>
      <w:r>
        <w:rPr>
          <w:rFonts w:ascii="宋体" w:hAnsi="宋体"/>
          <w:szCs w:val="24"/>
        </w:rPr>
        <w:fldChar w:fldCharType="begin"/>
      </w:r>
      <w:r>
        <w:rPr>
          <w:rFonts w:ascii="宋体" w:hAnsi="宋体"/>
          <w:szCs w:val="24"/>
        </w:rPr>
        <w:instrText xml:space="preserve"> HYPERLINK \l _Toc20840 </w:instrText>
      </w:r>
      <w:r>
        <w:rPr>
          <w:rFonts w:ascii="宋体" w:hAnsi="宋体"/>
          <w:szCs w:val="24"/>
        </w:rPr>
        <w:fldChar w:fldCharType="separate"/>
      </w:r>
      <w:r>
        <w:rPr>
          <w:rFonts w:hint="eastAsia" w:ascii="宋体" w:hAnsi="宋体" w:eastAsia="宋体" w:cs="宋体"/>
          <w:spacing w:val="10"/>
          <w:highlight w:val="none"/>
          <w:lang w:val="en-US" w:eastAsia="zh-CN"/>
        </w:rPr>
        <w:t>6.2监测期</w:t>
      </w:r>
      <w:r>
        <w:tab/>
      </w:r>
      <w:r>
        <w:fldChar w:fldCharType="begin"/>
      </w:r>
      <w:r>
        <w:instrText xml:space="preserve"> PAGEREF _Toc20840 \h </w:instrText>
      </w:r>
      <w:r>
        <w:fldChar w:fldCharType="separate"/>
      </w:r>
      <w:r>
        <w:t>16</w:t>
      </w:r>
      <w:r>
        <w:fldChar w:fldCharType="end"/>
      </w:r>
      <w:r>
        <w:rPr>
          <w:rFonts w:ascii="宋体" w:hAnsi="宋体"/>
          <w:szCs w:val="24"/>
        </w:rPr>
        <w:fldChar w:fldCharType="end"/>
      </w:r>
    </w:p>
    <w:p w14:paraId="3DAA1806">
      <w:pPr>
        <w:pStyle w:val="21"/>
        <w:tabs>
          <w:tab w:val="right" w:leader="dot" w:pos="9525"/>
        </w:tabs>
      </w:pPr>
      <w:r>
        <w:rPr>
          <w:rFonts w:ascii="宋体" w:hAnsi="宋体"/>
          <w:szCs w:val="24"/>
        </w:rPr>
        <w:fldChar w:fldCharType="begin"/>
      </w:r>
      <w:r>
        <w:rPr>
          <w:rFonts w:ascii="宋体" w:hAnsi="宋体"/>
          <w:szCs w:val="24"/>
        </w:rPr>
        <w:instrText xml:space="preserve"> HYPERLINK \l _Toc19987 </w:instrText>
      </w:r>
      <w:r>
        <w:rPr>
          <w:rFonts w:ascii="宋体" w:hAnsi="宋体"/>
          <w:szCs w:val="24"/>
        </w:rPr>
        <w:fldChar w:fldCharType="separate"/>
      </w:r>
      <w:r>
        <w:rPr>
          <w:rFonts w:hint="eastAsia" w:ascii="宋体" w:hAnsi="宋体" w:eastAsia="宋体" w:cs="Times New Roman"/>
          <w:bCs/>
          <w:szCs w:val="30"/>
          <w:highlight w:val="none"/>
          <w:lang w:val="en-US" w:eastAsia="zh-CN"/>
        </w:rPr>
        <w:t>7、监测控制指标</w:t>
      </w:r>
      <w:r>
        <w:tab/>
      </w:r>
      <w:r>
        <w:fldChar w:fldCharType="begin"/>
      </w:r>
      <w:r>
        <w:instrText xml:space="preserve"> PAGEREF _Toc19987 \h </w:instrText>
      </w:r>
      <w:r>
        <w:fldChar w:fldCharType="separate"/>
      </w:r>
      <w:r>
        <w:t>16</w:t>
      </w:r>
      <w:r>
        <w:fldChar w:fldCharType="end"/>
      </w:r>
      <w:r>
        <w:rPr>
          <w:rFonts w:ascii="宋体" w:hAnsi="宋体"/>
          <w:szCs w:val="24"/>
        </w:rPr>
        <w:fldChar w:fldCharType="end"/>
      </w:r>
    </w:p>
    <w:p w14:paraId="15E7092B">
      <w:pPr>
        <w:pStyle w:val="21"/>
        <w:tabs>
          <w:tab w:val="right" w:leader="dot" w:pos="9525"/>
        </w:tabs>
      </w:pPr>
      <w:r>
        <w:rPr>
          <w:rFonts w:ascii="宋体" w:hAnsi="宋体"/>
          <w:szCs w:val="24"/>
        </w:rPr>
        <w:fldChar w:fldCharType="begin"/>
      </w:r>
      <w:r>
        <w:rPr>
          <w:rFonts w:ascii="宋体" w:hAnsi="宋体"/>
          <w:szCs w:val="24"/>
        </w:rPr>
        <w:instrText xml:space="preserve"> HYPERLINK \l _Toc3534 </w:instrText>
      </w:r>
      <w:r>
        <w:rPr>
          <w:rFonts w:ascii="宋体" w:hAnsi="宋体"/>
          <w:szCs w:val="24"/>
        </w:rPr>
        <w:fldChar w:fldCharType="separate"/>
      </w:r>
      <w:r>
        <w:rPr>
          <w:rFonts w:hint="eastAsia" w:ascii="宋体" w:hAnsi="宋体" w:eastAsia="宋体" w:cs="Times New Roman"/>
          <w:bCs/>
          <w:szCs w:val="30"/>
          <w:highlight w:val="none"/>
          <w:lang w:val="en-US" w:eastAsia="zh-CN"/>
        </w:rPr>
        <w:t>8、监测成果</w:t>
      </w:r>
      <w:r>
        <w:tab/>
      </w:r>
      <w:r>
        <w:fldChar w:fldCharType="begin"/>
      </w:r>
      <w:r>
        <w:instrText xml:space="preserve"> PAGEREF _Toc3534 \h </w:instrText>
      </w:r>
      <w:r>
        <w:fldChar w:fldCharType="separate"/>
      </w:r>
      <w:r>
        <w:t>17</w:t>
      </w:r>
      <w:r>
        <w:fldChar w:fldCharType="end"/>
      </w:r>
      <w:r>
        <w:rPr>
          <w:rFonts w:ascii="宋体" w:hAnsi="宋体"/>
          <w:szCs w:val="24"/>
        </w:rPr>
        <w:fldChar w:fldCharType="end"/>
      </w:r>
    </w:p>
    <w:p w14:paraId="387D0F5F">
      <w:pPr>
        <w:pStyle w:val="22"/>
        <w:tabs>
          <w:tab w:val="right" w:leader="dot" w:pos="9525"/>
        </w:tabs>
      </w:pPr>
      <w:r>
        <w:rPr>
          <w:rFonts w:ascii="宋体" w:hAnsi="宋体"/>
          <w:szCs w:val="24"/>
        </w:rPr>
        <w:fldChar w:fldCharType="begin"/>
      </w:r>
      <w:r>
        <w:rPr>
          <w:rFonts w:ascii="宋体" w:hAnsi="宋体"/>
          <w:szCs w:val="24"/>
        </w:rPr>
        <w:instrText xml:space="preserve"> HYPERLINK \l _Toc6171 </w:instrText>
      </w:r>
      <w:r>
        <w:rPr>
          <w:rFonts w:ascii="宋体" w:hAnsi="宋体"/>
          <w:szCs w:val="24"/>
        </w:rPr>
        <w:fldChar w:fldCharType="separate"/>
      </w:r>
      <w:r>
        <w:rPr>
          <w:rFonts w:hint="eastAsia" w:ascii="宋体" w:hAnsi="宋体" w:eastAsia="宋体" w:cs="宋体"/>
          <w:spacing w:val="10"/>
          <w:highlight w:val="none"/>
          <w:lang w:val="en-US" w:eastAsia="zh-CN"/>
        </w:rPr>
        <w:t>8.1观测成果整理及计算要求</w:t>
      </w:r>
      <w:r>
        <w:tab/>
      </w:r>
      <w:r>
        <w:fldChar w:fldCharType="begin"/>
      </w:r>
      <w:r>
        <w:instrText xml:space="preserve"> PAGEREF _Toc6171 \h </w:instrText>
      </w:r>
      <w:r>
        <w:fldChar w:fldCharType="separate"/>
      </w:r>
      <w:r>
        <w:t>17</w:t>
      </w:r>
      <w:r>
        <w:fldChar w:fldCharType="end"/>
      </w:r>
      <w:r>
        <w:rPr>
          <w:rFonts w:ascii="宋体" w:hAnsi="宋体"/>
          <w:szCs w:val="24"/>
        </w:rPr>
        <w:fldChar w:fldCharType="end"/>
      </w:r>
    </w:p>
    <w:p w14:paraId="132B354E">
      <w:pPr>
        <w:pStyle w:val="22"/>
        <w:tabs>
          <w:tab w:val="right" w:leader="dot" w:pos="9525"/>
        </w:tabs>
      </w:pPr>
      <w:r>
        <w:rPr>
          <w:rFonts w:ascii="宋体" w:hAnsi="宋体"/>
          <w:szCs w:val="24"/>
        </w:rPr>
        <w:fldChar w:fldCharType="begin"/>
      </w:r>
      <w:r>
        <w:rPr>
          <w:rFonts w:ascii="宋体" w:hAnsi="宋体"/>
          <w:szCs w:val="24"/>
        </w:rPr>
        <w:instrText xml:space="preserve"> HYPERLINK \l _Toc7335 </w:instrText>
      </w:r>
      <w:r>
        <w:rPr>
          <w:rFonts w:ascii="宋体" w:hAnsi="宋体"/>
          <w:szCs w:val="24"/>
        </w:rPr>
        <w:fldChar w:fldCharType="separate"/>
      </w:r>
      <w:r>
        <w:rPr>
          <w:rFonts w:hint="eastAsia" w:ascii="宋体" w:hAnsi="宋体" w:eastAsia="宋体" w:cs="宋体"/>
          <w:spacing w:val="10"/>
          <w:highlight w:val="none"/>
          <w:lang w:val="en-US" w:eastAsia="zh-CN"/>
        </w:rPr>
        <w:t>8.2观测报告内容及提交</w:t>
      </w:r>
      <w:r>
        <w:tab/>
      </w:r>
      <w:r>
        <w:fldChar w:fldCharType="begin"/>
      </w:r>
      <w:r>
        <w:instrText xml:space="preserve"> PAGEREF _Toc7335 \h </w:instrText>
      </w:r>
      <w:r>
        <w:fldChar w:fldCharType="separate"/>
      </w:r>
      <w:r>
        <w:t>17</w:t>
      </w:r>
      <w:r>
        <w:fldChar w:fldCharType="end"/>
      </w:r>
      <w:r>
        <w:rPr>
          <w:rFonts w:ascii="宋体" w:hAnsi="宋体"/>
          <w:szCs w:val="24"/>
        </w:rPr>
        <w:fldChar w:fldCharType="end"/>
      </w:r>
    </w:p>
    <w:p w14:paraId="05A9FBB7">
      <w:pPr>
        <w:pStyle w:val="21"/>
        <w:tabs>
          <w:tab w:val="right" w:leader="dot" w:pos="9525"/>
        </w:tabs>
      </w:pPr>
      <w:r>
        <w:rPr>
          <w:rFonts w:ascii="宋体" w:hAnsi="宋体"/>
          <w:szCs w:val="24"/>
        </w:rPr>
        <w:fldChar w:fldCharType="begin"/>
      </w:r>
      <w:r>
        <w:rPr>
          <w:rFonts w:ascii="宋体" w:hAnsi="宋体"/>
          <w:szCs w:val="24"/>
        </w:rPr>
        <w:instrText xml:space="preserve"> HYPERLINK \l _Toc25820 </w:instrText>
      </w:r>
      <w:r>
        <w:rPr>
          <w:rFonts w:ascii="宋体" w:hAnsi="宋体"/>
          <w:szCs w:val="24"/>
        </w:rPr>
        <w:fldChar w:fldCharType="separate"/>
      </w:r>
      <w:r>
        <w:rPr>
          <w:rFonts w:hint="eastAsia" w:ascii="宋体" w:hAnsi="宋体" w:eastAsia="宋体" w:cs="Times New Roman"/>
          <w:bCs/>
          <w:szCs w:val="30"/>
          <w:highlight w:val="none"/>
          <w:lang w:val="en-US" w:eastAsia="zh-CN"/>
        </w:rPr>
        <w:t>9、拟投入的设备</w:t>
      </w:r>
      <w:r>
        <w:tab/>
      </w:r>
      <w:r>
        <w:fldChar w:fldCharType="begin"/>
      </w:r>
      <w:r>
        <w:instrText xml:space="preserve"> PAGEREF _Toc25820 \h </w:instrText>
      </w:r>
      <w:r>
        <w:fldChar w:fldCharType="separate"/>
      </w:r>
      <w:r>
        <w:t>19</w:t>
      </w:r>
      <w:r>
        <w:fldChar w:fldCharType="end"/>
      </w:r>
      <w:r>
        <w:rPr>
          <w:rFonts w:ascii="宋体" w:hAnsi="宋体"/>
          <w:szCs w:val="24"/>
        </w:rPr>
        <w:fldChar w:fldCharType="end"/>
      </w:r>
    </w:p>
    <w:p w14:paraId="4691A1A5">
      <w:pPr>
        <w:pStyle w:val="21"/>
        <w:tabs>
          <w:tab w:val="right" w:leader="dot" w:pos="9525"/>
        </w:tabs>
      </w:pPr>
      <w:r>
        <w:rPr>
          <w:rFonts w:ascii="宋体" w:hAnsi="宋体"/>
          <w:szCs w:val="24"/>
        </w:rPr>
        <w:fldChar w:fldCharType="begin"/>
      </w:r>
      <w:r>
        <w:rPr>
          <w:rFonts w:ascii="宋体" w:hAnsi="宋体"/>
          <w:szCs w:val="24"/>
        </w:rPr>
        <w:instrText xml:space="preserve"> HYPERLINK \l _Toc2594 </w:instrText>
      </w:r>
      <w:r>
        <w:rPr>
          <w:rFonts w:ascii="宋体" w:hAnsi="宋体"/>
          <w:szCs w:val="24"/>
        </w:rPr>
        <w:fldChar w:fldCharType="separate"/>
      </w:r>
      <w:r>
        <w:rPr>
          <w:rFonts w:hint="eastAsia" w:cs="Times New Roman"/>
          <w:bCs/>
          <w:szCs w:val="30"/>
          <w:highlight w:val="none"/>
          <w:lang w:val="en-US" w:eastAsia="zh-CN"/>
        </w:rPr>
        <w:t>10</w:t>
      </w:r>
      <w:r>
        <w:rPr>
          <w:rFonts w:hint="eastAsia" w:ascii="宋体" w:hAnsi="宋体" w:eastAsia="宋体" w:cs="Times New Roman"/>
          <w:bCs/>
          <w:szCs w:val="30"/>
          <w:highlight w:val="none"/>
          <w:lang w:val="en-US" w:eastAsia="zh-CN"/>
        </w:rPr>
        <w:t>、监测工作服务的目标及保证措施</w:t>
      </w:r>
      <w:r>
        <w:tab/>
      </w:r>
      <w:r>
        <w:fldChar w:fldCharType="begin"/>
      </w:r>
      <w:r>
        <w:instrText xml:space="preserve"> PAGEREF _Toc2594 \h </w:instrText>
      </w:r>
      <w:r>
        <w:fldChar w:fldCharType="separate"/>
      </w:r>
      <w:r>
        <w:t>20</w:t>
      </w:r>
      <w:r>
        <w:fldChar w:fldCharType="end"/>
      </w:r>
      <w:r>
        <w:rPr>
          <w:rFonts w:ascii="宋体" w:hAnsi="宋体"/>
          <w:szCs w:val="24"/>
        </w:rPr>
        <w:fldChar w:fldCharType="end"/>
      </w:r>
    </w:p>
    <w:p w14:paraId="0B9C2DA1">
      <w:pPr>
        <w:pStyle w:val="22"/>
        <w:tabs>
          <w:tab w:val="right" w:leader="dot" w:pos="9525"/>
        </w:tabs>
      </w:pPr>
      <w:r>
        <w:rPr>
          <w:rFonts w:ascii="宋体" w:hAnsi="宋体"/>
          <w:szCs w:val="24"/>
        </w:rPr>
        <w:fldChar w:fldCharType="begin"/>
      </w:r>
      <w:r>
        <w:rPr>
          <w:rFonts w:ascii="宋体" w:hAnsi="宋体"/>
          <w:szCs w:val="24"/>
        </w:rPr>
        <w:instrText xml:space="preserve"> HYPERLINK \l _Toc25170 </w:instrText>
      </w:r>
      <w:r>
        <w:rPr>
          <w:rFonts w:ascii="宋体" w:hAnsi="宋体"/>
          <w:szCs w:val="24"/>
        </w:rPr>
        <w:fldChar w:fldCharType="separate"/>
      </w:r>
      <w:r>
        <w:rPr>
          <w:rFonts w:hint="eastAsia" w:cs="宋体"/>
          <w:spacing w:val="10"/>
          <w:highlight w:val="none"/>
          <w:lang w:val="en-US" w:eastAsia="zh-CN"/>
        </w:rPr>
        <w:t>10</w:t>
      </w:r>
      <w:r>
        <w:rPr>
          <w:rFonts w:hint="eastAsia" w:ascii="宋体" w:hAnsi="宋体" w:eastAsia="宋体" w:cs="宋体"/>
          <w:spacing w:val="10"/>
          <w:highlight w:val="none"/>
          <w:lang w:val="en-US" w:eastAsia="zh-CN"/>
        </w:rPr>
        <w:t>.1工作服务的目标</w:t>
      </w:r>
      <w:r>
        <w:tab/>
      </w:r>
      <w:r>
        <w:fldChar w:fldCharType="begin"/>
      </w:r>
      <w:r>
        <w:instrText xml:space="preserve"> PAGEREF _Toc25170 \h </w:instrText>
      </w:r>
      <w:r>
        <w:fldChar w:fldCharType="separate"/>
      </w:r>
      <w:r>
        <w:t>20</w:t>
      </w:r>
      <w:r>
        <w:fldChar w:fldCharType="end"/>
      </w:r>
      <w:r>
        <w:rPr>
          <w:rFonts w:ascii="宋体" w:hAnsi="宋体"/>
          <w:szCs w:val="24"/>
        </w:rPr>
        <w:fldChar w:fldCharType="end"/>
      </w:r>
    </w:p>
    <w:p w14:paraId="062C3FB0">
      <w:pPr>
        <w:pStyle w:val="22"/>
        <w:tabs>
          <w:tab w:val="right" w:leader="dot" w:pos="9525"/>
        </w:tabs>
      </w:pPr>
      <w:r>
        <w:rPr>
          <w:rFonts w:ascii="宋体" w:hAnsi="宋体"/>
          <w:szCs w:val="24"/>
        </w:rPr>
        <w:fldChar w:fldCharType="begin"/>
      </w:r>
      <w:r>
        <w:rPr>
          <w:rFonts w:ascii="宋体" w:hAnsi="宋体"/>
          <w:szCs w:val="24"/>
        </w:rPr>
        <w:instrText xml:space="preserve"> HYPERLINK \l _Toc31914 </w:instrText>
      </w:r>
      <w:r>
        <w:rPr>
          <w:rFonts w:ascii="宋体" w:hAnsi="宋体"/>
          <w:szCs w:val="24"/>
        </w:rPr>
        <w:fldChar w:fldCharType="separate"/>
      </w:r>
      <w:r>
        <w:rPr>
          <w:rFonts w:hint="eastAsia" w:cs="宋体"/>
          <w:spacing w:val="10"/>
          <w:highlight w:val="none"/>
          <w:lang w:val="en-US" w:eastAsia="zh-CN"/>
        </w:rPr>
        <w:t>10</w:t>
      </w:r>
      <w:r>
        <w:rPr>
          <w:rFonts w:hint="eastAsia" w:ascii="宋体" w:hAnsi="宋体" w:eastAsia="宋体" w:cs="宋体"/>
          <w:spacing w:val="10"/>
          <w:highlight w:val="none"/>
          <w:lang w:val="en-US" w:eastAsia="zh-CN"/>
        </w:rPr>
        <w:t>.2保证测量精度的技术措施</w:t>
      </w:r>
      <w:r>
        <w:tab/>
      </w:r>
      <w:r>
        <w:fldChar w:fldCharType="begin"/>
      </w:r>
      <w:r>
        <w:instrText xml:space="preserve"> PAGEREF _Toc31914 \h </w:instrText>
      </w:r>
      <w:r>
        <w:fldChar w:fldCharType="separate"/>
      </w:r>
      <w:r>
        <w:t>21</w:t>
      </w:r>
      <w:r>
        <w:fldChar w:fldCharType="end"/>
      </w:r>
      <w:r>
        <w:rPr>
          <w:rFonts w:ascii="宋体" w:hAnsi="宋体"/>
          <w:szCs w:val="24"/>
        </w:rPr>
        <w:fldChar w:fldCharType="end"/>
      </w:r>
    </w:p>
    <w:p w14:paraId="3BC4110F">
      <w:pPr>
        <w:pStyle w:val="21"/>
        <w:tabs>
          <w:tab w:val="right" w:leader="dot" w:pos="9525"/>
        </w:tabs>
      </w:pPr>
      <w:r>
        <w:rPr>
          <w:rFonts w:ascii="宋体" w:hAnsi="宋体"/>
          <w:szCs w:val="24"/>
        </w:rPr>
        <w:fldChar w:fldCharType="begin"/>
      </w:r>
      <w:r>
        <w:rPr>
          <w:rFonts w:ascii="宋体" w:hAnsi="宋体"/>
          <w:szCs w:val="24"/>
        </w:rPr>
        <w:instrText xml:space="preserve"> HYPERLINK \l _Toc5141 </w:instrText>
      </w:r>
      <w:r>
        <w:rPr>
          <w:rFonts w:ascii="宋体" w:hAnsi="宋体"/>
          <w:szCs w:val="24"/>
        </w:rPr>
        <w:fldChar w:fldCharType="separate"/>
      </w:r>
      <w:r>
        <w:rPr>
          <w:rFonts w:hint="eastAsia" w:ascii="宋体" w:hAnsi="宋体" w:eastAsia="宋体" w:cs="Times New Roman"/>
          <w:bCs/>
          <w:szCs w:val="30"/>
          <w:highlight w:val="none"/>
          <w:lang w:val="en-US" w:eastAsia="zh-CN"/>
        </w:rPr>
        <w:t>1</w:t>
      </w:r>
      <w:r>
        <w:rPr>
          <w:rFonts w:hint="eastAsia" w:cs="Times New Roman"/>
          <w:bCs/>
          <w:szCs w:val="30"/>
          <w:highlight w:val="none"/>
          <w:lang w:val="en-US" w:eastAsia="zh-CN"/>
        </w:rPr>
        <w:t>1</w:t>
      </w:r>
      <w:r>
        <w:rPr>
          <w:rFonts w:hint="eastAsia" w:ascii="宋体" w:hAnsi="宋体" w:eastAsia="宋体" w:cs="Times New Roman"/>
          <w:bCs/>
          <w:szCs w:val="30"/>
          <w:highlight w:val="none"/>
          <w:lang w:val="en-US" w:eastAsia="zh-CN"/>
        </w:rPr>
        <w:t>.监测应急预案</w:t>
      </w:r>
      <w:r>
        <w:tab/>
      </w:r>
      <w:r>
        <w:fldChar w:fldCharType="begin"/>
      </w:r>
      <w:r>
        <w:instrText xml:space="preserve"> PAGEREF _Toc5141 \h </w:instrText>
      </w:r>
      <w:r>
        <w:fldChar w:fldCharType="separate"/>
      </w:r>
      <w:r>
        <w:t>23</w:t>
      </w:r>
      <w:r>
        <w:fldChar w:fldCharType="end"/>
      </w:r>
      <w:r>
        <w:rPr>
          <w:rFonts w:ascii="宋体" w:hAnsi="宋体"/>
          <w:szCs w:val="24"/>
        </w:rPr>
        <w:fldChar w:fldCharType="end"/>
      </w:r>
    </w:p>
    <w:p w14:paraId="52E2270D">
      <w:pPr>
        <w:pStyle w:val="22"/>
        <w:tabs>
          <w:tab w:val="right" w:leader="dot" w:pos="9525"/>
        </w:tabs>
      </w:pPr>
      <w:r>
        <w:rPr>
          <w:rFonts w:ascii="宋体" w:hAnsi="宋体"/>
          <w:szCs w:val="24"/>
        </w:rPr>
        <w:fldChar w:fldCharType="begin"/>
      </w:r>
      <w:r>
        <w:rPr>
          <w:rFonts w:ascii="宋体" w:hAnsi="宋体"/>
          <w:szCs w:val="24"/>
        </w:rPr>
        <w:instrText xml:space="preserve"> HYPERLINK \l _Toc27888 </w:instrText>
      </w:r>
      <w:r>
        <w:rPr>
          <w:rFonts w:ascii="宋体" w:hAnsi="宋体"/>
          <w:szCs w:val="24"/>
        </w:rPr>
        <w:fldChar w:fldCharType="separate"/>
      </w:r>
      <w:r>
        <w:rPr>
          <w:rFonts w:hint="eastAsia" w:ascii="宋体" w:hAnsi="宋体" w:eastAsia="宋体" w:cs="宋体"/>
          <w:spacing w:val="10"/>
          <w:highlight w:val="none"/>
          <w:lang w:val="en-US" w:eastAsia="zh-CN"/>
        </w:rPr>
        <w:t>1</w:t>
      </w:r>
      <w:r>
        <w:rPr>
          <w:rFonts w:hint="eastAsia" w:cs="宋体"/>
          <w:spacing w:val="10"/>
          <w:highlight w:val="none"/>
          <w:lang w:val="en-US" w:eastAsia="zh-CN"/>
        </w:rPr>
        <w:t>1</w:t>
      </w:r>
      <w:r>
        <w:rPr>
          <w:rFonts w:hint="eastAsia" w:ascii="宋体" w:hAnsi="宋体" w:eastAsia="宋体" w:cs="宋体"/>
          <w:spacing w:val="10"/>
          <w:highlight w:val="none"/>
          <w:lang w:val="en-US" w:eastAsia="zh-CN"/>
        </w:rPr>
        <w:t>.1应急预案启动条件</w:t>
      </w:r>
      <w:r>
        <w:tab/>
      </w:r>
      <w:r>
        <w:fldChar w:fldCharType="begin"/>
      </w:r>
      <w:r>
        <w:instrText xml:space="preserve"> PAGEREF _Toc27888 \h </w:instrText>
      </w:r>
      <w:r>
        <w:fldChar w:fldCharType="separate"/>
      </w:r>
      <w:r>
        <w:t>23</w:t>
      </w:r>
      <w:r>
        <w:fldChar w:fldCharType="end"/>
      </w:r>
      <w:r>
        <w:rPr>
          <w:rFonts w:ascii="宋体" w:hAnsi="宋体"/>
          <w:szCs w:val="24"/>
        </w:rPr>
        <w:fldChar w:fldCharType="end"/>
      </w:r>
    </w:p>
    <w:p w14:paraId="22982904">
      <w:pPr>
        <w:pStyle w:val="22"/>
        <w:tabs>
          <w:tab w:val="right" w:leader="dot" w:pos="9525"/>
        </w:tabs>
      </w:pPr>
      <w:r>
        <w:rPr>
          <w:rFonts w:ascii="宋体" w:hAnsi="宋体"/>
          <w:szCs w:val="24"/>
        </w:rPr>
        <w:fldChar w:fldCharType="begin"/>
      </w:r>
      <w:r>
        <w:rPr>
          <w:rFonts w:ascii="宋体" w:hAnsi="宋体"/>
          <w:szCs w:val="24"/>
        </w:rPr>
        <w:instrText xml:space="preserve"> HYPERLINK \l _Toc19902 </w:instrText>
      </w:r>
      <w:r>
        <w:rPr>
          <w:rFonts w:ascii="宋体" w:hAnsi="宋体"/>
          <w:szCs w:val="24"/>
        </w:rPr>
        <w:fldChar w:fldCharType="separate"/>
      </w:r>
      <w:r>
        <w:rPr>
          <w:rFonts w:hint="eastAsia" w:ascii="宋体" w:hAnsi="宋体" w:eastAsia="宋体" w:cs="宋体"/>
          <w:spacing w:val="10"/>
          <w:highlight w:val="none"/>
          <w:lang w:val="en-US" w:eastAsia="zh-CN"/>
        </w:rPr>
        <w:t>1</w:t>
      </w:r>
      <w:r>
        <w:rPr>
          <w:rFonts w:hint="eastAsia" w:cs="宋体"/>
          <w:spacing w:val="10"/>
          <w:highlight w:val="none"/>
          <w:lang w:val="en-US" w:eastAsia="zh-CN"/>
        </w:rPr>
        <w:t>1</w:t>
      </w:r>
      <w:r>
        <w:rPr>
          <w:rFonts w:hint="eastAsia" w:ascii="宋体" w:hAnsi="宋体" w:eastAsia="宋体" w:cs="宋体"/>
          <w:spacing w:val="10"/>
          <w:highlight w:val="none"/>
          <w:lang w:val="en-US" w:eastAsia="zh-CN"/>
        </w:rPr>
        <w:t>.2应急人员、物资储备</w:t>
      </w:r>
      <w:r>
        <w:tab/>
      </w:r>
      <w:r>
        <w:fldChar w:fldCharType="begin"/>
      </w:r>
      <w:r>
        <w:instrText xml:space="preserve"> PAGEREF _Toc19902 \h </w:instrText>
      </w:r>
      <w:r>
        <w:fldChar w:fldCharType="separate"/>
      </w:r>
      <w:r>
        <w:t>23</w:t>
      </w:r>
      <w:r>
        <w:fldChar w:fldCharType="end"/>
      </w:r>
      <w:r>
        <w:rPr>
          <w:rFonts w:ascii="宋体" w:hAnsi="宋体"/>
          <w:szCs w:val="24"/>
        </w:rPr>
        <w:fldChar w:fldCharType="end"/>
      </w:r>
    </w:p>
    <w:p w14:paraId="60BDA125">
      <w:pPr>
        <w:pStyle w:val="22"/>
        <w:tabs>
          <w:tab w:val="right" w:leader="dot" w:pos="9525"/>
        </w:tabs>
      </w:pPr>
      <w:r>
        <w:rPr>
          <w:rFonts w:ascii="宋体" w:hAnsi="宋体"/>
          <w:szCs w:val="24"/>
        </w:rPr>
        <w:fldChar w:fldCharType="begin"/>
      </w:r>
      <w:r>
        <w:rPr>
          <w:rFonts w:ascii="宋体" w:hAnsi="宋体"/>
          <w:szCs w:val="24"/>
        </w:rPr>
        <w:instrText xml:space="preserve"> HYPERLINK \l _Toc20258 </w:instrText>
      </w:r>
      <w:r>
        <w:rPr>
          <w:rFonts w:ascii="宋体" w:hAnsi="宋体"/>
          <w:szCs w:val="24"/>
        </w:rPr>
        <w:fldChar w:fldCharType="separate"/>
      </w:r>
      <w:r>
        <w:rPr>
          <w:rFonts w:hint="eastAsia" w:ascii="宋体" w:hAnsi="宋体" w:eastAsia="宋体" w:cs="宋体"/>
          <w:spacing w:val="10"/>
          <w:highlight w:val="none"/>
          <w:lang w:val="en-US" w:eastAsia="zh-CN"/>
        </w:rPr>
        <w:t>1</w:t>
      </w:r>
      <w:r>
        <w:rPr>
          <w:rFonts w:hint="eastAsia" w:cs="宋体"/>
          <w:spacing w:val="10"/>
          <w:highlight w:val="none"/>
          <w:lang w:val="en-US" w:eastAsia="zh-CN"/>
        </w:rPr>
        <w:t>1</w:t>
      </w:r>
      <w:r>
        <w:rPr>
          <w:rFonts w:hint="eastAsia" w:ascii="宋体" w:hAnsi="宋体" w:eastAsia="宋体" w:cs="宋体"/>
          <w:spacing w:val="10"/>
          <w:highlight w:val="none"/>
          <w:lang w:val="en-US" w:eastAsia="zh-CN"/>
        </w:rPr>
        <w:t>.3应急措施</w:t>
      </w:r>
      <w:r>
        <w:tab/>
      </w:r>
      <w:r>
        <w:fldChar w:fldCharType="begin"/>
      </w:r>
      <w:r>
        <w:instrText xml:space="preserve"> PAGEREF _Toc20258 \h </w:instrText>
      </w:r>
      <w:r>
        <w:fldChar w:fldCharType="separate"/>
      </w:r>
      <w:r>
        <w:t>24</w:t>
      </w:r>
      <w:r>
        <w:fldChar w:fldCharType="end"/>
      </w:r>
      <w:r>
        <w:rPr>
          <w:rFonts w:ascii="宋体" w:hAnsi="宋体"/>
          <w:szCs w:val="24"/>
        </w:rPr>
        <w:fldChar w:fldCharType="end"/>
      </w:r>
    </w:p>
    <w:p w14:paraId="35AA4E08">
      <w:pPr>
        <w:pStyle w:val="38"/>
        <w:tabs>
          <w:tab w:val="right" w:leader="dot" w:pos="9061"/>
        </w:tabs>
        <w:rPr>
          <w:rFonts w:ascii="宋体" w:hAnsi="宋体"/>
          <w:szCs w:val="24"/>
        </w:rPr>
      </w:pPr>
      <w:r>
        <w:rPr>
          <w:rFonts w:ascii="宋体" w:hAnsi="宋体"/>
          <w:szCs w:val="24"/>
        </w:rPr>
        <w:fldChar w:fldCharType="end"/>
      </w:r>
    </w:p>
    <w:p w14:paraId="394EA656">
      <w:pPr>
        <w:tabs>
          <w:tab w:val="left" w:pos="2634"/>
        </w:tabs>
        <w:ind w:firstLine="0" w:firstLineChars="0"/>
        <w:jc w:val="left"/>
        <w:sectPr>
          <w:headerReference r:id="rId6" w:type="first"/>
          <w:footerReference r:id="rId8" w:type="first"/>
          <w:headerReference r:id="rId5" w:type="default"/>
          <w:footerReference r:id="rId7" w:type="default"/>
          <w:pgSz w:w="11906" w:h="16838"/>
          <w:pgMar w:top="1134" w:right="1134" w:bottom="1134" w:left="1247" w:header="851" w:footer="907" w:gutter="0"/>
          <w:pgNumType w:fmt="decimal"/>
          <w:cols w:space="425" w:num="1"/>
          <w:titlePg/>
          <w:docGrid w:type="lines" w:linePitch="326" w:charSpace="0"/>
        </w:sectPr>
      </w:pPr>
    </w:p>
    <w:p w14:paraId="7735B15F">
      <w:pPr>
        <w:pStyle w:val="56"/>
        <w:numPr>
          <w:ilvl w:val="0"/>
          <w:numId w:val="0"/>
        </w:numPr>
        <w:spacing w:line="240" w:lineRule="auto"/>
        <w:ind w:firstLine="0" w:firstLineChars="0"/>
        <w:jc w:val="both"/>
        <w:rPr>
          <w:rFonts w:hint="eastAsia" w:ascii="宋体" w:hAnsi="宋体" w:eastAsia="宋体" w:cs="Times New Roman"/>
          <w:b/>
          <w:bCs/>
          <w:color w:val="auto"/>
          <w:sz w:val="30"/>
          <w:szCs w:val="30"/>
          <w:highlight w:val="none"/>
          <w:lang w:val="en-US" w:eastAsia="zh-CN"/>
        </w:rPr>
      </w:pPr>
      <w:bookmarkStart w:id="0" w:name="_Toc29929"/>
      <w:r>
        <w:rPr>
          <w:rFonts w:hint="eastAsia" w:ascii="宋体" w:hAnsi="宋体" w:eastAsia="宋体" w:cs="Times New Roman"/>
          <w:b/>
          <w:bCs/>
          <w:color w:val="auto"/>
          <w:sz w:val="30"/>
          <w:szCs w:val="30"/>
          <w:highlight w:val="none"/>
          <w:lang w:val="en-US" w:eastAsia="zh-CN"/>
        </w:rPr>
        <w:t>1、工程概况</w:t>
      </w:r>
      <w:bookmarkEnd w:id="0"/>
    </w:p>
    <w:p w14:paraId="529A2232">
      <w:pPr>
        <w:pStyle w:val="53"/>
        <w:spacing w:before="156" w:beforeLines="50" w:after="156" w:afterLines="50"/>
        <w:rPr>
          <w:rFonts w:hint="eastAsia" w:ascii="宋体" w:hAnsi="宋体" w:eastAsia="宋体" w:cs="宋体"/>
          <w:color w:val="auto"/>
          <w:spacing w:val="10"/>
          <w:highlight w:val="none"/>
          <w:lang w:val="en-US" w:eastAsia="zh-CN"/>
        </w:rPr>
      </w:pPr>
      <w:bookmarkStart w:id="1" w:name="_Toc12852"/>
      <w:bookmarkStart w:id="2" w:name="_Toc478316888"/>
      <w:bookmarkStart w:id="3" w:name="_Toc366681439"/>
      <w:r>
        <w:rPr>
          <w:rFonts w:hint="eastAsia" w:ascii="宋体" w:hAnsi="宋体" w:eastAsia="宋体" w:cs="宋体"/>
          <w:color w:val="auto"/>
          <w:spacing w:val="10"/>
          <w:highlight w:val="none"/>
          <w:lang w:val="en-US" w:eastAsia="zh-CN"/>
        </w:rPr>
        <w:t>1.1工程简介</w:t>
      </w:r>
      <w:bookmarkEnd w:id="1"/>
    </w:p>
    <w:p w14:paraId="2541AE5D">
      <w:pPr>
        <w:spacing w:line="360" w:lineRule="auto"/>
        <w:ind w:firstLine="480" w:firstLineChars="200"/>
        <w:rPr>
          <w:rFonts w:hint="eastAsia" w:ascii="宋体" w:hAnsi="宋体" w:eastAsia="宋体" w:cs="Times New Roman"/>
          <w:bCs/>
          <w:color w:val="auto"/>
          <w:sz w:val="24"/>
          <w:highlight w:val="none"/>
          <w:lang w:val="en-US" w:eastAsia="zh-CN"/>
        </w:rPr>
      </w:pPr>
      <w:bookmarkStart w:id="4" w:name="_Hlk107733942"/>
      <w:r>
        <w:rPr>
          <w:rFonts w:hint="eastAsia" w:ascii="宋体" w:hAnsi="宋体" w:eastAsia="宋体" w:cs="Times New Roman"/>
          <w:bCs/>
          <w:color w:val="auto"/>
          <w:sz w:val="24"/>
          <w:highlight w:val="none"/>
          <w:lang w:val="en-US" w:eastAsia="zh-CN"/>
        </w:rPr>
        <w:t>新建漳州至汕头高速铁路福建段3标东山跨海特大桥以（1-92.3m）系杆拱跨越东山连接线，桥址于DK90+529.14~DK90+625.554，东山连接线与线路大里程夹角为78°。设计采用（1-92.3m）系杆拱桥跨越。</w:t>
      </w:r>
    </w:p>
    <w:p w14:paraId="00004B12">
      <w:pPr>
        <w:pStyle w:val="17"/>
        <w:jc w:val="center"/>
      </w:pPr>
      <w:r>
        <w:drawing>
          <wp:anchor distT="0" distB="0" distL="114300" distR="114300" simplePos="0" relativeHeight="251662336" behindDoc="1" locked="0" layoutInCell="1" allowOverlap="1">
            <wp:simplePos x="0" y="0"/>
            <wp:positionH relativeFrom="column">
              <wp:posOffset>1574800</wp:posOffset>
            </wp:positionH>
            <wp:positionV relativeFrom="paragraph">
              <wp:posOffset>22225</wp:posOffset>
            </wp:positionV>
            <wp:extent cx="2772410" cy="1955165"/>
            <wp:effectExtent l="0" t="0" r="8890" b="635"/>
            <wp:wrapNone/>
            <wp:docPr id="1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
                    <pic:cNvPicPr>
                      <a:picLocks noChangeAspect="1"/>
                    </pic:cNvPicPr>
                  </pic:nvPicPr>
                  <pic:blipFill>
                    <a:blip r:embed="rId12"/>
                    <a:stretch>
                      <a:fillRect/>
                    </a:stretch>
                  </pic:blipFill>
                  <pic:spPr>
                    <a:xfrm>
                      <a:off x="0" y="0"/>
                      <a:ext cx="2772410" cy="1955165"/>
                    </a:xfrm>
                    <a:prstGeom prst="rect">
                      <a:avLst/>
                    </a:prstGeom>
                    <a:noFill/>
                    <a:ln>
                      <a:noFill/>
                    </a:ln>
                  </pic:spPr>
                </pic:pic>
              </a:graphicData>
            </a:graphic>
          </wp:anchor>
        </w:drawing>
      </w:r>
    </w:p>
    <w:p w14:paraId="53A96A46">
      <w:pPr>
        <w:pStyle w:val="17"/>
        <w:jc w:val="center"/>
      </w:pPr>
    </w:p>
    <w:p w14:paraId="7AA0E3B4">
      <w:pPr>
        <w:pStyle w:val="17"/>
        <w:jc w:val="center"/>
      </w:pPr>
    </w:p>
    <w:p w14:paraId="203FA331">
      <w:pPr>
        <w:pStyle w:val="17"/>
        <w:jc w:val="center"/>
      </w:pPr>
    </w:p>
    <w:p w14:paraId="0BC15FA0">
      <w:pPr>
        <w:pStyle w:val="17"/>
        <w:jc w:val="center"/>
      </w:pPr>
    </w:p>
    <w:p w14:paraId="2B263792">
      <w:pPr>
        <w:pStyle w:val="17"/>
        <w:jc w:val="center"/>
      </w:pPr>
    </w:p>
    <w:p w14:paraId="75062721">
      <w:pPr>
        <w:pStyle w:val="17"/>
        <w:jc w:val="center"/>
        <w:rPr>
          <w:rFonts w:hint="eastAsia"/>
          <w:lang w:val="en-US" w:eastAsia="zh-CN"/>
        </w:rPr>
      </w:pPr>
    </w:p>
    <w:p w14:paraId="5291CF81">
      <w:pPr>
        <w:ind w:firstLine="482"/>
        <w:jc w:val="center"/>
        <w:rPr>
          <w:rFonts w:hint="eastAsia" w:ascii="宋体" w:hAnsi="宋体" w:eastAsia="宋体" w:cs="宋体"/>
          <w:b/>
          <w:bCs/>
          <w:sz w:val="24"/>
          <w:szCs w:val="24"/>
          <w:lang w:val="en-US" w:eastAsia="zh-CN"/>
        </w:rPr>
      </w:pPr>
      <w:r>
        <w:rPr>
          <w:rFonts w:hint="default" w:ascii="宋体" w:hAnsi="宋体" w:eastAsia="宋体" w:cs="宋体"/>
          <w:b/>
          <w:bCs/>
          <w:sz w:val="24"/>
          <w:szCs w:val="24"/>
        </w:rPr>
        <w:t>图</w:t>
      </w:r>
      <w:r>
        <w:rPr>
          <w:rFonts w:hint="eastAsia" w:hAnsi="宋体" w:cs="宋体"/>
          <w:b/>
          <w:bCs/>
          <w:sz w:val="24"/>
          <w:szCs w:val="24"/>
          <w:lang w:val="en-US" w:eastAsia="zh-CN"/>
        </w:rPr>
        <w:t>1</w:t>
      </w:r>
      <w:r>
        <w:rPr>
          <w:rFonts w:hint="default" w:ascii="宋体" w:hAnsi="宋体" w:eastAsia="宋体" w:cs="宋体"/>
          <w:b/>
          <w:bCs/>
          <w:sz w:val="24"/>
          <w:szCs w:val="24"/>
        </w:rPr>
        <w:t>.</w:t>
      </w:r>
      <w:r>
        <w:rPr>
          <w:rFonts w:hint="eastAsia" w:ascii="宋体" w:hAnsi="宋体" w:eastAsia="宋体" w:cs="宋体"/>
          <w:b/>
          <w:bCs/>
          <w:sz w:val="24"/>
          <w:szCs w:val="24"/>
          <w:lang w:val="en-US" w:eastAsia="zh-CN"/>
        </w:rPr>
        <w:t>1</w:t>
      </w:r>
      <w:r>
        <w:rPr>
          <w:rFonts w:hint="default" w:ascii="宋体" w:hAnsi="宋体" w:eastAsia="宋体" w:cs="宋体"/>
          <w:b/>
          <w:bCs/>
          <w:sz w:val="24"/>
          <w:szCs w:val="24"/>
        </w:rPr>
        <w:t>-1</w:t>
      </w:r>
      <w:r>
        <w:rPr>
          <w:rFonts w:hint="eastAsia" w:hAnsi="宋体" w:cs="宋体"/>
          <w:b/>
          <w:bCs/>
          <w:sz w:val="24"/>
          <w:szCs w:val="24"/>
          <w:lang w:val="en-US" w:eastAsia="zh-CN"/>
        </w:rPr>
        <w:t xml:space="preserve"> </w:t>
      </w:r>
      <w:r>
        <w:rPr>
          <w:rFonts w:hint="eastAsia" w:ascii="宋体" w:hAnsi="宋体" w:eastAsia="宋体" w:cs="宋体"/>
          <w:b/>
          <w:bCs/>
          <w:sz w:val="24"/>
          <w:szCs w:val="24"/>
          <w:lang w:val="en-US" w:eastAsia="zh-CN"/>
        </w:rPr>
        <w:t>1-92.3m系杆拱</w:t>
      </w:r>
      <w:r>
        <w:rPr>
          <w:rFonts w:hint="eastAsia" w:ascii="宋体" w:hAnsi="宋体" w:cs="宋体"/>
          <w:b/>
          <w:bCs/>
          <w:sz w:val="24"/>
          <w:szCs w:val="24"/>
          <w:lang w:val="en-US" w:eastAsia="zh-CN"/>
        </w:rPr>
        <w:t>效果</w:t>
      </w:r>
      <w:r>
        <w:rPr>
          <w:rFonts w:hint="default" w:ascii="宋体" w:hAnsi="宋体" w:eastAsia="宋体" w:cs="宋体"/>
          <w:b/>
          <w:bCs/>
          <w:sz w:val="24"/>
          <w:szCs w:val="24"/>
        </w:rPr>
        <w:t>图</w:t>
      </w:r>
    </w:p>
    <w:bookmarkEnd w:id="4"/>
    <w:p w14:paraId="694D312A">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本桥采用先梁后拱的施工方法。系梁采用支架现浇法施工，拱肋采用支架拼装施工。</w:t>
      </w:r>
    </w:p>
    <w:p w14:paraId="63188E0D">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本桥需在省道上搭设支架，需设置防撞措施及交通临时管制措施等，施工前需获得行政许可。</w:t>
      </w:r>
    </w:p>
    <w:p w14:paraId="2F282771">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系梁全长96.3m，桥梁支点纵向间距93.3m，拱肋计算跨径92.3m。</w:t>
      </w:r>
    </w:p>
    <w:p w14:paraId="09577827">
      <w:pPr>
        <w:pStyle w:val="53"/>
        <w:spacing w:before="156" w:beforeLines="50" w:after="156" w:afterLines="50"/>
        <w:rPr>
          <w:rFonts w:hint="eastAsia" w:ascii="宋体" w:hAnsi="宋体" w:eastAsia="宋体" w:cs="宋体"/>
          <w:color w:val="auto"/>
          <w:spacing w:val="10"/>
          <w:highlight w:val="none"/>
          <w:lang w:val="en-US" w:eastAsia="zh-CN"/>
        </w:rPr>
      </w:pPr>
      <w:bookmarkStart w:id="5" w:name="_Toc12844"/>
      <w:bookmarkStart w:id="6" w:name="_Toc30186"/>
      <w:r>
        <w:rPr>
          <w:rFonts w:hint="eastAsia" w:ascii="宋体" w:hAnsi="宋体" w:eastAsia="宋体" w:cs="宋体"/>
          <w:color w:val="auto"/>
          <w:spacing w:val="10"/>
          <w:highlight w:val="none"/>
          <w:lang w:val="en-US" w:eastAsia="zh-CN"/>
        </w:rPr>
        <w:t>1.2工程</w:t>
      </w:r>
      <w:bookmarkEnd w:id="2"/>
      <w:bookmarkEnd w:id="3"/>
      <w:bookmarkEnd w:id="5"/>
      <w:r>
        <w:rPr>
          <w:rFonts w:hint="eastAsia" w:ascii="宋体" w:hAnsi="宋体" w:eastAsia="宋体" w:cs="宋体"/>
          <w:color w:val="auto"/>
          <w:spacing w:val="10"/>
          <w:highlight w:val="none"/>
          <w:lang w:val="en-US" w:eastAsia="zh-CN"/>
        </w:rPr>
        <w:t>地质</w:t>
      </w:r>
      <w:bookmarkEnd w:id="6"/>
    </w:p>
    <w:p w14:paraId="750616BC">
      <w:pPr>
        <w:pStyle w:val="7"/>
        <w:bidi w:val="0"/>
        <w:spacing w:before="0" w:beforeLines="0" w:beforeAutospacing="0" w:after="0" w:afterLines="0" w:afterAutospacing="0" w:line="360" w:lineRule="auto"/>
        <w:ind w:left="0" w:leftChars="0" w:firstLine="562" w:firstLineChars="200"/>
        <w:jc w:val="both"/>
        <w:rPr>
          <w:rFonts w:hint="eastAsia" w:ascii="宋体" w:hAnsi="宋体" w:eastAsia="宋体"/>
          <w:b/>
          <w:sz w:val="28"/>
          <w:szCs w:val="24"/>
          <w:lang w:val="en-US" w:eastAsia="zh-CN"/>
        </w:rPr>
      </w:pPr>
      <w:bookmarkStart w:id="7" w:name="_Toc18524"/>
      <w:bookmarkStart w:id="8" w:name="_Toc24407"/>
      <w:bookmarkStart w:id="9" w:name="_Toc925_WPSOffice_Level2"/>
      <w:bookmarkStart w:id="10" w:name="_Toc12323"/>
      <w:bookmarkStart w:id="11" w:name="_Toc17364"/>
      <w:bookmarkStart w:id="12" w:name="_Toc26488"/>
      <w:bookmarkStart w:id="13" w:name="_Toc16044"/>
      <w:bookmarkStart w:id="14" w:name="_Toc15787"/>
      <w:bookmarkStart w:id="15" w:name="_Toc8173"/>
      <w:r>
        <w:rPr>
          <w:rFonts w:hint="eastAsia" w:hAnsi="宋体"/>
          <w:b/>
          <w:sz w:val="28"/>
          <w:szCs w:val="24"/>
          <w:lang w:val="en-US" w:eastAsia="zh-CN"/>
        </w:rPr>
        <w:t>1</w:t>
      </w:r>
      <w:r>
        <w:rPr>
          <w:rFonts w:hint="eastAsia" w:ascii="宋体" w:hAnsi="宋体" w:eastAsia="宋体"/>
          <w:b/>
          <w:sz w:val="28"/>
          <w:szCs w:val="24"/>
          <w:lang w:val="en-US" w:eastAsia="zh-CN"/>
        </w:rPr>
        <w:t>.</w:t>
      </w:r>
      <w:r>
        <w:rPr>
          <w:rFonts w:hint="eastAsia" w:hAnsi="宋体"/>
          <w:b/>
          <w:sz w:val="28"/>
          <w:szCs w:val="24"/>
          <w:lang w:val="en-US" w:eastAsia="zh-CN"/>
        </w:rPr>
        <w:t>2</w:t>
      </w:r>
      <w:r>
        <w:rPr>
          <w:rFonts w:hint="eastAsia" w:ascii="宋体" w:hAnsi="宋体" w:eastAsia="宋体"/>
          <w:b/>
          <w:sz w:val="28"/>
          <w:szCs w:val="24"/>
          <w:lang w:val="en-US" w:eastAsia="zh-CN"/>
        </w:rPr>
        <w:t>.1地貌特征</w:t>
      </w:r>
      <w:bookmarkEnd w:id="7"/>
      <w:bookmarkEnd w:id="8"/>
      <w:bookmarkEnd w:id="9"/>
      <w:bookmarkEnd w:id="10"/>
      <w:bookmarkEnd w:id="11"/>
      <w:bookmarkEnd w:id="12"/>
      <w:bookmarkEnd w:id="13"/>
      <w:bookmarkEnd w:id="14"/>
      <w:bookmarkEnd w:id="15"/>
    </w:p>
    <w:p w14:paraId="36E3F437">
      <w:pPr>
        <w:spacing w:line="360" w:lineRule="auto"/>
        <w:ind w:firstLine="480" w:firstLineChars="200"/>
        <w:rPr>
          <w:rFonts w:hint="eastAsia" w:ascii="宋体" w:hAnsi="宋体" w:eastAsia="宋体" w:cs="Times New Roman"/>
          <w:bCs/>
          <w:color w:val="auto"/>
          <w:sz w:val="24"/>
          <w:highlight w:val="none"/>
          <w:lang w:val="en-US" w:eastAsia="zh-CN"/>
        </w:rPr>
      </w:pPr>
      <w:bookmarkStart w:id="16" w:name="_Toc721"/>
      <w:bookmarkStart w:id="17" w:name="_Toc22192"/>
      <w:bookmarkStart w:id="18" w:name="_Toc11800"/>
      <w:bookmarkStart w:id="19" w:name="_Toc30238"/>
      <w:bookmarkStart w:id="20" w:name="_Toc12225"/>
      <w:bookmarkStart w:id="21" w:name="_Toc25942_WPSOffice_Level2"/>
      <w:bookmarkStart w:id="22" w:name="_Toc22844"/>
      <w:bookmarkStart w:id="23" w:name="_Toc31065"/>
      <w:r>
        <w:rPr>
          <w:rFonts w:hint="eastAsia" w:ascii="宋体" w:hAnsi="宋体" w:eastAsia="宋体" w:cs="Times New Roman"/>
          <w:bCs/>
          <w:color w:val="auto"/>
          <w:sz w:val="24"/>
          <w:highlight w:val="none"/>
          <w:lang w:val="en-US" w:eastAsia="zh-CN"/>
        </w:rPr>
        <w:t>桥梁穿越区域为闽南低缓丘陵与第四系海积平原复合地貌，局部为残丘台地，线路主要走行于海积平原和低丘接合部，除波状台地以外，地面高程2～200m，相对高差2～150m，线路地势低缓平坦，平坦地段多为水塘及香蕉地，丘间槽地开阔平缓。</w:t>
      </w:r>
      <w:bookmarkEnd w:id="16"/>
      <w:bookmarkEnd w:id="17"/>
      <w:bookmarkEnd w:id="18"/>
    </w:p>
    <w:p w14:paraId="09A9C84D">
      <w:pPr>
        <w:ind w:left="0" w:leftChars="0" w:firstLine="0" w:firstLineChars="0"/>
        <w:jc w:val="center"/>
      </w:pPr>
    </w:p>
    <w:p w14:paraId="11C15909">
      <w:pPr>
        <w:ind w:left="0" w:leftChars="0" w:firstLine="0" w:firstLineChars="0"/>
        <w:jc w:val="center"/>
      </w:pPr>
    </w:p>
    <w:p w14:paraId="129C4288">
      <w:pPr>
        <w:ind w:left="0" w:leftChars="0" w:firstLine="0" w:firstLineChars="0"/>
        <w:jc w:val="both"/>
      </w:pPr>
    </w:p>
    <w:p w14:paraId="0B51BA0E">
      <w:pPr>
        <w:ind w:left="0" w:leftChars="0" w:firstLine="0" w:firstLineChars="0"/>
        <w:jc w:val="center"/>
      </w:pPr>
    </w:p>
    <w:p w14:paraId="0BC29D40">
      <w:pPr>
        <w:ind w:left="0" w:leftChars="0" w:firstLine="0" w:firstLineChars="0"/>
        <w:jc w:val="center"/>
      </w:pPr>
    </w:p>
    <w:p w14:paraId="1D26F09F">
      <w:pPr>
        <w:ind w:left="0" w:leftChars="0" w:firstLine="0" w:firstLineChars="0"/>
        <w:jc w:val="both"/>
      </w:pPr>
    </w:p>
    <w:p w14:paraId="0A03D73D">
      <w:pPr>
        <w:ind w:left="0" w:leftChars="0" w:firstLine="0" w:firstLineChars="0"/>
        <w:jc w:val="center"/>
      </w:pPr>
      <w:r>
        <w:drawing>
          <wp:anchor distT="0" distB="0" distL="114300" distR="114300" simplePos="0" relativeHeight="251662336" behindDoc="1" locked="0" layoutInCell="1" allowOverlap="1">
            <wp:simplePos x="0" y="0"/>
            <wp:positionH relativeFrom="column">
              <wp:posOffset>1246505</wp:posOffset>
            </wp:positionH>
            <wp:positionV relativeFrom="paragraph">
              <wp:posOffset>-73025</wp:posOffset>
            </wp:positionV>
            <wp:extent cx="3328670" cy="2341880"/>
            <wp:effectExtent l="0" t="0" r="11430" b="7620"/>
            <wp:wrapNone/>
            <wp:docPr id="10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
                    <pic:cNvPicPr>
                      <a:picLocks noChangeAspect="1"/>
                    </pic:cNvPicPr>
                  </pic:nvPicPr>
                  <pic:blipFill>
                    <a:blip r:embed="rId13"/>
                    <a:stretch>
                      <a:fillRect/>
                    </a:stretch>
                  </pic:blipFill>
                  <pic:spPr>
                    <a:xfrm>
                      <a:off x="0" y="0"/>
                      <a:ext cx="3328670" cy="2341880"/>
                    </a:xfrm>
                    <a:prstGeom prst="rect">
                      <a:avLst/>
                    </a:prstGeom>
                    <a:noFill/>
                    <a:ln>
                      <a:noFill/>
                    </a:ln>
                  </pic:spPr>
                </pic:pic>
              </a:graphicData>
            </a:graphic>
          </wp:anchor>
        </w:drawing>
      </w:r>
    </w:p>
    <w:p w14:paraId="0C7D6EA9">
      <w:pPr>
        <w:ind w:left="0" w:leftChars="0" w:firstLine="0" w:firstLineChars="0"/>
        <w:jc w:val="center"/>
      </w:pPr>
    </w:p>
    <w:p w14:paraId="018CDE22">
      <w:pPr>
        <w:ind w:left="0" w:leftChars="0" w:firstLine="0" w:firstLineChars="0"/>
        <w:jc w:val="center"/>
      </w:pPr>
    </w:p>
    <w:p w14:paraId="236B839A">
      <w:pPr>
        <w:ind w:left="0" w:leftChars="0" w:firstLine="0" w:firstLineChars="0"/>
        <w:jc w:val="center"/>
      </w:pPr>
    </w:p>
    <w:p w14:paraId="757348C7">
      <w:pPr>
        <w:ind w:left="0" w:leftChars="0" w:firstLine="0" w:firstLineChars="0"/>
        <w:jc w:val="center"/>
      </w:pPr>
    </w:p>
    <w:p w14:paraId="07B95A59">
      <w:pPr>
        <w:ind w:left="0" w:leftChars="0" w:firstLine="0" w:firstLineChars="0"/>
        <w:jc w:val="center"/>
      </w:pPr>
    </w:p>
    <w:p w14:paraId="52DC722A">
      <w:pPr>
        <w:ind w:left="0" w:leftChars="0" w:firstLine="0" w:firstLineChars="0"/>
        <w:jc w:val="center"/>
      </w:pPr>
    </w:p>
    <w:p w14:paraId="5C88FF9E">
      <w:pPr>
        <w:ind w:left="0" w:leftChars="0" w:firstLine="0" w:firstLineChars="0"/>
        <w:jc w:val="center"/>
      </w:pPr>
    </w:p>
    <w:p w14:paraId="4CD72D0E">
      <w:pPr>
        <w:ind w:left="0" w:leftChars="0" w:firstLine="0" w:firstLineChars="0"/>
        <w:jc w:val="center"/>
        <w:rPr>
          <w:rFonts w:hint="eastAsia"/>
          <w:lang w:val="en-US" w:eastAsia="zh-CN"/>
        </w:rPr>
      </w:pPr>
      <w:r>
        <w:rPr>
          <w:rFonts w:hint="eastAsia" w:ascii="宋体" w:hAnsi="宋体" w:eastAsia="宋体" w:cs="宋体"/>
          <w:b/>
        </w:rPr>
        <w:t>图</w:t>
      </w:r>
      <w:r>
        <w:rPr>
          <w:rFonts w:hint="eastAsia" w:hAnsi="宋体" w:cs="宋体"/>
          <w:b/>
          <w:lang w:val="en-US" w:eastAsia="zh-CN"/>
        </w:rPr>
        <w:t>1</w:t>
      </w:r>
      <w:r>
        <w:rPr>
          <w:rFonts w:hint="eastAsia" w:ascii="宋体" w:hAnsi="宋体" w:eastAsia="宋体" w:cs="宋体"/>
          <w:b/>
        </w:rPr>
        <w:t>.</w:t>
      </w:r>
      <w:r>
        <w:rPr>
          <w:rFonts w:hint="eastAsia" w:hAnsi="宋体" w:cs="宋体"/>
          <w:b/>
          <w:lang w:val="en-US" w:eastAsia="zh-CN"/>
        </w:rPr>
        <w:t>2</w:t>
      </w:r>
      <w:r>
        <w:rPr>
          <w:rFonts w:hint="eastAsia" w:ascii="宋体" w:hAnsi="宋体" w:cs="宋体"/>
          <w:b/>
          <w:lang w:val="en-US" w:eastAsia="zh-CN"/>
        </w:rPr>
        <w:t>-1</w:t>
      </w:r>
      <w:r>
        <w:rPr>
          <w:rFonts w:hint="eastAsia" w:ascii="宋体" w:hAnsi="宋体" w:eastAsia="宋体" w:cs="宋体"/>
          <w:b/>
        </w:rPr>
        <w:t>跨</w:t>
      </w:r>
      <w:r>
        <w:rPr>
          <w:rFonts w:hint="eastAsia" w:ascii="宋体" w:hAnsi="宋体" w:eastAsia="宋体" w:cs="宋体"/>
          <w:b/>
          <w:lang w:val="en-US" w:eastAsia="zh-CN"/>
        </w:rPr>
        <w:t>东山连接线</w:t>
      </w:r>
      <w:r>
        <w:rPr>
          <w:rFonts w:hint="eastAsia" w:ascii="宋体" w:hAnsi="宋体" w:eastAsia="宋体" w:cs="宋体"/>
          <w:b/>
        </w:rPr>
        <w:t>1-9</w:t>
      </w:r>
      <w:r>
        <w:rPr>
          <w:rFonts w:hint="eastAsia" w:ascii="宋体" w:hAnsi="宋体" w:eastAsia="宋体" w:cs="宋体"/>
          <w:b/>
          <w:lang w:val="en-US" w:eastAsia="zh-CN"/>
        </w:rPr>
        <w:t>2.3</w:t>
      </w:r>
      <w:r>
        <w:rPr>
          <w:rFonts w:hint="eastAsia" w:ascii="宋体" w:hAnsi="宋体" w:eastAsia="宋体" w:cs="宋体"/>
          <w:b/>
        </w:rPr>
        <w:t>m系杆拱</w:t>
      </w:r>
      <w:r>
        <w:rPr>
          <w:rFonts w:hint="eastAsia" w:ascii="宋体" w:hAnsi="宋体" w:cs="宋体"/>
          <w:b/>
          <w:lang w:val="en-US" w:eastAsia="zh-CN"/>
        </w:rPr>
        <w:t>原地面航拍</w:t>
      </w:r>
      <w:r>
        <w:rPr>
          <w:rFonts w:hint="eastAsia" w:ascii="宋体" w:hAnsi="宋体" w:eastAsia="宋体" w:cs="宋体"/>
          <w:b/>
        </w:rPr>
        <w:t>图</w:t>
      </w:r>
    </w:p>
    <w:p w14:paraId="1C9CE216">
      <w:pPr>
        <w:pStyle w:val="7"/>
        <w:bidi w:val="0"/>
        <w:spacing w:before="0" w:beforeLines="0" w:beforeAutospacing="0" w:after="0" w:afterLines="0" w:afterAutospacing="0" w:line="360" w:lineRule="auto"/>
        <w:ind w:left="0" w:leftChars="0" w:firstLine="562" w:firstLineChars="200"/>
        <w:jc w:val="both"/>
        <w:rPr>
          <w:rFonts w:hint="eastAsia" w:ascii="宋体" w:hAnsi="宋体" w:eastAsia="宋体"/>
          <w:b/>
          <w:sz w:val="28"/>
          <w:szCs w:val="24"/>
          <w:lang w:val="en-US" w:eastAsia="zh-CN"/>
        </w:rPr>
      </w:pPr>
      <w:bookmarkStart w:id="24" w:name="_Toc6985"/>
      <w:bookmarkStart w:id="25" w:name="_Toc17971"/>
      <w:bookmarkStart w:id="26" w:name="_Toc6008"/>
      <w:bookmarkStart w:id="27" w:name="_Toc20712"/>
      <w:r>
        <w:rPr>
          <w:rFonts w:hint="eastAsia" w:hAnsi="宋体"/>
          <w:b/>
          <w:sz w:val="28"/>
          <w:szCs w:val="24"/>
          <w:lang w:val="en-US" w:eastAsia="zh-CN"/>
        </w:rPr>
        <w:t>1</w:t>
      </w:r>
      <w:r>
        <w:rPr>
          <w:rFonts w:hint="eastAsia" w:ascii="宋体" w:hAnsi="宋体" w:eastAsia="宋体"/>
          <w:b/>
          <w:sz w:val="28"/>
          <w:szCs w:val="24"/>
          <w:lang w:val="en-US" w:eastAsia="zh-CN"/>
        </w:rPr>
        <w:t>.</w:t>
      </w:r>
      <w:r>
        <w:rPr>
          <w:rFonts w:hint="eastAsia" w:hAnsi="宋体"/>
          <w:b/>
          <w:sz w:val="28"/>
          <w:szCs w:val="24"/>
          <w:lang w:val="en-US" w:eastAsia="zh-CN"/>
        </w:rPr>
        <w:t>2</w:t>
      </w:r>
      <w:r>
        <w:rPr>
          <w:rFonts w:hint="eastAsia" w:ascii="宋体" w:hAnsi="宋体" w:eastAsia="宋体"/>
          <w:b/>
          <w:sz w:val="28"/>
          <w:szCs w:val="24"/>
          <w:lang w:val="en-US" w:eastAsia="zh-CN"/>
        </w:rPr>
        <w:t>.2工程地质特征</w:t>
      </w:r>
      <w:bookmarkEnd w:id="19"/>
      <w:bookmarkEnd w:id="20"/>
      <w:bookmarkEnd w:id="21"/>
      <w:bookmarkEnd w:id="22"/>
      <w:bookmarkEnd w:id="23"/>
      <w:bookmarkEnd w:id="24"/>
      <w:bookmarkEnd w:id="25"/>
      <w:bookmarkEnd w:id="26"/>
      <w:bookmarkEnd w:id="27"/>
    </w:p>
    <w:p w14:paraId="4B73A3F8">
      <w:pPr>
        <w:spacing w:line="360" w:lineRule="auto"/>
        <w:ind w:firstLine="480" w:firstLineChars="200"/>
        <w:rPr>
          <w:rFonts w:hint="eastAsia" w:ascii="宋体" w:hAnsi="宋体" w:eastAsia="宋体" w:cs="Times New Roman"/>
          <w:bCs/>
          <w:color w:val="auto"/>
          <w:sz w:val="24"/>
          <w:highlight w:val="none"/>
          <w:lang w:val="en-US" w:eastAsia="zh-CN"/>
        </w:rPr>
      </w:pPr>
      <w:bookmarkStart w:id="28" w:name="_Toc6007_WPSOffice_Level2"/>
      <w:bookmarkStart w:id="29" w:name="_Toc19966"/>
      <w:r>
        <w:rPr>
          <w:rFonts w:hint="eastAsia" w:ascii="宋体" w:hAnsi="宋体" w:eastAsia="宋体" w:cs="Times New Roman"/>
          <w:bCs/>
          <w:color w:val="auto"/>
          <w:sz w:val="24"/>
          <w:highlight w:val="none"/>
          <w:lang w:val="en-US" w:eastAsia="zh-CN"/>
        </w:rPr>
        <w:t>测区上覆地层为第四系全新统人工填土层(Q4ml)素填土，坡洪积(Q4dl+pl)淤泥质土，冲海积层(Q4m+al)淤泥、淤泥质土、粉质黏土，中、粗砂及(Qel)残积土;下伏地层为侏罗系上统兜岭群(J3dl2)凝灰熔岩;燕山早期第一次侵入二长花岗岩，燕山早期第三次侵入黑云母花岗岩。</w:t>
      </w:r>
      <w:bookmarkStart w:id="30" w:name="_Toc6446"/>
      <w:bookmarkStart w:id="31" w:name="_Toc31743"/>
      <w:bookmarkStart w:id="32" w:name="_Toc18369"/>
    </w:p>
    <w:p w14:paraId="35F35281">
      <w:pPr>
        <w:pStyle w:val="7"/>
        <w:bidi w:val="0"/>
        <w:spacing w:before="0" w:beforeLines="0" w:beforeAutospacing="0" w:after="0" w:afterLines="0" w:afterAutospacing="0" w:line="360" w:lineRule="auto"/>
        <w:ind w:left="0" w:leftChars="0" w:firstLine="562" w:firstLineChars="200"/>
        <w:jc w:val="both"/>
        <w:rPr>
          <w:rFonts w:hint="eastAsia" w:ascii="宋体" w:hAnsi="宋体" w:eastAsia="宋体"/>
          <w:b/>
          <w:sz w:val="28"/>
          <w:szCs w:val="24"/>
          <w:lang w:val="en-US" w:eastAsia="zh-CN"/>
        </w:rPr>
      </w:pPr>
      <w:bookmarkStart w:id="33" w:name="_Toc2547"/>
      <w:r>
        <w:rPr>
          <w:rFonts w:hint="eastAsia" w:hAnsi="宋体"/>
          <w:b/>
          <w:sz w:val="28"/>
          <w:szCs w:val="24"/>
          <w:lang w:val="en-US" w:eastAsia="zh-CN"/>
        </w:rPr>
        <w:t>1</w:t>
      </w:r>
      <w:r>
        <w:rPr>
          <w:rFonts w:hint="eastAsia" w:ascii="宋体" w:hAnsi="宋体" w:eastAsia="宋体"/>
          <w:b/>
          <w:sz w:val="28"/>
          <w:szCs w:val="24"/>
          <w:lang w:val="en-US" w:eastAsia="zh-CN"/>
        </w:rPr>
        <w:t>.</w:t>
      </w:r>
      <w:r>
        <w:rPr>
          <w:rFonts w:hint="eastAsia" w:hAnsi="宋体"/>
          <w:b/>
          <w:sz w:val="28"/>
          <w:szCs w:val="24"/>
          <w:lang w:val="en-US" w:eastAsia="zh-CN"/>
        </w:rPr>
        <w:t>2</w:t>
      </w:r>
      <w:r>
        <w:rPr>
          <w:rFonts w:hint="eastAsia" w:ascii="宋体" w:hAnsi="宋体" w:eastAsia="宋体"/>
          <w:b/>
          <w:sz w:val="28"/>
          <w:szCs w:val="24"/>
          <w:lang w:val="en-US" w:eastAsia="zh-CN"/>
        </w:rPr>
        <w:t>.3水文地质</w:t>
      </w:r>
      <w:bookmarkEnd w:id="28"/>
      <w:bookmarkEnd w:id="29"/>
      <w:bookmarkEnd w:id="30"/>
      <w:bookmarkEnd w:id="31"/>
      <w:bookmarkEnd w:id="32"/>
      <w:bookmarkEnd w:id="33"/>
    </w:p>
    <w:p w14:paraId="7D32A557">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桥址区属冲海积滨海沉积地貌，局部为低矮残丘，地形稍有起伏，地面高程0.5～28m，相对高差127m，丘坡上多覆盖残积土，覆土层较薄，沟槽较平坦，覆土较厚，植被茂密，多为灌木乔木林，自然纵坡3°～9°，沟槽平坦及低洼地带多被开挖为海产品养殖的鱼塘、虾塘及盐田等。</w:t>
      </w:r>
    </w:p>
    <w:p w14:paraId="5BE98D6B">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线路D1K86+732.367~D1K89+200、DK89+800~D1K92+300段为浅丘、低缓丘陵地貌，多为林地、蔬菜及水果种植地，地表水不发育地下水水质类型主要为S042-.Cl-.HCO3.-Na+.Ca2+、HCO3--Na+、Cl-.HCO3.-Na+、S042-.HCO3--Na+型水。在环境作用类别为化学腐蚀环境、氯盐环境时，地下水水中S042-对混凝土结构侵蚀等级为H1、酸性侵蚀等级为H1、侵蚀性CO2侵蚀等级为H1、Cl侵蚀等级为L1，盐类结晶环境作用等级为Y1。</w:t>
      </w:r>
    </w:p>
    <w:p w14:paraId="519A417D">
      <w:pPr>
        <w:pStyle w:val="7"/>
        <w:bidi w:val="0"/>
        <w:spacing w:before="0" w:beforeLines="0" w:beforeAutospacing="0" w:after="0" w:afterLines="0" w:afterAutospacing="0" w:line="360" w:lineRule="auto"/>
        <w:ind w:left="0" w:leftChars="0" w:firstLine="562" w:firstLineChars="200"/>
        <w:jc w:val="both"/>
        <w:rPr>
          <w:rFonts w:hint="eastAsia" w:ascii="宋体" w:hAnsi="宋体" w:eastAsia="宋体"/>
          <w:b/>
          <w:sz w:val="28"/>
          <w:szCs w:val="24"/>
          <w:lang w:val="en-US" w:eastAsia="zh-CN"/>
        </w:rPr>
      </w:pPr>
      <w:bookmarkStart w:id="34" w:name="_Toc14664"/>
      <w:bookmarkStart w:id="35" w:name="_Toc20450"/>
      <w:bookmarkStart w:id="36" w:name="_Toc24667"/>
      <w:bookmarkStart w:id="37" w:name="_Toc6228"/>
      <w:bookmarkStart w:id="38" w:name="_Toc10993"/>
      <w:bookmarkStart w:id="39" w:name="_Toc27585"/>
      <w:bookmarkStart w:id="40" w:name="_Toc1514"/>
      <w:r>
        <w:rPr>
          <w:rFonts w:hint="eastAsia" w:hAnsi="宋体"/>
          <w:b/>
          <w:sz w:val="28"/>
          <w:szCs w:val="24"/>
          <w:lang w:val="en-US" w:eastAsia="zh-CN"/>
        </w:rPr>
        <w:t>1</w:t>
      </w:r>
      <w:r>
        <w:rPr>
          <w:rFonts w:hint="eastAsia" w:ascii="宋体" w:hAnsi="宋体" w:eastAsia="宋体"/>
          <w:b/>
          <w:sz w:val="28"/>
          <w:szCs w:val="24"/>
          <w:lang w:val="en-US" w:eastAsia="zh-CN"/>
        </w:rPr>
        <w:t>.</w:t>
      </w:r>
      <w:r>
        <w:rPr>
          <w:rFonts w:hint="eastAsia" w:hAnsi="宋体"/>
          <w:b/>
          <w:sz w:val="28"/>
          <w:szCs w:val="24"/>
          <w:lang w:val="en-US" w:eastAsia="zh-CN"/>
        </w:rPr>
        <w:t>2</w:t>
      </w:r>
      <w:r>
        <w:rPr>
          <w:rFonts w:hint="eastAsia" w:ascii="宋体" w:hAnsi="宋体" w:eastAsia="宋体"/>
          <w:b/>
          <w:sz w:val="28"/>
          <w:szCs w:val="24"/>
          <w:lang w:val="en-US" w:eastAsia="zh-CN"/>
        </w:rPr>
        <w:t>.4地震动参数区划</w:t>
      </w:r>
      <w:bookmarkEnd w:id="34"/>
      <w:bookmarkEnd w:id="35"/>
      <w:bookmarkEnd w:id="36"/>
      <w:bookmarkEnd w:id="37"/>
      <w:bookmarkEnd w:id="38"/>
      <w:bookmarkEnd w:id="39"/>
      <w:bookmarkEnd w:id="40"/>
    </w:p>
    <w:p w14:paraId="7A9DA0DE">
      <w:pPr>
        <w:spacing w:line="360" w:lineRule="auto"/>
        <w:ind w:firstLine="480" w:firstLineChars="200"/>
        <w:rPr>
          <w:rFonts w:hint="eastAsia" w:ascii="宋体" w:hAnsi="宋体" w:eastAsia="宋体" w:cs="Times New Roman"/>
          <w:bCs/>
          <w:color w:val="auto"/>
          <w:sz w:val="24"/>
          <w:highlight w:val="none"/>
          <w:lang w:val="en-US" w:eastAsia="zh-CN"/>
        </w:rPr>
      </w:pPr>
      <w:bookmarkStart w:id="41" w:name="_Toc6461"/>
      <w:bookmarkStart w:id="42" w:name="_Toc28719_WPSOffice_Level2"/>
      <w:r>
        <w:rPr>
          <w:rFonts w:hint="eastAsia" w:ascii="宋体" w:hAnsi="宋体" w:eastAsia="宋体" w:cs="Times New Roman"/>
          <w:bCs/>
          <w:color w:val="auto"/>
          <w:sz w:val="24"/>
          <w:highlight w:val="none"/>
          <w:lang w:val="en-US" w:eastAsia="zh-CN"/>
        </w:rPr>
        <w:t>场地类别为Ⅱ类场地，地震动反应谱分区为0.45s，桥墩参考图地震烈度及周期采用0.15g/0.45s；</w:t>
      </w:r>
    </w:p>
    <w:p w14:paraId="62837CD0">
      <w:pPr>
        <w:pStyle w:val="7"/>
        <w:bidi w:val="0"/>
        <w:spacing w:before="0" w:beforeLines="0" w:beforeAutospacing="0" w:after="0" w:afterLines="0" w:afterAutospacing="0" w:line="360" w:lineRule="auto"/>
        <w:ind w:left="0" w:leftChars="0" w:firstLine="562" w:firstLineChars="200"/>
        <w:jc w:val="both"/>
        <w:rPr>
          <w:rFonts w:hint="eastAsia" w:ascii="宋体" w:hAnsi="宋体" w:eastAsia="宋体"/>
          <w:b/>
          <w:sz w:val="28"/>
          <w:szCs w:val="24"/>
          <w:lang w:val="en-US" w:eastAsia="zh-CN"/>
        </w:rPr>
      </w:pPr>
      <w:bookmarkStart w:id="43" w:name="_Toc24104"/>
      <w:bookmarkStart w:id="44" w:name="_Toc12682"/>
      <w:bookmarkStart w:id="45" w:name="_Toc7996"/>
      <w:bookmarkStart w:id="46" w:name="_Toc4928"/>
      <w:bookmarkStart w:id="47" w:name="_Toc12901"/>
      <w:bookmarkStart w:id="48" w:name="_Toc24068"/>
      <w:bookmarkStart w:id="49" w:name="_Toc14142"/>
      <w:r>
        <w:rPr>
          <w:rFonts w:hint="eastAsia" w:hAnsi="宋体"/>
          <w:b/>
          <w:sz w:val="28"/>
          <w:szCs w:val="24"/>
          <w:lang w:val="en-US" w:eastAsia="zh-CN"/>
        </w:rPr>
        <w:t>1</w:t>
      </w:r>
      <w:r>
        <w:rPr>
          <w:rFonts w:hint="eastAsia" w:ascii="宋体" w:hAnsi="宋体" w:eastAsia="宋体"/>
          <w:b/>
          <w:sz w:val="28"/>
          <w:szCs w:val="24"/>
          <w:lang w:val="en-US" w:eastAsia="zh-CN"/>
        </w:rPr>
        <w:t>.</w:t>
      </w:r>
      <w:r>
        <w:rPr>
          <w:rFonts w:hint="eastAsia" w:hAnsi="宋体"/>
          <w:b/>
          <w:sz w:val="28"/>
          <w:szCs w:val="24"/>
          <w:lang w:val="en-US" w:eastAsia="zh-CN"/>
        </w:rPr>
        <w:t>2</w:t>
      </w:r>
      <w:r>
        <w:rPr>
          <w:rFonts w:hint="eastAsia" w:ascii="宋体" w:hAnsi="宋体" w:eastAsia="宋体"/>
          <w:b/>
          <w:sz w:val="28"/>
          <w:szCs w:val="24"/>
          <w:lang w:val="en-US" w:eastAsia="zh-CN"/>
        </w:rPr>
        <w:t>.5气象特征</w:t>
      </w:r>
      <w:bookmarkEnd w:id="41"/>
      <w:bookmarkEnd w:id="42"/>
      <w:bookmarkEnd w:id="43"/>
      <w:bookmarkEnd w:id="44"/>
      <w:bookmarkEnd w:id="45"/>
      <w:bookmarkEnd w:id="46"/>
      <w:bookmarkEnd w:id="47"/>
      <w:bookmarkEnd w:id="48"/>
      <w:bookmarkEnd w:id="49"/>
    </w:p>
    <w:p w14:paraId="7F7BD32D">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本项目沿线属于亚热带海洋性季风气候，气候温和，雨量充沛，年平均气温在21℃～22℃之间。全年最热月多为7、8月，平均气温在28℃以上；年内最冷月份为1月，月平均气温在9℃～14℃；极端最高气温在36℃～40℃之间，极端最低气温在-3℃～12℃之间。全年中4至9月为雨季，7至9月天气炎热，多台风，10月、11月和3月气温适中，12至2月为阴凉的冬季。全年水热同期，雨量充沛，无霜期超过300天。季风活动明显，冬季盛行西北偏北风，夏季西南偏南风居多，主导风向是东北偏东风。</w:t>
      </w:r>
    </w:p>
    <w:p w14:paraId="019D6B6A">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沿线降雨季节长，多年平均降水量900～2000毫米，水面蒸发量900～1600毫米，陆面蒸发量600～650毫米，地区差别较大，降水量的年内分配很不均匀，主要集中在汛期4～9月，占全年降水量的70～80%，尤以8月最多，而10月至翌年3月常有旱情出现，夏秋之间热带风暴和台风较为频繁。</w:t>
      </w:r>
    </w:p>
    <w:p w14:paraId="0A211769">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沿线气象对铁路建设、运营影响较大的气候因素主要有热带气旋（台风）、雷暴、暴雨、干旱等。每年7～9月有台风袭击或影响，平均每年台风3～4次，风力7～11级，最大12级，常带来暴雨、风暴和狂浪；其次是高温高湿强腐蚀海洋环境对结构耐久性的影响。</w:t>
      </w:r>
    </w:p>
    <w:p w14:paraId="2D4A94FD">
      <w:pPr>
        <w:pStyle w:val="56"/>
        <w:numPr>
          <w:ilvl w:val="0"/>
          <w:numId w:val="0"/>
        </w:numPr>
        <w:spacing w:line="240" w:lineRule="auto"/>
        <w:ind w:firstLine="0" w:firstLineChars="0"/>
        <w:jc w:val="both"/>
        <w:rPr>
          <w:rFonts w:hint="eastAsia" w:ascii="宋体" w:hAnsi="宋体" w:eastAsia="宋体" w:cs="Times New Roman"/>
          <w:b/>
          <w:bCs/>
          <w:color w:val="auto"/>
          <w:sz w:val="30"/>
          <w:szCs w:val="30"/>
          <w:highlight w:val="none"/>
          <w:lang w:val="en-US" w:eastAsia="zh-CN"/>
        </w:rPr>
      </w:pPr>
      <w:bookmarkStart w:id="50" w:name="_Toc24824"/>
      <w:r>
        <w:rPr>
          <w:rFonts w:hint="eastAsia" w:ascii="宋体" w:hAnsi="宋体" w:eastAsia="宋体" w:cs="Times New Roman"/>
          <w:b/>
          <w:bCs/>
          <w:color w:val="auto"/>
          <w:sz w:val="30"/>
          <w:szCs w:val="30"/>
          <w:highlight w:val="none"/>
          <w:lang w:val="en-US" w:eastAsia="zh-CN"/>
        </w:rPr>
        <w:t>2、监测依据、原则及目的</w:t>
      </w:r>
      <w:bookmarkEnd w:id="50"/>
    </w:p>
    <w:p w14:paraId="086DE3FB">
      <w:pPr>
        <w:pStyle w:val="53"/>
        <w:spacing w:before="156" w:beforeLines="50" w:after="156" w:afterLines="50"/>
        <w:rPr>
          <w:rFonts w:hint="eastAsia" w:ascii="宋体" w:hAnsi="宋体" w:eastAsia="宋体" w:cs="宋体"/>
          <w:color w:val="auto"/>
          <w:spacing w:val="10"/>
          <w:highlight w:val="none"/>
          <w:lang w:val="en-US" w:eastAsia="zh-CN"/>
        </w:rPr>
      </w:pPr>
      <w:bookmarkStart w:id="51" w:name="_Toc17007"/>
      <w:r>
        <w:rPr>
          <w:rFonts w:hint="eastAsia" w:ascii="宋体" w:hAnsi="宋体" w:eastAsia="宋体" w:cs="宋体"/>
          <w:color w:val="auto"/>
          <w:spacing w:val="10"/>
          <w:highlight w:val="none"/>
          <w:lang w:val="en-US" w:eastAsia="zh-CN"/>
        </w:rPr>
        <w:t>2.1监测依据</w:t>
      </w:r>
      <w:bookmarkEnd w:id="51"/>
    </w:p>
    <w:p w14:paraId="744972D0">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（1）《工程测量标准》(GB 50026-2020)； </w:t>
      </w:r>
    </w:p>
    <w:p w14:paraId="43CAE82E">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（2）《国家一、二等水准测量规范》(GB/T 12897-2006)； </w:t>
      </w:r>
    </w:p>
    <w:p w14:paraId="52AB9864">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（3）《国家三、四等水准测量规范》(GB 12898-2009)； </w:t>
      </w:r>
    </w:p>
    <w:p w14:paraId="4C1E8596">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（4）《建筑变形测量规范》(JGJ 8-2016)； </w:t>
      </w:r>
    </w:p>
    <w:p w14:paraId="5B2833CF">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（5）《测绘成果质量检查与验收》(GB/T24356-2009)； </w:t>
      </w:r>
    </w:p>
    <w:p w14:paraId="775B763E">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（6）《公路路基设计规范》(JTG D30-2015)； </w:t>
      </w:r>
    </w:p>
    <w:p w14:paraId="400C97E6">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（7）《公路路基施工技术规范》(JTG/T3610-2019)； </w:t>
      </w:r>
    </w:p>
    <w:p w14:paraId="0B6181C1">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（8）《公路工程地质勘察规范》(JTGC20-2011)； </w:t>
      </w:r>
    </w:p>
    <w:p w14:paraId="48414B03">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（9）《公路桥涵地基与基础设计规范》(JTG 3363—2019)； </w:t>
      </w:r>
    </w:p>
    <w:p w14:paraId="711D0CE6">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（10）《公路软土地基路堤设计与施工技术细则》(JTG/T D31-02-2013)； </w:t>
      </w:r>
    </w:p>
    <w:p w14:paraId="6DD704E0">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（11）《高速公路改扩建设计细则》(JTGT L11-2014)； </w:t>
      </w:r>
    </w:p>
    <w:p w14:paraId="20FD9873">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（12）与本项目有关的地质勘察资料、施工图设计文件、招标文件。</w:t>
      </w:r>
    </w:p>
    <w:p w14:paraId="7E7A3AF4">
      <w:pPr>
        <w:pStyle w:val="53"/>
        <w:spacing w:before="156" w:beforeLines="50" w:after="156" w:afterLines="50"/>
        <w:rPr>
          <w:rFonts w:hint="eastAsia" w:ascii="宋体" w:hAnsi="宋体" w:eastAsia="宋体" w:cs="宋体"/>
          <w:color w:val="auto"/>
          <w:spacing w:val="10"/>
          <w:highlight w:val="none"/>
          <w:lang w:val="en-US" w:eastAsia="zh-CN"/>
        </w:rPr>
      </w:pPr>
      <w:bookmarkStart w:id="52" w:name="_Toc9878"/>
      <w:r>
        <w:rPr>
          <w:rFonts w:hint="eastAsia" w:ascii="宋体" w:hAnsi="宋体" w:eastAsia="宋体" w:cs="宋体"/>
          <w:color w:val="auto"/>
          <w:spacing w:val="10"/>
          <w:highlight w:val="none"/>
          <w:lang w:val="en-US" w:eastAsia="zh-CN"/>
        </w:rPr>
        <w:t>2.2监测原则</w:t>
      </w:r>
      <w:bookmarkEnd w:id="52"/>
    </w:p>
    <w:p w14:paraId="03FE71C9">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（1）系统性原则。本监测系统为统一整体，监测数据可互相校核，确保所测数据的准确、及时。在施工过程中连续采样，保证数据的连续性。</w:t>
      </w:r>
    </w:p>
    <w:p w14:paraId="6EF6935A">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2）可靠性原则。本监测手段采用成熟的监测方法，监测仪器均通过计量标定且在有效期内。监测过程遵守“五固定”的原则：固定水准基点及工作基点，固定人员，固定测量仪器，固定监测环境条件，固定测量路线和测量方法，以提高监测数据的准确性。</w:t>
      </w:r>
    </w:p>
    <w:p w14:paraId="6956BFF0">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（3）与施工相结合原则。结合施工过程及时调整监测点，尽量避免施工作业对测量精度和及时性的影响，合理确定监测频率，做好对基准点、监测点的保护措施。</w:t>
      </w:r>
    </w:p>
    <w:p w14:paraId="0B83F8FA">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（4）重点突出原则。识别各类施工过程中对路基的影响，掌握监测重点。根据监测数据趋势和确定的风险对象，有目的地加大监测频次。</w:t>
      </w:r>
    </w:p>
    <w:p w14:paraId="1CF2783A">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（5）确保安全原则。现场监测点安装前需与相关单位协调，并做好本工程安全保障和防护。</w:t>
      </w:r>
    </w:p>
    <w:p w14:paraId="0F5DDAA5">
      <w:pPr>
        <w:pStyle w:val="53"/>
        <w:spacing w:before="156" w:beforeLines="50" w:after="156" w:afterLines="50"/>
        <w:rPr>
          <w:rFonts w:hint="eastAsia" w:ascii="宋体" w:hAnsi="宋体" w:eastAsia="宋体" w:cs="宋体"/>
          <w:color w:val="auto"/>
          <w:spacing w:val="10"/>
          <w:highlight w:val="none"/>
          <w:lang w:val="en-US" w:eastAsia="zh-CN"/>
        </w:rPr>
      </w:pPr>
      <w:bookmarkStart w:id="53" w:name="_Toc20269"/>
      <w:r>
        <w:rPr>
          <w:rFonts w:hint="eastAsia" w:ascii="宋体" w:hAnsi="宋体" w:eastAsia="宋体" w:cs="宋体"/>
          <w:color w:val="auto"/>
          <w:spacing w:val="10"/>
          <w:highlight w:val="none"/>
          <w:lang w:val="en-US" w:eastAsia="zh-CN"/>
        </w:rPr>
        <w:t>2.3监测目的</w:t>
      </w:r>
      <w:bookmarkEnd w:id="53"/>
    </w:p>
    <w:p w14:paraId="1B3B728C">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公路高边坡是一种复杂的工程,不仅表现在边坡成因、岩性、原生构造与空间组合及其已有变形方面,而且在内外地质应力,特别是公路开挖、堆渣、排水等工程活动作用下，处在不断的风化、卸荷、构造解体与复杂的活动之中。所以在高边坡防护施工中对边坡变形、应力及防护措施进行监测,对高边坡完善防护设计、保证工程安全具有十分重要的意义。通过对高边坡的监测，能够及时了解边坡在施工期和运行期的工作性态、及时提出处理方案与措施。做到信息化施工，以减少不必要的损失，保证施工期和运行期工程的安全。此外，可验证设计和边坡治理效果。</w:t>
      </w:r>
    </w:p>
    <w:p w14:paraId="5E5D4833">
      <w:pPr>
        <w:pStyle w:val="56"/>
        <w:numPr>
          <w:ilvl w:val="0"/>
          <w:numId w:val="0"/>
        </w:numPr>
        <w:spacing w:line="240" w:lineRule="auto"/>
        <w:ind w:firstLine="0" w:firstLineChars="0"/>
        <w:jc w:val="both"/>
        <w:rPr>
          <w:rFonts w:hint="eastAsia" w:ascii="宋体" w:hAnsi="宋体" w:eastAsia="宋体" w:cs="Times New Roman"/>
          <w:b/>
          <w:bCs/>
          <w:color w:val="auto"/>
          <w:sz w:val="30"/>
          <w:szCs w:val="30"/>
          <w:highlight w:val="none"/>
          <w:lang w:val="en-US" w:eastAsia="zh-CN"/>
        </w:rPr>
      </w:pPr>
      <w:bookmarkStart w:id="54" w:name="_Toc18995"/>
      <w:r>
        <w:rPr>
          <w:rFonts w:hint="eastAsia" w:ascii="宋体" w:hAnsi="宋体" w:eastAsia="宋体" w:cs="Times New Roman"/>
          <w:b/>
          <w:bCs/>
          <w:color w:val="auto"/>
          <w:sz w:val="30"/>
          <w:szCs w:val="30"/>
          <w:highlight w:val="none"/>
          <w:lang w:val="en-US" w:eastAsia="zh-CN"/>
        </w:rPr>
        <w:t>3、监测范围和内容</w:t>
      </w:r>
      <w:bookmarkEnd w:id="54"/>
    </w:p>
    <w:p w14:paraId="2BDF9863">
      <w:pPr>
        <w:pStyle w:val="53"/>
        <w:spacing w:before="156" w:beforeLines="50" w:after="156" w:afterLines="50"/>
        <w:ind w:left="0" w:leftChars="0" w:firstLine="0" w:firstLineChars="0"/>
        <w:rPr>
          <w:rFonts w:hint="eastAsia" w:ascii="宋体" w:hAnsi="宋体" w:eastAsia="宋体" w:cs="宋体"/>
          <w:color w:val="auto"/>
          <w:spacing w:val="10"/>
          <w:highlight w:val="none"/>
          <w:lang w:val="en-US" w:eastAsia="zh-CN"/>
        </w:rPr>
      </w:pPr>
      <w:bookmarkStart w:id="55" w:name="_Toc24304"/>
      <w:r>
        <w:rPr>
          <w:rFonts w:hint="eastAsia" w:ascii="宋体" w:hAnsi="宋体" w:eastAsia="宋体" w:cs="宋体"/>
          <w:color w:val="auto"/>
          <w:spacing w:val="10"/>
          <w:highlight w:val="none"/>
          <w:lang w:val="en-US" w:eastAsia="zh-CN"/>
        </w:rPr>
        <w:t>3.1监测范围</w:t>
      </w:r>
      <w:bookmarkEnd w:id="55"/>
    </w:p>
    <w:p w14:paraId="3C420F5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本项目监测工作按照确保安全、突出重点、经济合理的原则，为准确了解施工期间对路基的影响,及时发现可能存在的危险,并采取相应措施。故东山连接线（里程K4+445.88~K4+463.24左右侧）进行边坡监测。</w:t>
      </w:r>
    </w:p>
    <w:p w14:paraId="439E0653">
      <w:pPr>
        <w:pStyle w:val="53"/>
        <w:spacing w:before="156" w:beforeLines="50" w:after="156" w:afterLines="50"/>
        <w:ind w:left="0" w:leftChars="0" w:firstLine="0" w:firstLineChars="0"/>
        <w:rPr>
          <w:rFonts w:hint="eastAsia" w:ascii="宋体" w:hAnsi="宋体" w:eastAsia="宋体" w:cs="宋体"/>
          <w:color w:val="auto"/>
          <w:spacing w:val="10"/>
          <w:highlight w:val="none"/>
          <w:lang w:val="en-US" w:eastAsia="zh-CN"/>
        </w:rPr>
      </w:pPr>
      <w:bookmarkStart w:id="56" w:name="_Toc8893"/>
      <w:r>
        <w:rPr>
          <w:rFonts w:hint="eastAsia" w:ascii="宋体" w:hAnsi="宋体" w:eastAsia="宋体" w:cs="宋体"/>
          <w:color w:val="auto"/>
          <w:spacing w:val="10"/>
          <w:highlight w:val="none"/>
          <w:lang w:val="en-US" w:eastAsia="zh-CN"/>
        </w:rPr>
        <w:t>3.2监测内容</w:t>
      </w:r>
      <w:bookmarkEnd w:id="56"/>
    </w:p>
    <w:p w14:paraId="15A2AF7B">
      <w:pPr>
        <w:ind w:firstLine="480"/>
        <w:rPr>
          <w:rFonts w:hint="default" w:ascii="宋体" w:eastAsia="宋体" w:cs="Times New Roman"/>
          <w:color w:val="auto"/>
          <w:lang w:val="en-US"/>
        </w:rPr>
      </w:pPr>
      <w:r>
        <w:rPr>
          <w:rFonts w:hint="eastAsia" w:ascii="宋体" w:eastAsia="宋体" w:cs="Times New Roman"/>
          <w:color w:val="auto"/>
        </w:rPr>
        <w:t>监测内容包含：</w:t>
      </w:r>
      <w:r>
        <w:rPr>
          <w:rFonts w:hint="eastAsia" w:ascii="宋体" w:eastAsia="宋体" w:cs="Times New Roman"/>
          <w:color w:val="auto"/>
          <w:lang w:val="en-US" w:eastAsia="zh-CN"/>
        </w:rPr>
        <w:t>边坡</w:t>
      </w:r>
      <w:r>
        <w:rPr>
          <w:rFonts w:hint="eastAsia" w:ascii="宋体" w:eastAsia="宋体" w:cs="Times New Roman"/>
          <w:color w:val="auto"/>
        </w:rPr>
        <w:t>监测</w:t>
      </w:r>
      <w:r>
        <w:rPr>
          <w:rFonts w:hint="eastAsia" w:ascii="宋体" w:eastAsia="宋体" w:cs="Times New Roman"/>
          <w:color w:val="auto"/>
          <w:lang w:val="en-US" w:eastAsia="zh-CN"/>
        </w:rPr>
        <w:t>(水平位移、竖向位移)</w:t>
      </w:r>
      <w:r>
        <w:rPr>
          <w:rFonts w:hint="eastAsia" w:cs="Times New Roman"/>
          <w:color w:val="auto"/>
          <w:lang w:val="en-US" w:eastAsia="zh-CN"/>
        </w:rPr>
        <w:t>。</w:t>
      </w:r>
    </w:p>
    <w:p w14:paraId="2338959C">
      <w:pPr>
        <w:pStyle w:val="56"/>
        <w:numPr>
          <w:ilvl w:val="0"/>
          <w:numId w:val="0"/>
        </w:numPr>
        <w:spacing w:line="240" w:lineRule="auto"/>
        <w:ind w:firstLine="0" w:firstLineChars="0"/>
        <w:jc w:val="both"/>
        <w:rPr>
          <w:rFonts w:hint="eastAsia" w:ascii="宋体" w:hAnsi="宋体" w:eastAsia="宋体" w:cs="Times New Roman"/>
          <w:b/>
          <w:bCs/>
          <w:color w:val="auto"/>
          <w:sz w:val="30"/>
          <w:szCs w:val="30"/>
          <w:highlight w:val="none"/>
          <w:lang w:val="en-US" w:eastAsia="zh-CN"/>
        </w:rPr>
      </w:pPr>
      <w:bookmarkStart w:id="57" w:name="_Toc22261"/>
      <w:r>
        <w:rPr>
          <w:rFonts w:hint="eastAsia" w:ascii="宋体" w:hAnsi="宋体" w:eastAsia="宋体" w:cs="Times New Roman"/>
          <w:b/>
          <w:bCs/>
          <w:color w:val="auto"/>
          <w:sz w:val="30"/>
          <w:szCs w:val="30"/>
          <w:highlight w:val="none"/>
          <w:lang w:val="en-US" w:eastAsia="zh-CN"/>
        </w:rPr>
        <w:t>4、监测技术体系</w:t>
      </w:r>
      <w:bookmarkEnd w:id="57"/>
    </w:p>
    <w:p w14:paraId="6272F111">
      <w:pPr>
        <w:pStyle w:val="53"/>
        <w:spacing w:before="156" w:beforeLines="50" w:after="156" w:afterLines="50"/>
        <w:ind w:left="0" w:leftChars="0" w:firstLine="0" w:firstLineChars="0"/>
        <w:rPr>
          <w:rFonts w:hint="eastAsia" w:ascii="宋体" w:hAnsi="宋体" w:eastAsia="宋体" w:cs="宋体"/>
          <w:color w:val="auto"/>
          <w:spacing w:val="10"/>
          <w:highlight w:val="none"/>
          <w:lang w:val="en-US" w:eastAsia="zh-CN"/>
        </w:rPr>
      </w:pPr>
      <w:bookmarkStart w:id="58" w:name="_Toc27929"/>
      <w:bookmarkStart w:id="59" w:name="_Toc27232"/>
      <w:bookmarkStart w:id="60" w:name="_Toc34312118"/>
      <w:r>
        <w:rPr>
          <w:rFonts w:hint="eastAsia" w:ascii="宋体" w:hAnsi="宋体" w:eastAsia="宋体" w:cs="宋体"/>
          <w:color w:val="auto"/>
          <w:spacing w:val="10"/>
          <w:highlight w:val="none"/>
          <w:lang w:val="en-US" w:eastAsia="zh-CN"/>
        </w:rPr>
        <w:t>4.1监测基准网测量</w:t>
      </w:r>
      <w:bookmarkEnd w:id="58"/>
      <w:bookmarkEnd w:id="59"/>
    </w:p>
    <w:bookmarkEnd w:id="60"/>
    <w:p w14:paraId="665D8C6C">
      <w:pPr>
        <w:adjustRightInd w:val="0"/>
        <w:snapToGrid w:val="0"/>
        <w:spacing w:before="156" w:beforeLines="50" w:after="156" w:afterLines="50" w:line="240" w:lineRule="auto"/>
        <w:ind w:left="0" w:leftChars="0" w:firstLine="522" w:firstLineChars="200"/>
        <w:outlineLvl w:val="2"/>
        <w:rPr>
          <w:rFonts w:hint="eastAsia" w:ascii="宋体" w:hAnsi="宋体" w:eastAsia="宋体" w:cs="Times New Roman"/>
          <w:b/>
          <w:spacing w:val="10"/>
          <w:sz w:val="24"/>
          <w:szCs w:val="24"/>
          <w:lang w:val="en-US" w:eastAsia="zh-CN"/>
        </w:rPr>
      </w:pPr>
      <w:bookmarkStart w:id="61" w:name="_Toc26112"/>
      <w:bookmarkStart w:id="62" w:name="_Toc531873599"/>
      <w:bookmarkStart w:id="63" w:name="_Toc410402155"/>
      <w:r>
        <w:rPr>
          <w:rFonts w:hint="eastAsia" w:ascii="宋体" w:hAnsi="宋体" w:eastAsia="宋体" w:cs="Times New Roman"/>
          <w:b/>
          <w:spacing w:val="10"/>
          <w:sz w:val="24"/>
          <w:szCs w:val="24"/>
          <w:lang w:val="en-US" w:eastAsia="zh-CN"/>
        </w:rPr>
        <w:t>4.1.1沉降监测基准网测量</w:t>
      </w:r>
      <w:bookmarkEnd w:id="61"/>
    </w:p>
    <w:p w14:paraId="4DB3B04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 xml:space="preserve">由委托人提供以控制公路高程的控制基准点，根据工程的施测方案和布测原则的要求，在控制基准点加密布设观测水准点，按二等水准测量要求进行引测，每3～6个月用线路控制基准点作为基准，对设置的观测水准点校核一次，其误差应满足《工程测量标准》、《国家一、二等水准测量规范》的要求。 </w:t>
      </w:r>
    </w:p>
    <w:p w14:paraId="22E6A4B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水准基点要结合地质、地形情况，根据沉降观测点位置进行布设。水准基点是控制观测点高程的基准，要求布设在变形区以外地基稳定的地方，在使用过程中不能有变形。水准点分地面水准点和桥上水准点两种，布置位置有不同的要求，具体如下所述：</w:t>
      </w:r>
    </w:p>
    <w:p w14:paraId="3954008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 xml:space="preserve">水准点设在距坡脚线50m以外的稳定处，并保证一个测站视距不超过80m，水准点设在土质坚硬、便于长期保存和使用的地点，并埋设混凝土水准标石。标石、标志应符合有关测量规范要求，编号应统一。 </w:t>
      </w:r>
    </w:p>
    <w:p w14:paraId="44A1FB8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基准点之间形成水准路线，定期测量，相互检验基准点的稳定性。</w:t>
      </w:r>
    </w:p>
    <w:p w14:paraId="39A82C6D">
      <w:pPr>
        <w:pStyle w:val="10"/>
        <w:spacing w:line="240" w:lineRule="auto"/>
        <w:jc w:val="center"/>
        <w:rPr>
          <w:rFonts w:hint="eastAsia" w:eastAsiaTheme="minorEastAsia"/>
          <w:color w:val="auto"/>
          <w:lang w:eastAsia="zh-CN"/>
        </w:rPr>
      </w:pPr>
      <w:r>
        <w:rPr>
          <w:rFonts w:hint="eastAsia" w:eastAsiaTheme="minorEastAsia"/>
          <w:color w:val="auto"/>
          <w:lang w:eastAsia="zh-CN"/>
        </w:rPr>
        <w:drawing>
          <wp:inline distT="0" distB="0" distL="114300" distR="114300">
            <wp:extent cx="4457700" cy="1310640"/>
            <wp:effectExtent l="0" t="0" r="0" b="10160"/>
            <wp:docPr id="85" name="图片 8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图片1"/>
                    <pic:cNvPicPr>
                      <a:picLocks noChangeAspect="1"/>
                    </pic:cNvPicPr>
                  </pic:nvPicPr>
                  <pic:blipFill>
                    <a:blip r:embed="rId14"/>
                    <a:stretch>
                      <a:fillRect/>
                    </a:stretch>
                  </pic:blipFill>
                  <pic:spPr>
                    <a:xfrm>
                      <a:off x="0" y="0"/>
                      <a:ext cx="4457700" cy="1310640"/>
                    </a:xfrm>
                    <a:prstGeom prst="rect">
                      <a:avLst/>
                    </a:prstGeom>
                  </pic:spPr>
                </pic:pic>
              </a:graphicData>
            </a:graphic>
          </wp:inline>
        </w:drawing>
      </w:r>
    </w:p>
    <w:p w14:paraId="4CB15B37">
      <w:pPr>
        <w:spacing w:line="360" w:lineRule="auto"/>
        <w:ind w:firstLine="0" w:firstLineChars="0"/>
        <w:jc w:val="center"/>
        <w:rPr>
          <w:rFonts w:hint="eastAsia" w:ascii="宋体" w:hAnsi="宋体" w:eastAsia="宋体" w:cs="Times New Roman"/>
          <w:b/>
          <w:bCs/>
          <w:color w:val="auto"/>
          <w:sz w:val="21"/>
          <w:szCs w:val="21"/>
          <w:highlight w:val="none"/>
          <w:lang w:val="en-US" w:eastAsia="zh-CN"/>
        </w:rPr>
      </w:pPr>
      <w:r>
        <w:rPr>
          <w:rFonts w:hint="eastAsia" w:ascii="宋体" w:hAnsi="宋体" w:eastAsia="宋体" w:cs="Times New Roman"/>
          <w:b/>
          <w:bCs/>
          <w:color w:val="auto"/>
          <w:sz w:val="21"/>
          <w:szCs w:val="21"/>
          <w:highlight w:val="none"/>
          <w:lang w:val="en-US" w:eastAsia="zh-CN"/>
        </w:rPr>
        <w:t>图4-1工作基点检校水准线路示意图</w:t>
      </w:r>
    </w:p>
    <w:p w14:paraId="491C1A9C">
      <w:pPr>
        <w:pStyle w:val="5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沉降监测控制网观测按照《工程测量</w:t>
      </w:r>
      <w:r>
        <w:rPr>
          <w:rFonts w:hint="eastAsia" w:ascii="宋体" w:hAnsi="宋体" w:cs="宋体"/>
          <w:color w:val="auto"/>
          <w:lang w:val="en-US" w:eastAsia="zh-CN"/>
        </w:rPr>
        <w:t>标准</w:t>
      </w:r>
      <w:r>
        <w:rPr>
          <w:rFonts w:hint="eastAsia" w:ascii="宋体" w:hAnsi="宋体" w:eastAsia="宋体" w:cs="宋体"/>
          <w:color w:val="auto"/>
          <w:lang w:val="en-US" w:eastAsia="zh-CN"/>
        </w:rPr>
        <w:t>》（GB50026-20</w:t>
      </w:r>
      <w:r>
        <w:rPr>
          <w:rFonts w:hint="eastAsia" w:ascii="宋体" w:hAnsi="宋体" w:cs="宋体"/>
          <w:color w:val="auto"/>
          <w:lang w:val="en-US" w:eastAsia="zh-CN"/>
        </w:rPr>
        <w:t>20</w:t>
      </w:r>
      <w:r>
        <w:rPr>
          <w:rFonts w:hint="eastAsia" w:ascii="宋体" w:hAnsi="宋体" w:eastAsia="宋体" w:cs="宋体"/>
          <w:color w:val="auto"/>
          <w:lang w:val="en-US" w:eastAsia="zh-CN"/>
        </w:rPr>
        <w:t>）二等垂直位移监测网技术要求观测，其主要技术要求见</w:t>
      </w:r>
      <w:r>
        <w:rPr>
          <w:rFonts w:hint="eastAsia" w:ascii="宋体" w:hAnsi="宋体" w:cs="宋体"/>
          <w:color w:val="auto"/>
          <w:lang w:val="en-US" w:eastAsia="zh-CN"/>
        </w:rPr>
        <w:t>下表4-1</w:t>
      </w:r>
      <w:r>
        <w:rPr>
          <w:rFonts w:hint="eastAsia" w:ascii="宋体" w:hAnsi="宋体" w:eastAsia="宋体" w:cs="宋体"/>
          <w:color w:val="auto"/>
          <w:lang w:val="en-US" w:eastAsia="zh-CN"/>
        </w:rPr>
        <w:t>。</w:t>
      </w:r>
    </w:p>
    <w:p w14:paraId="2E58CFAD">
      <w:pPr>
        <w:pStyle w:val="5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lang w:val="en-US" w:eastAsia="zh-CN"/>
        </w:rPr>
      </w:pPr>
    </w:p>
    <w:p w14:paraId="6AC3AEB2">
      <w:pPr>
        <w:pStyle w:val="5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lang w:val="en-US" w:eastAsia="zh-CN"/>
        </w:rPr>
      </w:pPr>
    </w:p>
    <w:p w14:paraId="0C33B2A6">
      <w:pPr>
        <w:pStyle w:val="5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lang w:val="en-US" w:eastAsia="zh-CN"/>
        </w:rPr>
      </w:pPr>
    </w:p>
    <w:p w14:paraId="2B916503">
      <w:pPr>
        <w:pStyle w:val="5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lang w:val="en-US" w:eastAsia="zh-CN"/>
        </w:rPr>
      </w:pPr>
    </w:p>
    <w:p w14:paraId="2E09982B">
      <w:pPr>
        <w:pStyle w:val="5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lang w:val="en-US" w:eastAsia="zh-CN"/>
        </w:rPr>
      </w:pPr>
    </w:p>
    <w:p w14:paraId="10BD8433">
      <w:pPr>
        <w:spacing w:line="360" w:lineRule="auto"/>
        <w:ind w:firstLine="0" w:firstLineChars="0"/>
        <w:jc w:val="center"/>
        <w:rPr>
          <w:rFonts w:hint="default" w:ascii="宋体" w:hAnsi="宋体" w:eastAsia="宋体" w:cs="Times New Roman"/>
          <w:b/>
          <w:bCs/>
          <w:color w:val="auto"/>
          <w:sz w:val="21"/>
          <w:szCs w:val="21"/>
          <w:highlight w:val="none"/>
          <w:lang w:val="en-US" w:eastAsia="zh-CN"/>
        </w:rPr>
      </w:pPr>
      <w:r>
        <w:rPr>
          <w:rFonts w:hint="eastAsia" w:ascii="宋体" w:hAnsi="宋体" w:eastAsia="宋体" w:cs="Times New Roman"/>
          <w:b/>
          <w:bCs/>
          <w:color w:val="auto"/>
          <w:sz w:val="21"/>
          <w:szCs w:val="21"/>
          <w:highlight w:val="none"/>
          <w:lang w:val="en-US" w:eastAsia="zh-CN"/>
        </w:rPr>
        <w:t>表4-1沉降监测控制网主要技术要求和方法表</w:t>
      </w:r>
    </w:p>
    <w:tbl>
      <w:tblPr>
        <w:tblStyle w:val="25"/>
        <w:tblW w:w="960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54"/>
        <w:gridCol w:w="1471"/>
        <w:gridCol w:w="1399"/>
        <w:gridCol w:w="1756"/>
        <w:gridCol w:w="1593"/>
        <w:gridCol w:w="2131"/>
      </w:tblGrid>
      <w:tr w14:paraId="72E4BA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9" w:hRule="atLeast"/>
        </w:trPr>
        <w:tc>
          <w:tcPr>
            <w:tcW w:w="1254" w:type="dxa"/>
            <w:shd w:val="clear" w:color="auto" w:fill="B4C6E7" w:themeFill="accent1" w:themeFillTint="66"/>
            <w:noWrap w:val="0"/>
            <w:vAlign w:val="top"/>
          </w:tcPr>
          <w:p w14:paraId="5DB38289">
            <w:pPr>
              <w:pStyle w:val="52"/>
              <w:spacing w:line="242" w:lineRule="auto"/>
              <w:ind w:left="0" w:leftChars="0" w:right="201" w:firstLine="0" w:firstLineChars="0"/>
              <w:jc w:val="center"/>
              <w:rPr>
                <w:rFonts w:hint="eastAsia" w:ascii="宋体" w:hAnsi="宋体" w:eastAsia="宋体" w:cs="宋体"/>
                <w:color w:val="auto"/>
                <w:sz w:val="21"/>
                <w:szCs w:val="21"/>
              </w:rPr>
            </w:pPr>
          </w:p>
          <w:p w14:paraId="4206B00F">
            <w:pPr>
              <w:pStyle w:val="52"/>
              <w:spacing w:line="242" w:lineRule="auto"/>
              <w:ind w:left="0" w:leftChars="0" w:right="201"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监测等级</w:t>
            </w:r>
          </w:p>
        </w:tc>
        <w:tc>
          <w:tcPr>
            <w:tcW w:w="1471" w:type="dxa"/>
            <w:shd w:val="clear" w:color="auto" w:fill="B4C6E7" w:themeFill="accent1" w:themeFillTint="66"/>
            <w:noWrap w:val="0"/>
            <w:vAlign w:val="top"/>
          </w:tcPr>
          <w:p w14:paraId="573B5736">
            <w:pPr>
              <w:pStyle w:val="52"/>
              <w:spacing w:before="150" w:line="242" w:lineRule="auto"/>
              <w:ind w:left="0" w:leftChars="0" w:right="131"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相邻基准点高差中误差</w:t>
            </w:r>
            <w:r>
              <w:rPr>
                <w:rFonts w:hint="eastAsia" w:ascii="宋体" w:hAnsi="宋体" w:eastAsia="宋体" w:cs="宋体"/>
                <w:color w:val="auto"/>
                <w:w w:val="130"/>
                <w:sz w:val="21"/>
                <w:szCs w:val="21"/>
              </w:rPr>
              <w:t>（mm）</w:t>
            </w:r>
          </w:p>
        </w:tc>
        <w:tc>
          <w:tcPr>
            <w:tcW w:w="1399" w:type="dxa"/>
            <w:shd w:val="clear" w:color="auto" w:fill="B4C6E7" w:themeFill="accent1" w:themeFillTint="66"/>
            <w:noWrap w:val="0"/>
            <w:vAlign w:val="top"/>
          </w:tcPr>
          <w:p w14:paraId="73E8112C">
            <w:pPr>
              <w:pStyle w:val="52"/>
              <w:spacing w:line="242" w:lineRule="auto"/>
              <w:ind w:left="0" w:leftChars="0" w:right="-15" w:firstLine="0" w:firstLineChars="0"/>
              <w:jc w:val="center"/>
              <w:rPr>
                <w:rFonts w:hint="eastAsia" w:ascii="宋体" w:hAnsi="宋体" w:eastAsia="宋体" w:cs="宋体"/>
                <w:color w:val="auto"/>
                <w:spacing w:val="-1"/>
                <w:w w:val="105"/>
                <w:sz w:val="21"/>
                <w:szCs w:val="21"/>
              </w:rPr>
            </w:pPr>
          </w:p>
          <w:p w14:paraId="01DA6F73">
            <w:pPr>
              <w:pStyle w:val="52"/>
              <w:spacing w:line="242" w:lineRule="auto"/>
              <w:ind w:left="0" w:leftChars="0" w:right="-15" w:firstLine="0" w:firstLineChars="0"/>
              <w:jc w:val="center"/>
              <w:rPr>
                <w:rFonts w:hint="eastAsia" w:ascii="宋体" w:hAnsi="宋体" w:eastAsia="宋体" w:cs="宋体"/>
                <w:color w:val="auto"/>
                <w:sz w:val="21"/>
                <w:szCs w:val="21"/>
              </w:rPr>
            </w:pPr>
            <w:r>
              <w:rPr>
                <w:rFonts w:hint="eastAsia" w:ascii="宋体" w:hAnsi="宋体" w:eastAsia="宋体" w:cs="宋体"/>
                <w:color w:val="auto"/>
                <w:spacing w:val="-1"/>
                <w:w w:val="105"/>
                <w:sz w:val="21"/>
                <w:szCs w:val="21"/>
              </w:rPr>
              <w:t>每站高差中</w:t>
            </w:r>
            <w:r>
              <w:rPr>
                <w:rFonts w:hint="eastAsia" w:ascii="宋体" w:hAnsi="宋体" w:eastAsia="宋体" w:cs="宋体"/>
                <w:color w:val="auto"/>
                <w:spacing w:val="-10"/>
                <w:w w:val="110"/>
                <w:sz w:val="21"/>
                <w:szCs w:val="21"/>
              </w:rPr>
              <w:t>误差（mm）</w:t>
            </w:r>
          </w:p>
        </w:tc>
        <w:tc>
          <w:tcPr>
            <w:tcW w:w="1756" w:type="dxa"/>
            <w:shd w:val="clear" w:color="auto" w:fill="B4C6E7" w:themeFill="accent1" w:themeFillTint="66"/>
            <w:noWrap w:val="0"/>
            <w:vAlign w:val="top"/>
          </w:tcPr>
          <w:p w14:paraId="07DA2D71">
            <w:pPr>
              <w:pStyle w:val="52"/>
              <w:spacing w:before="150" w:line="242" w:lineRule="auto"/>
              <w:ind w:left="0" w:leftChars="0" w:right="55"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往返较差，附合或环线闭合差</w:t>
            </w:r>
            <w:r>
              <w:rPr>
                <w:rFonts w:hint="eastAsia" w:ascii="宋体" w:hAnsi="宋体" w:eastAsia="宋体" w:cs="宋体"/>
                <w:color w:val="auto"/>
                <w:w w:val="130"/>
                <w:sz w:val="21"/>
                <w:szCs w:val="21"/>
              </w:rPr>
              <w:t>（mm）</w:t>
            </w:r>
          </w:p>
        </w:tc>
        <w:tc>
          <w:tcPr>
            <w:tcW w:w="1593" w:type="dxa"/>
            <w:shd w:val="clear" w:color="auto" w:fill="B4C6E7" w:themeFill="accent1" w:themeFillTint="66"/>
            <w:noWrap w:val="0"/>
            <w:vAlign w:val="top"/>
          </w:tcPr>
          <w:p w14:paraId="7F61AC1D">
            <w:pPr>
              <w:pStyle w:val="52"/>
              <w:spacing w:before="150" w:line="242" w:lineRule="auto"/>
              <w:ind w:left="0" w:leftChars="0" w:right="187"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监测已测高差之较差</w:t>
            </w:r>
            <w:r>
              <w:rPr>
                <w:rFonts w:hint="eastAsia" w:ascii="宋体" w:hAnsi="宋体" w:eastAsia="宋体" w:cs="宋体"/>
                <w:color w:val="auto"/>
                <w:w w:val="130"/>
                <w:sz w:val="21"/>
                <w:szCs w:val="21"/>
              </w:rPr>
              <w:t>（mm）</w:t>
            </w:r>
          </w:p>
        </w:tc>
        <w:tc>
          <w:tcPr>
            <w:tcW w:w="2131" w:type="dxa"/>
            <w:shd w:val="clear" w:color="auto" w:fill="B4C6E7" w:themeFill="accent1" w:themeFillTint="66"/>
            <w:noWrap w:val="0"/>
            <w:vAlign w:val="top"/>
          </w:tcPr>
          <w:p w14:paraId="73D83664">
            <w:pPr>
              <w:pStyle w:val="52"/>
              <w:spacing w:line="242" w:lineRule="auto"/>
              <w:ind w:left="0" w:leftChars="0" w:right="128" w:firstLine="0" w:firstLineChars="0"/>
              <w:jc w:val="center"/>
              <w:rPr>
                <w:rFonts w:hint="eastAsia" w:ascii="宋体" w:hAnsi="宋体" w:eastAsia="宋体" w:cs="宋体"/>
                <w:color w:val="auto"/>
                <w:sz w:val="21"/>
                <w:szCs w:val="21"/>
              </w:rPr>
            </w:pPr>
          </w:p>
          <w:p w14:paraId="43CE7E1D">
            <w:pPr>
              <w:pStyle w:val="52"/>
              <w:spacing w:line="242" w:lineRule="auto"/>
              <w:ind w:left="0" w:leftChars="0" w:right="128"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观测方法及主要技术要求</w:t>
            </w:r>
          </w:p>
        </w:tc>
      </w:tr>
      <w:tr w14:paraId="0A7B40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5" w:hRule="atLeast"/>
        </w:trPr>
        <w:tc>
          <w:tcPr>
            <w:tcW w:w="1254" w:type="dxa"/>
            <w:noWrap w:val="0"/>
            <w:vAlign w:val="top"/>
          </w:tcPr>
          <w:p w14:paraId="68AA438F">
            <w:pPr>
              <w:pStyle w:val="52"/>
              <w:spacing w:before="138"/>
              <w:ind w:left="0" w:lef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w w:val="100"/>
                <w:sz w:val="21"/>
                <w:szCs w:val="21"/>
              </w:rPr>
              <w:t>Ⅱ</w:t>
            </w:r>
          </w:p>
        </w:tc>
        <w:tc>
          <w:tcPr>
            <w:tcW w:w="1471" w:type="dxa"/>
            <w:noWrap w:val="0"/>
            <w:vAlign w:val="top"/>
          </w:tcPr>
          <w:p w14:paraId="404E02E3">
            <w:pPr>
              <w:pStyle w:val="52"/>
              <w:spacing w:before="133"/>
              <w:ind w:left="0" w:leftChars="0" w:right="131" w:firstLine="0" w:firstLineChars="0"/>
              <w:jc w:val="center"/>
              <w:rPr>
                <w:rFonts w:hint="eastAsia" w:ascii="宋体" w:hAnsi="宋体" w:eastAsia="宋体" w:cs="宋体"/>
                <w:color w:val="auto"/>
                <w:sz w:val="21"/>
                <w:szCs w:val="21"/>
              </w:rPr>
            </w:pPr>
            <w:r>
              <w:rPr>
                <w:rFonts w:hint="eastAsia" w:ascii="宋体" w:hAnsi="宋体" w:eastAsia="宋体" w:cs="宋体"/>
                <w:color w:val="auto"/>
                <w:w w:val="85"/>
                <w:sz w:val="21"/>
                <w:szCs w:val="21"/>
              </w:rPr>
              <w:t>±0.5</w:t>
            </w:r>
          </w:p>
        </w:tc>
        <w:tc>
          <w:tcPr>
            <w:tcW w:w="1399" w:type="dxa"/>
            <w:noWrap w:val="0"/>
            <w:vAlign w:val="top"/>
          </w:tcPr>
          <w:p w14:paraId="4BBB5B3F">
            <w:pPr>
              <w:pStyle w:val="52"/>
              <w:spacing w:before="133"/>
              <w:ind w:left="0" w:lef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w w:val="90"/>
                <w:sz w:val="21"/>
                <w:szCs w:val="21"/>
              </w:rPr>
              <w:t>±0.15</w:t>
            </w:r>
          </w:p>
        </w:tc>
        <w:tc>
          <w:tcPr>
            <w:tcW w:w="1756" w:type="dxa"/>
            <w:noWrap w:val="0"/>
            <w:vAlign w:val="top"/>
          </w:tcPr>
          <w:p w14:paraId="531AAD59">
            <w:pPr>
              <w:pStyle w:val="52"/>
              <w:spacing w:before="136"/>
              <w:ind w:left="0" w:lef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±0.30√n</w:t>
            </w:r>
          </w:p>
        </w:tc>
        <w:tc>
          <w:tcPr>
            <w:tcW w:w="1593" w:type="dxa"/>
            <w:noWrap w:val="0"/>
            <w:vAlign w:val="top"/>
          </w:tcPr>
          <w:p w14:paraId="68A4824B">
            <w:pPr>
              <w:pStyle w:val="52"/>
              <w:spacing w:before="136"/>
              <w:ind w:left="0" w:lef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±0.4√n</w:t>
            </w:r>
          </w:p>
        </w:tc>
        <w:tc>
          <w:tcPr>
            <w:tcW w:w="2131" w:type="dxa"/>
            <w:noWrap w:val="0"/>
            <w:vAlign w:val="top"/>
          </w:tcPr>
          <w:p w14:paraId="5B33C9CC">
            <w:pPr>
              <w:pStyle w:val="52"/>
              <w:spacing w:before="1"/>
              <w:ind w:left="0" w:leftChars="0" w:right="111"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按国家二等水准测量技术要求作业</w:t>
            </w:r>
          </w:p>
        </w:tc>
      </w:tr>
    </w:tbl>
    <w:p w14:paraId="32A9A4F4">
      <w:pPr>
        <w:pStyle w:val="5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观测采用闭合水准路线或附合水准路线进行往返观测，取两次观测高差中数进行平差。观测顺序:奇数站为后、前、前、后;偶数站为前、后、后、前。</w:t>
      </w:r>
    </w:p>
    <w:p w14:paraId="46AB9C50">
      <w:pPr>
        <w:adjustRightInd w:val="0"/>
        <w:snapToGrid w:val="0"/>
        <w:spacing w:before="156" w:beforeLines="50" w:after="156" w:afterLines="50" w:line="240" w:lineRule="auto"/>
        <w:ind w:left="0" w:leftChars="0" w:firstLine="522" w:firstLineChars="200"/>
        <w:outlineLvl w:val="2"/>
        <w:rPr>
          <w:rFonts w:hint="eastAsia" w:ascii="宋体" w:hAnsi="宋体" w:eastAsia="宋体" w:cs="Times New Roman"/>
          <w:b/>
          <w:spacing w:val="10"/>
          <w:sz w:val="24"/>
          <w:szCs w:val="24"/>
          <w:lang w:val="en-US" w:eastAsia="zh-CN"/>
        </w:rPr>
      </w:pPr>
      <w:bookmarkStart w:id="64" w:name="_Toc21349"/>
      <w:r>
        <w:rPr>
          <w:rFonts w:hint="eastAsia" w:ascii="宋体" w:hAnsi="宋体" w:eastAsia="宋体" w:cs="Times New Roman"/>
          <w:b/>
          <w:spacing w:val="10"/>
          <w:sz w:val="24"/>
          <w:szCs w:val="24"/>
          <w:lang w:val="en-US" w:eastAsia="zh-CN"/>
        </w:rPr>
        <w:t>4.1.2水平位移监测基准网测量</w:t>
      </w:r>
      <w:bookmarkEnd w:id="62"/>
      <w:bookmarkEnd w:id="63"/>
      <w:bookmarkEnd w:id="64"/>
    </w:p>
    <w:p w14:paraId="25C29980">
      <w:pPr>
        <w:pStyle w:val="5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lang w:val="en-US" w:eastAsia="zh-CN"/>
        </w:rPr>
      </w:pPr>
      <w:r>
        <w:rPr>
          <w:rFonts w:hint="eastAsia" w:ascii="宋体" w:hAnsi="宋体" w:cs="宋体"/>
          <w:color w:val="auto"/>
          <w:lang w:val="en-US" w:eastAsia="zh-CN"/>
        </w:rPr>
        <w:t>1、</w:t>
      </w:r>
      <w:r>
        <w:rPr>
          <w:rFonts w:hint="eastAsia" w:ascii="宋体" w:hAnsi="宋体" w:eastAsia="宋体" w:cs="宋体"/>
          <w:color w:val="auto"/>
          <w:lang w:val="en-US" w:eastAsia="zh-CN"/>
        </w:rPr>
        <w:t>水平位移基准点布设原则</w:t>
      </w:r>
    </w:p>
    <w:p w14:paraId="44F35899">
      <w:pPr>
        <w:pStyle w:val="5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水平位移监测基准点建立，以施工平面坐标系统为基准，在远离基坑、道路施工影响区域的稳固位置布设。</w:t>
      </w:r>
    </w:p>
    <w:p w14:paraId="6116C0C2">
      <w:pPr>
        <w:pStyle w:val="5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lang w:val="en-US" w:eastAsia="zh-CN"/>
        </w:rPr>
      </w:pPr>
      <w:r>
        <w:rPr>
          <w:rFonts w:hint="eastAsia" w:ascii="宋体" w:hAnsi="宋体" w:cs="宋体"/>
          <w:color w:val="auto"/>
          <w:lang w:val="en-US" w:eastAsia="zh-CN"/>
        </w:rPr>
        <w:t>2、</w:t>
      </w:r>
      <w:r>
        <w:rPr>
          <w:rFonts w:hint="eastAsia" w:ascii="宋体" w:hAnsi="宋体" w:eastAsia="宋体" w:cs="宋体"/>
          <w:color w:val="auto"/>
          <w:lang w:val="en-US" w:eastAsia="zh-CN"/>
        </w:rPr>
        <w:t>水平位移监测基准点布设</w:t>
      </w:r>
    </w:p>
    <w:p w14:paraId="73AC6338">
      <w:pPr>
        <w:pStyle w:val="5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根据施工现场及周边情况，在施工影响范围以外的稳定区域埋设水平位移基准点。</w:t>
      </w:r>
    </w:p>
    <w:p w14:paraId="3D6C51B7">
      <w:pPr>
        <w:pStyle w:val="5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水平位移监测基准点的数量不少于3个，使用时做稳定性检验。下列地点不应设置基准点：</w:t>
      </w:r>
    </w:p>
    <w:p w14:paraId="3D4276D3">
      <w:pPr>
        <w:pStyle w:val="5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（1）易受水淹、潮湿或地下水位较高的地点；</w:t>
      </w:r>
    </w:p>
    <w:p w14:paraId="28A1BB83">
      <w:pPr>
        <w:pStyle w:val="5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（2）土堆、河堤土质松软与地下水变化较大的地点；</w:t>
      </w:r>
    </w:p>
    <w:p w14:paraId="39920A40">
      <w:pPr>
        <w:pStyle w:val="5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（3）距</w:t>
      </w:r>
      <w:r>
        <w:rPr>
          <w:rFonts w:hint="eastAsia" w:ascii="宋体" w:hAnsi="宋体" w:cs="宋体"/>
          <w:color w:val="auto"/>
          <w:lang w:val="en-US" w:eastAsia="zh-CN"/>
        </w:rPr>
        <w:t>施工区域外5</w:t>
      </w:r>
      <w:r>
        <w:rPr>
          <w:rFonts w:hint="eastAsia" w:ascii="宋体" w:hAnsi="宋体" w:eastAsia="宋体" w:cs="宋体"/>
          <w:color w:val="auto"/>
          <w:lang w:val="en-US" w:eastAsia="zh-CN"/>
        </w:rPr>
        <w:t>0m（特殊情况可酌情处理）以内或其它受剧烈振动的地点；</w:t>
      </w:r>
    </w:p>
    <w:p w14:paraId="46839EB8">
      <w:pPr>
        <w:pStyle w:val="5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（4）短期内将因新建项目而可能毁坏标石或阻碍观测的地点；</w:t>
      </w:r>
    </w:p>
    <w:p w14:paraId="2E2B44C3">
      <w:pPr>
        <w:pStyle w:val="5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（5）地形隐蔽不便观测的地点。</w:t>
      </w:r>
    </w:p>
    <w:p w14:paraId="3D8E18F9">
      <w:pPr>
        <w:pStyle w:val="5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lang w:val="en-US" w:eastAsia="zh-CN"/>
        </w:rPr>
      </w:pPr>
      <w:r>
        <w:rPr>
          <w:rFonts w:hint="eastAsia" w:ascii="宋体" w:hAnsi="宋体" w:cs="宋体"/>
          <w:color w:val="auto"/>
          <w:lang w:val="en-US" w:eastAsia="zh-CN"/>
        </w:rPr>
        <w:t>3、</w:t>
      </w:r>
      <w:r>
        <w:rPr>
          <w:rFonts w:hint="eastAsia" w:ascii="宋体" w:hAnsi="宋体" w:eastAsia="宋体" w:cs="宋体"/>
          <w:color w:val="auto"/>
          <w:lang w:val="en-US" w:eastAsia="zh-CN"/>
        </w:rPr>
        <w:t>水平位移监测工作基点布设</w:t>
      </w:r>
    </w:p>
    <w:p w14:paraId="27C70919">
      <w:pPr>
        <w:pStyle w:val="5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工作基点选择合适位置用稳固钢架或者钢筋混凝土浇墩台，墩台顶部埋设强制对中器。</w:t>
      </w:r>
    </w:p>
    <w:p w14:paraId="6589CD4E">
      <w:pPr>
        <w:rPr>
          <w:rFonts w:hint="eastAsia" w:ascii="宋体" w:hAnsi="宋体" w:eastAsia="宋体" w:cs="宋体"/>
          <w:color w:val="auto"/>
          <w:lang w:val="en-US" w:eastAsia="zh-CN"/>
        </w:rPr>
      </w:pPr>
      <w:r>
        <w:rPr>
          <w:rFonts w:hint="eastAsia" w:ascii="宋体" w:hAnsi="宋体" w:eastAsia="宋体" w:cs="宋体"/>
          <w:color w:val="auto"/>
          <w:lang w:val="en-US" w:eastAsia="zh-CN"/>
        </w:rPr>
        <w:br w:type="page"/>
      </w:r>
    </w:p>
    <w:p w14:paraId="0356D0CB">
      <w:pPr>
        <w:pStyle w:val="5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lang w:val="en-US" w:eastAsia="zh-CN"/>
        </w:rPr>
      </w:pPr>
    </w:p>
    <w:p w14:paraId="50D1A38F">
      <w:pPr>
        <w:pStyle w:val="54"/>
        <w:ind w:firstLine="480"/>
        <w:rPr>
          <w:rFonts w:hint="eastAsia"/>
          <w:color w:val="auto"/>
        </w:rPr>
      </w:pPr>
      <w:r>
        <w:rPr>
          <w:rFonts w:hint="eastAsia"/>
          <w:color w:val="auto"/>
        </w:rPr>
        <w:drawing>
          <wp:anchor distT="0" distB="0" distL="114300" distR="114300" simplePos="0" relativeHeight="251664384" behindDoc="1" locked="0" layoutInCell="1" allowOverlap="1">
            <wp:simplePos x="0" y="0"/>
            <wp:positionH relativeFrom="column">
              <wp:posOffset>2790825</wp:posOffset>
            </wp:positionH>
            <wp:positionV relativeFrom="paragraph">
              <wp:posOffset>52070</wp:posOffset>
            </wp:positionV>
            <wp:extent cx="2807970" cy="2164080"/>
            <wp:effectExtent l="0" t="0" r="11430" b="7620"/>
            <wp:wrapNone/>
            <wp:docPr id="8" name="图片 8" descr="IMG_20210316_170756"/>
            <wp:cNvGraphicFramePr/>
            <a:graphic xmlns:a="http://schemas.openxmlformats.org/drawingml/2006/main">
              <a:graphicData uri="http://schemas.openxmlformats.org/drawingml/2006/picture">
                <pic:pic xmlns:pic="http://schemas.openxmlformats.org/drawingml/2006/picture">
                  <pic:nvPicPr>
                    <pic:cNvPr id="8" name="图片 8" descr="IMG_20210316_170756"/>
                    <pic:cNvPicPr/>
                  </pic:nvPicPr>
                  <pic:blipFill>
                    <a:blip r:embed="rId15"/>
                    <a:stretch>
                      <a:fillRect/>
                    </a:stretch>
                  </pic:blipFill>
                  <pic:spPr>
                    <a:xfrm>
                      <a:off x="0" y="0"/>
                      <a:ext cx="2807970" cy="2164080"/>
                    </a:xfrm>
                    <a:prstGeom prst="rect">
                      <a:avLst/>
                    </a:prstGeom>
                  </pic:spPr>
                </pic:pic>
              </a:graphicData>
            </a:graphic>
          </wp:anchor>
        </w:drawing>
      </w:r>
      <w:r>
        <w:rPr>
          <w:rFonts w:hint="eastAsia"/>
          <w:color w:val="auto"/>
        </w:rPr>
        <w:drawing>
          <wp:anchor distT="0" distB="0" distL="114300" distR="114300" simplePos="0" relativeHeight="251664384" behindDoc="1" locked="0" layoutInCell="1" allowOverlap="1">
            <wp:simplePos x="0" y="0"/>
            <wp:positionH relativeFrom="column">
              <wp:posOffset>-76200</wp:posOffset>
            </wp:positionH>
            <wp:positionV relativeFrom="paragraph">
              <wp:posOffset>52070</wp:posOffset>
            </wp:positionV>
            <wp:extent cx="2844165" cy="2133600"/>
            <wp:effectExtent l="0" t="0" r="635" b="0"/>
            <wp:wrapNone/>
            <wp:docPr id="1" name="图片 1" descr="T]SJRYH4R1FCGHGEXQZCVR2"/>
            <wp:cNvGraphicFramePr/>
            <a:graphic xmlns:a="http://schemas.openxmlformats.org/drawingml/2006/main">
              <a:graphicData uri="http://schemas.openxmlformats.org/drawingml/2006/picture">
                <pic:pic xmlns:pic="http://schemas.openxmlformats.org/drawingml/2006/picture">
                  <pic:nvPicPr>
                    <pic:cNvPr id="1" name="图片 1" descr="T]SJRYH4R1FCGHGEXQZCVR2"/>
                    <pic:cNvPicPr/>
                  </pic:nvPicPr>
                  <pic:blipFill>
                    <a:blip r:embed="rId16"/>
                    <a:stretch>
                      <a:fillRect/>
                    </a:stretch>
                  </pic:blipFill>
                  <pic:spPr>
                    <a:xfrm>
                      <a:off x="0" y="0"/>
                      <a:ext cx="2844165" cy="2133600"/>
                    </a:xfrm>
                    <a:prstGeom prst="rect">
                      <a:avLst/>
                    </a:prstGeom>
                  </pic:spPr>
                </pic:pic>
              </a:graphicData>
            </a:graphic>
          </wp:anchor>
        </w:drawing>
      </w:r>
    </w:p>
    <w:p w14:paraId="799F38B6">
      <w:pPr>
        <w:pStyle w:val="54"/>
        <w:ind w:firstLine="480"/>
        <w:rPr>
          <w:rFonts w:hint="eastAsia"/>
          <w:color w:val="auto"/>
        </w:rPr>
      </w:pPr>
    </w:p>
    <w:p w14:paraId="149DB357">
      <w:pPr>
        <w:pStyle w:val="54"/>
        <w:ind w:firstLine="480"/>
        <w:rPr>
          <w:rFonts w:hint="eastAsia"/>
          <w:color w:val="auto"/>
        </w:rPr>
      </w:pPr>
    </w:p>
    <w:p w14:paraId="46867AF7">
      <w:pPr>
        <w:pStyle w:val="54"/>
        <w:ind w:firstLine="480"/>
        <w:rPr>
          <w:rFonts w:hint="eastAsia"/>
          <w:color w:val="auto"/>
        </w:rPr>
      </w:pPr>
    </w:p>
    <w:p w14:paraId="1DFCFDF9">
      <w:pPr>
        <w:pStyle w:val="54"/>
        <w:ind w:left="0" w:leftChars="0" w:firstLine="0" w:firstLineChars="0"/>
        <w:rPr>
          <w:rFonts w:hint="eastAsia"/>
          <w:color w:val="auto"/>
        </w:rPr>
      </w:pPr>
    </w:p>
    <w:p w14:paraId="54AE3DE2">
      <w:pPr>
        <w:spacing w:line="360" w:lineRule="auto"/>
        <w:ind w:firstLine="0" w:firstLineChars="0"/>
        <w:jc w:val="center"/>
        <w:rPr>
          <w:rFonts w:hint="eastAsia" w:ascii="宋体" w:hAnsi="宋体" w:eastAsia="宋体" w:cs="Times New Roman"/>
          <w:b w:val="0"/>
          <w:bCs w:val="0"/>
          <w:color w:val="auto"/>
          <w:sz w:val="24"/>
          <w:szCs w:val="24"/>
          <w:highlight w:val="none"/>
          <w:lang w:val="en-US" w:eastAsia="zh-CN"/>
        </w:rPr>
      </w:pPr>
    </w:p>
    <w:p w14:paraId="4EF94FA6">
      <w:pPr>
        <w:spacing w:line="360" w:lineRule="auto"/>
        <w:ind w:firstLine="0" w:firstLineChars="0"/>
        <w:jc w:val="center"/>
        <w:rPr>
          <w:rFonts w:hint="eastAsia" w:ascii="宋体" w:hAnsi="宋体" w:eastAsia="宋体" w:cs="Times New Roman"/>
          <w:b w:val="0"/>
          <w:bCs w:val="0"/>
          <w:color w:val="auto"/>
          <w:sz w:val="24"/>
          <w:szCs w:val="24"/>
          <w:highlight w:val="none"/>
          <w:lang w:val="en-US" w:eastAsia="zh-CN"/>
        </w:rPr>
      </w:pPr>
    </w:p>
    <w:p w14:paraId="6DD944F7">
      <w:pPr>
        <w:spacing w:line="360" w:lineRule="auto"/>
        <w:ind w:firstLine="0" w:firstLineChars="0"/>
        <w:jc w:val="center"/>
        <w:rPr>
          <w:rFonts w:hint="eastAsia" w:ascii="宋体" w:hAnsi="宋体" w:eastAsia="宋体" w:cs="Times New Roman"/>
          <w:b w:val="0"/>
          <w:bCs w:val="0"/>
          <w:color w:val="auto"/>
          <w:sz w:val="24"/>
          <w:szCs w:val="24"/>
          <w:highlight w:val="none"/>
          <w:lang w:val="en-US" w:eastAsia="zh-CN"/>
        </w:rPr>
      </w:pPr>
    </w:p>
    <w:p w14:paraId="15EB4ADC">
      <w:pPr>
        <w:jc w:val="center"/>
        <w:rPr>
          <w:rFonts w:hint="eastAsia" w:ascii="宋体" w:hAnsi="宋体" w:eastAsia="宋体" w:cs="Times New Roman"/>
          <w:b/>
          <w:bCs/>
          <w:color w:val="auto"/>
          <w:sz w:val="21"/>
          <w:szCs w:val="21"/>
          <w:highlight w:val="none"/>
          <w:lang w:val="en-US" w:eastAsia="zh-CN"/>
        </w:rPr>
      </w:pPr>
      <w:r>
        <w:rPr>
          <w:rFonts w:hint="eastAsia" w:ascii="宋体" w:hAnsi="宋体" w:eastAsia="宋体" w:cs="Times New Roman"/>
          <w:b/>
          <w:bCs/>
          <w:color w:val="auto"/>
          <w:sz w:val="21"/>
          <w:szCs w:val="21"/>
          <w:highlight w:val="none"/>
          <w:lang w:val="en-US" w:eastAsia="zh-CN"/>
        </w:rPr>
        <w:t>图4-2水平位移监测工作基点实景图</w:t>
      </w:r>
    </w:p>
    <w:p w14:paraId="78D5BB1F">
      <w:pPr>
        <w:pStyle w:val="5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lang w:val="en-US" w:eastAsia="zh-CN"/>
        </w:rPr>
      </w:pPr>
      <w:r>
        <w:rPr>
          <w:rFonts w:hint="eastAsia" w:ascii="宋体" w:hAnsi="宋体" w:cs="宋体"/>
          <w:color w:val="auto"/>
          <w:lang w:val="en-US" w:eastAsia="zh-CN"/>
        </w:rPr>
        <w:t>4、</w:t>
      </w:r>
      <w:r>
        <w:rPr>
          <w:rFonts w:hint="eastAsia" w:ascii="宋体" w:hAnsi="宋体" w:eastAsia="宋体" w:cs="宋体"/>
          <w:color w:val="auto"/>
          <w:lang w:val="en-US" w:eastAsia="zh-CN"/>
        </w:rPr>
        <w:t>水平位移监测基准点测量方法</w:t>
      </w:r>
    </w:p>
    <w:p w14:paraId="27642280">
      <w:pPr>
        <w:pStyle w:val="5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（1）测量仪器设备</w:t>
      </w:r>
    </w:p>
    <w:p w14:paraId="5D6B8078">
      <w:pPr>
        <w:pStyle w:val="5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水平位移监测基准网测量拟采用具有自动记录功能的高精度自动化全站仪进行外业数据采集，仪器型号及主要技术指标如</w:t>
      </w:r>
      <w:r>
        <w:rPr>
          <w:rFonts w:hint="eastAsia" w:ascii="宋体" w:hAnsi="宋体" w:cs="宋体"/>
          <w:color w:val="auto"/>
          <w:lang w:val="en-US" w:eastAsia="zh-CN"/>
        </w:rPr>
        <w:t>下</w:t>
      </w:r>
      <w:r>
        <w:rPr>
          <w:rFonts w:hint="eastAsia" w:ascii="宋体" w:hAnsi="宋体" w:eastAsia="宋体" w:cs="宋体"/>
          <w:color w:val="auto"/>
          <w:lang w:val="en-US" w:eastAsia="zh-CN"/>
        </w:rPr>
        <w:t>表</w:t>
      </w:r>
      <w:r>
        <w:rPr>
          <w:rFonts w:hint="eastAsia" w:ascii="宋体" w:hAnsi="宋体" w:cs="宋体"/>
          <w:color w:val="auto"/>
          <w:lang w:val="en-US" w:eastAsia="zh-CN"/>
        </w:rPr>
        <w:t>4-2、4-3</w:t>
      </w:r>
      <w:r>
        <w:rPr>
          <w:rFonts w:hint="eastAsia" w:ascii="宋体" w:hAnsi="宋体" w:eastAsia="宋体" w:cs="宋体"/>
          <w:color w:val="auto"/>
          <w:lang w:val="en-US" w:eastAsia="zh-CN"/>
        </w:rPr>
        <w:t>所示。</w:t>
      </w:r>
    </w:p>
    <w:p w14:paraId="1D46A63D">
      <w:pPr>
        <w:jc w:val="center"/>
        <w:rPr>
          <w:rFonts w:hint="default" w:ascii="宋体" w:hAnsi="宋体" w:eastAsia="宋体" w:cs="Times New Roman"/>
          <w:b/>
          <w:bCs/>
          <w:color w:val="auto"/>
          <w:sz w:val="21"/>
          <w:szCs w:val="21"/>
          <w:highlight w:val="none"/>
          <w:lang w:val="en-US" w:eastAsia="zh-CN"/>
        </w:rPr>
      </w:pPr>
      <w:r>
        <w:rPr>
          <w:rFonts w:hint="eastAsia" w:ascii="宋体" w:hAnsi="宋体" w:eastAsia="宋体" w:cs="Times New Roman"/>
          <w:b/>
          <w:bCs/>
          <w:color w:val="auto"/>
          <w:sz w:val="21"/>
          <w:szCs w:val="21"/>
          <w:highlight w:val="none"/>
          <w:lang w:val="en-US" w:eastAsia="zh-CN"/>
        </w:rPr>
        <w:t>表4-2观测仪器及主要技术指标表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1948"/>
        <w:gridCol w:w="3516"/>
        <w:gridCol w:w="2831"/>
      </w:tblGrid>
      <w:tr w14:paraId="599C1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pct"/>
            <w:shd w:val="clear" w:color="auto" w:fill="FFFFFF" w:themeFill="background1"/>
            <w:vAlign w:val="center"/>
          </w:tcPr>
          <w:p w14:paraId="60751482">
            <w:pPr>
              <w:pStyle w:val="41"/>
              <w:rPr>
                <w:rFonts w:hint="eastAsia" w:ascii="宋体" w:hAnsi="宋体" w:eastAsia="宋体" w:cs="宋体"/>
                <w:color w:val="auto"/>
              </w:rPr>
            </w:pPr>
            <w:r>
              <w:rPr>
                <w:rFonts w:hint="eastAsia" w:ascii="宋体" w:hAnsi="宋体" w:eastAsia="宋体" w:cs="宋体"/>
                <w:color w:val="auto"/>
              </w:rPr>
              <w:t>序号</w:t>
            </w:r>
          </w:p>
        </w:tc>
        <w:tc>
          <w:tcPr>
            <w:tcW w:w="1049" w:type="pct"/>
            <w:shd w:val="clear" w:color="auto" w:fill="FFFFFF" w:themeFill="background1"/>
            <w:vAlign w:val="center"/>
          </w:tcPr>
          <w:p w14:paraId="02663467">
            <w:pPr>
              <w:pStyle w:val="41"/>
              <w:rPr>
                <w:rFonts w:hint="eastAsia" w:ascii="宋体" w:hAnsi="宋体" w:eastAsia="宋体" w:cs="宋体"/>
                <w:color w:val="auto"/>
              </w:rPr>
            </w:pPr>
            <w:r>
              <w:rPr>
                <w:rFonts w:hint="eastAsia" w:ascii="宋体" w:hAnsi="宋体" w:eastAsia="宋体" w:cs="宋体"/>
                <w:color w:val="auto"/>
              </w:rPr>
              <w:t>仪器名称及型号</w:t>
            </w:r>
          </w:p>
        </w:tc>
        <w:tc>
          <w:tcPr>
            <w:tcW w:w="1893" w:type="pct"/>
            <w:shd w:val="clear" w:color="auto" w:fill="FFFFFF" w:themeFill="background1"/>
            <w:vAlign w:val="center"/>
          </w:tcPr>
          <w:p w14:paraId="2B50E5D2">
            <w:pPr>
              <w:pStyle w:val="41"/>
              <w:rPr>
                <w:color w:val="auto"/>
              </w:rPr>
            </w:pPr>
            <w:r>
              <w:rPr>
                <w:rFonts w:hint="eastAsia"/>
                <w:color w:val="auto"/>
              </w:rPr>
              <w:t>仪器照片</w:t>
            </w:r>
          </w:p>
        </w:tc>
        <w:tc>
          <w:tcPr>
            <w:tcW w:w="1524" w:type="pct"/>
            <w:shd w:val="clear" w:color="auto" w:fill="FFFFFF" w:themeFill="background1"/>
            <w:vAlign w:val="center"/>
          </w:tcPr>
          <w:p w14:paraId="64C5B2F7">
            <w:pPr>
              <w:pStyle w:val="41"/>
              <w:rPr>
                <w:rFonts w:hint="eastAsia" w:ascii="宋体" w:hAnsi="宋体" w:eastAsia="宋体" w:cs="宋体"/>
                <w:color w:val="auto"/>
              </w:rPr>
            </w:pPr>
            <w:r>
              <w:rPr>
                <w:rFonts w:hint="eastAsia" w:ascii="宋体" w:hAnsi="宋体" w:eastAsia="宋体" w:cs="宋体"/>
                <w:color w:val="auto"/>
              </w:rPr>
              <w:t>主要技术指标</w:t>
            </w:r>
          </w:p>
        </w:tc>
      </w:tr>
      <w:tr w14:paraId="1ED56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6" w:hRule="atLeast"/>
          <w:jc w:val="center"/>
        </w:trPr>
        <w:tc>
          <w:tcPr>
            <w:tcW w:w="534" w:type="pct"/>
            <w:vAlign w:val="center"/>
          </w:tcPr>
          <w:p w14:paraId="72FD5C43">
            <w:pPr>
              <w:pStyle w:val="41"/>
              <w:rPr>
                <w:rFonts w:hint="eastAsia" w:ascii="宋体" w:hAnsi="宋体" w:eastAsia="宋体" w:cs="宋体"/>
                <w:color w:val="auto"/>
              </w:rPr>
            </w:pPr>
            <w:r>
              <w:rPr>
                <w:rFonts w:hint="eastAsia" w:ascii="宋体" w:hAnsi="宋体" w:eastAsia="宋体" w:cs="宋体"/>
                <w:color w:val="auto"/>
              </w:rPr>
              <w:t>1</w:t>
            </w:r>
          </w:p>
        </w:tc>
        <w:tc>
          <w:tcPr>
            <w:tcW w:w="1049" w:type="pct"/>
            <w:vAlign w:val="center"/>
          </w:tcPr>
          <w:p w14:paraId="69B30973">
            <w:pPr>
              <w:pStyle w:val="41"/>
              <w:rPr>
                <w:rFonts w:hint="eastAsia" w:ascii="宋体" w:hAnsi="宋体" w:eastAsia="宋体" w:cs="宋体"/>
                <w:color w:val="auto"/>
              </w:rPr>
            </w:pPr>
            <w:r>
              <w:rPr>
                <w:rFonts w:hint="eastAsia" w:ascii="宋体" w:hAnsi="宋体" w:eastAsia="宋体" w:cs="宋体"/>
                <w:color w:val="auto"/>
                <w:lang w:eastAsia="zh-CN"/>
              </w:rPr>
              <w:t>自动化</w:t>
            </w:r>
            <w:r>
              <w:rPr>
                <w:rFonts w:hint="eastAsia" w:ascii="宋体" w:hAnsi="宋体" w:eastAsia="宋体" w:cs="宋体"/>
                <w:color w:val="auto"/>
              </w:rPr>
              <w:t>全站仪</w:t>
            </w:r>
            <w:r>
              <w:rPr>
                <w:rFonts w:hint="eastAsia" w:ascii="宋体" w:hAnsi="宋体" w:eastAsia="宋体" w:cs="宋体"/>
                <w:color w:val="auto"/>
                <w:lang w:eastAsia="zh-CN"/>
              </w:rPr>
              <w:t>TS</w:t>
            </w:r>
            <w:r>
              <w:rPr>
                <w:rFonts w:hint="eastAsia" w:ascii="宋体" w:hAnsi="宋体" w:eastAsia="宋体" w:cs="宋体"/>
                <w:color w:val="auto"/>
                <w:lang w:val="en-US" w:eastAsia="zh-CN"/>
              </w:rPr>
              <w:t>60</w:t>
            </w:r>
          </w:p>
        </w:tc>
        <w:tc>
          <w:tcPr>
            <w:tcW w:w="1893" w:type="pct"/>
            <w:vAlign w:val="center"/>
          </w:tcPr>
          <w:p w14:paraId="44202E96">
            <w:pPr>
              <w:pStyle w:val="41"/>
              <w:rPr>
                <w:color w:val="auto"/>
              </w:rPr>
            </w:pPr>
            <w:r>
              <w:rPr>
                <w:color w:val="auto"/>
              </w:rPr>
              <w:drawing>
                <wp:inline distT="0" distB="0" distL="0" distR="0">
                  <wp:extent cx="1385570" cy="1752600"/>
                  <wp:effectExtent l="0" t="0" r="11430" b="0"/>
                  <wp:docPr id="32"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4"/>
                          <pic:cNvPicPr>
                            <a:picLocks noChangeAspect="1" noChangeArrowheads="1"/>
                          </pic:cNvPicPr>
                        </pic:nvPicPr>
                        <pic:blipFill>
                          <a:blip r:embed="rId17" cstate="print"/>
                          <a:srcRect/>
                          <a:stretch>
                            <a:fillRect/>
                          </a:stretch>
                        </pic:blipFill>
                        <pic:spPr>
                          <a:xfrm>
                            <a:off x="0" y="0"/>
                            <a:ext cx="1385570" cy="1775914"/>
                          </a:xfrm>
                          <a:prstGeom prst="rect">
                            <a:avLst/>
                          </a:prstGeom>
                          <a:noFill/>
                          <a:ln w="9525">
                            <a:noFill/>
                            <a:miter lim="800000"/>
                            <a:headEnd/>
                            <a:tailEnd/>
                          </a:ln>
                        </pic:spPr>
                      </pic:pic>
                    </a:graphicData>
                  </a:graphic>
                </wp:inline>
              </w:drawing>
            </w:r>
          </w:p>
        </w:tc>
        <w:tc>
          <w:tcPr>
            <w:tcW w:w="1524" w:type="pct"/>
            <w:vAlign w:val="center"/>
          </w:tcPr>
          <w:p w14:paraId="182AC18F">
            <w:pPr>
              <w:pStyle w:val="41"/>
              <w:rPr>
                <w:rFonts w:hint="eastAsia" w:ascii="宋体" w:hAnsi="宋体" w:eastAsia="宋体" w:cs="宋体"/>
                <w:color w:val="auto"/>
              </w:rPr>
            </w:pPr>
            <w:r>
              <w:rPr>
                <w:rFonts w:hint="eastAsia" w:ascii="宋体" w:hAnsi="宋体" w:eastAsia="宋体" w:cs="宋体"/>
                <w:color w:val="auto"/>
                <w:szCs w:val="21"/>
                <w:lang w:val="en-US" w:eastAsia="zh-CN"/>
              </w:rPr>
              <w:t>0.5</w:t>
            </w:r>
            <w:r>
              <w:rPr>
                <w:rFonts w:hint="eastAsia" w:ascii="宋体" w:hAnsi="宋体" w:eastAsia="宋体" w:cs="宋体"/>
                <w:color w:val="auto"/>
                <w:szCs w:val="21"/>
              </w:rPr>
              <w:t>＂</w:t>
            </w:r>
            <w:r>
              <w:rPr>
                <w:rFonts w:hint="eastAsia" w:ascii="宋体" w:hAnsi="宋体" w:eastAsia="宋体" w:cs="宋体"/>
                <w:color w:val="auto"/>
                <w:szCs w:val="21"/>
                <w:lang w:val="en-US" w:eastAsia="zh-CN"/>
              </w:rPr>
              <w:t>0.6mm+1PPM</w:t>
            </w:r>
          </w:p>
        </w:tc>
      </w:tr>
    </w:tbl>
    <w:p w14:paraId="0CFA5C2E">
      <w:pPr>
        <w:pStyle w:val="54"/>
        <w:ind w:firstLine="480"/>
        <w:rPr>
          <w:rFonts w:hint="eastAsia" w:ascii="宋体" w:hAnsi="宋体" w:eastAsia="宋体" w:cs="宋体"/>
          <w:color w:val="auto"/>
        </w:rPr>
      </w:pPr>
      <w:r>
        <w:rPr>
          <w:rFonts w:hint="eastAsia" w:ascii="宋体" w:hAnsi="宋体" w:eastAsia="宋体" w:cs="宋体"/>
          <w:color w:val="auto"/>
        </w:rPr>
        <w:t>（2）</w:t>
      </w:r>
      <w:r>
        <w:rPr>
          <w:rFonts w:hint="eastAsia" w:ascii="宋体" w:hAnsi="宋体" w:eastAsia="宋体" w:cs="宋体"/>
          <w:color w:val="auto"/>
          <w:lang w:val="en-US" w:eastAsia="zh-CN"/>
        </w:rPr>
        <w:t>观测技术要求</w:t>
      </w:r>
    </w:p>
    <w:p w14:paraId="3700CBA1">
      <w:pPr>
        <w:pStyle w:val="41"/>
        <w:rPr>
          <w:rFonts w:hint="default" w:ascii="宋体" w:hAnsi="宋体" w:eastAsia="宋体" w:cs="Times New Roman"/>
          <w:b/>
          <w:bCs/>
          <w:color w:val="auto"/>
          <w:kern w:val="2"/>
          <w:sz w:val="21"/>
          <w:szCs w:val="21"/>
          <w:highlight w:val="none"/>
          <w:lang w:val="en-US" w:eastAsia="zh-CN" w:bidi="ar-SA"/>
        </w:rPr>
      </w:pPr>
      <w:r>
        <w:rPr>
          <w:rFonts w:hint="eastAsia" w:ascii="宋体" w:hAnsi="宋体" w:eastAsia="宋体" w:cs="Times New Roman"/>
          <w:b/>
          <w:bCs/>
          <w:color w:val="auto"/>
          <w:kern w:val="2"/>
          <w:sz w:val="21"/>
          <w:szCs w:val="21"/>
          <w:highlight w:val="none"/>
          <w:lang w:val="en-US" w:eastAsia="zh-CN" w:bidi="ar-SA"/>
        </w:rPr>
        <w:t>表4-3水平位移监测控制网主要技术要求表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
        <w:gridCol w:w="1122"/>
        <w:gridCol w:w="983"/>
        <w:gridCol w:w="990"/>
        <w:gridCol w:w="1478"/>
        <w:gridCol w:w="2454"/>
        <w:gridCol w:w="706"/>
        <w:gridCol w:w="531"/>
        <w:gridCol w:w="526"/>
      </w:tblGrid>
      <w:tr w14:paraId="21623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68" w:type="pct"/>
            <w:vMerge w:val="restart"/>
            <w:shd w:val="clear" w:color="auto" w:fill="FFFFFF" w:themeFill="background1"/>
            <w:vAlign w:val="center"/>
          </w:tcPr>
          <w:p w14:paraId="191E45B8">
            <w:pPr>
              <w:pStyle w:val="41"/>
              <w:rPr>
                <w:rFonts w:hint="eastAsia" w:ascii="宋体" w:hAnsi="宋体" w:eastAsia="宋体" w:cs="宋体"/>
                <w:color w:val="auto"/>
              </w:rPr>
            </w:pPr>
            <w:r>
              <w:rPr>
                <w:rFonts w:hint="eastAsia" w:ascii="宋体" w:hAnsi="宋体" w:eastAsia="宋体" w:cs="宋体"/>
                <w:color w:val="auto"/>
              </w:rPr>
              <w:t>等级</w:t>
            </w:r>
          </w:p>
        </w:tc>
        <w:tc>
          <w:tcPr>
            <w:tcW w:w="604" w:type="pct"/>
            <w:vMerge w:val="restart"/>
            <w:shd w:val="clear" w:color="auto" w:fill="FFFFFF" w:themeFill="background1"/>
            <w:vAlign w:val="center"/>
          </w:tcPr>
          <w:p w14:paraId="391A0A5E">
            <w:pPr>
              <w:pStyle w:val="41"/>
              <w:rPr>
                <w:rFonts w:hint="eastAsia" w:ascii="宋体" w:hAnsi="宋体" w:eastAsia="宋体" w:cs="宋体"/>
                <w:color w:val="auto"/>
              </w:rPr>
            </w:pPr>
            <w:r>
              <w:rPr>
                <w:rFonts w:hint="eastAsia" w:ascii="宋体" w:hAnsi="宋体" w:eastAsia="宋体" w:cs="宋体"/>
                <w:color w:val="auto"/>
              </w:rPr>
              <w:t>相邻基准点的点位中误差（mm）</w:t>
            </w:r>
          </w:p>
        </w:tc>
        <w:tc>
          <w:tcPr>
            <w:tcW w:w="529" w:type="pct"/>
            <w:vMerge w:val="restart"/>
            <w:shd w:val="clear" w:color="auto" w:fill="FFFFFF" w:themeFill="background1"/>
            <w:vAlign w:val="center"/>
          </w:tcPr>
          <w:p w14:paraId="07881881">
            <w:pPr>
              <w:pStyle w:val="41"/>
              <w:rPr>
                <w:rFonts w:hint="eastAsia" w:ascii="宋体" w:hAnsi="宋体" w:eastAsia="宋体" w:cs="宋体"/>
                <w:color w:val="auto"/>
              </w:rPr>
            </w:pPr>
            <w:r>
              <w:rPr>
                <w:rFonts w:hint="eastAsia" w:ascii="宋体" w:hAnsi="宋体" w:eastAsia="宋体" w:cs="宋体"/>
                <w:color w:val="auto"/>
              </w:rPr>
              <w:t>平均边长（m）</w:t>
            </w:r>
          </w:p>
        </w:tc>
        <w:tc>
          <w:tcPr>
            <w:tcW w:w="533" w:type="pct"/>
            <w:vMerge w:val="restart"/>
            <w:shd w:val="clear" w:color="auto" w:fill="FFFFFF" w:themeFill="background1"/>
            <w:vAlign w:val="center"/>
          </w:tcPr>
          <w:p w14:paraId="07495816">
            <w:pPr>
              <w:pStyle w:val="41"/>
              <w:rPr>
                <w:rFonts w:hint="eastAsia" w:ascii="宋体" w:hAnsi="宋体" w:eastAsia="宋体" w:cs="宋体"/>
                <w:color w:val="auto"/>
              </w:rPr>
            </w:pPr>
            <w:r>
              <w:rPr>
                <w:rFonts w:hint="eastAsia" w:ascii="宋体" w:hAnsi="宋体" w:eastAsia="宋体" w:cs="宋体"/>
                <w:color w:val="auto"/>
              </w:rPr>
              <w:t>测角中误差（″）</w:t>
            </w:r>
          </w:p>
        </w:tc>
        <w:tc>
          <w:tcPr>
            <w:tcW w:w="796" w:type="pct"/>
            <w:vMerge w:val="restart"/>
            <w:shd w:val="clear" w:color="auto" w:fill="FFFFFF" w:themeFill="background1"/>
            <w:vAlign w:val="center"/>
          </w:tcPr>
          <w:p w14:paraId="06B0ABD5">
            <w:pPr>
              <w:pStyle w:val="41"/>
              <w:rPr>
                <w:rFonts w:hint="eastAsia" w:ascii="宋体" w:hAnsi="宋体" w:eastAsia="宋体" w:cs="宋体"/>
                <w:color w:val="auto"/>
              </w:rPr>
            </w:pPr>
            <w:r>
              <w:rPr>
                <w:rFonts w:hint="eastAsia" w:ascii="宋体" w:hAnsi="宋体" w:eastAsia="宋体" w:cs="宋体"/>
                <w:color w:val="auto"/>
              </w:rPr>
              <w:t>最弱边相对中误差</w:t>
            </w:r>
          </w:p>
        </w:tc>
        <w:tc>
          <w:tcPr>
            <w:tcW w:w="1321" w:type="pct"/>
            <w:vMerge w:val="restart"/>
            <w:shd w:val="clear" w:color="auto" w:fill="FFFFFF" w:themeFill="background1"/>
            <w:vAlign w:val="center"/>
          </w:tcPr>
          <w:p w14:paraId="7D0AF36E">
            <w:pPr>
              <w:pStyle w:val="41"/>
              <w:rPr>
                <w:rFonts w:hint="eastAsia" w:ascii="宋体" w:hAnsi="宋体" w:eastAsia="宋体" w:cs="宋体"/>
                <w:color w:val="auto"/>
              </w:rPr>
            </w:pPr>
            <w:r>
              <w:rPr>
                <w:rFonts w:hint="eastAsia" w:ascii="宋体" w:hAnsi="宋体" w:eastAsia="宋体" w:cs="宋体"/>
                <w:color w:val="auto"/>
              </w:rPr>
              <w:t>全站仪精度</w:t>
            </w:r>
          </w:p>
        </w:tc>
        <w:tc>
          <w:tcPr>
            <w:tcW w:w="380" w:type="pct"/>
            <w:vMerge w:val="restart"/>
            <w:shd w:val="clear" w:color="auto" w:fill="FFFFFF" w:themeFill="background1"/>
            <w:vAlign w:val="center"/>
          </w:tcPr>
          <w:p w14:paraId="435388C1">
            <w:pPr>
              <w:pStyle w:val="41"/>
              <w:rPr>
                <w:rFonts w:hint="eastAsia" w:ascii="宋体" w:hAnsi="宋体" w:eastAsia="宋体" w:cs="宋体"/>
                <w:color w:val="auto"/>
              </w:rPr>
            </w:pPr>
            <w:r>
              <w:rPr>
                <w:rFonts w:hint="eastAsia" w:ascii="宋体" w:hAnsi="宋体" w:eastAsia="宋体" w:cs="宋体"/>
                <w:color w:val="auto"/>
              </w:rPr>
              <w:t>水平角观测测回数</w:t>
            </w:r>
          </w:p>
        </w:tc>
        <w:tc>
          <w:tcPr>
            <w:tcW w:w="569" w:type="pct"/>
            <w:gridSpan w:val="2"/>
            <w:shd w:val="clear" w:color="auto" w:fill="FFFFFF" w:themeFill="background1"/>
            <w:vAlign w:val="center"/>
          </w:tcPr>
          <w:p w14:paraId="20FBF505">
            <w:pPr>
              <w:pStyle w:val="41"/>
              <w:rPr>
                <w:rFonts w:hint="eastAsia" w:ascii="宋体" w:hAnsi="宋体" w:eastAsia="宋体" w:cs="宋体"/>
                <w:color w:val="auto"/>
              </w:rPr>
            </w:pPr>
            <w:r>
              <w:rPr>
                <w:rFonts w:hint="eastAsia" w:ascii="宋体" w:hAnsi="宋体" w:eastAsia="宋体" w:cs="宋体"/>
                <w:color w:val="auto"/>
              </w:rPr>
              <w:t>距离观测测回数</w:t>
            </w:r>
          </w:p>
        </w:tc>
      </w:tr>
      <w:tr w14:paraId="5AB44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268" w:type="pct"/>
            <w:vMerge w:val="continue"/>
            <w:shd w:val="clear" w:color="auto" w:fill="FFFFFF" w:themeFill="background1"/>
            <w:vAlign w:val="center"/>
          </w:tcPr>
          <w:p w14:paraId="7D7EE757">
            <w:pPr>
              <w:pStyle w:val="41"/>
              <w:rPr>
                <w:rFonts w:hint="eastAsia" w:ascii="宋体" w:hAnsi="宋体" w:eastAsia="宋体" w:cs="宋体"/>
                <w:color w:val="auto"/>
              </w:rPr>
            </w:pPr>
          </w:p>
        </w:tc>
        <w:tc>
          <w:tcPr>
            <w:tcW w:w="604" w:type="pct"/>
            <w:vMerge w:val="continue"/>
            <w:shd w:val="clear" w:color="auto" w:fill="FFFFFF" w:themeFill="background1"/>
            <w:vAlign w:val="center"/>
          </w:tcPr>
          <w:p w14:paraId="4DDE0965">
            <w:pPr>
              <w:pStyle w:val="41"/>
              <w:rPr>
                <w:rFonts w:hint="eastAsia" w:ascii="宋体" w:hAnsi="宋体" w:eastAsia="宋体" w:cs="宋体"/>
                <w:color w:val="auto"/>
              </w:rPr>
            </w:pPr>
          </w:p>
        </w:tc>
        <w:tc>
          <w:tcPr>
            <w:tcW w:w="529" w:type="pct"/>
            <w:vMerge w:val="continue"/>
            <w:shd w:val="clear" w:color="auto" w:fill="FFFFFF" w:themeFill="background1"/>
            <w:vAlign w:val="center"/>
          </w:tcPr>
          <w:p w14:paraId="7C0ABF08">
            <w:pPr>
              <w:pStyle w:val="41"/>
              <w:rPr>
                <w:rFonts w:hint="eastAsia" w:ascii="宋体" w:hAnsi="宋体" w:eastAsia="宋体" w:cs="宋体"/>
                <w:color w:val="auto"/>
              </w:rPr>
            </w:pPr>
          </w:p>
        </w:tc>
        <w:tc>
          <w:tcPr>
            <w:tcW w:w="533" w:type="pct"/>
            <w:vMerge w:val="continue"/>
            <w:shd w:val="clear" w:color="auto" w:fill="FFFFFF" w:themeFill="background1"/>
            <w:vAlign w:val="center"/>
          </w:tcPr>
          <w:p w14:paraId="183F01D2">
            <w:pPr>
              <w:pStyle w:val="41"/>
              <w:rPr>
                <w:rFonts w:hint="eastAsia" w:ascii="宋体" w:hAnsi="宋体" w:eastAsia="宋体" w:cs="宋体"/>
                <w:color w:val="auto"/>
              </w:rPr>
            </w:pPr>
          </w:p>
        </w:tc>
        <w:tc>
          <w:tcPr>
            <w:tcW w:w="796" w:type="pct"/>
            <w:vMerge w:val="continue"/>
            <w:shd w:val="clear" w:color="auto" w:fill="FFFFFF" w:themeFill="background1"/>
            <w:vAlign w:val="center"/>
          </w:tcPr>
          <w:p w14:paraId="39C7E288">
            <w:pPr>
              <w:pStyle w:val="41"/>
              <w:rPr>
                <w:rFonts w:hint="eastAsia" w:ascii="宋体" w:hAnsi="宋体" w:eastAsia="宋体" w:cs="宋体"/>
                <w:color w:val="auto"/>
              </w:rPr>
            </w:pPr>
          </w:p>
        </w:tc>
        <w:tc>
          <w:tcPr>
            <w:tcW w:w="1321" w:type="pct"/>
            <w:vMerge w:val="continue"/>
            <w:shd w:val="clear" w:color="auto" w:fill="FFFFFF" w:themeFill="background1"/>
            <w:vAlign w:val="center"/>
          </w:tcPr>
          <w:p w14:paraId="17AAEF6E">
            <w:pPr>
              <w:pStyle w:val="41"/>
              <w:rPr>
                <w:rFonts w:hint="eastAsia" w:ascii="宋体" w:hAnsi="宋体" w:eastAsia="宋体" w:cs="宋体"/>
                <w:color w:val="auto"/>
              </w:rPr>
            </w:pPr>
          </w:p>
        </w:tc>
        <w:tc>
          <w:tcPr>
            <w:tcW w:w="380" w:type="pct"/>
            <w:vMerge w:val="continue"/>
            <w:shd w:val="clear" w:color="auto" w:fill="FFFFFF" w:themeFill="background1"/>
            <w:vAlign w:val="center"/>
          </w:tcPr>
          <w:p w14:paraId="7E983A53">
            <w:pPr>
              <w:pStyle w:val="41"/>
              <w:rPr>
                <w:rFonts w:hint="eastAsia" w:ascii="宋体" w:hAnsi="宋体" w:eastAsia="宋体" w:cs="宋体"/>
                <w:color w:val="auto"/>
              </w:rPr>
            </w:pPr>
          </w:p>
        </w:tc>
        <w:tc>
          <w:tcPr>
            <w:tcW w:w="286" w:type="pct"/>
            <w:shd w:val="clear" w:color="auto" w:fill="FFFFFF" w:themeFill="background1"/>
            <w:vAlign w:val="center"/>
          </w:tcPr>
          <w:p w14:paraId="69BA1EF8">
            <w:pPr>
              <w:pStyle w:val="41"/>
              <w:rPr>
                <w:rFonts w:hint="eastAsia" w:ascii="宋体" w:hAnsi="宋体" w:eastAsia="宋体" w:cs="宋体"/>
                <w:color w:val="auto"/>
              </w:rPr>
            </w:pPr>
            <w:r>
              <w:rPr>
                <w:rFonts w:hint="eastAsia" w:ascii="宋体" w:hAnsi="宋体" w:eastAsia="宋体" w:cs="宋体"/>
                <w:color w:val="auto"/>
              </w:rPr>
              <w:t>往测</w:t>
            </w:r>
          </w:p>
        </w:tc>
        <w:tc>
          <w:tcPr>
            <w:tcW w:w="283" w:type="pct"/>
            <w:shd w:val="clear" w:color="auto" w:fill="FFFFFF" w:themeFill="background1"/>
            <w:vAlign w:val="center"/>
          </w:tcPr>
          <w:p w14:paraId="7FAAECC2">
            <w:pPr>
              <w:pStyle w:val="41"/>
              <w:rPr>
                <w:rFonts w:hint="eastAsia" w:ascii="宋体" w:hAnsi="宋体" w:eastAsia="宋体" w:cs="宋体"/>
                <w:color w:val="auto"/>
              </w:rPr>
            </w:pPr>
            <w:r>
              <w:rPr>
                <w:rFonts w:hint="eastAsia" w:ascii="宋体" w:hAnsi="宋体" w:eastAsia="宋体" w:cs="宋体"/>
                <w:color w:val="auto"/>
              </w:rPr>
              <w:t>返测</w:t>
            </w:r>
          </w:p>
        </w:tc>
      </w:tr>
      <w:tr w14:paraId="47E86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 w:type="pct"/>
            <w:vAlign w:val="center"/>
          </w:tcPr>
          <w:p w14:paraId="64F14B23">
            <w:pPr>
              <w:pStyle w:val="41"/>
              <w:rPr>
                <w:rFonts w:hint="eastAsia" w:ascii="宋体" w:hAnsi="宋体" w:eastAsia="宋体" w:cs="宋体"/>
                <w:color w:val="auto"/>
              </w:rPr>
            </w:pPr>
            <w:r>
              <w:rPr>
                <w:rFonts w:hint="eastAsia" w:ascii="宋体" w:hAnsi="宋体" w:eastAsia="宋体" w:cs="宋体"/>
                <w:color w:val="auto"/>
              </w:rPr>
              <w:t>Ⅰ</w:t>
            </w:r>
          </w:p>
        </w:tc>
        <w:tc>
          <w:tcPr>
            <w:tcW w:w="604" w:type="pct"/>
            <w:vAlign w:val="center"/>
          </w:tcPr>
          <w:p w14:paraId="4411DB52">
            <w:pPr>
              <w:pStyle w:val="41"/>
              <w:rPr>
                <w:rFonts w:hint="eastAsia" w:ascii="宋体" w:hAnsi="宋体" w:eastAsia="宋体" w:cs="宋体"/>
                <w:color w:val="auto"/>
              </w:rPr>
            </w:pPr>
            <w:r>
              <w:rPr>
                <w:rFonts w:hint="eastAsia" w:ascii="宋体" w:hAnsi="宋体" w:eastAsia="宋体" w:cs="宋体"/>
                <w:color w:val="auto"/>
              </w:rPr>
              <w:t>±1.5</w:t>
            </w:r>
          </w:p>
        </w:tc>
        <w:tc>
          <w:tcPr>
            <w:tcW w:w="529" w:type="pct"/>
            <w:vAlign w:val="center"/>
          </w:tcPr>
          <w:p w14:paraId="100C80E3">
            <w:pPr>
              <w:pStyle w:val="41"/>
              <w:rPr>
                <w:rFonts w:hint="eastAsia" w:ascii="宋体" w:hAnsi="宋体" w:eastAsia="宋体" w:cs="宋体"/>
                <w:color w:val="auto"/>
              </w:rPr>
            </w:pPr>
            <w:r>
              <w:rPr>
                <w:rFonts w:hint="eastAsia" w:ascii="宋体" w:hAnsi="宋体" w:eastAsia="宋体" w:cs="宋体"/>
                <w:color w:val="auto"/>
              </w:rPr>
              <w:t>150</w:t>
            </w:r>
          </w:p>
        </w:tc>
        <w:tc>
          <w:tcPr>
            <w:tcW w:w="533" w:type="pct"/>
            <w:vAlign w:val="center"/>
          </w:tcPr>
          <w:p w14:paraId="0B91F1FA">
            <w:pPr>
              <w:pStyle w:val="41"/>
              <w:rPr>
                <w:rFonts w:hint="eastAsia" w:ascii="宋体" w:hAnsi="宋体" w:eastAsia="宋体" w:cs="宋体"/>
                <w:color w:val="auto"/>
              </w:rPr>
            </w:pPr>
            <w:r>
              <w:rPr>
                <w:rFonts w:hint="eastAsia" w:ascii="宋体" w:hAnsi="宋体" w:eastAsia="宋体" w:cs="宋体"/>
                <w:color w:val="auto"/>
              </w:rPr>
              <w:t>±1.0</w:t>
            </w:r>
          </w:p>
        </w:tc>
        <w:tc>
          <w:tcPr>
            <w:tcW w:w="796" w:type="pct"/>
            <w:vAlign w:val="center"/>
          </w:tcPr>
          <w:p w14:paraId="52A1A7D3">
            <w:pPr>
              <w:pStyle w:val="41"/>
              <w:rPr>
                <w:rFonts w:hint="eastAsia" w:ascii="宋体" w:hAnsi="宋体" w:eastAsia="宋体" w:cs="宋体"/>
                <w:color w:val="auto"/>
              </w:rPr>
            </w:pPr>
            <w:r>
              <w:rPr>
                <w:rFonts w:hint="eastAsia" w:ascii="宋体" w:hAnsi="宋体" w:eastAsia="宋体" w:cs="宋体"/>
                <w:color w:val="auto"/>
              </w:rPr>
              <w:t>≤1/200000</w:t>
            </w:r>
          </w:p>
        </w:tc>
        <w:tc>
          <w:tcPr>
            <w:tcW w:w="1321" w:type="pct"/>
            <w:vAlign w:val="center"/>
          </w:tcPr>
          <w:p w14:paraId="7BF20684">
            <w:pPr>
              <w:pStyle w:val="41"/>
              <w:rPr>
                <w:rFonts w:hint="eastAsia" w:ascii="宋体" w:hAnsi="宋体" w:eastAsia="宋体" w:cs="宋体"/>
                <w:color w:val="auto"/>
              </w:rPr>
            </w:pPr>
            <w:r>
              <w:rPr>
                <w:rFonts w:hint="eastAsia" w:ascii="宋体" w:hAnsi="宋体" w:eastAsia="宋体" w:cs="宋体"/>
                <w:color w:val="auto"/>
                <w:szCs w:val="21"/>
                <w:lang w:val="en-US" w:eastAsia="zh-CN"/>
              </w:rPr>
              <w:t>0.5</w:t>
            </w:r>
            <w:r>
              <w:rPr>
                <w:rFonts w:hint="eastAsia" w:ascii="宋体" w:hAnsi="宋体" w:eastAsia="宋体" w:cs="宋体"/>
                <w:color w:val="auto"/>
                <w:szCs w:val="21"/>
              </w:rPr>
              <w:t>＂</w:t>
            </w:r>
            <w:r>
              <w:rPr>
                <w:rFonts w:hint="eastAsia" w:ascii="宋体" w:hAnsi="宋体" w:eastAsia="宋体" w:cs="宋体"/>
                <w:color w:val="auto"/>
                <w:szCs w:val="21"/>
                <w:lang w:val="en-US" w:eastAsia="zh-CN"/>
              </w:rPr>
              <w:t>0.6mm+1PPM</w:t>
            </w:r>
          </w:p>
        </w:tc>
        <w:tc>
          <w:tcPr>
            <w:tcW w:w="380" w:type="pct"/>
            <w:vAlign w:val="center"/>
          </w:tcPr>
          <w:p w14:paraId="3F5FDCAF">
            <w:pPr>
              <w:pStyle w:val="41"/>
              <w:rPr>
                <w:rFonts w:hint="eastAsia" w:ascii="宋体" w:hAnsi="宋体" w:eastAsia="宋体" w:cs="宋体"/>
                <w:color w:val="auto"/>
              </w:rPr>
            </w:pPr>
            <w:r>
              <w:rPr>
                <w:rFonts w:hint="eastAsia" w:ascii="宋体" w:hAnsi="宋体" w:eastAsia="宋体" w:cs="宋体"/>
                <w:color w:val="auto"/>
              </w:rPr>
              <w:t>9</w:t>
            </w:r>
          </w:p>
        </w:tc>
        <w:tc>
          <w:tcPr>
            <w:tcW w:w="286" w:type="pct"/>
            <w:vAlign w:val="center"/>
          </w:tcPr>
          <w:p w14:paraId="18099B1B">
            <w:pPr>
              <w:pStyle w:val="41"/>
              <w:rPr>
                <w:rFonts w:hint="eastAsia" w:ascii="宋体" w:hAnsi="宋体" w:eastAsia="宋体" w:cs="宋体"/>
                <w:color w:val="auto"/>
              </w:rPr>
            </w:pPr>
            <w:r>
              <w:rPr>
                <w:rFonts w:hint="eastAsia" w:ascii="宋体" w:hAnsi="宋体" w:eastAsia="宋体" w:cs="宋体"/>
                <w:color w:val="auto"/>
              </w:rPr>
              <w:t>3</w:t>
            </w:r>
          </w:p>
        </w:tc>
        <w:tc>
          <w:tcPr>
            <w:tcW w:w="283" w:type="pct"/>
            <w:vAlign w:val="center"/>
          </w:tcPr>
          <w:p w14:paraId="1835E979">
            <w:pPr>
              <w:pStyle w:val="41"/>
              <w:rPr>
                <w:rFonts w:hint="eastAsia" w:ascii="宋体" w:hAnsi="宋体" w:eastAsia="宋体" w:cs="宋体"/>
                <w:color w:val="auto"/>
              </w:rPr>
            </w:pPr>
            <w:r>
              <w:rPr>
                <w:rFonts w:hint="eastAsia" w:ascii="宋体" w:hAnsi="宋体" w:eastAsia="宋体" w:cs="宋体"/>
                <w:color w:val="auto"/>
              </w:rPr>
              <w:t>3</w:t>
            </w:r>
          </w:p>
        </w:tc>
      </w:tr>
    </w:tbl>
    <w:p w14:paraId="05BE2690">
      <w:pPr>
        <w:rPr>
          <w:rFonts w:hint="eastAsia"/>
          <w:color w:val="auto"/>
        </w:rPr>
      </w:pPr>
    </w:p>
    <w:p w14:paraId="7C03B95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rPr>
        <w:t>（</w:t>
      </w:r>
      <w:r>
        <w:rPr>
          <w:rFonts w:hint="eastAsia" w:ascii="宋体" w:hAnsi="宋体" w:eastAsia="宋体" w:cs="宋体"/>
          <w:color w:val="auto"/>
          <w:kern w:val="2"/>
          <w:sz w:val="24"/>
          <w:szCs w:val="24"/>
          <w:lang w:val="en-US" w:eastAsia="zh-CN" w:bidi="ar-SA"/>
        </w:rPr>
        <w:t>3）观测注意事项</w:t>
      </w:r>
    </w:p>
    <w:p w14:paraId="3A2B41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fldChar w:fldCharType="begin"/>
      </w:r>
      <w:r>
        <w:rPr>
          <w:rFonts w:hint="eastAsia" w:ascii="宋体" w:hAnsi="宋体" w:eastAsia="宋体" w:cs="宋体"/>
          <w:color w:val="auto"/>
          <w:kern w:val="2"/>
          <w:sz w:val="24"/>
          <w:szCs w:val="24"/>
          <w:lang w:val="en-US" w:eastAsia="zh-CN" w:bidi="ar-SA"/>
        </w:rPr>
        <w:instrText xml:space="preserve"> = 1 \* GB3 </w:instrText>
      </w:r>
      <w:r>
        <w:rPr>
          <w:rFonts w:hint="eastAsia" w:ascii="宋体" w:hAnsi="宋体" w:eastAsia="宋体" w:cs="宋体"/>
          <w:color w:val="auto"/>
          <w:kern w:val="2"/>
          <w:sz w:val="24"/>
          <w:szCs w:val="24"/>
          <w:lang w:val="en-US" w:eastAsia="zh-CN" w:bidi="ar-SA"/>
        </w:rPr>
        <w:fldChar w:fldCharType="separate"/>
      </w:r>
      <w:r>
        <w:rPr>
          <w:rFonts w:hint="eastAsia" w:ascii="宋体" w:hAnsi="宋体" w:eastAsia="宋体" w:cs="宋体"/>
          <w:color w:val="auto"/>
          <w:kern w:val="2"/>
          <w:sz w:val="24"/>
          <w:szCs w:val="24"/>
          <w:lang w:val="en-US" w:eastAsia="zh-CN" w:bidi="ar-SA"/>
        </w:rPr>
        <w:t>①</w:t>
      </w:r>
      <w:r>
        <w:rPr>
          <w:rFonts w:hint="eastAsia" w:ascii="宋体" w:hAnsi="宋体" w:eastAsia="宋体" w:cs="宋体"/>
          <w:color w:val="auto"/>
          <w:kern w:val="2"/>
          <w:sz w:val="24"/>
          <w:szCs w:val="24"/>
          <w:lang w:val="en-US" w:eastAsia="zh-CN" w:bidi="ar-SA"/>
        </w:rPr>
        <w:fldChar w:fldCharType="end"/>
      </w:r>
      <w:r>
        <w:rPr>
          <w:rFonts w:hint="eastAsia" w:ascii="宋体" w:hAnsi="宋体" w:eastAsia="宋体" w:cs="宋体"/>
          <w:color w:val="auto"/>
          <w:kern w:val="2"/>
          <w:sz w:val="24"/>
          <w:szCs w:val="24"/>
          <w:lang w:val="en-US" w:eastAsia="zh-CN" w:bidi="ar-SA"/>
        </w:rPr>
        <w:t>对使用的全站仪、觇牌在项目开始前和结束后进行检验，项目进行中定期进行检验，尤其是全站仪电子气泡补偿的检验与校正；</w:t>
      </w:r>
    </w:p>
    <w:p w14:paraId="73E3E3C0">
      <w:pPr>
        <w:pStyle w:val="5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fldChar w:fldCharType="begin"/>
      </w:r>
      <w:r>
        <w:rPr>
          <w:rFonts w:hint="eastAsia" w:ascii="宋体" w:hAnsi="宋体" w:eastAsia="宋体" w:cs="宋体"/>
          <w:color w:val="auto"/>
          <w:kern w:val="2"/>
          <w:sz w:val="24"/>
          <w:szCs w:val="24"/>
          <w:lang w:val="en-US" w:eastAsia="zh-CN" w:bidi="ar-SA"/>
        </w:rPr>
        <w:instrText xml:space="preserve"> = 2 \* GB3 </w:instrText>
      </w:r>
      <w:r>
        <w:rPr>
          <w:rFonts w:hint="eastAsia" w:ascii="宋体" w:hAnsi="宋体" w:eastAsia="宋体" w:cs="宋体"/>
          <w:color w:val="auto"/>
          <w:kern w:val="2"/>
          <w:sz w:val="24"/>
          <w:szCs w:val="24"/>
          <w:lang w:val="en-US" w:eastAsia="zh-CN" w:bidi="ar-SA"/>
        </w:rPr>
        <w:fldChar w:fldCharType="separate"/>
      </w:r>
      <w:r>
        <w:rPr>
          <w:rFonts w:hint="eastAsia" w:ascii="宋体" w:hAnsi="宋体" w:eastAsia="宋体" w:cs="宋体"/>
          <w:color w:val="auto"/>
          <w:kern w:val="2"/>
          <w:sz w:val="24"/>
          <w:szCs w:val="24"/>
          <w:lang w:val="en-US" w:eastAsia="zh-CN" w:bidi="ar-SA"/>
        </w:rPr>
        <w:t>②</w:t>
      </w:r>
      <w:r>
        <w:rPr>
          <w:rFonts w:hint="eastAsia" w:ascii="宋体" w:hAnsi="宋体" w:eastAsia="宋体" w:cs="宋体"/>
          <w:color w:val="auto"/>
          <w:kern w:val="2"/>
          <w:sz w:val="24"/>
          <w:szCs w:val="24"/>
          <w:lang w:val="en-US" w:eastAsia="zh-CN" w:bidi="ar-SA"/>
        </w:rPr>
        <w:fldChar w:fldCharType="end"/>
      </w:r>
      <w:r>
        <w:rPr>
          <w:rFonts w:hint="eastAsia" w:ascii="宋体" w:hAnsi="宋体" w:eastAsia="宋体" w:cs="宋体"/>
          <w:color w:val="auto"/>
          <w:kern w:val="2"/>
          <w:sz w:val="24"/>
          <w:szCs w:val="24"/>
          <w:lang w:val="en-US" w:eastAsia="zh-CN" w:bidi="ar-SA"/>
        </w:rPr>
        <w:t>观测做到三固定，即固定人员、固定仪器、固定测站；</w:t>
      </w:r>
    </w:p>
    <w:p w14:paraId="027E4D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fldChar w:fldCharType="begin"/>
      </w:r>
      <w:r>
        <w:rPr>
          <w:rFonts w:hint="eastAsia" w:ascii="宋体" w:hAnsi="宋体" w:eastAsia="宋体" w:cs="宋体"/>
          <w:color w:val="auto"/>
          <w:kern w:val="2"/>
          <w:sz w:val="24"/>
          <w:szCs w:val="24"/>
          <w:lang w:val="en-US" w:eastAsia="zh-CN" w:bidi="ar-SA"/>
        </w:rPr>
        <w:instrText xml:space="preserve"> = 3 \* GB3 </w:instrText>
      </w:r>
      <w:r>
        <w:rPr>
          <w:rFonts w:hint="eastAsia" w:ascii="宋体" w:hAnsi="宋体" w:eastAsia="宋体" w:cs="宋体"/>
          <w:color w:val="auto"/>
          <w:kern w:val="2"/>
          <w:sz w:val="24"/>
          <w:szCs w:val="24"/>
          <w:lang w:val="en-US" w:eastAsia="zh-CN" w:bidi="ar-SA"/>
        </w:rPr>
        <w:fldChar w:fldCharType="separate"/>
      </w:r>
      <w:r>
        <w:rPr>
          <w:rFonts w:hint="eastAsia" w:ascii="宋体" w:hAnsi="宋体" w:eastAsia="宋体" w:cs="宋体"/>
          <w:color w:val="auto"/>
          <w:kern w:val="2"/>
          <w:sz w:val="24"/>
          <w:szCs w:val="24"/>
          <w:lang w:val="en-US" w:eastAsia="zh-CN" w:bidi="ar-SA"/>
        </w:rPr>
        <w:t>③</w:t>
      </w:r>
      <w:r>
        <w:rPr>
          <w:rFonts w:hint="eastAsia" w:ascii="宋体" w:hAnsi="宋体" w:eastAsia="宋体" w:cs="宋体"/>
          <w:color w:val="auto"/>
          <w:kern w:val="2"/>
          <w:sz w:val="24"/>
          <w:szCs w:val="24"/>
          <w:lang w:val="en-US" w:eastAsia="zh-CN" w:bidi="ar-SA"/>
        </w:rPr>
        <w:fldChar w:fldCharType="end"/>
      </w:r>
      <w:r>
        <w:rPr>
          <w:rFonts w:hint="eastAsia" w:ascii="宋体" w:hAnsi="宋体" w:eastAsia="宋体" w:cs="宋体"/>
          <w:color w:val="auto"/>
          <w:kern w:val="2"/>
          <w:sz w:val="24"/>
          <w:szCs w:val="24"/>
          <w:lang w:val="en-US" w:eastAsia="zh-CN" w:bidi="ar-SA"/>
        </w:rPr>
        <w:t>仪器、觇牌安置稳固严格对中整平；</w:t>
      </w:r>
    </w:p>
    <w:p w14:paraId="2DCA6152">
      <w:pPr>
        <w:pStyle w:val="5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fldChar w:fldCharType="begin"/>
      </w:r>
      <w:r>
        <w:rPr>
          <w:rFonts w:hint="eastAsia" w:ascii="宋体" w:hAnsi="宋体" w:eastAsia="宋体" w:cs="宋体"/>
          <w:color w:val="auto"/>
          <w:kern w:val="2"/>
          <w:sz w:val="24"/>
          <w:szCs w:val="24"/>
          <w:lang w:val="en-US" w:eastAsia="zh-CN" w:bidi="ar-SA"/>
        </w:rPr>
        <w:instrText xml:space="preserve"> = 4 \* GB3 </w:instrText>
      </w:r>
      <w:r>
        <w:rPr>
          <w:rFonts w:hint="eastAsia" w:ascii="宋体" w:hAnsi="宋体" w:eastAsia="宋体" w:cs="宋体"/>
          <w:color w:val="auto"/>
          <w:kern w:val="2"/>
          <w:sz w:val="24"/>
          <w:szCs w:val="24"/>
          <w:lang w:val="en-US" w:eastAsia="zh-CN" w:bidi="ar-SA"/>
        </w:rPr>
        <w:fldChar w:fldCharType="separate"/>
      </w:r>
      <w:r>
        <w:rPr>
          <w:rFonts w:hint="eastAsia" w:ascii="宋体" w:hAnsi="宋体" w:eastAsia="宋体" w:cs="宋体"/>
          <w:color w:val="auto"/>
          <w:kern w:val="2"/>
          <w:sz w:val="24"/>
          <w:szCs w:val="24"/>
          <w:lang w:val="en-US" w:eastAsia="zh-CN" w:bidi="ar-SA"/>
        </w:rPr>
        <w:t>④</w:t>
      </w:r>
      <w:r>
        <w:rPr>
          <w:rFonts w:hint="eastAsia" w:ascii="宋体" w:hAnsi="宋体" w:eastAsia="宋体" w:cs="宋体"/>
          <w:color w:val="auto"/>
          <w:kern w:val="2"/>
          <w:sz w:val="24"/>
          <w:szCs w:val="24"/>
          <w:lang w:val="en-US" w:eastAsia="zh-CN" w:bidi="ar-SA"/>
        </w:rPr>
        <w:fldChar w:fldCharType="end"/>
      </w:r>
      <w:r>
        <w:rPr>
          <w:rFonts w:hint="eastAsia" w:ascii="宋体" w:hAnsi="宋体" w:eastAsia="宋体" w:cs="宋体"/>
          <w:color w:val="auto"/>
          <w:kern w:val="2"/>
          <w:sz w:val="24"/>
          <w:szCs w:val="24"/>
          <w:lang w:val="en-US" w:eastAsia="zh-CN" w:bidi="ar-SA"/>
        </w:rPr>
        <w:t>在目标成像清晰稳定的条件下进行观测；</w:t>
      </w:r>
    </w:p>
    <w:p w14:paraId="4C77BD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fldChar w:fldCharType="begin"/>
      </w:r>
      <w:r>
        <w:rPr>
          <w:rFonts w:hint="eastAsia" w:ascii="宋体" w:hAnsi="宋体" w:eastAsia="宋体" w:cs="宋体"/>
          <w:color w:val="auto"/>
          <w:kern w:val="2"/>
          <w:sz w:val="24"/>
          <w:szCs w:val="24"/>
          <w:lang w:val="en-US" w:eastAsia="zh-CN" w:bidi="ar-SA"/>
        </w:rPr>
        <w:instrText xml:space="preserve"> = 5 \* GB3 </w:instrText>
      </w:r>
      <w:r>
        <w:rPr>
          <w:rFonts w:hint="eastAsia" w:ascii="宋体" w:hAnsi="宋体" w:eastAsia="宋体" w:cs="宋体"/>
          <w:color w:val="auto"/>
          <w:kern w:val="2"/>
          <w:sz w:val="24"/>
          <w:szCs w:val="24"/>
          <w:lang w:val="en-US" w:eastAsia="zh-CN" w:bidi="ar-SA"/>
        </w:rPr>
        <w:fldChar w:fldCharType="separate"/>
      </w:r>
      <w:r>
        <w:rPr>
          <w:rFonts w:hint="eastAsia" w:ascii="宋体" w:hAnsi="宋体" w:eastAsia="宋体" w:cs="宋体"/>
          <w:color w:val="auto"/>
          <w:kern w:val="2"/>
          <w:sz w:val="24"/>
          <w:szCs w:val="24"/>
          <w:lang w:val="en-US" w:eastAsia="zh-CN" w:bidi="ar-SA"/>
        </w:rPr>
        <w:t>⑤</w:t>
      </w:r>
      <w:r>
        <w:rPr>
          <w:rFonts w:hint="eastAsia" w:ascii="宋体" w:hAnsi="宋体" w:eastAsia="宋体" w:cs="宋体"/>
          <w:color w:val="auto"/>
          <w:kern w:val="2"/>
          <w:sz w:val="24"/>
          <w:szCs w:val="24"/>
          <w:lang w:val="en-US" w:eastAsia="zh-CN" w:bidi="ar-SA"/>
        </w:rPr>
        <w:fldChar w:fldCharType="end"/>
      </w:r>
      <w:r>
        <w:rPr>
          <w:rFonts w:hint="eastAsia" w:ascii="宋体" w:hAnsi="宋体" w:eastAsia="宋体" w:cs="宋体"/>
          <w:color w:val="auto"/>
          <w:kern w:val="2"/>
          <w:sz w:val="24"/>
          <w:szCs w:val="24"/>
          <w:lang w:val="en-US" w:eastAsia="zh-CN" w:bidi="ar-SA"/>
        </w:rPr>
        <w:t>仪器温度与外界温度一致时才能开始观测；</w:t>
      </w:r>
    </w:p>
    <w:p w14:paraId="066D1F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fldChar w:fldCharType="begin"/>
      </w:r>
      <w:r>
        <w:rPr>
          <w:rFonts w:hint="eastAsia" w:ascii="宋体" w:hAnsi="宋体" w:eastAsia="宋体" w:cs="宋体"/>
          <w:color w:val="auto"/>
          <w:kern w:val="2"/>
          <w:sz w:val="24"/>
          <w:szCs w:val="24"/>
          <w:lang w:val="en-US" w:eastAsia="zh-CN" w:bidi="ar-SA"/>
        </w:rPr>
        <w:instrText xml:space="preserve"> = 6 \* GB3 </w:instrText>
      </w:r>
      <w:r>
        <w:rPr>
          <w:rFonts w:hint="eastAsia" w:ascii="宋体" w:hAnsi="宋体" w:eastAsia="宋体" w:cs="宋体"/>
          <w:color w:val="auto"/>
          <w:kern w:val="2"/>
          <w:sz w:val="24"/>
          <w:szCs w:val="24"/>
          <w:lang w:val="en-US" w:eastAsia="zh-CN" w:bidi="ar-SA"/>
        </w:rPr>
        <w:fldChar w:fldCharType="separate"/>
      </w:r>
      <w:r>
        <w:rPr>
          <w:rFonts w:hint="eastAsia" w:ascii="宋体" w:hAnsi="宋体" w:eastAsia="宋体" w:cs="宋体"/>
          <w:color w:val="auto"/>
          <w:kern w:val="2"/>
          <w:sz w:val="24"/>
          <w:szCs w:val="24"/>
          <w:lang w:val="en-US" w:eastAsia="zh-CN" w:bidi="ar-SA"/>
        </w:rPr>
        <w:t>⑥</w:t>
      </w:r>
      <w:r>
        <w:rPr>
          <w:rFonts w:hint="eastAsia" w:ascii="宋体" w:hAnsi="宋体" w:eastAsia="宋体" w:cs="宋体"/>
          <w:color w:val="auto"/>
          <w:kern w:val="2"/>
          <w:sz w:val="24"/>
          <w:szCs w:val="24"/>
          <w:lang w:val="en-US" w:eastAsia="zh-CN" w:bidi="ar-SA"/>
        </w:rPr>
        <w:fldChar w:fldCharType="end"/>
      </w:r>
      <w:r>
        <w:rPr>
          <w:rFonts w:hint="eastAsia" w:ascii="宋体" w:hAnsi="宋体" w:eastAsia="宋体" w:cs="宋体"/>
          <w:color w:val="auto"/>
          <w:kern w:val="2"/>
          <w:sz w:val="24"/>
          <w:szCs w:val="24"/>
          <w:lang w:val="en-US" w:eastAsia="zh-CN" w:bidi="ar-SA"/>
        </w:rPr>
        <w:t>尽量避免受外界干扰影响观测精度，严格按精度要求控制各项限差。</w:t>
      </w:r>
    </w:p>
    <w:p w14:paraId="2FAE006A">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⑦基准点复测周期3个月一次。</w:t>
      </w:r>
    </w:p>
    <w:p w14:paraId="7E96F69A">
      <w:pPr>
        <w:pStyle w:val="5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5、水平位移监测基准点的布设</w:t>
      </w:r>
    </w:p>
    <w:p w14:paraId="4174E2D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基准点布设在施工范围影响区范围以外的稳定区域，且每个监测工程的水平位移观测的基准点不应少于3个。</w:t>
      </w:r>
    </w:p>
    <w:p w14:paraId="2D2307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在施工范围约50m之外的稳定区域布设，每个工点布设3个水平位移观测基准点。</w:t>
      </w:r>
    </w:p>
    <w:p w14:paraId="05A6EACC">
      <w:pPr>
        <w:pStyle w:val="5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6、水平位移基准网数据处理</w:t>
      </w:r>
    </w:p>
    <w:p w14:paraId="5BA73E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观测记录使用我单位开发的多测回测角程序进行，观测时可完成各项限差指标控制，观测完成后形成电子原始观测文件，通过数据传输线传输至计算机，使用武汉大学开发的科傻软件进行严密平差计算，得出各点坐标。</w:t>
      </w:r>
    </w:p>
    <w:p w14:paraId="2480D3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平差计算要求如下：</w:t>
      </w:r>
    </w:p>
    <w:p w14:paraId="65E44D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（1）平差前对控制点稳定性进行检验，对各期相邻控制点间的夹角、距离进行比较，确保起算数据的可靠；</w:t>
      </w:r>
    </w:p>
    <w:p w14:paraId="77A97E54">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（2）平差后数据取位精确到0.1mm。</w:t>
      </w:r>
    </w:p>
    <w:p w14:paraId="5CA7EC3B">
      <w:pPr>
        <w:rPr>
          <w:rFonts w:hint="eastAsia" w:ascii="宋体" w:hAnsi="宋体" w:eastAsia="宋体" w:cs="宋体"/>
          <w:color w:val="auto"/>
          <w:spacing w:val="10"/>
          <w:highlight w:val="none"/>
          <w:lang w:val="en-US" w:eastAsia="zh-CN"/>
        </w:rPr>
      </w:pPr>
      <w:r>
        <w:rPr>
          <w:rFonts w:hint="eastAsia" w:ascii="宋体" w:hAnsi="宋体" w:eastAsia="宋体" w:cs="宋体"/>
          <w:color w:val="auto"/>
          <w:spacing w:val="10"/>
          <w:highlight w:val="none"/>
          <w:lang w:val="en-US" w:eastAsia="zh-CN"/>
        </w:rPr>
        <w:br w:type="page"/>
      </w:r>
    </w:p>
    <w:p w14:paraId="46243710">
      <w:pPr>
        <w:pStyle w:val="53"/>
        <w:spacing w:before="156" w:beforeLines="50" w:after="156" w:afterLines="50"/>
        <w:ind w:left="0" w:leftChars="0" w:firstLine="0" w:firstLineChars="0"/>
        <w:rPr>
          <w:rFonts w:hint="eastAsia" w:ascii="宋体" w:hAnsi="宋体" w:eastAsia="宋体" w:cs="宋体"/>
          <w:color w:val="auto"/>
          <w:spacing w:val="10"/>
          <w:highlight w:val="none"/>
          <w:lang w:val="en-US" w:eastAsia="zh-CN"/>
        </w:rPr>
      </w:pPr>
      <w:bookmarkStart w:id="65" w:name="_Toc15427"/>
      <w:bookmarkStart w:id="66" w:name="_Toc21270"/>
      <w:r>
        <w:rPr>
          <w:rFonts w:hint="eastAsia" w:ascii="宋体" w:hAnsi="宋体" w:eastAsia="宋体" w:cs="宋体"/>
          <w:color w:val="auto"/>
          <w:spacing w:val="10"/>
          <w:highlight w:val="none"/>
          <w:lang w:val="en-US" w:eastAsia="zh-CN"/>
        </w:rPr>
        <w:t>4.2监测点布置</w:t>
      </w:r>
      <w:bookmarkEnd w:id="65"/>
      <w:bookmarkEnd w:id="66"/>
    </w:p>
    <w:p w14:paraId="15DA53BE">
      <w:pPr>
        <w:ind w:firstLine="480"/>
        <w:rPr>
          <w:rFonts w:hint="eastAsia"/>
          <w:color w:val="auto"/>
        </w:rPr>
      </w:pPr>
      <w:r>
        <w:rPr>
          <w:rFonts w:hint="eastAsia"/>
          <w:color w:val="auto"/>
        </w:rPr>
        <w:t>根据设计文件规定，监测断面设置位置如下：</w:t>
      </w:r>
    </w:p>
    <w:p w14:paraId="0CE12F96">
      <w:pPr>
        <w:ind w:firstLine="422" w:firstLineChars="200"/>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表4-4</w:t>
      </w:r>
      <w:r>
        <w:rPr>
          <w:rFonts w:hint="eastAsia" w:ascii="宋体" w:hAnsi="宋体" w:eastAsia="宋体" w:cs="宋体"/>
          <w:b/>
          <w:bCs/>
          <w:color w:val="auto"/>
          <w:sz w:val="21"/>
          <w:szCs w:val="21"/>
          <w:highlight w:val="none"/>
        </w:rPr>
        <w:t>监测项目及布设原则</w:t>
      </w:r>
    </w:p>
    <w:tbl>
      <w:tblPr>
        <w:tblStyle w:val="25"/>
        <w:tblW w:w="540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57" w:type="dxa"/>
          <w:bottom w:w="0" w:type="dxa"/>
          <w:right w:w="57" w:type="dxa"/>
        </w:tblCellMar>
      </w:tblPr>
      <w:tblGrid>
        <w:gridCol w:w="801"/>
        <w:gridCol w:w="1250"/>
        <w:gridCol w:w="1566"/>
        <w:gridCol w:w="3077"/>
        <w:gridCol w:w="1379"/>
        <w:gridCol w:w="1861"/>
      </w:tblGrid>
      <w:tr w14:paraId="7597E8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872" w:hRule="atLeast"/>
          <w:tblHeader/>
          <w:jc w:val="center"/>
        </w:trPr>
        <w:tc>
          <w:tcPr>
            <w:tcW w:w="403" w:type="pct"/>
            <w:shd w:val="clear" w:color="auto" w:fill="DDD9C3"/>
            <w:noWrap w:val="0"/>
            <w:vAlign w:val="center"/>
          </w:tcPr>
          <w:p w14:paraId="7A9A02B2">
            <w:pPr>
              <w:snapToGrid w:val="0"/>
              <w:spacing w:before="100" w:after="100"/>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629" w:type="pct"/>
            <w:shd w:val="clear" w:color="auto" w:fill="DDD9C3"/>
            <w:noWrap w:val="0"/>
            <w:vAlign w:val="center"/>
          </w:tcPr>
          <w:p w14:paraId="49A648B9">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监测项目</w:t>
            </w:r>
          </w:p>
        </w:tc>
        <w:tc>
          <w:tcPr>
            <w:tcW w:w="788" w:type="pct"/>
            <w:shd w:val="clear" w:color="auto" w:fill="DDD9C3"/>
            <w:noWrap w:val="0"/>
            <w:vAlign w:val="center"/>
          </w:tcPr>
          <w:p w14:paraId="65D1CE4D">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位置或监测对象</w:t>
            </w:r>
          </w:p>
        </w:tc>
        <w:tc>
          <w:tcPr>
            <w:tcW w:w="1548" w:type="pct"/>
            <w:shd w:val="clear" w:color="auto" w:fill="DDD9C3"/>
            <w:noWrap w:val="0"/>
            <w:vAlign w:val="center"/>
          </w:tcPr>
          <w:p w14:paraId="0F1080DD">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测点布置</w:t>
            </w:r>
          </w:p>
        </w:tc>
        <w:tc>
          <w:tcPr>
            <w:tcW w:w="694" w:type="pct"/>
            <w:shd w:val="clear" w:color="auto" w:fill="DDD9C3"/>
            <w:noWrap w:val="0"/>
            <w:vAlign w:val="center"/>
          </w:tcPr>
          <w:p w14:paraId="5A221DBB">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仪  器</w:t>
            </w:r>
          </w:p>
        </w:tc>
        <w:tc>
          <w:tcPr>
            <w:tcW w:w="936" w:type="pct"/>
            <w:shd w:val="clear" w:color="auto" w:fill="DDD9C3"/>
            <w:noWrap w:val="0"/>
            <w:vAlign w:val="center"/>
          </w:tcPr>
          <w:p w14:paraId="2EA554B4">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目的</w:t>
            </w:r>
          </w:p>
        </w:tc>
      </w:tr>
      <w:tr w14:paraId="44A1A6D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1166" w:hRule="atLeast"/>
          <w:jc w:val="center"/>
        </w:trPr>
        <w:tc>
          <w:tcPr>
            <w:tcW w:w="403" w:type="pct"/>
            <w:noWrap w:val="0"/>
            <w:vAlign w:val="center"/>
          </w:tcPr>
          <w:p w14:paraId="1A68141D">
            <w:pPr>
              <w:spacing w:before="100" w:after="100" w:line="300" w:lineRule="exact"/>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629" w:type="pct"/>
            <w:noWrap w:val="0"/>
            <w:vAlign w:val="center"/>
          </w:tcPr>
          <w:p w14:paraId="49AE182F">
            <w:pPr>
              <w:widowControl/>
              <w:spacing w:line="240" w:lineRule="auto"/>
              <w:ind w:left="0" w:leftChars="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边坡</w:t>
            </w:r>
            <w:r>
              <w:rPr>
                <w:rFonts w:hint="eastAsia" w:ascii="宋体" w:hAnsi="宋体" w:eastAsia="宋体" w:cs="宋体"/>
                <w:sz w:val="21"/>
                <w:szCs w:val="21"/>
              </w:rPr>
              <w:t>水平位移监测</w:t>
            </w:r>
            <w:r>
              <w:rPr>
                <w:rFonts w:hint="eastAsia" w:ascii="宋体" w:hAnsi="宋体" w:eastAsia="宋体" w:cs="宋体"/>
                <w:color w:val="auto"/>
                <w:kern w:val="0"/>
                <w:sz w:val="21"/>
                <w:szCs w:val="21"/>
                <w:highlight w:val="none"/>
              </w:rPr>
              <w:t>监测</w:t>
            </w:r>
          </w:p>
        </w:tc>
        <w:tc>
          <w:tcPr>
            <w:tcW w:w="788" w:type="pct"/>
            <w:noWrap w:val="0"/>
            <w:vAlign w:val="center"/>
          </w:tcPr>
          <w:p w14:paraId="44BBFBC7">
            <w:pPr>
              <w:spacing w:before="100" w:after="100" w:line="260" w:lineRule="exact"/>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高</w:t>
            </w:r>
            <w:r>
              <w:rPr>
                <w:rFonts w:hint="eastAsia" w:ascii="宋体" w:hAnsi="宋体" w:eastAsia="宋体" w:cs="宋体"/>
                <w:color w:val="auto"/>
                <w:sz w:val="21"/>
                <w:szCs w:val="21"/>
                <w:highlight w:val="none"/>
              </w:rPr>
              <w:t>边坡</w:t>
            </w:r>
          </w:p>
        </w:tc>
        <w:tc>
          <w:tcPr>
            <w:tcW w:w="1548" w:type="pct"/>
            <w:noWrap w:val="0"/>
            <w:vAlign w:val="center"/>
          </w:tcPr>
          <w:p w14:paraId="5C99F582">
            <w:pPr>
              <w:widowControl/>
              <w:spacing w:line="240" w:lineRule="auto"/>
              <w:ind w:left="0" w:leftChars="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监测横断面上于路堑坡顶(外5m、10m、15m)各级边坡平台、坡脚设置位移边桩进行位移观测</w:t>
            </w:r>
          </w:p>
        </w:tc>
        <w:tc>
          <w:tcPr>
            <w:tcW w:w="694" w:type="pct"/>
            <w:noWrap w:val="0"/>
            <w:vAlign w:val="center"/>
          </w:tcPr>
          <w:p w14:paraId="4022973A">
            <w:pPr>
              <w:widowControl/>
              <w:spacing w:line="240" w:lineRule="auto"/>
              <w:ind w:left="0" w:leftChars="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全站仪</w:t>
            </w:r>
          </w:p>
        </w:tc>
        <w:tc>
          <w:tcPr>
            <w:tcW w:w="936" w:type="pct"/>
            <w:vMerge w:val="restart"/>
            <w:noWrap w:val="0"/>
            <w:vAlign w:val="center"/>
          </w:tcPr>
          <w:p w14:paraId="3C4B0DB2">
            <w:pPr>
              <w:spacing w:before="100" w:after="100" w:line="260" w:lineRule="exact"/>
              <w:ind w:left="0" w:leftChars="0" w:firstLine="0" w:firstLineChars="0"/>
              <w:jc w:val="both"/>
              <w:rPr>
                <w:rFonts w:hint="eastAsia" w:ascii="宋体" w:hAnsi="宋体" w:eastAsia="宋体" w:cs="宋体"/>
                <w:color w:val="auto"/>
                <w:sz w:val="21"/>
                <w:szCs w:val="21"/>
                <w:highlight w:val="none"/>
              </w:rPr>
            </w:pPr>
            <w:r>
              <w:rPr>
                <w:sz w:val="20"/>
              </w:rPr>
              <w:t>利用坡顶和平台上设置的观测点，观测地表位移、变形发展情况。</w:t>
            </w:r>
          </w:p>
        </w:tc>
      </w:tr>
      <w:tr w14:paraId="08A1AE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1166" w:hRule="atLeast"/>
          <w:jc w:val="center"/>
        </w:trPr>
        <w:tc>
          <w:tcPr>
            <w:tcW w:w="403" w:type="pct"/>
            <w:noWrap w:val="0"/>
            <w:vAlign w:val="center"/>
          </w:tcPr>
          <w:p w14:paraId="1FF3509C">
            <w:pPr>
              <w:spacing w:before="100" w:after="100" w:line="300" w:lineRule="exact"/>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629" w:type="pct"/>
            <w:noWrap w:val="0"/>
            <w:vAlign w:val="center"/>
          </w:tcPr>
          <w:p w14:paraId="5EBF57AC">
            <w:pPr>
              <w:widowControl/>
              <w:spacing w:line="240" w:lineRule="auto"/>
              <w:ind w:left="0" w:leftChars="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边坡</w:t>
            </w:r>
            <w:r>
              <w:rPr>
                <w:rFonts w:hint="eastAsia" w:ascii="宋体" w:hAnsi="宋体" w:eastAsia="宋体" w:cs="宋体"/>
                <w:sz w:val="21"/>
                <w:szCs w:val="21"/>
              </w:rPr>
              <w:t>垂直变形监测</w:t>
            </w:r>
          </w:p>
        </w:tc>
        <w:tc>
          <w:tcPr>
            <w:tcW w:w="788" w:type="pct"/>
            <w:noWrap w:val="0"/>
            <w:vAlign w:val="center"/>
          </w:tcPr>
          <w:p w14:paraId="3715687B">
            <w:pPr>
              <w:spacing w:before="100" w:after="100" w:line="260" w:lineRule="exact"/>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高</w:t>
            </w:r>
            <w:r>
              <w:rPr>
                <w:rFonts w:hint="eastAsia" w:ascii="宋体" w:hAnsi="宋体" w:eastAsia="宋体" w:cs="宋体"/>
                <w:color w:val="auto"/>
                <w:sz w:val="21"/>
                <w:szCs w:val="21"/>
                <w:highlight w:val="none"/>
              </w:rPr>
              <w:t>边坡</w:t>
            </w:r>
          </w:p>
        </w:tc>
        <w:tc>
          <w:tcPr>
            <w:tcW w:w="1548" w:type="pct"/>
            <w:noWrap w:val="0"/>
            <w:vAlign w:val="center"/>
          </w:tcPr>
          <w:p w14:paraId="3FDF970B">
            <w:pPr>
              <w:widowControl/>
              <w:spacing w:line="240" w:lineRule="auto"/>
              <w:ind w:left="0" w:leftChars="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监测横断面上于路堑坡顶(外5m、10m、15m)各级边坡平台、坡脚设置位移边桩进行位移观测</w:t>
            </w:r>
          </w:p>
        </w:tc>
        <w:tc>
          <w:tcPr>
            <w:tcW w:w="694" w:type="pct"/>
            <w:noWrap w:val="0"/>
            <w:vAlign w:val="center"/>
          </w:tcPr>
          <w:p w14:paraId="519094F9">
            <w:pPr>
              <w:widowControl/>
              <w:spacing w:line="240" w:lineRule="auto"/>
              <w:ind w:left="0" w:leftChars="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全站仪、</w:t>
            </w:r>
            <w:r>
              <w:rPr>
                <w:rFonts w:hint="eastAsia" w:ascii="宋体" w:hAnsi="宋体" w:eastAsia="宋体" w:cs="宋体"/>
                <w:color w:val="auto"/>
                <w:kern w:val="0"/>
                <w:sz w:val="21"/>
                <w:szCs w:val="21"/>
                <w:highlight w:val="none"/>
                <w:lang w:eastAsia="zh-CN"/>
              </w:rPr>
              <w:t>水准</w:t>
            </w:r>
            <w:r>
              <w:rPr>
                <w:rFonts w:hint="eastAsia" w:ascii="宋体" w:hAnsi="宋体" w:eastAsia="宋体" w:cs="宋体"/>
                <w:color w:val="auto"/>
                <w:kern w:val="0"/>
                <w:sz w:val="21"/>
                <w:szCs w:val="21"/>
                <w:highlight w:val="none"/>
              </w:rPr>
              <w:t>仪</w:t>
            </w:r>
          </w:p>
        </w:tc>
        <w:tc>
          <w:tcPr>
            <w:tcW w:w="936" w:type="pct"/>
            <w:vMerge w:val="continue"/>
            <w:noWrap w:val="0"/>
            <w:vAlign w:val="center"/>
          </w:tcPr>
          <w:p w14:paraId="502AF464">
            <w:pPr>
              <w:spacing w:before="40" w:after="40" w:line="240" w:lineRule="exact"/>
              <w:jc w:val="center"/>
              <w:rPr>
                <w:rFonts w:hint="eastAsia" w:ascii="宋体" w:hAnsi="宋体" w:eastAsia="宋体" w:cs="宋体"/>
                <w:color w:val="auto"/>
                <w:sz w:val="21"/>
                <w:szCs w:val="21"/>
                <w:highlight w:val="none"/>
              </w:rPr>
            </w:pPr>
          </w:p>
        </w:tc>
      </w:tr>
      <w:tr w14:paraId="77C9FF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096" w:hRule="atLeast"/>
          <w:jc w:val="center"/>
        </w:trPr>
        <w:tc>
          <w:tcPr>
            <w:tcW w:w="403" w:type="pct"/>
            <w:noWrap w:val="0"/>
            <w:vAlign w:val="center"/>
          </w:tcPr>
          <w:p w14:paraId="56B7FE58">
            <w:pPr>
              <w:spacing w:before="100" w:after="100" w:line="300" w:lineRule="exact"/>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629" w:type="pct"/>
            <w:noWrap w:val="0"/>
            <w:vAlign w:val="center"/>
          </w:tcPr>
          <w:p w14:paraId="209F5A0F">
            <w:pPr>
              <w:ind w:left="0" w:leftChars="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现场巡查</w:t>
            </w:r>
          </w:p>
        </w:tc>
        <w:tc>
          <w:tcPr>
            <w:tcW w:w="788" w:type="pct"/>
            <w:noWrap w:val="0"/>
            <w:vAlign w:val="center"/>
          </w:tcPr>
          <w:p w14:paraId="204CD0A0">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施工工况及支护结构</w:t>
            </w:r>
          </w:p>
        </w:tc>
        <w:tc>
          <w:tcPr>
            <w:tcW w:w="1548" w:type="pct"/>
            <w:noWrap w:val="0"/>
            <w:vAlign w:val="center"/>
          </w:tcPr>
          <w:p w14:paraId="3649A857">
            <w:pPr>
              <w:ind w:left="0" w:leftChars="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对开挖后工程地质及水文地质的观察；</w:t>
            </w:r>
            <w:r>
              <w:rPr>
                <w:rFonts w:hint="eastAsia" w:ascii="宋体" w:hAnsi="宋体" w:eastAsia="宋体" w:cs="宋体"/>
                <w:color w:val="auto"/>
                <w:sz w:val="21"/>
                <w:szCs w:val="21"/>
                <w:highlight w:val="none"/>
                <w:lang w:val="en-US" w:eastAsia="zh-CN"/>
              </w:rPr>
              <w:t>高边坡</w:t>
            </w:r>
            <w:r>
              <w:rPr>
                <w:rFonts w:hint="eastAsia" w:ascii="宋体" w:hAnsi="宋体" w:eastAsia="宋体" w:cs="宋体"/>
                <w:color w:val="auto"/>
                <w:sz w:val="21"/>
                <w:szCs w:val="21"/>
                <w:highlight w:val="none"/>
              </w:rPr>
              <w:t>的变形、裂缝等的观察描述；</w:t>
            </w:r>
          </w:p>
        </w:tc>
        <w:tc>
          <w:tcPr>
            <w:tcW w:w="694" w:type="pct"/>
            <w:noWrap w:val="0"/>
            <w:vAlign w:val="center"/>
          </w:tcPr>
          <w:p w14:paraId="022DB460">
            <w:pPr>
              <w:ind w:left="0" w:leftChars="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人工目测并辅以量尺、锤、放大镜、照相机等</w:t>
            </w:r>
          </w:p>
        </w:tc>
        <w:tc>
          <w:tcPr>
            <w:tcW w:w="936" w:type="pct"/>
            <w:noWrap w:val="0"/>
            <w:vAlign w:val="center"/>
          </w:tcPr>
          <w:p w14:paraId="150B3F53">
            <w:pPr>
              <w:spacing w:before="40" w:after="40" w:line="240" w:lineRule="exact"/>
              <w:jc w:val="center"/>
              <w:rPr>
                <w:rFonts w:hint="eastAsia" w:ascii="宋体" w:hAnsi="宋体" w:eastAsia="宋体" w:cs="宋体"/>
                <w:color w:val="auto"/>
                <w:sz w:val="21"/>
                <w:szCs w:val="21"/>
                <w:highlight w:val="none"/>
              </w:rPr>
            </w:pPr>
          </w:p>
        </w:tc>
      </w:tr>
    </w:tbl>
    <w:p w14:paraId="6A957A9E">
      <w:pPr>
        <w:ind w:firstLine="422" w:firstLineChars="200"/>
        <w:jc w:val="center"/>
        <w:rPr>
          <w:rFonts w:hint="default" w:eastAsia="宋体"/>
          <w:lang w:val="en-US" w:eastAsia="zh-CN"/>
        </w:rPr>
      </w:pPr>
      <w:r>
        <w:rPr>
          <w:rFonts w:hint="eastAsia" w:ascii="宋体" w:hAnsi="宋体" w:eastAsia="宋体" w:cs="宋体"/>
          <w:b/>
          <w:bCs/>
          <w:color w:val="auto"/>
          <w:sz w:val="21"/>
          <w:szCs w:val="21"/>
          <w:highlight w:val="none"/>
          <w:lang w:val="en-US" w:eastAsia="zh-CN"/>
        </w:rPr>
        <w:t>表4-5</w:t>
      </w:r>
      <w:r>
        <w:rPr>
          <w:rFonts w:hint="eastAsia" w:ascii="宋体" w:hAnsi="宋体" w:eastAsia="宋体" w:cs="宋体"/>
          <w:b/>
          <w:bCs/>
          <w:color w:val="auto"/>
          <w:sz w:val="21"/>
          <w:szCs w:val="21"/>
          <w:highlight w:val="none"/>
        </w:rPr>
        <w:t>监测</w:t>
      </w:r>
      <w:r>
        <w:rPr>
          <w:rFonts w:hint="eastAsia" w:ascii="宋体" w:hAnsi="宋体" w:eastAsia="宋体" w:cs="宋体"/>
          <w:b/>
          <w:bCs/>
          <w:color w:val="auto"/>
          <w:sz w:val="21"/>
          <w:szCs w:val="21"/>
          <w:highlight w:val="none"/>
          <w:lang w:val="en-US" w:eastAsia="zh-CN"/>
        </w:rPr>
        <w:t>断面布设位置</w:t>
      </w:r>
    </w:p>
    <w:tbl>
      <w:tblPr>
        <w:tblStyle w:val="25"/>
        <w:tblW w:w="92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4"/>
        <w:gridCol w:w="3124"/>
        <w:gridCol w:w="1341"/>
        <w:gridCol w:w="1527"/>
        <w:gridCol w:w="1991"/>
      </w:tblGrid>
      <w:tr w14:paraId="105BCD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jc w:val="center"/>
        </w:trPr>
        <w:tc>
          <w:tcPr>
            <w:tcW w:w="1234" w:type="dxa"/>
            <w:shd w:val="clear" w:color="auto" w:fill="B4C6E7" w:themeFill="accent1" w:themeFillTint="66"/>
            <w:vAlign w:val="center"/>
          </w:tcPr>
          <w:p w14:paraId="1AF57D9A">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序号</w:t>
            </w:r>
          </w:p>
        </w:tc>
        <w:tc>
          <w:tcPr>
            <w:tcW w:w="3124" w:type="dxa"/>
            <w:shd w:val="clear" w:color="auto" w:fill="B4C6E7" w:themeFill="accent1" w:themeFillTint="66"/>
            <w:vAlign w:val="center"/>
          </w:tcPr>
          <w:p w14:paraId="65A2C44E">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边坡段落</w:t>
            </w:r>
          </w:p>
        </w:tc>
        <w:tc>
          <w:tcPr>
            <w:tcW w:w="1341" w:type="dxa"/>
            <w:shd w:val="clear" w:color="auto" w:fill="B4C6E7" w:themeFill="accent1" w:themeFillTint="66"/>
            <w:vAlign w:val="center"/>
          </w:tcPr>
          <w:p w14:paraId="13162695">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最大高度（m）</w:t>
            </w:r>
          </w:p>
        </w:tc>
        <w:tc>
          <w:tcPr>
            <w:tcW w:w="1527" w:type="dxa"/>
            <w:shd w:val="clear" w:color="auto" w:fill="B4C6E7" w:themeFill="accent1" w:themeFillTint="66"/>
            <w:vAlign w:val="center"/>
          </w:tcPr>
          <w:p w14:paraId="4325FCB2">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具体点位</w:t>
            </w:r>
          </w:p>
        </w:tc>
        <w:tc>
          <w:tcPr>
            <w:tcW w:w="1991" w:type="dxa"/>
            <w:shd w:val="clear" w:color="auto" w:fill="B4C6E7" w:themeFill="accent1" w:themeFillTint="66"/>
            <w:vAlign w:val="center"/>
          </w:tcPr>
          <w:p w14:paraId="6130B1BA">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备注</w:t>
            </w:r>
          </w:p>
        </w:tc>
      </w:tr>
      <w:tr w14:paraId="259A1F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jc w:val="center"/>
        </w:trPr>
        <w:tc>
          <w:tcPr>
            <w:tcW w:w="1234" w:type="dxa"/>
            <w:vMerge w:val="restart"/>
            <w:vAlign w:val="center"/>
          </w:tcPr>
          <w:p w14:paraId="4C2FE580">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3124" w:type="dxa"/>
            <w:vMerge w:val="restart"/>
            <w:vAlign w:val="center"/>
          </w:tcPr>
          <w:p w14:paraId="33428F07">
            <w:pPr>
              <w:snapToGrid w:val="0"/>
              <w:spacing w:before="100" w:after="100" w:line="240"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K4+445.88~K4+463.24左侧</w:t>
            </w:r>
          </w:p>
        </w:tc>
        <w:tc>
          <w:tcPr>
            <w:tcW w:w="1341" w:type="dxa"/>
            <w:vMerge w:val="restart"/>
            <w:vAlign w:val="center"/>
          </w:tcPr>
          <w:p w14:paraId="552D915A">
            <w:pPr>
              <w:snapToGrid w:val="0"/>
              <w:spacing w:before="100" w:after="100" w:line="240"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1527" w:type="dxa"/>
            <w:vAlign w:val="center"/>
          </w:tcPr>
          <w:p w14:paraId="11E00F9D">
            <w:pPr>
              <w:snapToGrid w:val="0"/>
              <w:spacing w:before="100" w:after="100" w:line="240"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K4+4</w:t>
            </w:r>
            <w:r>
              <w:rPr>
                <w:rFonts w:hint="eastAsia" w:hAnsi="宋体" w:cs="宋体"/>
                <w:color w:val="auto"/>
                <w:sz w:val="21"/>
                <w:szCs w:val="21"/>
                <w:highlight w:val="none"/>
                <w:lang w:val="en-US" w:eastAsia="zh-CN"/>
              </w:rPr>
              <w:t>45</w:t>
            </w:r>
          </w:p>
        </w:tc>
        <w:tc>
          <w:tcPr>
            <w:tcW w:w="1991" w:type="dxa"/>
            <w:vMerge w:val="restart"/>
            <w:vAlign w:val="center"/>
          </w:tcPr>
          <w:p w14:paraId="751CB21F">
            <w:pPr>
              <w:snapToGrid w:val="0"/>
              <w:spacing w:before="100" w:after="100" w:line="240"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hAnsi="宋体" w:cs="宋体"/>
                <w:color w:val="auto"/>
                <w:sz w:val="21"/>
                <w:szCs w:val="21"/>
                <w:highlight w:val="none"/>
                <w:lang w:val="en-US" w:eastAsia="zh-CN"/>
              </w:rPr>
              <w:t>坡顶、边坡平台、坡脚设置观测点</w:t>
            </w:r>
          </w:p>
        </w:tc>
      </w:tr>
      <w:tr w14:paraId="0FB9D8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jc w:val="center"/>
        </w:trPr>
        <w:tc>
          <w:tcPr>
            <w:tcW w:w="1234" w:type="dxa"/>
            <w:vMerge w:val="continue"/>
            <w:vAlign w:val="center"/>
          </w:tcPr>
          <w:p w14:paraId="3E41975A">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c>
          <w:tcPr>
            <w:tcW w:w="3124" w:type="dxa"/>
            <w:vMerge w:val="continue"/>
            <w:vAlign w:val="center"/>
          </w:tcPr>
          <w:p w14:paraId="0A330816">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c>
          <w:tcPr>
            <w:tcW w:w="1341" w:type="dxa"/>
            <w:vMerge w:val="continue"/>
            <w:vAlign w:val="center"/>
          </w:tcPr>
          <w:p w14:paraId="7DF1748B">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c>
          <w:tcPr>
            <w:tcW w:w="1527" w:type="dxa"/>
            <w:vAlign w:val="center"/>
          </w:tcPr>
          <w:p w14:paraId="19932D22">
            <w:pPr>
              <w:snapToGrid w:val="0"/>
              <w:spacing w:before="100" w:after="100" w:line="240"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K4+4</w:t>
            </w:r>
            <w:r>
              <w:rPr>
                <w:rFonts w:hint="eastAsia" w:hAnsi="宋体" w:cs="宋体"/>
                <w:color w:val="auto"/>
                <w:sz w:val="21"/>
                <w:szCs w:val="21"/>
                <w:highlight w:val="none"/>
                <w:lang w:val="en-US" w:eastAsia="zh-CN"/>
              </w:rPr>
              <w:t>50</w:t>
            </w:r>
          </w:p>
        </w:tc>
        <w:tc>
          <w:tcPr>
            <w:tcW w:w="1991" w:type="dxa"/>
            <w:vMerge w:val="continue"/>
            <w:tcBorders/>
            <w:vAlign w:val="center"/>
          </w:tcPr>
          <w:p w14:paraId="34B0E4A5">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r>
      <w:tr w14:paraId="3CE7E0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jc w:val="center"/>
        </w:trPr>
        <w:tc>
          <w:tcPr>
            <w:tcW w:w="1234" w:type="dxa"/>
            <w:vMerge w:val="continue"/>
            <w:vAlign w:val="center"/>
          </w:tcPr>
          <w:p w14:paraId="37626A81">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c>
          <w:tcPr>
            <w:tcW w:w="3124" w:type="dxa"/>
            <w:vMerge w:val="continue"/>
            <w:vAlign w:val="center"/>
          </w:tcPr>
          <w:p w14:paraId="3EF4F76F">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c>
          <w:tcPr>
            <w:tcW w:w="1341" w:type="dxa"/>
            <w:vMerge w:val="continue"/>
            <w:vAlign w:val="center"/>
          </w:tcPr>
          <w:p w14:paraId="196EE063">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c>
          <w:tcPr>
            <w:tcW w:w="1527" w:type="dxa"/>
            <w:vAlign w:val="center"/>
          </w:tcPr>
          <w:p w14:paraId="23C924AB">
            <w:pPr>
              <w:snapToGrid w:val="0"/>
              <w:spacing w:before="100" w:after="100" w:line="240"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K4+4</w:t>
            </w:r>
            <w:r>
              <w:rPr>
                <w:rFonts w:hint="eastAsia" w:hAnsi="宋体" w:cs="宋体"/>
                <w:color w:val="auto"/>
                <w:sz w:val="21"/>
                <w:szCs w:val="21"/>
                <w:highlight w:val="none"/>
                <w:lang w:val="en-US" w:eastAsia="zh-CN"/>
              </w:rPr>
              <w:t>55</w:t>
            </w:r>
          </w:p>
        </w:tc>
        <w:tc>
          <w:tcPr>
            <w:tcW w:w="1991" w:type="dxa"/>
            <w:vMerge w:val="continue"/>
            <w:tcBorders/>
            <w:vAlign w:val="center"/>
          </w:tcPr>
          <w:p w14:paraId="247BC1AD">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r>
      <w:tr w14:paraId="11C5A1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jc w:val="center"/>
        </w:trPr>
        <w:tc>
          <w:tcPr>
            <w:tcW w:w="1234" w:type="dxa"/>
            <w:vMerge w:val="continue"/>
            <w:vAlign w:val="center"/>
          </w:tcPr>
          <w:p w14:paraId="4642F2D5">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c>
          <w:tcPr>
            <w:tcW w:w="3124" w:type="dxa"/>
            <w:vMerge w:val="continue"/>
            <w:vAlign w:val="center"/>
          </w:tcPr>
          <w:p w14:paraId="3C2C844C">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c>
          <w:tcPr>
            <w:tcW w:w="1341" w:type="dxa"/>
            <w:vMerge w:val="continue"/>
            <w:vAlign w:val="center"/>
          </w:tcPr>
          <w:p w14:paraId="665176B0">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c>
          <w:tcPr>
            <w:tcW w:w="1527" w:type="dxa"/>
            <w:vAlign w:val="center"/>
          </w:tcPr>
          <w:p w14:paraId="29959289">
            <w:pPr>
              <w:snapToGrid w:val="0"/>
              <w:spacing w:before="100" w:after="100" w:line="240"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K4+4</w:t>
            </w:r>
            <w:r>
              <w:rPr>
                <w:rFonts w:hint="eastAsia" w:hAnsi="宋体" w:cs="宋体"/>
                <w:color w:val="auto"/>
                <w:sz w:val="21"/>
                <w:szCs w:val="21"/>
                <w:highlight w:val="none"/>
                <w:lang w:val="en-US" w:eastAsia="zh-CN"/>
              </w:rPr>
              <w:t>60</w:t>
            </w:r>
          </w:p>
        </w:tc>
        <w:tc>
          <w:tcPr>
            <w:tcW w:w="1991" w:type="dxa"/>
            <w:vMerge w:val="continue"/>
            <w:tcBorders/>
            <w:vAlign w:val="center"/>
          </w:tcPr>
          <w:p w14:paraId="1FAB2350">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r>
      <w:tr w14:paraId="18B946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jc w:val="center"/>
        </w:trPr>
        <w:tc>
          <w:tcPr>
            <w:tcW w:w="1234" w:type="dxa"/>
            <w:vMerge w:val="continue"/>
            <w:tcBorders>
              <w:top w:val="nil"/>
            </w:tcBorders>
            <w:vAlign w:val="center"/>
          </w:tcPr>
          <w:p w14:paraId="6B930BF1">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c>
          <w:tcPr>
            <w:tcW w:w="3124" w:type="dxa"/>
            <w:vMerge w:val="continue"/>
            <w:tcBorders>
              <w:top w:val="nil"/>
            </w:tcBorders>
            <w:vAlign w:val="center"/>
          </w:tcPr>
          <w:p w14:paraId="0AA3558A">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c>
          <w:tcPr>
            <w:tcW w:w="1341" w:type="dxa"/>
            <w:vMerge w:val="continue"/>
            <w:tcBorders>
              <w:top w:val="nil"/>
            </w:tcBorders>
            <w:vAlign w:val="center"/>
          </w:tcPr>
          <w:p w14:paraId="311C6238">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c>
          <w:tcPr>
            <w:tcW w:w="1527" w:type="dxa"/>
            <w:vAlign w:val="center"/>
          </w:tcPr>
          <w:p w14:paraId="00C71048">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K4+46</w:t>
            </w:r>
            <w:r>
              <w:rPr>
                <w:rFonts w:hint="eastAsia" w:hAnsi="宋体" w:cs="宋体"/>
                <w:color w:val="auto"/>
                <w:sz w:val="21"/>
                <w:szCs w:val="21"/>
                <w:highlight w:val="none"/>
                <w:lang w:val="en-US" w:eastAsia="zh-CN"/>
              </w:rPr>
              <w:t>5</w:t>
            </w:r>
          </w:p>
        </w:tc>
        <w:tc>
          <w:tcPr>
            <w:tcW w:w="1991" w:type="dxa"/>
            <w:vMerge w:val="continue"/>
            <w:tcBorders/>
            <w:vAlign w:val="center"/>
          </w:tcPr>
          <w:p w14:paraId="159D734D">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r>
      <w:tr w14:paraId="1929A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jc w:val="center"/>
        </w:trPr>
        <w:tc>
          <w:tcPr>
            <w:tcW w:w="1234" w:type="dxa"/>
            <w:vMerge w:val="restart"/>
            <w:vAlign w:val="center"/>
          </w:tcPr>
          <w:p w14:paraId="7FEF5858">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3124" w:type="dxa"/>
            <w:vMerge w:val="restart"/>
            <w:vAlign w:val="center"/>
          </w:tcPr>
          <w:p w14:paraId="2B9835B5">
            <w:pPr>
              <w:snapToGrid w:val="0"/>
              <w:spacing w:before="100" w:after="100" w:line="240"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K4+445.88~K4+463.24右侧</w:t>
            </w:r>
          </w:p>
        </w:tc>
        <w:tc>
          <w:tcPr>
            <w:tcW w:w="1341" w:type="dxa"/>
            <w:vMerge w:val="restart"/>
            <w:vAlign w:val="center"/>
          </w:tcPr>
          <w:p w14:paraId="074C48D4">
            <w:pPr>
              <w:snapToGrid w:val="0"/>
              <w:spacing w:before="100" w:after="100" w:line="240"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1527" w:type="dxa"/>
            <w:shd w:val="clear"/>
            <w:vAlign w:val="center"/>
          </w:tcPr>
          <w:p w14:paraId="143EB8D5">
            <w:pPr>
              <w:snapToGrid w:val="0"/>
              <w:spacing w:before="100" w:after="100" w:line="240" w:lineRule="auto"/>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 xml:space="preserve"> K4+4</w:t>
            </w:r>
            <w:r>
              <w:rPr>
                <w:rFonts w:hint="eastAsia" w:hAnsi="宋体" w:cs="宋体"/>
                <w:color w:val="auto"/>
                <w:sz w:val="21"/>
                <w:szCs w:val="21"/>
                <w:highlight w:val="none"/>
                <w:lang w:val="en-US" w:eastAsia="zh-CN"/>
              </w:rPr>
              <w:t>45</w:t>
            </w:r>
          </w:p>
        </w:tc>
        <w:tc>
          <w:tcPr>
            <w:tcW w:w="1991" w:type="dxa"/>
            <w:vMerge w:val="restart"/>
            <w:vAlign w:val="center"/>
          </w:tcPr>
          <w:p w14:paraId="50AFD84B">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hAnsi="宋体" w:cs="宋体"/>
                <w:color w:val="auto"/>
                <w:sz w:val="21"/>
                <w:szCs w:val="21"/>
                <w:highlight w:val="none"/>
                <w:lang w:val="en-US" w:eastAsia="zh-CN"/>
              </w:rPr>
              <w:t>坡顶、坡脚设置观测点</w:t>
            </w:r>
          </w:p>
        </w:tc>
      </w:tr>
      <w:tr w14:paraId="4368AB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jc w:val="center"/>
        </w:trPr>
        <w:tc>
          <w:tcPr>
            <w:tcW w:w="1234" w:type="dxa"/>
            <w:vMerge w:val="continue"/>
            <w:vAlign w:val="center"/>
          </w:tcPr>
          <w:p w14:paraId="2502AE34">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c>
          <w:tcPr>
            <w:tcW w:w="3124" w:type="dxa"/>
            <w:vMerge w:val="continue"/>
            <w:vAlign w:val="center"/>
          </w:tcPr>
          <w:p w14:paraId="73DC83F8">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c>
          <w:tcPr>
            <w:tcW w:w="1341" w:type="dxa"/>
            <w:vMerge w:val="continue"/>
            <w:vAlign w:val="center"/>
          </w:tcPr>
          <w:p w14:paraId="0315FEB5">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c>
          <w:tcPr>
            <w:tcW w:w="1527" w:type="dxa"/>
            <w:shd w:val="clear"/>
            <w:vAlign w:val="center"/>
          </w:tcPr>
          <w:p w14:paraId="7D0DED51">
            <w:pPr>
              <w:snapToGrid w:val="0"/>
              <w:spacing w:before="100" w:after="100" w:line="240" w:lineRule="auto"/>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 xml:space="preserve"> K4+4</w:t>
            </w:r>
            <w:r>
              <w:rPr>
                <w:rFonts w:hint="eastAsia" w:hAnsi="宋体" w:cs="宋体"/>
                <w:color w:val="auto"/>
                <w:sz w:val="21"/>
                <w:szCs w:val="21"/>
                <w:highlight w:val="none"/>
                <w:lang w:val="en-US" w:eastAsia="zh-CN"/>
              </w:rPr>
              <w:t>50</w:t>
            </w:r>
          </w:p>
        </w:tc>
        <w:tc>
          <w:tcPr>
            <w:tcW w:w="1991" w:type="dxa"/>
            <w:vMerge w:val="continue"/>
            <w:tcBorders/>
            <w:vAlign w:val="center"/>
          </w:tcPr>
          <w:p w14:paraId="6164303B">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r>
      <w:tr w14:paraId="59D091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jc w:val="center"/>
        </w:trPr>
        <w:tc>
          <w:tcPr>
            <w:tcW w:w="1234" w:type="dxa"/>
            <w:vMerge w:val="continue"/>
            <w:vAlign w:val="center"/>
          </w:tcPr>
          <w:p w14:paraId="5C070C6C">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c>
          <w:tcPr>
            <w:tcW w:w="3124" w:type="dxa"/>
            <w:vMerge w:val="continue"/>
            <w:vAlign w:val="center"/>
          </w:tcPr>
          <w:p w14:paraId="5C5FCAD1">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c>
          <w:tcPr>
            <w:tcW w:w="1341" w:type="dxa"/>
            <w:vMerge w:val="continue"/>
            <w:vAlign w:val="center"/>
          </w:tcPr>
          <w:p w14:paraId="5F83BF47">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c>
          <w:tcPr>
            <w:tcW w:w="1527" w:type="dxa"/>
            <w:shd w:val="clear"/>
            <w:vAlign w:val="center"/>
          </w:tcPr>
          <w:p w14:paraId="54D163E7">
            <w:pPr>
              <w:snapToGrid w:val="0"/>
              <w:spacing w:before="100" w:after="100" w:line="240" w:lineRule="auto"/>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 xml:space="preserve"> K4+4</w:t>
            </w:r>
            <w:r>
              <w:rPr>
                <w:rFonts w:hint="eastAsia" w:hAnsi="宋体" w:cs="宋体"/>
                <w:color w:val="auto"/>
                <w:sz w:val="21"/>
                <w:szCs w:val="21"/>
                <w:highlight w:val="none"/>
                <w:lang w:val="en-US" w:eastAsia="zh-CN"/>
              </w:rPr>
              <w:t>55</w:t>
            </w:r>
          </w:p>
        </w:tc>
        <w:tc>
          <w:tcPr>
            <w:tcW w:w="1991" w:type="dxa"/>
            <w:vMerge w:val="continue"/>
            <w:tcBorders/>
            <w:vAlign w:val="center"/>
          </w:tcPr>
          <w:p w14:paraId="10A4A95C">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r>
      <w:tr w14:paraId="23E90E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jc w:val="center"/>
        </w:trPr>
        <w:tc>
          <w:tcPr>
            <w:tcW w:w="1234" w:type="dxa"/>
            <w:vMerge w:val="continue"/>
            <w:vAlign w:val="center"/>
          </w:tcPr>
          <w:p w14:paraId="6E72C4A4">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c>
          <w:tcPr>
            <w:tcW w:w="3124" w:type="dxa"/>
            <w:vMerge w:val="continue"/>
            <w:vAlign w:val="center"/>
          </w:tcPr>
          <w:p w14:paraId="0720B3FA">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c>
          <w:tcPr>
            <w:tcW w:w="1341" w:type="dxa"/>
            <w:vMerge w:val="continue"/>
            <w:vAlign w:val="center"/>
          </w:tcPr>
          <w:p w14:paraId="07ABD9AC">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c>
          <w:tcPr>
            <w:tcW w:w="1527" w:type="dxa"/>
            <w:shd w:val="clear"/>
            <w:vAlign w:val="center"/>
          </w:tcPr>
          <w:p w14:paraId="437A3318">
            <w:pPr>
              <w:snapToGrid w:val="0"/>
              <w:spacing w:before="100" w:after="100" w:line="240" w:lineRule="auto"/>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 xml:space="preserve"> K4+4</w:t>
            </w:r>
            <w:r>
              <w:rPr>
                <w:rFonts w:hint="eastAsia" w:hAnsi="宋体" w:cs="宋体"/>
                <w:color w:val="auto"/>
                <w:sz w:val="21"/>
                <w:szCs w:val="21"/>
                <w:highlight w:val="none"/>
                <w:lang w:val="en-US" w:eastAsia="zh-CN"/>
              </w:rPr>
              <w:t>60</w:t>
            </w:r>
          </w:p>
        </w:tc>
        <w:tc>
          <w:tcPr>
            <w:tcW w:w="1991" w:type="dxa"/>
            <w:vMerge w:val="continue"/>
            <w:tcBorders/>
            <w:vAlign w:val="center"/>
          </w:tcPr>
          <w:p w14:paraId="0D59AFD9">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r>
      <w:tr w14:paraId="7C16B2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jc w:val="center"/>
        </w:trPr>
        <w:tc>
          <w:tcPr>
            <w:tcW w:w="1234" w:type="dxa"/>
            <w:vMerge w:val="continue"/>
            <w:tcBorders>
              <w:top w:val="nil"/>
            </w:tcBorders>
            <w:vAlign w:val="center"/>
          </w:tcPr>
          <w:p w14:paraId="1C557401">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c>
          <w:tcPr>
            <w:tcW w:w="3124" w:type="dxa"/>
            <w:vMerge w:val="continue"/>
            <w:tcBorders>
              <w:top w:val="nil"/>
            </w:tcBorders>
            <w:vAlign w:val="center"/>
          </w:tcPr>
          <w:p w14:paraId="635511C9">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c>
          <w:tcPr>
            <w:tcW w:w="1341" w:type="dxa"/>
            <w:vMerge w:val="continue"/>
            <w:tcBorders>
              <w:top w:val="nil"/>
            </w:tcBorders>
            <w:vAlign w:val="center"/>
          </w:tcPr>
          <w:p w14:paraId="45CAF7C0">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c>
          <w:tcPr>
            <w:tcW w:w="1527" w:type="dxa"/>
            <w:shd w:val="clear"/>
            <w:vAlign w:val="center"/>
          </w:tcPr>
          <w:p w14:paraId="21F6DB1B">
            <w:pPr>
              <w:snapToGrid w:val="0"/>
              <w:spacing w:before="100" w:after="100" w:line="240" w:lineRule="auto"/>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 xml:space="preserve"> K4+46</w:t>
            </w:r>
            <w:r>
              <w:rPr>
                <w:rFonts w:hint="eastAsia" w:hAnsi="宋体" w:cs="宋体"/>
                <w:color w:val="auto"/>
                <w:sz w:val="21"/>
                <w:szCs w:val="21"/>
                <w:highlight w:val="none"/>
                <w:lang w:val="en-US" w:eastAsia="zh-CN"/>
              </w:rPr>
              <w:t>5</w:t>
            </w:r>
          </w:p>
        </w:tc>
        <w:tc>
          <w:tcPr>
            <w:tcW w:w="1991" w:type="dxa"/>
            <w:vMerge w:val="continue"/>
            <w:tcBorders/>
            <w:vAlign w:val="center"/>
          </w:tcPr>
          <w:p w14:paraId="2D094BF6">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r>
    </w:tbl>
    <w:p w14:paraId="22E371CF">
      <w:pPr>
        <w:pStyle w:val="53"/>
        <w:spacing w:before="156" w:beforeLines="50" w:after="156" w:afterLines="50"/>
        <w:ind w:left="0" w:leftChars="0" w:firstLine="0" w:firstLineChars="0"/>
        <w:rPr>
          <w:rFonts w:hint="eastAsia" w:ascii="宋体" w:hAnsi="宋体" w:eastAsia="宋体" w:cs="宋体"/>
          <w:color w:val="auto"/>
          <w:spacing w:val="10"/>
          <w:highlight w:val="none"/>
          <w:lang w:val="en-US" w:eastAsia="zh-CN"/>
        </w:rPr>
      </w:pPr>
      <w:bookmarkStart w:id="67" w:name="_Toc8100"/>
      <w:bookmarkStart w:id="68" w:name="_Toc22145"/>
      <w:r>
        <w:rPr>
          <w:rFonts w:hint="eastAsia" w:ascii="宋体" w:hAnsi="宋体" w:eastAsia="宋体" w:cs="宋体"/>
          <w:color w:val="auto"/>
          <w:spacing w:val="10"/>
          <w:highlight w:val="none"/>
          <w:lang w:val="en-US" w:eastAsia="zh-CN"/>
        </w:rPr>
        <w:t>4.3监测点安装方法</w:t>
      </w:r>
      <w:bookmarkEnd w:id="67"/>
      <w:bookmarkEnd w:id="68"/>
    </w:p>
    <w:p w14:paraId="64C9E61C">
      <w:pPr>
        <w:adjustRightInd w:val="0"/>
        <w:snapToGrid w:val="0"/>
        <w:spacing w:before="156" w:beforeLines="50" w:after="156" w:afterLines="50" w:line="240" w:lineRule="auto"/>
        <w:ind w:firstLine="522" w:firstLineChars="200"/>
        <w:outlineLvl w:val="2"/>
        <w:rPr>
          <w:rFonts w:hint="eastAsia" w:ascii="宋体" w:hAnsi="宋体" w:eastAsia="宋体" w:cs="Times New Roman"/>
          <w:b/>
          <w:color w:val="auto"/>
          <w:spacing w:val="10"/>
          <w:sz w:val="24"/>
          <w:szCs w:val="24"/>
          <w:lang w:val="en-US" w:eastAsia="zh-CN"/>
        </w:rPr>
      </w:pPr>
      <w:bookmarkStart w:id="69" w:name="_Toc6571"/>
      <w:bookmarkStart w:id="70" w:name="_Toc15826"/>
      <w:bookmarkStart w:id="71" w:name="_Toc9790"/>
      <w:bookmarkStart w:id="72" w:name="_Toc32612"/>
      <w:bookmarkStart w:id="73" w:name="_Toc28661"/>
      <w:bookmarkStart w:id="74" w:name="_Toc36723222"/>
      <w:r>
        <w:rPr>
          <w:rFonts w:hint="eastAsia" w:ascii="宋体" w:hAnsi="宋体" w:eastAsia="宋体" w:cs="Times New Roman"/>
          <w:b/>
          <w:color w:val="auto"/>
          <w:spacing w:val="10"/>
          <w:sz w:val="24"/>
          <w:szCs w:val="24"/>
          <w:lang w:val="en-US" w:eastAsia="zh-CN"/>
        </w:rPr>
        <w:t>4.3.1</w:t>
      </w:r>
      <w:bookmarkEnd w:id="69"/>
      <w:bookmarkEnd w:id="70"/>
      <w:bookmarkEnd w:id="71"/>
      <w:bookmarkEnd w:id="72"/>
      <w:bookmarkEnd w:id="73"/>
      <w:r>
        <w:rPr>
          <w:rFonts w:hint="eastAsia" w:ascii="宋体" w:hAnsi="宋体" w:eastAsia="宋体" w:cs="Times New Roman"/>
          <w:b/>
          <w:color w:val="auto"/>
          <w:spacing w:val="10"/>
          <w:sz w:val="24"/>
          <w:szCs w:val="24"/>
          <w:lang w:val="en-US" w:eastAsia="zh-CN"/>
        </w:rPr>
        <w:t>边坡垂直变形监测测点埋设</w:t>
      </w:r>
    </w:p>
    <w:p w14:paraId="36D40C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1、监测点设置</w:t>
      </w:r>
    </w:p>
    <w:p w14:paraId="25FE16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根据本项目所在环境、监测精度、规范等各个方面要求，本监测项目可选用两种方法进行地表边坡垂直位移监测：全站仪配合反射膜片测量法、水准测量，进行布设监测。</w:t>
      </w:r>
    </w:p>
    <w:p w14:paraId="29FB7D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（1）全站仪+反射膜片法</w:t>
      </w:r>
    </w:p>
    <w:p w14:paraId="2002224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采用反光膜时，用一根直径22~25mm，长200~500mm的钢筋制成预埋件,同样在外露端焊上50mm×50mm钢板(钢板平面与钢筋纵向-致) ，钢板上贴反射膜片，并调整测点方向（面向全站仪一侧），测点四周用砼填实，待砼固结后即可量测，如图4-3所示。</w:t>
      </w:r>
    </w:p>
    <w:p w14:paraId="2BE58E9D">
      <w:pPr>
        <w:pStyle w:val="61"/>
        <w:spacing w:before="0" w:after="0" w:line="360" w:lineRule="auto"/>
        <w:jc w:val="center"/>
        <w:rPr>
          <w:color w:val="FF0000"/>
          <w:kern w:val="2"/>
          <w:sz w:val="24"/>
          <w:szCs w:val="24"/>
          <w:lang w:eastAsia="zh-CN"/>
        </w:rPr>
      </w:pPr>
      <w:r>
        <w:rPr>
          <w:color w:val="FF0000"/>
          <w:sz w:val="24"/>
          <w:szCs w:val="24"/>
          <w:lang w:eastAsia="zh-CN"/>
        </w:rPr>
        <w:drawing>
          <wp:inline distT="0" distB="0" distL="114300" distR="114300">
            <wp:extent cx="3437890" cy="1402080"/>
            <wp:effectExtent l="0" t="0" r="3810" b="762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18"/>
                    <a:srcRect l="8846" t="3268" r="7738"/>
                    <a:stretch>
                      <a:fillRect/>
                    </a:stretch>
                  </pic:blipFill>
                  <pic:spPr>
                    <a:xfrm>
                      <a:off x="0" y="0"/>
                      <a:ext cx="3437890" cy="1402080"/>
                    </a:xfrm>
                    <a:prstGeom prst="rect">
                      <a:avLst/>
                    </a:prstGeom>
                    <a:noFill/>
                    <a:ln>
                      <a:noFill/>
                    </a:ln>
                  </pic:spPr>
                </pic:pic>
              </a:graphicData>
            </a:graphic>
          </wp:inline>
        </w:drawing>
      </w:r>
    </w:p>
    <w:p w14:paraId="2BF10560">
      <w:pPr>
        <w:ind w:firstLine="422" w:firstLineChars="20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图4-3地表测点大样图</w:t>
      </w:r>
    </w:p>
    <w:p w14:paraId="24AF2DF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测点布设如图所示，如图4-4所示。</w:t>
      </w:r>
    </w:p>
    <w:p w14:paraId="15BF6FBD">
      <w:pPr>
        <w:pStyle w:val="61"/>
        <w:spacing w:before="0" w:after="0" w:line="360" w:lineRule="auto"/>
        <w:jc w:val="center"/>
        <w:rPr>
          <w:color w:val="000000"/>
          <w:sz w:val="24"/>
          <w:szCs w:val="24"/>
          <w:lang w:eastAsia="zh-CN"/>
        </w:rPr>
      </w:pPr>
      <w:r>
        <w:rPr>
          <w:sz w:val="24"/>
          <w:szCs w:val="24"/>
          <w:lang w:eastAsia="zh-CN"/>
        </w:rPr>
        <w:drawing>
          <wp:inline distT="0" distB="0" distL="114300" distR="114300">
            <wp:extent cx="3517900" cy="2306320"/>
            <wp:effectExtent l="0" t="0" r="0" b="508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19"/>
                    <a:srcRect r="2922"/>
                    <a:stretch>
                      <a:fillRect/>
                    </a:stretch>
                  </pic:blipFill>
                  <pic:spPr>
                    <a:xfrm>
                      <a:off x="0" y="0"/>
                      <a:ext cx="3527075" cy="2306320"/>
                    </a:xfrm>
                    <a:prstGeom prst="rect">
                      <a:avLst/>
                    </a:prstGeom>
                    <a:noFill/>
                    <a:ln>
                      <a:noFill/>
                    </a:ln>
                  </pic:spPr>
                </pic:pic>
              </a:graphicData>
            </a:graphic>
          </wp:inline>
        </w:drawing>
      </w:r>
      <w:r>
        <w:rPr>
          <w:color w:val="000000"/>
          <w:sz w:val="24"/>
          <w:szCs w:val="24"/>
          <w:lang w:eastAsia="zh-CN"/>
        </w:rPr>
        <w:t xml:space="preserve">   </w:t>
      </w:r>
    </w:p>
    <w:p w14:paraId="26FBBB9A">
      <w:pPr>
        <w:ind w:firstLine="422" w:firstLineChars="20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图4-4 现场边坡地表变形测点布设</w:t>
      </w:r>
    </w:p>
    <w:p w14:paraId="4950C3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（2）水准测量法</w:t>
      </w:r>
    </w:p>
    <w:p w14:paraId="3C3849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结合本工程实际情况，如部位监测点采用植入钢筋，周边用水泥砂浆固定的方法，为保护测点不受碾压影响，地表沉降监测点标志采用窖井测点形式，采用人工开挖或钻具成孔的方式进行埋设。如图4-5所示。</w:t>
      </w:r>
    </w:p>
    <w:p w14:paraId="0C4ADFF6">
      <w:pPr>
        <w:ind w:firstLine="2520" w:firstLineChars="1050"/>
        <w:rPr>
          <w:rFonts w:ascii="Times New Roman" w:hAnsi="Times New Roman" w:eastAsia="黑体"/>
          <w:szCs w:val="21"/>
        </w:rPr>
      </w:pPr>
      <w:r>
        <w:rPr>
          <w:rFonts w:ascii="Times New Roman" w:hAnsi="Times New Roman" w:eastAsia="黑体"/>
          <w:szCs w:val="21"/>
        </w:rPr>
        <w:drawing>
          <wp:anchor distT="0" distB="0" distL="114300" distR="114300" simplePos="0" relativeHeight="251663360" behindDoc="0" locked="0" layoutInCell="1" allowOverlap="1">
            <wp:simplePos x="0" y="0"/>
            <wp:positionH relativeFrom="column">
              <wp:posOffset>1454150</wp:posOffset>
            </wp:positionH>
            <wp:positionV relativeFrom="paragraph">
              <wp:posOffset>114935</wp:posOffset>
            </wp:positionV>
            <wp:extent cx="3400425" cy="1546225"/>
            <wp:effectExtent l="0" t="0" r="3175" b="3175"/>
            <wp:wrapTopAndBottom/>
            <wp:docPr id="6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2"/>
                    <pic:cNvPicPr>
                      <a:picLocks noChangeAspect="1"/>
                    </pic:cNvPicPr>
                  </pic:nvPicPr>
                  <pic:blipFill>
                    <a:blip r:embed="rId20"/>
                    <a:stretch>
                      <a:fillRect/>
                    </a:stretch>
                  </pic:blipFill>
                  <pic:spPr>
                    <a:xfrm>
                      <a:off x="0" y="0"/>
                      <a:ext cx="3400425" cy="1546225"/>
                    </a:xfrm>
                    <a:prstGeom prst="rect">
                      <a:avLst/>
                    </a:prstGeom>
                    <a:noFill/>
                    <a:ln>
                      <a:noFill/>
                    </a:ln>
                  </pic:spPr>
                </pic:pic>
              </a:graphicData>
            </a:graphic>
          </wp:anchor>
        </w:drawing>
      </w:r>
    </w:p>
    <w:p w14:paraId="385C4192">
      <w:pPr>
        <w:pStyle w:val="61"/>
        <w:spacing w:before="0" w:after="0" w:line="360" w:lineRule="auto"/>
        <w:jc w:val="center"/>
        <w:rPr>
          <w:rFonts w:hint="eastAsia" w:ascii="宋体" w:hAnsi="宋体" w:eastAsia="宋体" w:cs="宋体"/>
          <w:b/>
          <w:bCs/>
          <w:color w:val="auto"/>
          <w:kern w:val="2"/>
          <w:sz w:val="21"/>
          <w:szCs w:val="21"/>
          <w:highlight w:val="none"/>
          <w:lang w:val="en-US" w:eastAsia="zh-CN" w:bidi="ar-SA"/>
        </w:rPr>
      </w:pPr>
      <w:r>
        <w:rPr>
          <w:rFonts w:eastAsia="宋体"/>
          <w:b/>
          <w:kern w:val="2"/>
          <w:sz w:val="21"/>
          <w:szCs w:val="21"/>
          <w:lang w:eastAsia="zh-CN"/>
        </w:rPr>
        <w:t>图</w:t>
      </w:r>
      <w:r>
        <w:rPr>
          <w:rFonts w:hint="eastAsia" w:ascii="宋体" w:hAnsi="宋体" w:eastAsia="宋体" w:cs="宋体"/>
          <w:b/>
          <w:bCs/>
          <w:color w:val="auto"/>
          <w:kern w:val="2"/>
          <w:sz w:val="21"/>
          <w:szCs w:val="21"/>
          <w:highlight w:val="none"/>
          <w:lang w:val="en-US" w:eastAsia="zh-CN" w:bidi="ar-SA"/>
        </w:rPr>
        <w:t>4-5地面沉降监测点埋设示意图</w:t>
      </w:r>
    </w:p>
    <w:bookmarkEnd w:id="74"/>
    <w:p w14:paraId="2C2B4A24">
      <w:pPr>
        <w:adjustRightInd w:val="0"/>
        <w:snapToGrid w:val="0"/>
        <w:spacing w:before="156" w:beforeLines="50" w:after="156" w:afterLines="50" w:line="240" w:lineRule="auto"/>
        <w:ind w:firstLine="0" w:firstLineChars="0"/>
        <w:outlineLvl w:val="2"/>
        <w:rPr>
          <w:rFonts w:hint="eastAsia" w:ascii="宋体" w:hAnsi="宋体" w:eastAsia="宋体" w:cs="Times New Roman"/>
          <w:b/>
          <w:color w:val="auto"/>
          <w:spacing w:val="10"/>
          <w:sz w:val="24"/>
          <w:szCs w:val="24"/>
          <w:lang w:val="en-US" w:eastAsia="zh-CN"/>
        </w:rPr>
      </w:pPr>
      <w:bookmarkStart w:id="75" w:name="_Toc28166"/>
      <w:bookmarkStart w:id="76" w:name="_Toc282185380"/>
      <w:r>
        <w:rPr>
          <w:rFonts w:hint="eastAsia" w:ascii="宋体" w:hAnsi="宋体" w:eastAsia="宋体" w:cs="Times New Roman"/>
          <w:b/>
          <w:color w:val="auto"/>
          <w:spacing w:val="10"/>
          <w:sz w:val="24"/>
          <w:szCs w:val="24"/>
          <w:lang w:val="en-US" w:eastAsia="zh-CN"/>
        </w:rPr>
        <w:t>4.3.2边坡水平位移观测点的布设</w:t>
      </w:r>
      <w:bookmarkEnd w:id="75"/>
    </w:p>
    <w:p w14:paraId="252D277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1、边坡水平的埋设</w:t>
      </w:r>
    </w:p>
    <w:p w14:paraId="7BB4A9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 xml:space="preserve">监测横断面上于路堑坡顶(外5m、10m、15m)各级边坡平台、坡脚设置位移边桩进行位移观测边桩基桩为素混凝土桩，采用反光膜时，用一根直径22 ~ 25mm，长500 ~ 1000mm的钢筋制成预埋件,同样在外露端焊上50mm×50mm钢板(钢板平面与钢筋纵向-致) ，钢板上贴反射膜片，并调整测点方向（面向全站仪一侧），测点四周用砼填实，待砼固结后即可量测，与边坡竖向垂直位移全站仪法布设相同。 </w:t>
      </w:r>
    </w:p>
    <w:p w14:paraId="1F4AF04A">
      <w:pPr>
        <w:adjustRightInd w:val="0"/>
        <w:snapToGrid w:val="0"/>
        <w:spacing w:before="156" w:beforeLines="50" w:after="156" w:afterLines="50" w:line="240" w:lineRule="auto"/>
        <w:ind w:firstLine="0" w:firstLineChars="0"/>
        <w:outlineLvl w:val="2"/>
        <w:rPr>
          <w:rFonts w:hint="eastAsia" w:ascii="宋体" w:hAnsi="宋体" w:eastAsia="宋体" w:cs="Times New Roman"/>
          <w:b/>
          <w:color w:val="auto"/>
          <w:spacing w:val="10"/>
          <w:sz w:val="24"/>
          <w:szCs w:val="24"/>
          <w:lang w:val="en-US" w:eastAsia="zh-CN"/>
        </w:rPr>
      </w:pPr>
      <w:bookmarkStart w:id="77" w:name="_Toc2914"/>
      <w:r>
        <w:rPr>
          <w:rFonts w:hint="eastAsia" w:ascii="宋体" w:hAnsi="宋体" w:eastAsia="宋体" w:cs="Times New Roman"/>
          <w:b/>
          <w:color w:val="auto"/>
          <w:spacing w:val="10"/>
          <w:sz w:val="24"/>
          <w:szCs w:val="24"/>
          <w:lang w:val="en-US" w:eastAsia="zh-CN"/>
        </w:rPr>
        <w:t>4.3.</w:t>
      </w:r>
      <w:r>
        <w:rPr>
          <w:rFonts w:hint="eastAsia" w:hAnsi="宋体" w:cs="Times New Roman"/>
          <w:b/>
          <w:color w:val="auto"/>
          <w:spacing w:val="10"/>
          <w:sz w:val="24"/>
          <w:szCs w:val="24"/>
          <w:lang w:val="en-US" w:eastAsia="zh-CN"/>
        </w:rPr>
        <w:t>3</w:t>
      </w:r>
      <w:r>
        <w:rPr>
          <w:rFonts w:hint="eastAsia" w:ascii="宋体" w:hAnsi="宋体" w:eastAsia="宋体" w:cs="Times New Roman"/>
          <w:b/>
          <w:color w:val="auto"/>
          <w:spacing w:val="10"/>
          <w:sz w:val="24"/>
          <w:szCs w:val="24"/>
          <w:lang w:val="en-US" w:eastAsia="zh-CN"/>
        </w:rPr>
        <w:t>测点保护</w:t>
      </w:r>
      <w:bookmarkEnd w:id="77"/>
    </w:p>
    <w:p w14:paraId="64A511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 xml:space="preserve">①施工单位为现场观测设施保护责任主体单位，负责观测点的现场保护工作。在观测点周围设置醒目编号和明显的警示标识、对破坏的点位应及时通知采取补救措施并及时通知观测单位采集数据； </w:t>
      </w:r>
    </w:p>
    <w:p w14:paraId="152281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 xml:space="preserve">②施工过程中，应避免观测设施被损、被堵等情况的发生； </w:t>
      </w:r>
    </w:p>
    <w:p w14:paraId="40674F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③同时，施工单位应该为水平位移观测砌井，保护其安全，免遭施工破坏；</w:t>
      </w:r>
    </w:p>
    <w:p w14:paraId="38F82B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④施工单位应积极配合，并把测点保护列入日常巡视、检查工作的重点。</w:t>
      </w:r>
    </w:p>
    <w:p w14:paraId="4001E168">
      <w:pPr>
        <w:pStyle w:val="56"/>
        <w:numPr>
          <w:ilvl w:val="0"/>
          <w:numId w:val="0"/>
        </w:numPr>
        <w:spacing w:line="240" w:lineRule="auto"/>
        <w:ind w:firstLine="0" w:firstLineChars="0"/>
        <w:jc w:val="both"/>
        <w:rPr>
          <w:rFonts w:hint="eastAsia" w:cs="Times New Roman"/>
          <w:b/>
          <w:bCs/>
          <w:color w:val="auto"/>
          <w:sz w:val="30"/>
          <w:szCs w:val="30"/>
          <w:highlight w:val="none"/>
          <w:lang w:val="en-US" w:eastAsia="zh-CN"/>
        </w:rPr>
      </w:pPr>
      <w:bookmarkStart w:id="78" w:name="_Toc9281"/>
      <w:bookmarkStart w:id="79" w:name="_Toc24652"/>
      <w:r>
        <w:rPr>
          <w:rFonts w:hint="eastAsia" w:cs="Times New Roman"/>
          <w:b/>
          <w:bCs/>
          <w:color w:val="auto"/>
          <w:sz w:val="30"/>
          <w:szCs w:val="30"/>
          <w:highlight w:val="none"/>
          <w:lang w:val="en-US" w:eastAsia="zh-CN"/>
        </w:rPr>
        <w:t>5、监测实施方法</w:t>
      </w:r>
      <w:bookmarkEnd w:id="78"/>
      <w:bookmarkEnd w:id="79"/>
    </w:p>
    <w:p w14:paraId="475E0170">
      <w:pPr>
        <w:pStyle w:val="53"/>
        <w:spacing w:before="156" w:beforeLines="50" w:after="156" w:afterLines="50"/>
        <w:rPr>
          <w:rFonts w:hint="eastAsia" w:ascii="宋体" w:hAnsi="宋体" w:eastAsia="宋体" w:cs="宋体"/>
          <w:color w:val="auto"/>
          <w:spacing w:val="10"/>
          <w:highlight w:val="none"/>
          <w:lang w:val="en-US" w:eastAsia="zh-CN"/>
        </w:rPr>
      </w:pPr>
      <w:bookmarkStart w:id="80" w:name="_Toc6829"/>
      <w:bookmarkStart w:id="81" w:name="_Toc11935"/>
      <w:bookmarkStart w:id="82" w:name="_Toc13055"/>
      <w:bookmarkStart w:id="83" w:name="_Toc19675"/>
      <w:bookmarkStart w:id="84" w:name="_Toc24756"/>
      <w:r>
        <w:rPr>
          <w:rFonts w:hint="eastAsia" w:ascii="宋体" w:hAnsi="宋体" w:eastAsia="宋体" w:cs="宋体"/>
          <w:color w:val="auto"/>
          <w:spacing w:val="10"/>
          <w:highlight w:val="none"/>
          <w:lang w:val="en-US" w:eastAsia="zh-CN"/>
        </w:rPr>
        <w:t>5.</w:t>
      </w:r>
      <w:r>
        <w:rPr>
          <w:rFonts w:hint="eastAsia" w:cs="宋体"/>
          <w:color w:val="auto"/>
          <w:spacing w:val="10"/>
          <w:highlight w:val="none"/>
          <w:lang w:val="en-US" w:eastAsia="zh-CN"/>
        </w:rPr>
        <w:t>1边坡</w:t>
      </w:r>
      <w:r>
        <w:rPr>
          <w:rFonts w:hint="eastAsia" w:ascii="宋体" w:hAnsi="宋体" w:eastAsia="宋体" w:cs="宋体"/>
          <w:color w:val="auto"/>
          <w:spacing w:val="10"/>
          <w:highlight w:val="none"/>
          <w:lang w:val="en-US" w:eastAsia="zh-CN"/>
        </w:rPr>
        <w:t>竖向位移监测</w:t>
      </w:r>
      <w:bookmarkEnd w:id="80"/>
      <w:bookmarkEnd w:id="81"/>
      <w:bookmarkEnd w:id="82"/>
      <w:bookmarkEnd w:id="83"/>
      <w:bookmarkEnd w:id="84"/>
    </w:p>
    <w:p w14:paraId="701DA2B4">
      <w:pPr>
        <w:pStyle w:val="48"/>
        <w:spacing w:line="360" w:lineRule="auto"/>
        <w:ind w:firstLine="488"/>
        <w:rPr>
          <w:rFonts w:ascii="Times New Roman" w:hAnsi="Times New Roman"/>
          <w:color w:val="auto"/>
          <w:sz w:val="24"/>
          <w:szCs w:val="24"/>
        </w:rPr>
      </w:pPr>
      <w:r>
        <w:rPr>
          <w:rFonts w:ascii="Times New Roman" w:hAnsi="Times New Roman"/>
          <w:color w:val="auto"/>
          <w:sz w:val="24"/>
          <w:szCs w:val="24"/>
        </w:rPr>
        <w:t>量测方法即通过测点不同时刻高程，求出两次量测的差值，即为该点的</w:t>
      </w:r>
      <w:r>
        <w:rPr>
          <w:rFonts w:hint="eastAsia" w:ascii="Times New Roman" w:hAnsi="Times New Roman"/>
          <w:color w:val="auto"/>
          <w:sz w:val="24"/>
          <w:szCs w:val="24"/>
          <w:lang w:val="en-US" w:eastAsia="zh-CN"/>
        </w:rPr>
        <w:t>变形</w:t>
      </w:r>
      <w:r>
        <w:rPr>
          <w:rFonts w:ascii="Times New Roman" w:hAnsi="Times New Roman"/>
          <w:color w:val="auto"/>
          <w:sz w:val="24"/>
          <w:szCs w:val="24"/>
        </w:rPr>
        <w:t>值。进行</w:t>
      </w:r>
      <w:r>
        <w:rPr>
          <w:rFonts w:hint="eastAsia" w:ascii="Times New Roman" w:hAnsi="Times New Roman"/>
          <w:color w:val="auto"/>
          <w:sz w:val="24"/>
          <w:szCs w:val="24"/>
          <w:lang w:val="en-US" w:eastAsia="zh-CN"/>
        </w:rPr>
        <w:t>边坡竖向位移量</w:t>
      </w:r>
      <w:r>
        <w:rPr>
          <w:rFonts w:ascii="Times New Roman" w:hAnsi="Times New Roman"/>
          <w:color w:val="auto"/>
          <w:sz w:val="24"/>
          <w:szCs w:val="24"/>
        </w:rPr>
        <w:t>测方法分为</w:t>
      </w:r>
      <w:r>
        <w:rPr>
          <w:rFonts w:hint="eastAsia" w:ascii="Times New Roman" w:hAnsi="Times New Roman"/>
          <w:color w:val="auto"/>
          <w:sz w:val="24"/>
          <w:szCs w:val="24"/>
          <w:lang w:eastAsia="zh-CN"/>
        </w:rPr>
        <w:t>水准仪常规</w:t>
      </w:r>
      <w:r>
        <w:rPr>
          <w:rFonts w:ascii="Times New Roman" w:hAnsi="Times New Roman"/>
          <w:color w:val="auto"/>
          <w:sz w:val="24"/>
        </w:rPr>
        <w:t>水准测量法</w:t>
      </w:r>
      <w:r>
        <w:rPr>
          <w:rFonts w:ascii="Times New Roman" w:hAnsi="Times New Roman"/>
          <w:color w:val="auto"/>
          <w:sz w:val="24"/>
          <w:szCs w:val="24"/>
        </w:rPr>
        <w:t>和</w:t>
      </w:r>
      <w:r>
        <w:rPr>
          <w:rFonts w:hint="eastAsia" w:ascii="Times New Roman" w:hAnsi="Times New Roman"/>
          <w:color w:val="auto"/>
          <w:sz w:val="24"/>
          <w:szCs w:val="24"/>
          <w:lang w:eastAsia="zh-CN"/>
        </w:rPr>
        <w:t>全站仪</w:t>
      </w:r>
      <w:r>
        <w:rPr>
          <w:rFonts w:ascii="Times New Roman" w:hAnsi="Times New Roman"/>
          <w:color w:val="auto"/>
          <w:sz w:val="24"/>
          <w:szCs w:val="24"/>
        </w:rPr>
        <w:t>绝对位移量测法</w:t>
      </w:r>
      <w:r>
        <w:rPr>
          <w:color w:val="auto"/>
          <w:sz w:val="24"/>
          <w:szCs w:val="24"/>
        </w:rPr>
        <w:t>（</w:t>
      </w:r>
      <w:r>
        <w:rPr>
          <w:rFonts w:ascii="Times New Roman" w:hAnsi="Times New Roman"/>
          <w:color w:val="auto"/>
          <w:sz w:val="24"/>
          <w:szCs w:val="24"/>
        </w:rPr>
        <w:t>三维坐标量测法</w:t>
      </w:r>
      <w:r>
        <w:rPr>
          <w:rFonts w:ascii="Times New Roman" w:hAnsi="Times New Roman"/>
          <w:caps/>
          <w:color w:val="auto"/>
          <w:sz w:val="24"/>
          <w:szCs w:val="24"/>
        </w:rPr>
        <w:t>）</w:t>
      </w:r>
      <w:r>
        <w:rPr>
          <w:rFonts w:ascii="Times New Roman" w:hAnsi="Times New Roman"/>
          <w:color w:val="auto"/>
          <w:sz w:val="24"/>
          <w:szCs w:val="24"/>
        </w:rPr>
        <w:t>两种。</w:t>
      </w:r>
    </w:p>
    <w:p w14:paraId="0859F0D8">
      <w:pPr>
        <w:adjustRightInd w:val="0"/>
        <w:snapToGrid w:val="0"/>
        <w:spacing w:before="156" w:beforeLines="50" w:after="156" w:afterLines="50"/>
        <w:outlineLvl w:val="2"/>
        <w:rPr>
          <w:rFonts w:hint="eastAsia" w:ascii="宋体" w:hAnsi="宋体"/>
          <w:b/>
          <w:bCs w:val="0"/>
          <w:color w:val="auto"/>
          <w:spacing w:val="10"/>
          <w:kern w:val="2"/>
          <w:sz w:val="24"/>
          <w:szCs w:val="24"/>
          <w:highlight w:val="none"/>
          <w:lang w:val="en-US" w:eastAsia="zh-CN" w:bidi="ar-SA"/>
        </w:rPr>
      </w:pPr>
      <w:bookmarkStart w:id="85" w:name="_Toc396574117"/>
      <w:bookmarkStart w:id="86" w:name="_Toc425774885"/>
      <w:bookmarkStart w:id="87" w:name="_Toc16960"/>
      <w:bookmarkStart w:id="88" w:name="_Toc328754671"/>
      <w:bookmarkStart w:id="89" w:name="_Toc8765"/>
      <w:bookmarkStart w:id="90" w:name="_Toc397065214"/>
      <w:bookmarkStart w:id="91" w:name="_Toc330970039"/>
      <w:bookmarkStart w:id="92" w:name="_Toc328754606"/>
      <w:bookmarkStart w:id="93" w:name="_Toc328754180"/>
      <w:r>
        <w:rPr>
          <w:rFonts w:hint="eastAsia" w:ascii="宋体" w:hAnsi="宋体"/>
          <w:b/>
          <w:bCs w:val="0"/>
          <w:color w:val="auto"/>
          <w:spacing w:val="10"/>
          <w:kern w:val="2"/>
          <w:sz w:val="24"/>
          <w:szCs w:val="24"/>
          <w:highlight w:val="none"/>
          <w:lang w:val="en-US" w:eastAsia="zh-CN" w:bidi="ar-SA"/>
        </w:rPr>
        <w:t>5.</w:t>
      </w:r>
      <w:r>
        <w:rPr>
          <w:rFonts w:hint="eastAsia" w:hAnsi="宋体"/>
          <w:b/>
          <w:bCs w:val="0"/>
          <w:color w:val="auto"/>
          <w:spacing w:val="10"/>
          <w:kern w:val="2"/>
          <w:sz w:val="24"/>
          <w:szCs w:val="24"/>
          <w:highlight w:val="none"/>
          <w:lang w:val="en-US" w:eastAsia="zh-CN" w:bidi="ar-SA"/>
        </w:rPr>
        <w:t>1</w:t>
      </w:r>
      <w:r>
        <w:rPr>
          <w:rFonts w:hint="eastAsia" w:ascii="宋体" w:hAnsi="宋体"/>
          <w:b/>
          <w:bCs w:val="0"/>
          <w:color w:val="auto"/>
          <w:spacing w:val="10"/>
          <w:kern w:val="2"/>
          <w:sz w:val="24"/>
          <w:szCs w:val="24"/>
          <w:highlight w:val="none"/>
          <w:lang w:val="en-US" w:eastAsia="zh-CN" w:bidi="ar-SA"/>
        </w:rPr>
        <w:t>.</w:t>
      </w:r>
      <w:r>
        <w:rPr>
          <w:rFonts w:hint="eastAsia" w:hAnsi="宋体"/>
          <w:b/>
          <w:bCs w:val="0"/>
          <w:color w:val="auto"/>
          <w:spacing w:val="10"/>
          <w:kern w:val="2"/>
          <w:sz w:val="24"/>
          <w:szCs w:val="24"/>
          <w:highlight w:val="none"/>
          <w:lang w:val="en-US" w:eastAsia="zh-CN" w:bidi="ar-SA"/>
        </w:rPr>
        <w:t>1</w:t>
      </w:r>
      <w:r>
        <w:rPr>
          <w:rFonts w:hint="eastAsia" w:ascii="宋体" w:hAnsi="宋体"/>
          <w:b/>
          <w:bCs w:val="0"/>
          <w:color w:val="auto"/>
          <w:spacing w:val="10"/>
          <w:kern w:val="2"/>
          <w:sz w:val="24"/>
          <w:szCs w:val="24"/>
          <w:highlight w:val="none"/>
          <w:lang w:val="en-US" w:eastAsia="zh-CN" w:bidi="ar-SA"/>
        </w:rPr>
        <w:t>观测技术方法及精度控制</w:t>
      </w:r>
      <w:bookmarkEnd w:id="85"/>
      <w:bookmarkEnd w:id="86"/>
      <w:bookmarkEnd w:id="87"/>
      <w:bookmarkEnd w:id="88"/>
      <w:bookmarkEnd w:id="89"/>
      <w:bookmarkEnd w:id="90"/>
      <w:bookmarkEnd w:id="91"/>
      <w:bookmarkEnd w:id="92"/>
      <w:bookmarkEnd w:id="93"/>
    </w:p>
    <w:p w14:paraId="71EB6ED3">
      <w:pPr>
        <w:pStyle w:val="61"/>
        <w:numPr>
          <w:ilvl w:val="0"/>
          <w:numId w:val="1"/>
        </w:numPr>
        <w:spacing w:before="0" w:after="0" w:line="360" w:lineRule="auto"/>
        <w:ind w:left="-248" w:leftChars="0" w:firstLine="488" w:firstLineChars="0"/>
        <w:rPr>
          <w:rFonts w:hint="eastAsia" w:ascii="宋体" w:hAnsi="宋体" w:eastAsia="宋体" w:cs="Times New Roman"/>
          <w:color w:val="auto"/>
          <w:sz w:val="24"/>
          <w:highlight w:val="none"/>
          <w:lang w:val="en-US" w:eastAsia="zh-CN"/>
        </w:rPr>
      </w:pPr>
      <w:r>
        <w:rPr>
          <w:color w:val="auto"/>
          <w:kern w:val="2"/>
          <w:sz w:val="24"/>
          <w:szCs w:val="24"/>
          <w:lang w:eastAsia="zh-CN"/>
        </w:rPr>
        <w:t>采用</w:t>
      </w:r>
      <w:r>
        <w:rPr>
          <w:rFonts w:ascii="Times New Roman" w:hAnsi="Times New Roman"/>
          <w:color w:val="auto"/>
          <w:sz w:val="24"/>
        </w:rPr>
        <w:t>水准测量法</w:t>
      </w:r>
      <w:r>
        <w:rPr>
          <w:rFonts w:hint="eastAsia"/>
          <w:color w:val="auto"/>
          <w:sz w:val="24"/>
          <w:lang w:val="en-US" w:eastAsia="zh-CN"/>
        </w:rPr>
        <w:t>时</w:t>
      </w:r>
      <w:r>
        <w:rPr>
          <w:color w:val="auto"/>
          <w:kern w:val="2"/>
          <w:sz w:val="24"/>
          <w:szCs w:val="24"/>
          <w:lang w:eastAsia="zh-CN"/>
        </w:rPr>
        <w:t>，量测地表沉降时，需选取一个固定作为</w:t>
      </w:r>
      <w:r>
        <w:rPr>
          <w:rFonts w:hint="eastAsia"/>
          <w:color w:val="auto"/>
          <w:kern w:val="2"/>
          <w:sz w:val="24"/>
          <w:szCs w:val="24"/>
          <w:lang w:eastAsia="zh-CN"/>
        </w:rPr>
        <w:t>基准</w:t>
      </w:r>
      <w:r>
        <w:rPr>
          <w:color w:val="auto"/>
          <w:kern w:val="2"/>
          <w:sz w:val="24"/>
          <w:szCs w:val="24"/>
          <w:lang w:eastAsia="zh-CN"/>
        </w:rPr>
        <w:t>点，即可量测各测点与基点的高差，从而进行地表沉降量测。</w:t>
      </w:r>
    </w:p>
    <w:p w14:paraId="732B05A8">
      <w:pPr>
        <w:spacing w:line="360" w:lineRule="auto"/>
        <w:ind w:firstLine="480" w:firstLineChars="200"/>
        <w:rPr>
          <w:rFonts w:hint="eastAsia" w:ascii="宋体" w:hAnsi="宋体"/>
          <w:color w:val="auto"/>
          <w:sz w:val="24"/>
          <w:highlight w:val="none"/>
        </w:rPr>
      </w:pPr>
      <w:r>
        <w:rPr>
          <w:rFonts w:hint="eastAsia" w:ascii="宋体" w:hAnsi="宋体" w:eastAsia="宋体" w:cs="Times New Roman"/>
          <w:color w:val="auto"/>
          <w:sz w:val="24"/>
          <w:highlight w:val="none"/>
          <w:lang w:val="en-US" w:eastAsia="zh-CN"/>
        </w:rPr>
        <w:t>坡顶</w:t>
      </w:r>
      <w:r>
        <w:rPr>
          <w:rFonts w:hint="eastAsia" w:ascii="宋体" w:hAnsi="宋体"/>
          <w:color w:val="auto"/>
          <w:sz w:val="24"/>
          <w:highlight w:val="none"/>
        </w:rPr>
        <w:t>竖向位移监测采用精密水准仪，按《工程测量</w:t>
      </w:r>
      <w:r>
        <w:rPr>
          <w:rFonts w:hint="eastAsia" w:hAnsi="宋体"/>
          <w:color w:val="auto"/>
          <w:sz w:val="24"/>
          <w:highlight w:val="none"/>
          <w:lang w:val="en-US" w:eastAsia="zh-CN"/>
        </w:rPr>
        <w:t>标准</w:t>
      </w:r>
      <w:r>
        <w:rPr>
          <w:rFonts w:hint="eastAsia" w:ascii="宋体" w:hAnsi="宋体"/>
          <w:color w:val="auto"/>
          <w:sz w:val="24"/>
          <w:highlight w:val="none"/>
        </w:rPr>
        <w:t>》GB50026-20</w:t>
      </w:r>
      <w:r>
        <w:rPr>
          <w:rFonts w:hint="eastAsia" w:hAnsi="宋体"/>
          <w:color w:val="auto"/>
          <w:sz w:val="24"/>
          <w:highlight w:val="none"/>
          <w:lang w:val="en-US" w:eastAsia="zh-CN"/>
        </w:rPr>
        <w:t>2020二</w:t>
      </w:r>
      <w:r>
        <w:rPr>
          <w:rFonts w:hint="eastAsia" w:ascii="宋体" w:hAnsi="宋体"/>
          <w:color w:val="auto"/>
          <w:sz w:val="24"/>
          <w:highlight w:val="none"/>
        </w:rPr>
        <w:t>等垂直沉降监测技术要求观测，技术指标及要求见表</w:t>
      </w:r>
      <w:r>
        <w:rPr>
          <w:rFonts w:hint="eastAsia" w:ascii="宋体" w:hAnsi="宋体"/>
          <w:color w:val="auto"/>
          <w:sz w:val="24"/>
          <w:highlight w:val="none"/>
          <w:lang w:val="en-US" w:eastAsia="zh-CN"/>
        </w:rPr>
        <w:t>5-1</w:t>
      </w:r>
      <w:r>
        <w:rPr>
          <w:rFonts w:hint="eastAsia" w:ascii="宋体" w:hAnsi="宋体"/>
          <w:color w:val="auto"/>
          <w:sz w:val="24"/>
          <w:highlight w:val="none"/>
        </w:rPr>
        <w:t>。</w:t>
      </w:r>
    </w:p>
    <w:p w14:paraId="23D60C5A">
      <w:pPr>
        <w:spacing w:line="24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表 5-</w:t>
      </w:r>
      <w:r>
        <w:rPr>
          <w:rFonts w:hint="eastAsia" w:ascii="宋体" w:hAnsi="宋体" w:eastAsia="宋体" w:cs="宋体"/>
          <w:b/>
          <w:color w:val="auto"/>
          <w:sz w:val="21"/>
          <w:szCs w:val="21"/>
          <w:highlight w:val="none"/>
          <w:lang w:val="en-US" w:eastAsia="zh-CN"/>
        </w:rPr>
        <w:t>1</w:t>
      </w:r>
      <w:r>
        <w:rPr>
          <w:rFonts w:hint="eastAsia" w:ascii="宋体" w:hAnsi="宋体" w:eastAsia="宋体" w:cs="宋体"/>
          <w:b/>
          <w:color w:val="auto"/>
          <w:sz w:val="21"/>
          <w:szCs w:val="21"/>
          <w:highlight w:val="none"/>
        </w:rPr>
        <w:t>沉降监测点监测主要技术指标及要求</w:t>
      </w:r>
    </w:p>
    <w:tbl>
      <w:tblPr>
        <w:tblStyle w:val="25"/>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8"/>
        <w:gridCol w:w="3854"/>
        <w:gridCol w:w="3746"/>
      </w:tblGrid>
      <w:tr w14:paraId="61118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618" w:type="dxa"/>
            <w:shd w:val="clear" w:color="auto" w:fill="B4C6E7" w:themeFill="accent1" w:themeFillTint="66"/>
            <w:noWrap w:val="0"/>
            <w:vAlign w:val="center"/>
          </w:tcPr>
          <w:p w14:paraId="49C4EA4C">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序号</w:t>
            </w:r>
          </w:p>
        </w:tc>
        <w:tc>
          <w:tcPr>
            <w:tcW w:w="3854" w:type="dxa"/>
            <w:shd w:val="clear" w:color="auto" w:fill="B4C6E7" w:themeFill="accent1" w:themeFillTint="66"/>
            <w:noWrap w:val="0"/>
            <w:vAlign w:val="center"/>
          </w:tcPr>
          <w:p w14:paraId="7B9A26B1">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项目</w:t>
            </w:r>
          </w:p>
        </w:tc>
        <w:tc>
          <w:tcPr>
            <w:tcW w:w="3746" w:type="dxa"/>
            <w:shd w:val="clear" w:color="auto" w:fill="B4C6E7" w:themeFill="accent1" w:themeFillTint="66"/>
            <w:noWrap w:val="0"/>
            <w:vAlign w:val="center"/>
          </w:tcPr>
          <w:p w14:paraId="50ED571A">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限差</w:t>
            </w:r>
          </w:p>
        </w:tc>
      </w:tr>
      <w:tr w14:paraId="1A40F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618" w:type="dxa"/>
            <w:noWrap w:val="0"/>
            <w:vAlign w:val="center"/>
          </w:tcPr>
          <w:p w14:paraId="50CE69B2">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3854" w:type="dxa"/>
            <w:noWrap w:val="0"/>
            <w:vAlign w:val="center"/>
          </w:tcPr>
          <w:p w14:paraId="3619F5B3">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沉降监测点与相邻基准点高差中误差</w:t>
            </w:r>
          </w:p>
        </w:tc>
        <w:tc>
          <w:tcPr>
            <w:tcW w:w="3746" w:type="dxa"/>
            <w:noWrap w:val="0"/>
            <w:vAlign w:val="center"/>
          </w:tcPr>
          <w:p w14:paraId="5F575CFD">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1.0mm</w:t>
            </w:r>
          </w:p>
        </w:tc>
      </w:tr>
      <w:tr w14:paraId="37222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618" w:type="dxa"/>
            <w:noWrap w:val="0"/>
            <w:vAlign w:val="center"/>
          </w:tcPr>
          <w:p w14:paraId="78C349B9">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3854" w:type="dxa"/>
            <w:noWrap w:val="0"/>
            <w:vAlign w:val="center"/>
          </w:tcPr>
          <w:p w14:paraId="2BF76A33">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每站高差中误差</w:t>
            </w:r>
          </w:p>
        </w:tc>
        <w:tc>
          <w:tcPr>
            <w:tcW w:w="3746" w:type="dxa"/>
            <w:noWrap w:val="0"/>
            <w:vAlign w:val="center"/>
          </w:tcPr>
          <w:p w14:paraId="06C9320E">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0.30mm</w:t>
            </w:r>
          </w:p>
        </w:tc>
      </w:tr>
      <w:tr w14:paraId="31B25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618" w:type="dxa"/>
            <w:noWrap w:val="0"/>
            <w:vAlign w:val="center"/>
          </w:tcPr>
          <w:p w14:paraId="0B4D5465">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3854" w:type="dxa"/>
            <w:noWrap w:val="0"/>
            <w:vAlign w:val="center"/>
          </w:tcPr>
          <w:p w14:paraId="0D29E403">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往返较差及环线闭合差</w:t>
            </w:r>
          </w:p>
        </w:tc>
        <w:tc>
          <w:tcPr>
            <w:tcW w:w="3746" w:type="dxa"/>
            <w:noWrap w:val="0"/>
            <w:vAlign w:val="center"/>
          </w:tcPr>
          <w:p w14:paraId="5E9598E6">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±0.6</w:t>
            </w:r>
            <w:r>
              <w:rPr>
                <w:rFonts w:hint="eastAsia" w:ascii="宋体" w:hAnsi="宋体" w:eastAsia="宋体" w:cs="宋体"/>
                <w:color w:val="auto"/>
                <w:sz w:val="21"/>
                <w:szCs w:val="21"/>
                <w:highlight w:val="none"/>
                <w:lang w:val="en-US" w:eastAsia="zh-CN"/>
              </w:rPr>
              <w:drawing>
                <wp:inline distT="0" distB="0" distL="114300" distR="114300">
                  <wp:extent cx="228600" cy="219075"/>
                  <wp:effectExtent l="0" t="0" r="0" b="10160"/>
                  <wp:docPr id="4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6"/>
                          <pic:cNvPicPr>
                            <a:picLocks noChangeAspect="1"/>
                          </pic:cNvPicPr>
                        </pic:nvPicPr>
                        <pic:blipFill>
                          <a:blip r:embed="rId21"/>
                          <a:stretch>
                            <a:fillRect/>
                          </a:stretch>
                        </pic:blipFill>
                        <pic:spPr>
                          <a:xfrm>
                            <a:off x="0" y="0"/>
                            <a:ext cx="228600" cy="219075"/>
                          </a:xfrm>
                          <a:prstGeom prst="rect">
                            <a:avLst/>
                          </a:prstGeom>
                          <a:noFill/>
                          <a:ln>
                            <a:noFill/>
                          </a:ln>
                        </pic:spPr>
                      </pic:pic>
                    </a:graphicData>
                  </a:graphic>
                </wp:inline>
              </w:drawing>
            </w:r>
            <w:r>
              <w:rPr>
                <w:rFonts w:hint="eastAsia" w:ascii="宋体" w:hAnsi="宋体" w:eastAsia="宋体" w:cs="宋体"/>
                <w:color w:val="auto"/>
                <w:sz w:val="21"/>
                <w:szCs w:val="21"/>
                <w:highlight w:val="none"/>
                <w:lang w:val="en-US" w:eastAsia="zh-CN"/>
              </w:rPr>
              <w:t>mm（n 为测站数）</w:t>
            </w:r>
          </w:p>
        </w:tc>
      </w:tr>
      <w:tr w14:paraId="5A2D4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618" w:type="dxa"/>
            <w:noWrap w:val="0"/>
            <w:vAlign w:val="center"/>
          </w:tcPr>
          <w:p w14:paraId="49C2A02D">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3854" w:type="dxa"/>
            <w:noWrap w:val="0"/>
            <w:vAlign w:val="center"/>
          </w:tcPr>
          <w:p w14:paraId="24672E38">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检测已测高差较差</w:t>
            </w:r>
          </w:p>
        </w:tc>
        <w:tc>
          <w:tcPr>
            <w:tcW w:w="3746" w:type="dxa"/>
            <w:noWrap w:val="0"/>
            <w:vAlign w:val="center"/>
          </w:tcPr>
          <w:p w14:paraId="5D3D5087">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±0.8</w:t>
            </w:r>
            <w:r>
              <w:rPr>
                <w:rFonts w:hint="eastAsia" w:ascii="宋体" w:hAnsi="宋体" w:eastAsia="宋体" w:cs="宋体"/>
                <w:color w:val="auto"/>
                <w:sz w:val="21"/>
                <w:szCs w:val="21"/>
                <w:highlight w:val="none"/>
                <w:lang w:val="en-US" w:eastAsia="zh-CN"/>
              </w:rPr>
              <w:drawing>
                <wp:inline distT="0" distB="0" distL="114300" distR="114300">
                  <wp:extent cx="228600" cy="219075"/>
                  <wp:effectExtent l="0" t="0" r="0" b="10160"/>
                  <wp:docPr id="4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7"/>
                          <pic:cNvPicPr>
                            <a:picLocks noChangeAspect="1"/>
                          </pic:cNvPicPr>
                        </pic:nvPicPr>
                        <pic:blipFill>
                          <a:blip r:embed="rId21"/>
                          <a:stretch>
                            <a:fillRect/>
                          </a:stretch>
                        </pic:blipFill>
                        <pic:spPr>
                          <a:xfrm>
                            <a:off x="0" y="0"/>
                            <a:ext cx="228600" cy="219075"/>
                          </a:xfrm>
                          <a:prstGeom prst="rect">
                            <a:avLst/>
                          </a:prstGeom>
                          <a:noFill/>
                          <a:ln>
                            <a:noFill/>
                          </a:ln>
                        </pic:spPr>
                      </pic:pic>
                    </a:graphicData>
                  </a:graphic>
                </wp:inline>
              </w:drawing>
            </w:r>
            <w:r>
              <w:rPr>
                <w:rFonts w:hint="eastAsia" w:ascii="宋体" w:hAnsi="宋体" w:eastAsia="宋体" w:cs="宋体"/>
                <w:color w:val="auto"/>
                <w:sz w:val="21"/>
                <w:szCs w:val="21"/>
                <w:highlight w:val="none"/>
                <w:lang w:val="en-US" w:eastAsia="zh-CN"/>
              </w:rPr>
              <w:t>mm（n 为测站数）</w:t>
            </w:r>
          </w:p>
        </w:tc>
      </w:tr>
      <w:tr w14:paraId="61AF7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618" w:type="dxa"/>
            <w:noWrap w:val="0"/>
            <w:vAlign w:val="center"/>
          </w:tcPr>
          <w:p w14:paraId="11CF8D09">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3854" w:type="dxa"/>
            <w:noWrap w:val="0"/>
            <w:vAlign w:val="center"/>
          </w:tcPr>
          <w:p w14:paraId="20FE4518">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视线长度</w:t>
            </w:r>
          </w:p>
        </w:tc>
        <w:tc>
          <w:tcPr>
            <w:tcW w:w="3746" w:type="dxa"/>
            <w:noWrap w:val="0"/>
            <w:vAlign w:val="center"/>
          </w:tcPr>
          <w:p w14:paraId="64C4B610">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50m</w:t>
            </w:r>
          </w:p>
        </w:tc>
      </w:tr>
      <w:tr w14:paraId="2CD50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618" w:type="dxa"/>
            <w:noWrap w:val="0"/>
            <w:vAlign w:val="center"/>
          </w:tcPr>
          <w:p w14:paraId="77906A1F">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3854" w:type="dxa"/>
            <w:noWrap w:val="0"/>
            <w:vAlign w:val="center"/>
          </w:tcPr>
          <w:p w14:paraId="56824621">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前后视的距离较差</w:t>
            </w:r>
          </w:p>
        </w:tc>
        <w:tc>
          <w:tcPr>
            <w:tcW w:w="3746" w:type="dxa"/>
            <w:noWrap w:val="0"/>
            <w:vAlign w:val="center"/>
          </w:tcPr>
          <w:p w14:paraId="32F1C6E9">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2.0m</w:t>
            </w:r>
          </w:p>
        </w:tc>
      </w:tr>
      <w:tr w14:paraId="36CD9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618" w:type="dxa"/>
            <w:noWrap w:val="0"/>
            <w:vAlign w:val="center"/>
          </w:tcPr>
          <w:p w14:paraId="05B70DD7">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3854" w:type="dxa"/>
            <w:noWrap w:val="0"/>
            <w:vAlign w:val="center"/>
          </w:tcPr>
          <w:p w14:paraId="0F710705">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任一测站前后视距差累计</w:t>
            </w:r>
          </w:p>
        </w:tc>
        <w:tc>
          <w:tcPr>
            <w:tcW w:w="3746" w:type="dxa"/>
            <w:noWrap w:val="0"/>
            <w:vAlign w:val="center"/>
          </w:tcPr>
          <w:p w14:paraId="504072CA">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3.0m</w:t>
            </w:r>
          </w:p>
        </w:tc>
      </w:tr>
      <w:tr w14:paraId="0070D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618" w:type="dxa"/>
            <w:noWrap w:val="0"/>
            <w:vAlign w:val="center"/>
          </w:tcPr>
          <w:p w14:paraId="64040CC6">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3854" w:type="dxa"/>
            <w:noWrap w:val="0"/>
            <w:vAlign w:val="center"/>
          </w:tcPr>
          <w:p w14:paraId="03A636EB">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视线距离地面最低高度</w:t>
            </w:r>
          </w:p>
        </w:tc>
        <w:tc>
          <w:tcPr>
            <w:tcW w:w="3746" w:type="dxa"/>
            <w:noWrap w:val="0"/>
            <w:vAlign w:val="center"/>
          </w:tcPr>
          <w:p w14:paraId="32F43AF4">
            <w:pPr>
              <w:snapToGrid w:val="0"/>
              <w:spacing w:before="100" w:after="10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0.3m</w:t>
            </w:r>
          </w:p>
        </w:tc>
      </w:tr>
    </w:tbl>
    <w:p w14:paraId="04F60656">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观测注意事项如下：</w:t>
      </w:r>
    </w:p>
    <w:p w14:paraId="78E22CFC">
      <w:pPr>
        <w:spacing w:line="360" w:lineRule="auto"/>
        <w:ind w:firstLine="480" w:firstLineChars="200"/>
        <w:rPr>
          <w:rFonts w:hint="eastAsia" w:ascii="宋体" w:hAnsi="宋体"/>
          <w:color w:val="auto"/>
          <w:sz w:val="24"/>
          <w:highlight w:val="none"/>
        </w:rPr>
      </w:pPr>
      <w:r>
        <w:rPr>
          <w:rFonts w:hint="eastAsia" w:hAnsi="宋体"/>
          <w:color w:val="auto"/>
          <w:sz w:val="24"/>
          <w:highlight w:val="none"/>
          <w:lang w:val="en-US" w:eastAsia="zh-CN"/>
        </w:rPr>
        <w:t>①</w:t>
      </w:r>
      <w:r>
        <w:rPr>
          <w:rFonts w:hint="eastAsia" w:ascii="宋体" w:hAnsi="宋体"/>
          <w:color w:val="auto"/>
          <w:sz w:val="24"/>
          <w:highlight w:val="none"/>
        </w:rPr>
        <w:t>对使用仪器必需定期进行检验。当观测成果异常，若与仪器有关时，及时对仪器进行</w:t>
      </w:r>
      <w:r>
        <w:rPr>
          <w:rFonts w:hint="eastAsia" w:ascii="宋体" w:hAnsi="宋体"/>
          <w:color w:val="auto"/>
          <w:sz w:val="24"/>
          <w:highlight w:val="none"/>
          <w:lang w:val="en-US" w:eastAsia="zh-CN"/>
        </w:rPr>
        <w:t>i角</w:t>
      </w:r>
      <w:r>
        <w:rPr>
          <w:rFonts w:hint="eastAsia" w:ascii="宋体" w:hAnsi="宋体"/>
          <w:color w:val="auto"/>
          <w:sz w:val="24"/>
          <w:highlight w:val="none"/>
        </w:rPr>
        <w:t>检验与校正；</w:t>
      </w:r>
    </w:p>
    <w:p w14:paraId="51CAB8F6">
      <w:pPr>
        <w:spacing w:line="360" w:lineRule="auto"/>
        <w:ind w:firstLine="480" w:firstLineChars="200"/>
        <w:rPr>
          <w:rFonts w:hint="eastAsia" w:ascii="宋体" w:hAnsi="宋体"/>
          <w:color w:val="auto"/>
          <w:sz w:val="24"/>
          <w:highlight w:val="none"/>
        </w:rPr>
      </w:pPr>
      <w:r>
        <w:rPr>
          <w:rFonts w:hint="eastAsia" w:hAnsi="宋体"/>
          <w:color w:val="auto"/>
          <w:sz w:val="24"/>
          <w:highlight w:val="none"/>
          <w:lang w:val="en-US" w:eastAsia="zh-CN"/>
        </w:rPr>
        <w:t>②</w:t>
      </w:r>
      <w:r>
        <w:rPr>
          <w:rFonts w:hint="eastAsia" w:ascii="宋体" w:hAnsi="宋体"/>
          <w:color w:val="auto"/>
          <w:sz w:val="24"/>
          <w:highlight w:val="none"/>
        </w:rPr>
        <w:t>观测做到三固定，即固定人员、固定仪器、固定测站；</w:t>
      </w:r>
    </w:p>
    <w:p w14:paraId="2CB41C39">
      <w:pPr>
        <w:spacing w:line="360" w:lineRule="auto"/>
        <w:ind w:firstLine="480" w:firstLineChars="200"/>
        <w:rPr>
          <w:rFonts w:hint="eastAsia" w:ascii="宋体" w:hAnsi="宋体"/>
          <w:color w:val="auto"/>
          <w:sz w:val="24"/>
          <w:highlight w:val="none"/>
        </w:rPr>
      </w:pPr>
      <w:r>
        <w:rPr>
          <w:rFonts w:hint="eastAsia" w:hAnsi="宋体"/>
          <w:color w:val="auto"/>
          <w:sz w:val="24"/>
          <w:highlight w:val="none"/>
          <w:lang w:val="en-US" w:eastAsia="zh-CN"/>
        </w:rPr>
        <w:t>③</w:t>
      </w:r>
      <w:r>
        <w:rPr>
          <w:rFonts w:hint="eastAsia" w:ascii="宋体" w:hAnsi="宋体"/>
          <w:color w:val="auto"/>
          <w:sz w:val="24"/>
          <w:highlight w:val="none"/>
        </w:rPr>
        <w:t>观测时，必须保证良好的观测环境及成像条件；</w:t>
      </w:r>
    </w:p>
    <w:p w14:paraId="5BB30E62">
      <w:pPr>
        <w:spacing w:line="360" w:lineRule="auto"/>
        <w:ind w:firstLine="480" w:firstLineChars="200"/>
        <w:rPr>
          <w:rFonts w:hint="eastAsia" w:ascii="宋体" w:hAnsi="宋体"/>
          <w:color w:val="auto"/>
          <w:sz w:val="24"/>
          <w:highlight w:val="none"/>
        </w:rPr>
      </w:pPr>
      <w:r>
        <w:rPr>
          <w:rFonts w:hint="eastAsia" w:hAnsi="宋体"/>
          <w:color w:val="auto"/>
          <w:sz w:val="24"/>
          <w:highlight w:val="none"/>
          <w:lang w:val="en-US" w:eastAsia="zh-CN"/>
        </w:rPr>
        <w:t>④</w:t>
      </w:r>
      <w:r>
        <w:rPr>
          <w:rFonts w:hint="eastAsia" w:ascii="宋体" w:hAnsi="宋体"/>
          <w:color w:val="auto"/>
          <w:sz w:val="24"/>
          <w:highlight w:val="none"/>
        </w:rPr>
        <w:t>观测前正确设定记录文件中各项控制限差参数，观测完成现场检核闭合或附合差情况，确认合格后方可完成测量工作；</w:t>
      </w:r>
    </w:p>
    <w:p w14:paraId="7ED7007E">
      <w:pPr>
        <w:spacing w:line="360" w:lineRule="auto"/>
        <w:ind w:firstLine="480" w:firstLineChars="200"/>
        <w:rPr>
          <w:rFonts w:hint="eastAsia" w:ascii="宋体" w:hAnsi="宋体"/>
          <w:color w:val="auto"/>
          <w:sz w:val="24"/>
          <w:highlight w:val="none"/>
        </w:rPr>
      </w:pPr>
      <w:r>
        <w:rPr>
          <w:rFonts w:hint="eastAsia" w:hAnsi="宋体"/>
          <w:color w:val="auto"/>
          <w:sz w:val="24"/>
          <w:highlight w:val="none"/>
          <w:lang w:val="en-US" w:eastAsia="zh-CN"/>
        </w:rPr>
        <w:t>⑤</w:t>
      </w:r>
      <w:r>
        <w:rPr>
          <w:rFonts w:hint="eastAsia" w:ascii="宋体" w:hAnsi="宋体"/>
          <w:color w:val="auto"/>
          <w:sz w:val="24"/>
          <w:highlight w:val="none"/>
        </w:rPr>
        <w:t>观测时满足水准观测各项相关技术要求；</w:t>
      </w:r>
    </w:p>
    <w:p w14:paraId="74CA0671">
      <w:pPr>
        <w:spacing w:line="360" w:lineRule="auto"/>
        <w:ind w:firstLine="480" w:firstLineChars="200"/>
        <w:rPr>
          <w:rFonts w:hint="eastAsia" w:ascii="宋体" w:hAnsi="宋体"/>
          <w:color w:val="auto"/>
          <w:sz w:val="24"/>
          <w:highlight w:val="none"/>
        </w:rPr>
      </w:pPr>
      <w:r>
        <w:rPr>
          <w:rFonts w:hint="eastAsia" w:hAnsi="宋体"/>
          <w:color w:val="auto"/>
          <w:sz w:val="24"/>
          <w:highlight w:val="none"/>
          <w:lang w:val="en-US" w:eastAsia="zh-CN"/>
        </w:rPr>
        <w:t>⑥</w:t>
      </w:r>
      <w:r>
        <w:rPr>
          <w:rFonts w:hint="eastAsia" w:ascii="宋体" w:hAnsi="宋体"/>
          <w:color w:val="auto"/>
          <w:sz w:val="24"/>
          <w:highlight w:val="none"/>
        </w:rPr>
        <w:t>定期或不定期对垂直沉降控制网进行复测，防止基准网自身发生变形，以保证沉降监测成果的正确性。</w:t>
      </w:r>
    </w:p>
    <w:p w14:paraId="17E03BBB">
      <w:pPr>
        <w:pStyle w:val="61"/>
        <w:numPr>
          <w:ilvl w:val="0"/>
          <w:numId w:val="1"/>
        </w:numPr>
        <w:spacing w:before="0" w:after="0" w:line="360" w:lineRule="auto"/>
        <w:ind w:left="-248" w:leftChars="0" w:firstLine="488" w:firstLineChars="0"/>
        <w:rPr>
          <w:color w:val="auto"/>
          <w:kern w:val="2"/>
          <w:sz w:val="24"/>
          <w:szCs w:val="24"/>
          <w:lang w:eastAsia="zh-CN"/>
        </w:rPr>
      </w:pPr>
      <w:r>
        <w:rPr>
          <w:color w:val="auto"/>
          <w:kern w:val="2"/>
          <w:sz w:val="24"/>
          <w:szCs w:val="24"/>
          <w:lang w:eastAsia="zh-CN"/>
        </w:rPr>
        <w:t>绝对位移量测法（三维坐标量测法</w:t>
      </w:r>
      <w:r>
        <w:rPr>
          <w:caps/>
          <w:color w:val="auto"/>
          <w:sz w:val="24"/>
          <w:szCs w:val="24"/>
          <w:lang w:eastAsia="zh-CN"/>
        </w:rPr>
        <w:t>）</w:t>
      </w:r>
      <w:r>
        <w:rPr>
          <w:color w:val="auto"/>
          <w:kern w:val="2"/>
          <w:sz w:val="24"/>
          <w:szCs w:val="24"/>
          <w:lang w:eastAsia="zh-CN"/>
        </w:rPr>
        <w:t>量测时，需要两个已知坐标基点，并通过固定设站和自由设站建站，量测各测点的三维坐标</w:t>
      </w:r>
      <w:r>
        <w:rPr>
          <w:rFonts w:hint="eastAsia" w:ascii="宋体" w:hAnsi="宋体" w:eastAsia="宋体" w:cs="宋体"/>
          <w:color w:val="auto"/>
          <w:kern w:val="2"/>
          <w:sz w:val="24"/>
          <w:szCs w:val="28"/>
          <w:lang w:val="en-US" w:eastAsia="zh-CN" w:bidi="ar-SA"/>
        </w:rPr>
        <w:t>[x(t),y(t),z(t)]</w:t>
      </w:r>
      <w:r>
        <w:rPr>
          <w:color w:val="auto"/>
          <w:kern w:val="2"/>
          <w:sz w:val="24"/>
          <w:szCs w:val="24"/>
          <w:lang w:eastAsia="zh-CN"/>
        </w:rPr>
        <w:t>。固定设站量测时需将仪器设置在一个已知坐标点上，用另已知坐标点作为后视点，建立坐标系进行量测；自由设站量测时可将仪器置于任意位置，用两个已知坐标点作为后视点，建立坐标系进行量测</w:t>
      </w:r>
      <w:r>
        <w:rPr>
          <w:rFonts w:hint="eastAsia"/>
          <w:color w:val="auto"/>
          <w:kern w:val="2"/>
          <w:sz w:val="24"/>
          <w:szCs w:val="24"/>
          <w:lang w:eastAsia="zh-CN"/>
        </w:rPr>
        <w:t>，</w:t>
      </w:r>
      <w:r>
        <w:rPr>
          <w:rFonts w:hint="eastAsia"/>
          <w:color w:val="auto"/>
          <w:kern w:val="2"/>
          <w:sz w:val="24"/>
          <w:szCs w:val="24"/>
          <w:lang w:val="en-US" w:eastAsia="zh-CN"/>
        </w:rPr>
        <w:t>全站仪法监测示意图，如下图5-1所示</w:t>
      </w:r>
      <w:r>
        <w:rPr>
          <w:color w:val="auto"/>
          <w:kern w:val="2"/>
          <w:sz w:val="24"/>
          <w:szCs w:val="24"/>
          <w:lang w:eastAsia="zh-CN"/>
        </w:rPr>
        <w:t>。</w:t>
      </w:r>
    </w:p>
    <w:p w14:paraId="7022954B">
      <w:pPr>
        <w:pStyle w:val="10"/>
        <w:rPr>
          <w:rFonts w:hint="eastAsia"/>
        </w:rPr>
      </w:pPr>
    </w:p>
    <w:p w14:paraId="07ED5F01">
      <w:pPr>
        <w:rPr>
          <w:rFonts w:hint="eastAsia"/>
          <w:lang w:val="en-US" w:eastAsia="zh-CN"/>
        </w:rPr>
      </w:pPr>
      <w:bookmarkStart w:id="94" w:name="_Toc330969969"/>
      <w:bookmarkStart w:id="95" w:name="_Toc328754607"/>
      <w:bookmarkStart w:id="96" w:name="_Toc425774886"/>
      <w:bookmarkStart w:id="97" w:name="_Toc330918750"/>
      <w:bookmarkStart w:id="98" w:name="_Toc25835"/>
      <w:bookmarkStart w:id="99" w:name="_Toc397065215"/>
      <w:bookmarkStart w:id="100" w:name="_Toc396574118"/>
      <w:bookmarkStart w:id="101" w:name="_Toc14527"/>
      <w:bookmarkStart w:id="102" w:name="_Toc328754181"/>
    </w:p>
    <w:p w14:paraId="32FCFDD9">
      <w:pPr>
        <w:spacing w:before="69"/>
        <w:ind w:left="4111" w:right="0" w:firstLine="0"/>
        <w:jc w:val="left"/>
        <w:rPr>
          <w:rFonts w:hint="eastAsia" w:ascii="宋体" w:hAnsi="宋体"/>
          <w:b/>
          <w:bCs w:val="0"/>
          <w:color w:val="auto"/>
          <w:spacing w:val="10"/>
          <w:kern w:val="2"/>
          <w:sz w:val="24"/>
          <w:szCs w:val="24"/>
          <w:highlight w:val="none"/>
          <w:lang w:val="en-US" w:eastAsia="zh-CN" w:bidi="ar-SA"/>
        </w:rPr>
      </w:pPr>
      <w:r>
        <w:rPr>
          <w:rFonts w:hint="eastAsia" w:ascii="宋体" w:hAnsi="宋体" w:eastAsia="宋体" w:cs="宋体"/>
          <w:color w:val="auto"/>
          <w:kern w:val="2"/>
          <w:sz w:val="24"/>
          <w:szCs w:val="28"/>
          <w:lang w:val="en-US" w:eastAsia="zh-CN" w:bidi="ar-SA"/>
        </w:rPr>
        <w:drawing>
          <wp:anchor distT="0" distB="0" distL="114300" distR="114300" simplePos="0" relativeHeight="251665408" behindDoc="0" locked="0" layoutInCell="1" allowOverlap="1">
            <wp:simplePos x="0" y="0"/>
            <wp:positionH relativeFrom="column">
              <wp:posOffset>243840</wp:posOffset>
            </wp:positionH>
            <wp:positionV relativeFrom="paragraph">
              <wp:posOffset>70485</wp:posOffset>
            </wp:positionV>
            <wp:extent cx="5861050" cy="1976755"/>
            <wp:effectExtent l="0" t="0" r="6350" b="4445"/>
            <wp:wrapTopAndBottom/>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pic:cNvPicPr>
                  </pic:nvPicPr>
                  <pic:blipFill>
                    <a:blip r:embed="rId22"/>
                    <a:stretch>
                      <a:fillRect/>
                    </a:stretch>
                  </pic:blipFill>
                  <pic:spPr>
                    <a:xfrm>
                      <a:off x="0" y="0"/>
                      <a:ext cx="5861050" cy="1976755"/>
                    </a:xfrm>
                    <a:prstGeom prst="rect">
                      <a:avLst/>
                    </a:prstGeom>
                    <a:noFill/>
                    <a:ln>
                      <a:noFill/>
                    </a:ln>
                  </pic:spPr>
                </pic:pic>
              </a:graphicData>
            </a:graphic>
          </wp:anchor>
        </w:drawing>
      </w:r>
      <w:r>
        <w:rPr>
          <w:rFonts w:hint="eastAsia" w:ascii="宋体" w:hAnsi="宋体" w:eastAsia="宋体" w:cs="宋体"/>
          <w:b/>
          <w:bCs/>
          <w:sz w:val="21"/>
        </w:rPr>
        <w:t>图</w:t>
      </w:r>
      <w:r>
        <w:rPr>
          <w:rFonts w:hint="eastAsia" w:hAnsi="宋体" w:cs="宋体"/>
          <w:b/>
          <w:bCs/>
          <w:sz w:val="21"/>
          <w:lang w:val="en-US" w:eastAsia="zh-CN"/>
        </w:rPr>
        <w:t>5</w:t>
      </w:r>
      <w:r>
        <w:rPr>
          <w:rFonts w:hint="eastAsia" w:ascii="宋体" w:hAnsi="宋体" w:eastAsia="宋体" w:cs="宋体"/>
          <w:b/>
          <w:bCs/>
          <w:sz w:val="21"/>
        </w:rPr>
        <w:t>-</w:t>
      </w:r>
      <w:r>
        <w:rPr>
          <w:rFonts w:hint="eastAsia" w:hAnsi="宋体" w:cs="宋体"/>
          <w:b/>
          <w:bCs/>
          <w:sz w:val="21"/>
          <w:lang w:val="en-US" w:eastAsia="zh-CN"/>
        </w:rPr>
        <w:t>1</w:t>
      </w:r>
      <w:r>
        <w:rPr>
          <w:rFonts w:hint="eastAsia" w:ascii="宋体" w:hAnsi="宋体" w:eastAsia="宋体" w:cs="宋体"/>
          <w:b/>
          <w:bCs/>
          <w:sz w:val="21"/>
        </w:rPr>
        <w:t>监测示意图</w:t>
      </w:r>
    </w:p>
    <w:p w14:paraId="61A6F00E">
      <w:pPr>
        <w:adjustRightInd w:val="0"/>
        <w:snapToGrid w:val="0"/>
        <w:spacing w:before="156" w:beforeLines="50" w:after="156" w:afterLines="50"/>
        <w:ind w:left="0" w:leftChars="0" w:firstLine="0" w:firstLineChars="0"/>
        <w:outlineLvl w:val="2"/>
        <w:rPr>
          <w:rFonts w:hint="eastAsia" w:ascii="宋体" w:hAnsi="宋体"/>
          <w:b/>
          <w:bCs w:val="0"/>
          <w:color w:val="auto"/>
          <w:spacing w:val="10"/>
          <w:kern w:val="2"/>
          <w:sz w:val="24"/>
          <w:szCs w:val="24"/>
          <w:highlight w:val="none"/>
          <w:lang w:val="en-US" w:eastAsia="zh-CN" w:bidi="ar-SA"/>
        </w:rPr>
      </w:pPr>
      <w:r>
        <w:rPr>
          <w:rFonts w:hint="eastAsia" w:ascii="宋体" w:hAnsi="宋体"/>
          <w:b/>
          <w:bCs w:val="0"/>
          <w:color w:val="auto"/>
          <w:spacing w:val="10"/>
          <w:kern w:val="2"/>
          <w:sz w:val="24"/>
          <w:szCs w:val="24"/>
          <w:highlight w:val="none"/>
          <w:lang w:val="en-US" w:eastAsia="zh-CN" w:bidi="ar-SA"/>
        </w:rPr>
        <w:t>5.</w:t>
      </w:r>
      <w:r>
        <w:rPr>
          <w:rFonts w:hint="eastAsia" w:hAnsi="宋体"/>
          <w:b/>
          <w:bCs w:val="0"/>
          <w:color w:val="auto"/>
          <w:spacing w:val="10"/>
          <w:kern w:val="2"/>
          <w:sz w:val="24"/>
          <w:szCs w:val="24"/>
          <w:highlight w:val="none"/>
          <w:lang w:val="en-US" w:eastAsia="zh-CN" w:bidi="ar-SA"/>
        </w:rPr>
        <w:t>1</w:t>
      </w:r>
      <w:r>
        <w:rPr>
          <w:rFonts w:hint="eastAsia" w:ascii="宋体" w:hAnsi="宋体"/>
          <w:b/>
          <w:bCs w:val="0"/>
          <w:color w:val="auto"/>
          <w:spacing w:val="10"/>
          <w:kern w:val="2"/>
          <w:sz w:val="24"/>
          <w:szCs w:val="24"/>
          <w:highlight w:val="none"/>
          <w:lang w:val="en-US" w:eastAsia="zh-CN" w:bidi="ar-SA"/>
        </w:rPr>
        <w:t>.</w:t>
      </w:r>
      <w:r>
        <w:rPr>
          <w:rFonts w:hint="eastAsia" w:hAnsi="宋体"/>
          <w:b/>
          <w:bCs w:val="0"/>
          <w:color w:val="auto"/>
          <w:spacing w:val="10"/>
          <w:kern w:val="2"/>
          <w:sz w:val="24"/>
          <w:szCs w:val="24"/>
          <w:highlight w:val="none"/>
          <w:lang w:val="en-US" w:eastAsia="zh-CN" w:bidi="ar-SA"/>
        </w:rPr>
        <w:t>2</w:t>
      </w:r>
      <w:r>
        <w:rPr>
          <w:rFonts w:hint="eastAsia" w:ascii="宋体" w:hAnsi="宋体"/>
          <w:b/>
          <w:bCs w:val="0"/>
          <w:color w:val="auto"/>
          <w:spacing w:val="10"/>
          <w:kern w:val="2"/>
          <w:sz w:val="24"/>
          <w:szCs w:val="24"/>
          <w:highlight w:val="none"/>
          <w:lang w:val="en-US" w:eastAsia="zh-CN" w:bidi="ar-SA"/>
        </w:rPr>
        <w:t>数据处理及分析</w:t>
      </w:r>
      <w:bookmarkEnd w:id="94"/>
      <w:bookmarkEnd w:id="95"/>
      <w:bookmarkEnd w:id="96"/>
      <w:bookmarkEnd w:id="97"/>
      <w:bookmarkEnd w:id="98"/>
      <w:bookmarkEnd w:id="99"/>
      <w:bookmarkEnd w:id="100"/>
      <w:bookmarkEnd w:id="101"/>
      <w:bookmarkEnd w:id="102"/>
    </w:p>
    <w:p w14:paraId="797538BA">
      <w:pPr>
        <w:spacing w:line="360" w:lineRule="auto"/>
        <w:ind w:firstLine="480" w:firstLineChars="200"/>
        <w:rPr>
          <w:rFonts w:ascii="Times New Roman" w:hAnsi="Times New Roman"/>
          <w:sz w:val="24"/>
        </w:rPr>
      </w:pPr>
      <w:r>
        <w:rPr>
          <w:rFonts w:ascii="Times New Roman" w:hAnsi="Times New Roman"/>
          <w:sz w:val="24"/>
        </w:rPr>
        <w:t>观测记录采用水准仪</w:t>
      </w:r>
      <w:r>
        <w:rPr>
          <w:rFonts w:hint="eastAsia" w:ascii="Times New Roman" w:hAnsi="Times New Roman"/>
          <w:sz w:val="24"/>
          <w:lang w:eastAsia="zh-CN"/>
        </w:rPr>
        <w:t>或全站仪</w:t>
      </w:r>
      <w:r>
        <w:rPr>
          <w:rFonts w:ascii="Times New Roman" w:hAnsi="Times New Roman"/>
          <w:sz w:val="24"/>
        </w:rPr>
        <w:t>自带记录程序进行，观测完成后形成原始电子观测文件，观测完成后仪器可直接计算出闭合差或附和差，通过数据传输处理软件传输至计算机，直接获得各点高程值。</w:t>
      </w:r>
    </w:p>
    <w:p w14:paraId="7A8193DC">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通过沉降监测点各期高程值计算各期阶段沉降量、阶段变形速率、累计沉降量等数据，并绘制相应的图表，进行变形分析。</w:t>
      </w:r>
    </w:p>
    <w:p w14:paraId="0E5F4B5D">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本期沉降dHi=本期高程Hi-上期高程Hi-1</w:t>
      </w:r>
    </w:p>
    <w:p w14:paraId="5BB06803">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累积沉降dH=本期高程Hi-初始高程H0</w:t>
      </w:r>
    </w:p>
    <w:p w14:paraId="4DAF37CE">
      <w:pPr>
        <w:pStyle w:val="53"/>
        <w:spacing w:before="156" w:beforeLines="50" w:after="156" w:afterLines="50"/>
        <w:ind w:left="0" w:leftChars="0" w:firstLine="0" w:firstLineChars="0"/>
        <w:rPr>
          <w:rFonts w:hint="eastAsia" w:ascii="宋体" w:hAnsi="宋体" w:eastAsia="宋体" w:cs="宋体"/>
          <w:color w:val="auto"/>
          <w:spacing w:val="10"/>
          <w:highlight w:val="none"/>
          <w:lang w:val="en-US" w:eastAsia="zh-CN"/>
        </w:rPr>
      </w:pPr>
      <w:bookmarkStart w:id="103" w:name="_Toc23983"/>
      <w:bookmarkStart w:id="104" w:name="_Toc19369"/>
      <w:bookmarkStart w:id="105" w:name="_Toc6549"/>
      <w:bookmarkStart w:id="106" w:name="_Toc14424"/>
      <w:r>
        <w:rPr>
          <w:rFonts w:hint="eastAsia" w:ascii="宋体" w:hAnsi="宋体" w:eastAsia="宋体" w:cs="宋体"/>
          <w:color w:val="auto"/>
          <w:spacing w:val="10"/>
          <w:highlight w:val="none"/>
          <w:lang w:val="en-US" w:eastAsia="zh-CN"/>
        </w:rPr>
        <w:t>5.2边坡水平位移监测</w:t>
      </w:r>
      <w:bookmarkEnd w:id="103"/>
      <w:bookmarkEnd w:id="104"/>
      <w:bookmarkEnd w:id="105"/>
      <w:bookmarkEnd w:id="106"/>
    </w:p>
    <w:p w14:paraId="490D975A">
      <w:pPr>
        <w:adjustRightInd w:val="0"/>
        <w:snapToGrid w:val="0"/>
        <w:spacing w:before="156" w:beforeLines="50" w:after="156" w:afterLines="50"/>
        <w:ind w:left="0" w:leftChars="0" w:firstLine="0" w:firstLineChars="0"/>
        <w:outlineLvl w:val="2"/>
        <w:rPr>
          <w:rFonts w:hint="eastAsia" w:ascii="宋体" w:hAnsi="宋体"/>
          <w:b/>
          <w:bCs w:val="0"/>
          <w:color w:val="auto"/>
          <w:spacing w:val="10"/>
          <w:kern w:val="2"/>
          <w:sz w:val="24"/>
          <w:szCs w:val="24"/>
          <w:highlight w:val="none"/>
          <w:lang w:val="en-US" w:eastAsia="zh-CN" w:bidi="ar-SA"/>
        </w:rPr>
      </w:pPr>
      <w:bookmarkStart w:id="107" w:name="_Toc330918753"/>
      <w:bookmarkStart w:id="108" w:name="_Toc397065209"/>
      <w:bookmarkStart w:id="109" w:name="_Toc13767"/>
      <w:bookmarkStart w:id="110" w:name="_Toc328754610"/>
      <w:bookmarkStart w:id="111" w:name="_Toc330969972"/>
      <w:bookmarkStart w:id="112" w:name="_Toc15306"/>
      <w:bookmarkStart w:id="113" w:name="_Toc328754184"/>
      <w:r>
        <w:rPr>
          <w:rFonts w:hint="eastAsia" w:ascii="宋体" w:hAnsi="宋体"/>
          <w:b/>
          <w:bCs w:val="0"/>
          <w:color w:val="auto"/>
          <w:spacing w:val="10"/>
          <w:kern w:val="2"/>
          <w:sz w:val="24"/>
          <w:szCs w:val="24"/>
          <w:highlight w:val="none"/>
          <w:lang w:val="en-US" w:eastAsia="zh-CN" w:bidi="ar-SA"/>
        </w:rPr>
        <w:t>5.2.2</w:t>
      </w:r>
      <w:r>
        <w:rPr>
          <w:rFonts w:hint="eastAsia" w:ascii="宋体" w:hAnsi="宋体" w:eastAsia="宋体" w:cs="Times New Roman"/>
          <w:b/>
          <w:bCs w:val="0"/>
          <w:color w:val="auto"/>
          <w:spacing w:val="10"/>
          <w:kern w:val="2"/>
          <w:sz w:val="24"/>
          <w:szCs w:val="24"/>
          <w:highlight w:val="none"/>
          <w:lang w:val="en-US" w:eastAsia="zh-CN" w:bidi="ar-SA"/>
        </w:rPr>
        <w:t>边坡</w:t>
      </w:r>
      <w:r>
        <w:rPr>
          <w:rFonts w:hint="eastAsia" w:ascii="宋体" w:hAnsi="宋体"/>
          <w:b/>
          <w:bCs w:val="0"/>
          <w:color w:val="auto"/>
          <w:spacing w:val="10"/>
          <w:kern w:val="2"/>
          <w:sz w:val="24"/>
          <w:szCs w:val="24"/>
          <w:highlight w:val="none"/>
          <w:lang w:val="en-US" w:eastAsia="zh-CN" w:bidi="ar-SA"/>
        </w:rPr>
        <w:t>水平位移监测的方法</w:t>
      </w:r>
      <w:bookmarkEnd w:id="107"/>
      <w:bookmarkEnd w:id="108"/>
      <w:bookmarkEnd w:id="109"/>
      <w:bookmarkEnd w:id="110"/>
      <w:bookmarkEnd w:id="111"/>
      <w:bookmarkEnd w:id="112"/>
      <w:bookmarkEnd w:id="113"/>
    </w:p>
    <w:p w14:paraId="58171794">
      <w:pPr>
        <w:keepNext w:val="0"/>
        <w:keepLines w:val="0"/>
        <w:widowControl/>
        <w:suppressLineNumbers w:val="0"/>
        <w:jc w:val="left"/>
      </w:pPr>
      <w:r>
        <w:rPr>
          <w:rFonts w:hint="eastAsia" w:ascii="宋体" w:hAnsi="宋体" w:eastAsia="宋体" w:cs="宋体"/>
          <w:color w:val="000000"/>
          <w:kern w:val="0"/>
          <w:sz w:val="24"/>
          <w:szCs w:val="24"/>
          <w:lang w:val="en-US" w:eastAsia="zh-CN" w:bidi="ar"/>
        </w:rPr>
        <w:t>日常观测过程中，水平位移使用莱卡型号高精度电子全站仪、对预埋观测桩头反射片等设备进行观测，观测设备如下图所示。</w:t>
      </w:r>
    </w:p>
    <w:p w14:paraId="541FE516">
      <w:pPr>
        <w:bidi w:val="0"/>
        <w:spacing w:line="240" w:lineRule="auto"/>
        <w:jc w:val="center"/>
        <w:rPr>
          <w:rFonts w:hint="eastAsia"/>
          <w:lang w:val="en-US" w:eastAsia="zh-CN"/>
        </w:rPr>
      </w:pPr>
      <w:r>
        <w:rPr>
          <w:rFonts w:hint="eastAsia"/>
          <w:lang w:val="en-US" w:eastAsia="zh-CN"/>
        </w:rPr>
        <w:drawing>
          <wp:inline distT="0" distB="0" distL="114300" distR="114300">
            <wp:extent cx="1384300" cy="1753870"/>
            <wp:effectExtent l="0" t="0" r="0" b="11430"/>
            <wp:docPr id="123" name="图片 123"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图片10"/>
                    <pic:cNvPicPr>
                      <a:picLocks noChangeAspect="1"/>
                    </pic:cNvPicPr>
                  </pic:nvPicPr>
                  <pic:blipFill>
                    <a:blip r:embed="rId17"/>
                    <a:stretch>
                      <a:fillRect/>
                    </a:stretch>
                  </pic:blipFill>
                  <pic:spPr>
                    <a:xfrm>
                      <a:off x="0" y="0"/>
                      <a:ext cx="1384300" cy="1753870"/>
                    </a:xfrm>
                    <a:prstGeom prst="rect">
                      <a:avLst/>
                    </a:prstGeom>
                  </pic:spPr>
                </pic:pic>
              </a:graphicData>
            </a:graphic>
          </wp:inline>
        </w:drawing>
      </w:r>
    </w:p>
    <w:p w14:paraId="41CEFE05">
      <w:pPr>
        <w:spacing w:before="69"/>
        <w:ind w:right="0"/>
        <w:jc w:val="center"/>
        <w:rPr>
          <w:rFonts w:hint="eastAsia" w:ascii="宋体" w:hAnsi="宋体" w:eastAsia="宋体" w:cs="宋体"/>
          <w:b/>
          <w:bCs/>
          <w:sz w:val="21"/>
        </w:rPr>
      </w:pPr>
      <w:r>
        <w:rPr>
          <w:rFonts w:hint="eastAsia" w:ascii="宋体" w:hAnsi="宋体" w:eastAsia="宋体" w:cs="宋体"/>
          <w:b/>
          <w:bCs/>
          <w:sz w:val="21"/>
          <w:lang w:val="en-US" w:eastAsia="zh-CN"/>
        </w:rPr>
        <w:t>图5-2 高精度电子全站仪</w:t>
      </w:r>
    </w:p>
    <w:p w14:paraId="599655BE">
      <w:pPr>
        <w:keepNext w:val="0"/>
        <w:keepLines w:val="0"/>
        <w:widowControl/>
        <w:suppressLineNumbers w:val="0"/>
        <w:jc w:val="left"/>
        <w:rPr>
          <w:rFonts w:hint="eastAsia" w:ascii="宋体" w:hAnsi="宋体" w:eastAsia="宋体" w:cs="Times New Roman"/>
          <w:color w:val="auto"/>
          <w:sz w:val="24"/>
          <w:highlight w:val="none"/>
          <w:lang w:val="en-US" w:eastAsia="zh-CN"/>
        </w:rPr>
      </w:pPr>
      <w:r>
        <w:rPr>
          <w:rFonts w:hint="eastAsia" w:ascii="宋体" w:hAnsi="宋体" w:eastAsia="宋体" w:cs="宋体"/>
          <w:color w:val="000000"/>
          <w:kern w:val="0"/>
          <w:sz w:val="24"/>
          <w:szCs w:val="24"/>
          <w:lang w:val="en-US" w:eastAsia="zh-CN" w:bidi="ar"/>
        </w:rPr>
        <w:t>日常观测过程中，边桩位移使用全站仪，采用距离法测得位移桩与基准桩之间的水平距离。</w:t>
      </w:r>
    </w:p>
    <w:p w14:paraId="40C1154C">
      <w:pPr>
        <w:spacing w:line="360" w:lineRule="auto"/>
        <w:ind w:firstLine="480" w:firstLineChars="200"/>
        <w:rPr>
          <w:rFonts w:hint="eastAsia" w:ascii="宋体" w:hAnsi="宋体"/>
          <w:color w:val="auto"/>
          <w:sz w:val="24"/>
          <w:highlight w:val="none"/>
          <w:lang w:eastAsia="zh-CN"/>
        </w:rPr>
      </w:pPr>
      <w:r>
        <w:rPr>
          <w:rFonts w:hint="eastAsia" w:ascii="宋体" w:hAnsi="宋体"/>
          <w:color w:val="auto"/>
          <w:sz w:val="24"/>
          <w:highlight w:val="none"/>
          <w:lang w:eastAsia="zh-CN"/>
        </w:rPr>
        <w:t>水平位移监测使用全站仪(1″,1mm+1.5ppm)及</w:t>
      </w:r>
      <w:r>
        <w:rPr>
          <w:rFonts w:hint="eastAsia" w:ascii="宋体" w:hAnsi="宋体"/>
          <w:color w:val="auto"/>
          <w:sz w:val="24"/>
          <w:highlight w:val="none"/>
          <w:lang w:val="en-US" w:eastAsia="zh-CN"/>
        </w:rPr>
        <w:t>反射片</w:t>
      </w:r>
      <w:r>
        <w:rPr>
          <w:rFonts w:hint="eastAsia" w:ascii="宋体" w:hAnsi="宋体"/>
          <w:color w:val="auto"/>
          <w:sz w:val="24"/>
          <w:highlight w:val="none"/>
          <w:lang w:eastAsia="zh-CN"/>
        </w:rPr>
        <w:t>进行监测。根据现场条件和工程要求，采用小角度法和极坐标法结合进行监测。</w:t>
      </w:r>
    </w:p>
    <w:p w14:paraId="2BF080B3">
      <w:pPr>
        <w:spacing w:line="360" w:lineRule="auto"/>
        <w:ind w:firstLine="480" w:firstLineChars="200"/>
        <w:rPr>
          <w:rFonts w:hint="eastAsia" w:ascii="宋体" w:hAnsi="宋体"/>
          <w:color w:val="auto"/>
          <w:sz w:val="24"/>
          <w:highlight w:val="none"/>
          <w:lang w:eastAsia="zh-CN"/>
        </w:rPr>
      </w:pPr>
      <w:r>
        <w:rPr>
          <w:rFonts w:hint="eastAsia" w:ascii="宋体" w:hAnsi="宋体"/>
          <w:color w:val="auto"/>
          <w:sz w:val="24"/>
          <w:highlight w:val="none"/>
          <w:lang w:eastAsia="zh-CN"/>
        </w:rPr>
        <w:t>1）小角度法</w:t>
      </w:r>
    </w:p>
    <w:p w14:paraId="69D7A4F8">
      <w:pPr>
        <w:spacing w:line="360" w:lineRule="auto"/>
        <w:ind w:firstLine="480" w:firstLineChars="200"/>
        <w:jc w:val="center"/>
        <w:rPr>
          <w:rFonts w:hint="eastAsia" w:ascii="宋体" w:hAnsi="宋体"/>
          <w:color w:val="auto"/>
          <w:sz w:val="24"/>
          <w:highlight w:val="none"/>
        </w:rPr>
      </w:pPr>
      <w:r>
        <w:rPr>
          <w:rFonts w:hint="eastAsia" w:ascii="宋体" w:hAnsi="宋体"/>
          <w:color w:val="auto"/>
          <w:sz w:val="24"/>
          <w:highlight w:val="none"/>
        </w:rPr>
        <w:drawing>
          <wp:inline distT="0" distB="0" distL="114300" distR="114300">
            <wp:extent cx="4171950" cy="752475"/>
            <wp:effectExtent l="0" t="0" r="6350" b="9525"/>
            <wp:docPr id="4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4"/>
                    <pic:cNvPicPr>
                      <a:picLocks noChangeAspect="1"/>
                    </pic:cNvPicPr>
                  </pic:nvPicPr>
                  <pic:blipFill>
                    <a:blip r:embed="rId23"/>
                    <a:stretch>
                      <a:fillRect/>
                    </a:stretch>
                  </pic:blipFill>
                  <pic:spPr>
                    <a:xfrm>
                      <a:off x="0" y="0"/>
                      <a:ext cx="4171950" cy="752475"/>
                    </a:xfrm>
                    <a:prstGeom prst="rect">
                      <a:avLst/>
                    </a:prstGeom>
                    <a:noFill/>
                    <a:ln>
                      <a:noFill/>
                    </a:ln>
                  </pic:spPr>
                </pic:pic>
              </a:graphicData>
            </a:graphic>
          </wp:inline>
        </w:drawing>
      </w:r>
    </w:p>
    <w:p w14:paraId="2E2AF32D">
      <w:pPr>
        <w:spacing w:line="360" w:lineRule="auto"/>
        <w:ind w:firstLine="422" w:firstLineChars="200"/>
        <w:jc w:val="center"/>
        <w:rPr>
          <w:rFonts w:hint="eastAsia" w:ascii="宋体" w:hAnsi="宋体"/>
          <w:b/>
          <w:bCs/>
          <w:color w:val="auto"/>
          <w:sz w:val="21"/>
          <w:szCs w:val="21"/>
          <w:highlight w:val="none"/>
        </w:rPr>
      </w:pPr>
      <w:r>
        <w:rPr>
          <w:rFonts w:hint="eastAsia" w:ascii="宋体" w:hAnsi="宋体"/>
          <w:b/>
          <w:bCs/>
          <w:color w:val="auto"/>
          <w:sz w:val="21"/>
          <w:szCs w:val="21"/>
          <w:highlight w:val="none"/>
        </w:rPr>
        <w:t>图</w:t>
      </w:r>
      <w:r>
        <w:rPr>
          <w:rFonts w:hint="eastAsia" w:ascii="宋体" w:hAnsi="宋体"/>
          <w:b/>
          <w:bCs/>
          <w:color w:val="auto"/>
          <w:sz w:val="21"/>
          <w:szCs w:val="21"/>
          <w:highlight w:val="none"/>
          <w:lang w:val="en-US" w:eastAsia="zh-CN"/>
        </w:rPr>
        <w:t>5-3</w:t>
      </w:r>
      <w:r>
        <w:rPr>
          <w:rFonts w:hint="eastAsia" w:ascii="宋体" w:hAnsi="宋体"/>
          <w:b/>
          <w:bCs/>
          <w:color w:val="auto"/>
          <w:sz w:val="21"/>
          <w:szCs w:val="21"/>
          <w:highlight w:val="none"/>
        </w:rPr>
        <w:t xml:space="preserve"> 小角度法</w:t>
      </w:r>
    </w:p>
    <w:p w14:paraId="04590A87">
      <w:pPr>
        <w:spacing w:line="360" w:lineRule="auto"/>
        <w:ind w:firstLine="480" w:firstLineChars="200"/>
        <w:rPr>
          <w:rFonts w:hint="eastAsia" w:ascii="宋体" w:hAnsi="宋体"/>
          <w:color w:val="auto"/>
          <w:sz w:val="24"/>
          <w:highlight w:val="none"/>
          <w:lang w:eastAsia="zh-CN"/>
        </w:rPr>
      </w:pPr>
      <w:r>
        <w:rPr>
          <w:rFonts w:hint="eastAsia" w:ascii="宋体" w:hAnsi="宋体"/>
          <w:color w:val="auto"/>
          <w:sz w:val="24"/>
          <w:highlight w:val="none"/>
          <w:lang w:eastAsia="zh-CN"/>
        </w:rPr>
        <w:t>如需观测某特定方向上的水平位移PP′，在距离监测区域一定距离以外选定工作基点A，支护水平位移监测点的布设应尽量与工作基点在一条直线上。在一定远处（施工影响范围之外）选定一个控制点B，作为零方向。在B点安置觇牌，用测回法观测水平角∠BAP，测定一段时间内观测点与基准点连线与零方向之间的角度变化值∆β。</w:t>
      </w:r>
    </w:p>
    <w:p w14:paraId="7D0BFCED">
      <w:pPr>
        <w:spacing w:line="360" w:lineRule="auto"/>
        <w:ind w:firstLine="480" w:firstLineChars="200"/>
        <w:rPr>
          <w:rFonts w:hint="eastAsia" w:ascii="宋体" w:hAnsi="宋体"/>
          <w:color w:val="auto"/>
          <w:sz w:val="24"/>
          <w:highlight w:val="none"/>
          <w:lang w:eastAsia="zh-CN"/>
        </w:rPr>
      </w:pPr>
      <w:r>
        <w:rPr>
          <w:rFonts w:hint="eastAsia" w:ascii="宋体" w:hAnsi="宋体"/>
          <w:color w:val="auto"/>
          <w:sz w:val="24"/>
          <w:highlight w:val="none"/>
          <w:lang w:eastAsia="zh-CN"/>
        </w:rPr>
        <w:t>注意事项：采用小角度法时，观测点偏离视准线的偏角不应超过30″。</w:t>
      </w:r>
    </w:p>
    <w:p w14:paraId="7D6C50FB">
      <w:pPr>
        <w:spacing w:line="360" w:lineRule="auto"/>
        <w:ind w:firstLine="480" w:firstLineChars="200"/>
        <w:rPr>
          <w:rFonts w:hint="eastAsia" w:ascii="宋体" w:hAnsi="宋体"/>
          <w:color w:val="auto"/>
          <w:sz w:val="24"/>
          <w:highlight w:val="none"/>
          <w:lang w:eastAsia="zh-CN"/>
        </w:rPr>
      </w:pPr>
      <w:r>
        <w:rPr>
          <w:rFonts w:hint="eastAsia" w:ascii="宋体" w:hAnsi="宋体"/>
          <w:color w:val="auto"/>
          <w:sz w:val="24"/>
          <w:highlight w:val="none"/>
          <w:lang w:eastAsia="zh-CN"/>
        </w:rPr>
        <w:t>2）极坐标法</w:t>
      </w:r>
    </w:p>
    <w:p w14:paraId="7F264379">
      <w:pPr>
        <w:pStyle w:val="58"/>
        <w:ind w:left="840"/>
        <w:jc w:val="center"/>
        <w:rPr>
          <w:rFonts w:ascii="Times New Roman" w:cs="Times New Roman"/>
          <w:color w:val="auto"/>
          <w:kern w:val="2"/>
          <w:sz w:val="28"/>
          <w:szCs w:val="28"/>
          <w:highlight w:val="none"/>
        </w:rPr>
      </w:pPr>
      <w:r>
        <w:rPr>
          <w:rFonts w:ascii="Times New Roman" w:cs="Times New Roman"/>
          <w:color w:val="auto"/>
          <w:kern w:val="2"/>
          <w:sz w:val="28"/>
          <w:szCs w:val="28"/>
          <w:highlight w:val="none"/>
        </w:rPr>
        <w:object>
          <v:shape id="_x0000_i1025" o:spt="75" type="#_x0000_t75" style="height:105pt;width:211.5pt;" o:ole="t" filled="f" o:preferrelative="t" stroked="f" coordsize="21600,21600">
            <v:path/>
            <v:fill on="f" focussize="0,0"/>
            <v:stroke on="f" joinstyle="miter"/>
            <v:imagedata r:id="rId25" cropleft="21895f" croptop="15978f" cropright="26081f" cropbottom="20158f" o:title=""/>
            <o:lock v:ext="edit" aspectratio="t"/>
            <w10:wrap type="none"/>
            <w10:anchorlock/>
          </v:shape>
          <o:OLEObject Type="Embed" ProgID="AutoCAD.Drawing.17" ShapeID="_x0000_i1025" DrawAspect="Content" ObjectID="_1468075725" r:id="rId24">
            <o:LockedField>false</o:LockedField>
          </o:OLEObject>
        </w:object>
      </w:r>
    </w:p>
    <w:p w14:paraId="15A305B4">
      <w:pPr>
        <w:pStyle w:val="59"/>
        <w:ind w:firstLine="3795" w:firstLineChars="1800"/>
        <w:jc w:val="both"/>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图5</w:t>
      </w:r>
      <w:r>
        <w:rPr>
          <w:rFonts w:hint="eastAsia" w:ascii="宋体" w:hAnsi="宋体" w:eastAsia="宋体"/>
          <w:b/>
          <w:bCs/>
          <w:color w:val="auto"/>
          <w:sz w:val="21"/>
          <w:szCs w:val="21"/>
          <w:highlight w:val="none"/>
          <w:lang w:val="en-US" w:eastAsia="zh-CN"/>
        </w:rPr>
        <w:t>-4</w:t>
      </w:r>
      <w:r>
        <w:rPr>
          <w:rFonts w:hint="eastAsia" w:ascii="宋体" w:hAnsi="宋体" w:eastAsia="宋体"/>
          <w:b/>
          <w:bCs/>
          <w:color w:val="auto"/>
          <w:sz w:val="21"/>
          <w:szCs w:val="21"/>
          <w:highlight w:val="none"/>
        </w:rPr>
        <w:t xml:space="preserve">  极坐标法</w:t>
      </w:r>
    </w:p>
    <w:p w14:paraId="64C0B659">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在已知点A安置全站仪，后视点为另一已知点B，通过测量角度∠BAP以及A点至P点的水平距离D，计算得出P点坐标。设A点坐标为A（XA，YA），，则P点坐标P（XP，YP）的计算公式为：</w:t>
      </w:r>
    </w:p>
    <w:p w14:paraId="7CD2E43D">
      <w:pPr>
        <w:ind w:firstLine="2640" w:firstLineChars="1100"/>
        <w:jc w:val="left"/>
        <w:rPr>
          <w:color w:val="auto"/>
          <w:highlight w:val="none"/>
        </w:rPr>
      </w:pPr>
      <w:r>
        <w:rPr>
          <w:color w:val="auto"/>
          <w:highlight w:val="none"/>
        </w:rPr>
        <w:t>X</w:t>
      </w:r>
      <w:r>
        <w:rPr>
          <w:color w:val="auto"/>
          <w:highlight w:val="none"/>
          <w:vertAlign w:val="subscript"/>
        </w:rPr>
        <w:t>P</w:t>
      </w:r>
      <w:r>
        <w:rPr>
          <w:color w:val="auto"/>
          <w:highlight w:val="none"/>
        </w:rPr>
        <w:t xml:space="preserve"> = X</w:t>
      </w:r>
      <w:r>
        <w:rPr>
          <w:color w:val="auto"/>
          <w:highlight w:val="none"/>
          <w:vertAlign w:val="subscript"/>
        </w:rPr>
        <w:t>A</w:t>
      </w:r>
      <w:r>
        <w:rPr>
          <w:color w:val="auto"/>
          <w:highlight w:val="none"/>
        </w:rPr>
        <w:t xml:space="preserve"> + D</w:t>
      </w:r>
      <w:r>
        <w:rPr>
          <w:rFonts w:hint="eastAsia"/>
          <w:color w:val="auto"/>
          <w:highlight w:val="none"/>
        </w:rPr>
        <w:t>*</w:t>
      </w:r>
      <w:r>
        <w:rPr>
          <w:color w:val="auto"/>
          <w:highlight w:val="none"/>
        </w:rPr>
        <w:t>cos</w:t>
      </w:r>
      <w:r>
        <w:rPr>
          <w:rFonts w:hint="eastAsia"/>
          <w:color w:val="auto"/>
          <w:highlight w:val="none"/>
        </w:rPr>
        <w:t>∠</w:t>
      </w:r>
      <w:r>
        <w:rPr>
          <w:color w:val="auto"/>
          <w:highlight w:val="none"/>
        </w:rPr>
        <w:t>BAP</w:t>
      </w:r>
    </w:p>
    <w:p w14:paraId="580BE407">
      <w:pPr>
        <w:ind w:firstLine="2640" w:firstLineChars="1100"/>
        <w:jc w:val="left"/>
        <w:rPr>
          <w:color w:val="auto"/>
          <w:highlight w:val="none"/>
        </w:rPr>
      </w:pPr>
      <w:r>
        <w:rPr>
          <w:color w:val="auto"/>
          <w:highlight w:val="none"/>
        </w:rPr>
        <w:t>YP = YA + D</w:t>
      </w:r>
      <w:r>
        <w:rPr>
          <w:rFonts w:hint="eastAsia"/>
          <w:color w:val="auto"/>
          <w:highlight w:val="none"/>
        </w:rPr>
        <w:t>*</w:t>
      </w:r>
      <w:r>
        <w:rPr>
          <w:color w:val="auto"/>
          <w:highlight w:val="none"/>
        </w:rPr>
        <w:t xml:space="preserve"> sin</w:t>
      </w:r>
      <w:r>
        <w:rPr>
          <w:rFonts w:hint="eastAsia"/>
          <w:color w:val="auto"/>
          <w:highlight w:val="none"/>
        </w:rPr>
        <w:t>∠</w:t>
      </w:r>
      <w:r>
        <w:rPr>
          <w:color w:val="auto"/>
          <w:highlight w:val="none"/>
        </w:rPr>
        <w:t>BAP</w:t>
      </w:r>
    </w:p>
    <w:p w14:paraId="52C26874">
      <w:pPr>
        <w:adjustRightInd w:val="0"/>
        <w:snapToGrid w:val="0"/>
        <w:spacing w:before="156" w:beforeLines="50" w:after="156" w:afterLines="50"/>
        <w:outlineLvl w:val="2"/>
        <w:rPr>
          <w:rFonts w:hint="eastAsia" w:ascii="宋体" w:hAnsi="宋体" w:eastAsia="宋体" w:cs="宋体"/>
          <w:b/>
          <w:bCs w:val="0"/>
          <w:color w:val="auto"/>
          <w:spacing w:val="10"/>
          <w:kern w:val="2"/>
          <w:sz w:val="24"/>
          <w:szCs w:val="24"/>
          <w:highlight w:val="none"/>
          <w:lang w:val="en-US" w:eastAsia="zh-CN" w:bidi="ar-SA"/>
        </w:rPr>
      </w:pPr>
      <w:bookmarkStart w:id="114" w:name="_Toc2107"/>
      <w:bookmarkStart w:id="115" w:name="_Toc397065210"/>
      <w:bookmarkStart w:id="116" w:name="_Toc27573"/>
      <w:r>
        <w:rPr>
          <w:rFonts w:hint="eastAsia" w:ascii="宋体" w:hAnsi="宋体" w:eastAsia="宋体" w:cs="宋体"/>
          <w:b/>
          <w:bCs w:val="0"/>
          <w:color w:val="auto"/>
          <w:spacing w:val="10"/>
          <w:kern w:val="2"/>
          <w:sz w:val="24"/>
          <w:szCs w:val="24"/>
          <w:highlight w:val="none"/>
          <w:lang w:val="en-US" w:eastAsia="zh-CN" w:bidi="ar-SA"/>
        </w:rPr>
        <w:t>5.2.3技术要求</w:t>
      </w:r>
      <w:bookmarkEnd w:id="114"/>
      <w:bookmarkEnd w:id="115"/>
      <w:bookmarkEnd w:id="116"/>
    </w:p>
    <w:p w14:paraId="67187474">
      <w:pPr>
        <w:spacing w:line="360" w:lineRule="auto"/>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rPr>
        <w:t>水平位移控制点观测采用导线测量方法，监测点采用极坐标法观测，使用1秒级全站仪进行观测。控制网及监测点观测均按《工程测量</w:t>
      </w:r>
      <w:r>
        <w:rPr>
          <w:rFonts w:hint="eastAsia" w:ascii="宋体" w:hAnsi="宋体" w:eastAsia="宋体" w:cs="Times New Roman"/>
          <w:color w:val="auto"/>
          <w:sz w:val="24"/>
          <w:lang w:val="en-US" w:eastAsia="zh-CN"/>
        </w:rPr>
        <w:t>标准</w:t>
      </w:r>
      <w:r>
        <w:rPr>
          <w:rFonts w:hint="eastAsia" w:ascii="宋体" w:hAnsi="宋体" w:eastAsia="宋体" w:cs="Times New Roman"/>
          <w:color w:val="auto"/>
          <w:sz w:val="24"/>
        </w:rPr>
        <w:t>》 GB50026-20</w:t>
      </w:r>
      <w:r>
        <w:rPr>
          <w:rFonts w:hint="eastAsia" w:ascii="宋体" w:hAnsi="宋体" w:eastAsia="宋体" w:cs="Times New Roman"/>
          <w:color w:val="auto"/>
          <w:sz w:val="24"/>
          <w:lang w:val="en-US" w:eastAsia="zh-CN"/>
        </w:rPr>
        <w:t>20</w:t>
      </w:r>
      <w:r>
        <w:rPr>
          <w:rFonts w:hint="eastAsia" w:ascii="宋体" w:hAnsi="宋体" w:eastAsia="宋体" w:cs="Times New Roman"/>
          <w:color w:val="auto"/>
          <w:sz w:val="24"/>
        </w:rPr>
        <w:t>二等水平位移监测网技术要求观测，其主要技术要求见表5</w:t>
      </w:r>
      <w:r>
        <w:rPr>
          <w:rFonts w:hint="eastAsia" w:ascii="宋体" w:hAnsi="宋体" w:eastAsia="宋体" w:cs="Times New Roman"/>
          <w:color w:val="auto"/>
          <w:sz w:val="24"/>
          <w:lang w:val="en-US" w:eastAsia="zh-CN"/>
        </w:rPr>
        <w:t>-2</w:t>
      </w:r>
      <w:r>
        <w:rPr>
          <w:rFonts w:hint="eastAsia" w:ascii="宋体" w:hAnsi="宋体" w:eastAsia="宋体" w:cs="Times New Roman"/>
          <w:color w:val="auto"/>
          <w:sz w:val="24"/>
        </w:rPr>
        <w:t>。</w:t>
      </w:r>
    </w:p>
    <w:p w14:paraId="1D833D74">
      <w:pPr>
        <w:pStyle w:val="59"/>
        <w:ind w:firstLine="2741" w:firstLineChars="1300"/>
        <w:rPr>
          <w:rFonts w:ascii="宋体" w:hAnsi="宋体" w:eastAsia="宋体"/>
          <w:b/>
          <w:color w:val="auto"/>
          <w:sz w:val="21"/>
          <w:szCs w:val="21"/>
          <w:highlight w:val="none"/>
        </w:rPr>
      </w:pPr>
      <w:r>
        <w:rPr>
          <w:rFonts w:hint="eastAsia" w:ascii="宋体" w:hAnsi="宋体" w:eastAsia="宋体"/>
          <w:b/>
          <w:color w:val="auto"/>
          <w:sz w:val="21"/>
          <w:szCs w:val="21"/>
          <w:highlight w:val="none"/>
        </w:rPr>
        <w:t>表5</w:t>
      </w:r>
      <w:r>
        <w:rPr>
          <w:rFonts w:hint="eastAsia" w:ascii="宋体" w:hAnsi="宋体" w:eastAsia="宋体"/>
          <w:b/>
          <w:color w:val="auto"/>
          <w:sz w:val="21"/>
          <w:szCs w:val="21"/>
          <w:highlight w:val="none"/>
          <w:lang w:val="en-US" w:eastAsia="zh-CN"/>
        </w:rPr>
        <w:t xml:space="preserve">-2 </w:t>
      </w:r>
      <w:r>
        <w:rPr>
          <w:rFonts w:hint="eastAsia" w:ascii="宋体" w:hAnsi="宋体" w:eastAsia="宋体"/>
          <w:b/>
          <w:color w:val="auto"/>
          <w:sz w:val="21"/>
          <w:szCs w:val="21"/>
          <w:highlight w:val="none"/>
        </w:rPr>
        <w:t>观测主要技术指标及要求</w:t>
      </w:r>
    </w:p>
    <w:tbl>
      <w:tblPr>
        <w:tblStyle w:val="25"/>
        <w:tblW w:w="82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4141"/>
        <w:gridCol w:w="2862"/>
      </w:tblGrid>
      <w:tr w14:paraId="710DA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276" w:type="dxa"/>
            <w:noWrap w:val="0"/>
            <w:vAlign w:val="center"/>
          </w:tcPr>
          <w:p w14:paraId="594AEF12">
            <w:pPr>
              <w:pStyle w:val="5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4141" w:type="dxa"/>
            <w:noWrap w:val="0"/>
            <w:vAlign w:val="center"/>
          </w:tcPr>
          <w:p w14:paraId="40B9F2EF">
            <w:pPr>
              <w:pStyle w:val="5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w:t>
            </w:r>
          </w:p>
        </w:tc>
        <w:tc>
          <w:tcPr>
            <w:tcW w:w="2862" w:type="dxa"/>
            <w:noWrap w:val="0"/>
            <w:vAlign w:val="center"/>
          </w:tcPr>
          <w:p w14:paraId="3B427346">
            <w:pPr>
              <w:pStyle w:val="5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指标或限差</w:t>
            </w:r>
          </w:p>
        </w:tc>
      </w:tr>
      <w:tr w14:paraId="05CBF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276" w:type="dxa"/>
            <w:noWrap w:val="0"/>
            <w:vAlign w:val="center"/>
          </w:tcPr>
          <w:p w14:paraId="39B00ABE">
            <w:pPr>
              <w:pStyle w:val="5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141" w:type="dxa"/>
            <w:noWrap w:val="0"/>
            <w:vAlign w:val="center"/>
          </w:tcPr>
          <w:p w14:paraId="53F7E70D">
            <w:pPr>
              <w:pStyle w:val="5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水平角观测测回数</w:t>
            </w:r>
          </w:p>
        </w:tc>
        <w:tc>
          <w:tcPr>
            <w:tcW w:w="2862" w:type="dxa"/>
            <w:noWrap w:val="0"/>
            <w:vAlign w:val="center"/>
          </w:tcPr>
          <w:p w14:paraId="088C22DC">
            <w:pPr>
              <w:pStyle w:val="5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r>
      <w:tr w14:paraId="79529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276" w:type="dxa"/>
            <w:noWrap w:val="0"/>
            <w:vAlign w:val="center"/>
          </w:tcPr>
          <w:p w14:paraId="6F6F9EEE">
            <w:pPr>
              <w:pStyle w:val="5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4141" w:type="dxa"/>
            <w:noWrap w:val="0"/>
            <w:vAlign w:val="center"/>
          </w:tcPr>
          <w:p w14:paraId="23DCACE0">
            <w:pPr>
              <w:pStyle w:val="5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测角中误差</w:t>
            </w:r>
          </w:p>
        </w:tc>
        <w:tc>
          <w:tcPr>
            <w:tcW w:w="2862" w:type="dxa"/>
            <w:noWrap w:val="0"/>
            <w:vAlign w:val="center"/>
          </w:tcPr>
          <w:p w14:paraId="6EC96DD5">
            <w:pPr>
              <w:pStyle w:val="5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w:t>
            </w:r>
          </w:p>
        </w:tc>
      </w:tr>
      <w:tr w14:paraId="427A4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276" w:type="dxa"/>
            <w:noWrap w:val="0"/>
            <w:vAlign w:val="center"/>
          </w:tcPr>
          <w:p w14:paraId="62327AAE">
            <w:pPr>
              <w:pStyle w:val="5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4141" w:type="dxa"/>
            <w:noWrap w:val="0"/>
            <w:vAlign w:val="center"/>
          </w:tcPr>
          <w:p w14:paraId="15380792">
            <w:pPr>
              <w:pStyle w:val="5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测边相对中误差</w:t>
            </w:r>
          </w:p>
        </w:tc>
        <w:tc>
          <w:tcPr>
            <w:tcW w:w="2862" w:type="dxa"/>
            <w:noWrap w:val="0"/>
            <w:vAlign w:val="center"/>
          </w:tcPr>
          <w:p w14:paraId="72B11C09">
            <w:pPr>
              <w:pStyle w:val="5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≤1/100000</w:t>
            </w:r>
          </w:p>
        </w:tc>
      </w:tr>
      <w:tr w14:paraId="65B26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276" w:type="dxa"/>
            <w:noWrap w:val="0"/>
            <w:vAlign w:val="center"/>
          </w:tcPr>
          <w:p w14:paraId="05D20CDE">
            <w:pPr>
              <w:pStyle w:val="5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4141" w:type="dxa"/>
            <w:noWrap w:val="0"/>
            <w:vAlign w:val="center"/>
          </w:tcPr>
          <w:p w14:paraId="6D878186">
            <w:pPr>
              <w:pStyle w:val="5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每边测回数</w:t>
            </w:r>
          </w:p>
        </w:tc>
        <w:tc>
          <w:tcPr>
            <w:tcW w:w="2862" w:type="dxa"/>
            <w:noWrap w:val="0"/>
            <w:vAlign w:val="center"/>
          </w:tcPr>
          <w:p w14:paraId="0ACEA4CF">
            <w:pPr>
              <w:pStyle w:val="5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往返各</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测回</w:t>
            </w:r>
          </w:p>
        </w:tc>
      </w:tr>
      <w:tr w14:paraId="2DE48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276" w:type="dxa"/>
            <w:noWrap w:val="0"/>
            <w:vAlign w:val="center"/>
          </w:tcPr>
          <w:p w14:paraId="0D769328">
            <w:pPr>
              <w:pStyle w:val="5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4141" w:type="dxa"/>
            <w:noWrap w:val="0"/>
            <w:vAlign w:val="center"/>
          </w:tcPr>
          <w:p w14:paraId="5AEE86C1">
            <w:pPr>
              <w:pStyle w:val="5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距离一测回读数较差</w:t>
            </w:r>
          </w:p>
        </w:tc>
        <w:tc>
          <w:tcPr>
            <w:tcW w:w="2862" w:type="dxa"/>
            <w:noWrap w:val="0"/>
            <w:vAlign w:val="center"/>
          </w:tcPr>
          <w:p w14:paraId="4B349845">
            <w:pPr>
              <w:pStyle w:val="5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mm</w:t>
            </w:r>
          </w:p>
        </w:tc>
      </w:tr>
      <w:tr w14:paraId="7FC79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276" w:type="dxa"/>
            <w:noWrap w:val="0"/>
            <w:vAlign w:val="center"/>
          </w:tcPr>
          <w:p w14:paraId="17465BF7">
            <w:pPr>
              <w:pStyle w:val="5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4141" w:type="dxa"/>
            <w:noWrap w:val="0"/>
            <w:vAlign w:val="center"/>
          </w:tcPr>
          <w:p w14:paraId="0CEC3E0A">
            <w:pPr>
              <w:pStyle w:val="5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距离单程各测回较差</w:t>
            </w:r>
          </w:p>
        </w:tc>
        <w:tc>
          <w:tcPr>
            <w:tcW w:w="2862" w:type="dxa"/>
            <w:noWrap w:val="0"/>
            <w:vAlign w:val="center"/>
          </w:tcPr>
          <w:p w14:paraId="54035C32">
            <w:pPr>
              <w:pStyle w:val="5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mm</w:t>
            </w:r>
          </w:p>
        </w:tc>
      </w:tr>
      <w:tr w14:paraId="79029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76" w:type="dxa"/>
            <w:noWrap w:val="0"/>
            <w:vAlign w:val="center"/>
          </w:tcPr>
          <w:p w14:paraId="2B23F894">
            <w:pPr>
              <w:pStyle w:val="5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4141" w:type="dxa"/>
            <w:noWrap w:val="0"/>
            <w:vAlign w:val="center"/>
          </w:tcPr>
          <w:p w14:paraId="210DD09F">
            <w:pPr>
              <w:pStyle w:val="5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气象数据测定的最小读数</w:t>
            </w:r>
          </w:p>
        </w:tc>
        <w:tc>
          <w:tcPr>
            <w:tcW w:w="2862" w:type="dxa"/>
            <w:noWrap w:val="0"/>
            <w:vAlign w:val="center"/>
          </w:tcPr>
          <w:p w14:paraId="79898365">
            <w:pPr>
              <w:pStyle w:val="5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温度0.2℃，气压50Pa</w:t>
            </w:r>
          </w:p>
        </w:tc>
      </w:tr>
    </w:tbl>
    <w:p w14:paraId="4064B98F">
      <w:pPr>
        <w:adjustRightInd w:val="0"/>
        <w:snapToGrid w:val="0"/>
        <w:spacing w:before="156" w:beforeLines="50" w:after="156" w:afterLines="50"/>
        <w:outlineLvl w:val="2"/>
        <w:rPr>
          <w:rFonts w:hint="eastAsia" w:ascii="宋体" w:hAnsi="宋体"/>
          <w:b/>
          <w:bCs w:val="0"/>
          <w:color w:val="auto"/>
          <w:spacing w:val="10"/>
          <w:kern w:val="2"/>
          <w:sz w:val="24"/>
          <w:szCs w:val="24"/>
          <w:highlight w:val="none"/>
          <w:lang w:val="en-US" w:eastAsia="zh-CN" w:bidi="ar-SA"/>
        </w:rPr>
      </w:pPr>
      <w:bookmarkStart w:id="117" w:name="_Toc397065211"/>
      <w:bookmarkStart w:id="118" w:name="_Toc9597"/>
      <w:bookmarkStart w:id="119" w:name="_Toc328754611"/>
      <w:bookmarkStart w:id="120" w:name="_Toc330969973"/>
      <w:bookmarkStart w:id="121" w:name="_Toc330918754"/>
      <w:bookmarkStart w:id="122" w:name="_Toc328754185"/>
      <w:bookmarkStart w:id="123" w:name="_Toc11116"/>
      <w:r>
        <w:rPr>
          <w:rFonts w:hint="eastAsia" w:ascii="宋体" w:hAnsi="宋体"/>
          <w:b/>
          <w:bCs w:val="0"/>
          <w:color w:val="auto"/>
          <w:spacing w:val="10"/>
          <w:kern w:val="2"/>
          <w:sz w:val="24"/>
          <w:szCs w:val="24"/>
          <w:highlight w:val="none"/>
          <w:lang w:val="en-US" w:eastAsia="zh-CN" w:bidi="ar-SA"/>
        </w:rPr>
        <w:t>5.2.4数据处理及分析</w:t>
      </w:r>
      <w:bookmarkEnd w:id="117"/>
      <w:bookmarkEnd w:id="118"/>
      <w:bookmarkEnd w:id="119"/>
      <w:bookmarkEnd w:id="120"/>
      <w:bookmarkEnd w:id="121"/>
      <w:bookmarkEnd w:id="122"/>
      <w:bookmarkEnd w:id="123"/>
    </w:p>
    <w:p w14:paraId="49CD608A">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观测记录采用全站仪自带记录程序进行，观测完成后形成原始电子观测文件，通过数据传输处理软件传输至计算机，检查合格后得出各点平面坐标。</w:t>
      </w:r>
    </w:p>
    <w:p w14:paraId="40241D44">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1）极坐标法</w:t>
      </w:r>
    </w:p>
    <w:p w14:paraId="3D104C56">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坐标与上期坐标及初始坐标进行比较，可得出本次位移计累积位移。</w:t>
      </w:r>
    </w:p>
    <w:p w14:paraId="606E934B">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2）小角度法</w:t>
      </w:r>
    </w:p>
    <w:p w14:paraId="5BD5D701">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 xml:space="preserve">位移量：            δ=∆β×D/ρ      </w:t>
      </w:r>
    </w:p>
    <w:p w14:paraId="431F63F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其中： δ---监测点本次位移变化量</w:t>
      </w:r>
    </w:p>
    <w:p w14:paraId="7393B2BA">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∆β---监测点方位角的变化值</w:t>
      </w:r>
    </w:p>
    <w:p w14:paraId="4FA5091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D---测站点与监测点的距离</w:t>
      </w:r>
    </w:p>
    <w:p w14:paraId="7374ECC9">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ρ---常数，取206265</w:t>
      </w:r>
    </w:p>
    <w:p w14:paraId="6983C35D">
      <w:pPr>
        <w:spacing w:line="360" w:lineRule="auto"/>
        <w:ind w:firstLine="480" w:firstLineChars="200"/>
        <w:rPr>
          <w:rFonts w:hint="eastAsia" w:ascii="宋体" w:hAnsi="宋体" w:eastAsia="宋体" w:cs="宋体"/>
          <w:lang w:val="en-US" w:eastAsia="zh-CN"/>
        </w:rPr>
      </w:pPr>
      <w:r>
        <w:rPr>
          <w:rFonts w:hint="eastAsia" w:ascii="宋体" w:hAnsi="宋体" w:eastAsia="宋体" w:cs="宋体"/>
          <w:color w:val="auto"/>
          <w:sz w:val="24"/>
          <w:highlight w:val="none"/>
        </w:rPr>
        <w:t>通过水平位移监测点各期位移量计算各期阶段位移量、阶段变形速率、累计位移量等数据，并绘制相应的图表。</w:t>
      </w:r>
      <w:bookmarkEnd w:id="76"/>
    </w:p>
    <w:p w14:paraId="53EBF348">
      <w:pPr>
        <w:pStyle w:val="56"/>
        <w:numPr>
          <w:ilvl w:val="0"/>
          <w:numId w:val="0"/>
        </w:numPr>
        <w:spacing w:line="240" w:lineRule="auto"/>
        <w:ind w:firstLine="0" w:firstLineChars="0"/>
        <w:jc w:val="both"/>
        <w:rPr>
          <w:rFonts w:hint="eastAsia" w:ascii="宋体" w:hAnsi="宋体" w:eastAsia="宋体" w:cs="Times New Roman"/>
          <w:b/>
          <w:bCs/>
          <w:color w:val="auto"/>
          <w:sz w:val="30"/>
          <w:szCs w:val="30"/>
          <w:highlight w:val="none"/>
          <w:lang w:val="en-US" w:eastAsia="zh-CN"/>
        </w:rPr>
      </w:pPr>
      <w:bookmarkStart w:id="124" w:name="_Toc20553"/>
      <w:r>
        <w:rPr>
          <w:rFonts w:hint="eastAsia" w:ascii="宋体" w:hAnsi="宋体" w:eastAsia="宋体" w:cs="Times New Roman"/>
          <w:b/>
          <w:bCs/>
          <w:color w:val="auto"/>
          <w:sz w:val="30"/>
          <w:szCs w:val="30"/>
          <w:highlight w:val="none"/>
          <w:lang w:val="en-US" w:eastAsia="zh-CN"/>
        </w:rPr>
        <w:t>6、监测期及监测频次</w:t>
      </w:r>
      <w:bookmarkEnd w:id="124"/>
    </w:p>
    <w:p w14:paraId="087C41E3">
      <w:pPr>
        <w:pStyle w:val="53"/>
        <w:spacing w:before="156" w:beforeLines="50" w:after="156" w:afterLines="50"/>
        <w:ind w:left="0" w:leftChars="0" w:firstLine="0" w:firstLineChars="0"/>
        <w:rPr>
          <w:rFonts w:hint="eastAsia" w:ascii="宋体" w:hAnsi="宋体" w:eastAsia="宋体" w:cs="宋体"/>
          <w:color w:val="auto"/>
          <w:spacing w:val="10"/>
          <w:highlight w:val="none"/>
          <w:lang w:val="en-US" w:eastAsia="zh-CN"/>
        </w:rPr>
      </w:pPr>
      <w:bookmarkStart w:id="125" w:name="_Toc26650"/>
      <w:bookmarkStart w:id="126" w:name="_Toc28557"/>
      <w:r>
        <w:rPr>
          <w:rFonts w:hint="eastAsia" w:ascii="宋体" w:hAnsi="宋体" w:eastAsia="宋体" w:cs="宋体"/>
          <w:color w:val="auto"/>
          <w:spacing w:val="10"/>
          <w:highlight w:val="none"/>
          <w:lang w:val="en-US" w:eastAsia="zh-CN"/>
        </w:rPr>
        <w:t>6.1监测频次</w:t>
      </w:r>
      <w:bookmarkEnd w:id="125"/>
      <w:bookmarkEnd w:id="126"/>
    </w:p>
    <w:p w14:paraId="0A965532">
      <w:pPr>
        <w:spacing w:line="360" w:lineRule="auto"/>
        <w:ind w:firstLine="480" w:firstLineChars="200"/>
        <w:rPr>
          <w:b/>
          <w:bCs/>
          <w:color w:val="auto"/>
        </w:rPr>
      </w:pPr>
      <w:r>
        <w:rPr>
          <w:rFonts w:hint="eastAsia" w:ascii="宋体" w:hAnsi="宋体" w:eastAsia="宋体" w:cs="宋体"/>
          <w:color w:val="auto"/>
          <w:sz w:val="24"/>
          <w:highlight w:val="none"/>
        </w:rPr>
        <w:t>根据有关规范、规程及设计要求规定，所有监测点在使用前连续观测</w:t>
      </w:r>
      <w:r>
        <w:rPr>
          <w:rFonts w:hint="eastAsia" w:ascii="宋体" w:hAnsi="宋体" w:eastAsia="宋体" w:cs="宋体"/>
          <w:color w:val="auto"/>
          <w:sz w:val="24"/>
          <w:highlight w:val="none"/>
          <w:lang w:val="en-US" w:eastAsia="zh-CN"/>
        </w:rPr>
        <w:t>2-3次</w:t>
      </w:r>
      <w:r>
        <w:rPr>
          <w:rFonts w:hint="eastAsia" w:ascii="宋体" w:hAnsi="宋体" w:eastAsia="宋体" w:cs="宋体"/>
          <w:color w:val="auto"/>
          <w:sz w:val="24"/>
          <w:highlight w:val="none"/>
        </w:rPr>
        <w:t>,取其平均值作为初始值。现场监测将采用定时观测与跟踪观测相结合的方法进行，当监测数据有突变——监测频率适当加密。监测频率详见下表</w:t>
      </w:r>
      <w:r>
        <w:rPr>
          <w:rFonts w:hint="eastAsia" w:ascii="宋体" w:hAnsi="宋体" w:eastAsia="宋体" w:cs="宋体"/>
          <w:color w:val="auto"/>
          <w:sz w:val="24"/>
          <w:highlight w:val="none"/>
          <w:lang w:val="en-US" w:eastAsia="zh-CN"/>
        </w:rPr>
        <w:t>6-1</w:t>
      </w:r>
      <w:r>
        <w:rPr>
          <w:rFonts w:hint="eastAsia" w:ascii="宋体" w:hAnsi="宋体" w:eastAsia="宋体" w:cs="宋体"/>
          <w:color w:val="auto"/>
          <w:sz w:val="24"/>
          <w:highlight w:val="none"/>
        </w:rPr>
        <w:t>。</w:t>
      </w:r>
    </w:p>
    <w:p w14:paraId="6A9F0A53">
      <w:pPr>
        <w:pStyle w:val="9"/>
        <w:rPr>
          <w:b/>
          <w:bCs/>
          <w:color w:val="auto"/>
        </w:rPr>
      </w:pPr>
      <w:r>
        <w:rPr>
          <w:b/>
          <w:bCs/>
          <w:color w:val="auto"/>
        </w:rPr>
        <w:t xml:space="preserve">表 </w:t>
      </w:r>
      <w:r>
        <w:rPr>
          <w:rFonts w:hint="eastAsia"/>
          <w:b/>
          <w:bCs/>
          <w:color w:val="auto"/>
          <w:lang w:val="en-US" w:eastAsia="zh-CN"/>
        </w:rPr>
        <w:t>6-1</w:t>
      </w:r>
      <w:r>
        <w:rPr>
          <w:b/>
          <w:bCs/>
          <w:color w:val="auto"/>
        </w:rPr>
        <w:t xml:space="preserve"> </w:t>
      </w:r>
      <w:r>
        <w:rPr>
          <w:rFonts w:hint="eastAsia"/>
          <w:b/>
          <w:bCs/>
          <w:color w:val="auto"/>
        </w:rPr>
        <w:t>监测频次表</w:t>
      </w:r>
    </w:p>
    <w:tbl>
      <w:tblPr>
        <w:tblStyle w:val="25"/>
        <w:tblW w:w="926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15"/>
        <w:gridCol w:w="2315"/>
        <w:gridCol w:w="2315"/>
        <w:gridCol w:w="2315"/>
      </w:tblGrid>
      <w:tr w14:paraId="26F53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0" w:hRule="atLeast"/>
          <w:jc w:val="center"/>
        </w:trPr>
        <w:tc>
          <w:tcPr>
            <w:tcW w:w="2315" w:type="dxa"/>
            <w:shd w:val="clear" w:color="auto" w:fill="B4C6E7" w:themeFill="accent1" w:themeFillTint="66"/>
            <w:vAlign w:val="center"/>
          </w:tcPr>
          <w:p w14:paraId="77202604">
            <w:pPr>
              <w:pStyle w:val="58"/>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监测项目</w:t>
            </w:r>
          </w:p>
        </w:tc>
        <w:tc>
          <w:tcPr>
            <w:tcW w:w="2315" w:type="dxa"/>
            <w:shd w:val="clear" w:color="auto" w:fill="B4C6E7" w:themeFill="accent1" w:themeFillTint="66"/>
            <w:vAlign w:val="center"/>
          </w:tcPr>
          <w:p w14:paraId="3FDA50E7">
            <w:pPr>
              <w:pStyle w:val="58"/>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阶段</w:t>
            </w:r>
          </w:p>
        </w:tc>
        <w:tc>
          <w:tcPr>
            <w:tcW w:w="2315" w:type="dxa"/>
            <w:shd w:val="clear" w:color="auto" w:fill="B4C6E7" w:themeFill="accent1" w:themeFillTint="66"/>
            <w:vAlign w:val="center"/>
          </w:tcPr>
          <w:p w14:paraId="7F9FA8DB">
            <w:pPr>
              <w:pStyle w:val="58"/>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变形监测频率</w:t>
            </w:r>
          </w:p>
        </w:tc>
        <w:tc>
          <w:tcPr>
            <w:tcW w:w="2315" w:type="dxa"/>
            <w:shd w:val="clear" w:color="auto" w:fill="B4C6E7" w:themeFill="accent1" w:themeFillTint="66"/>
            <w:vAlign w:val="center"/>
          </w:tcPr>
          <w:p w14:paraId="36254B88">
            <w:pPr>
              <w:pStyle w:val="58"/>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备注</w:t>
            </w:r>
          </w:p>
        </w:tc>
      </w:tr>
      <w:tr w14:paraId="1F8D86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9" w:hRule="atLeast"/>
          <w:jc w:val="center"/>
        </w:trPr>
        <w:tc>
          <w:tcPr>
            <w:tcW w:w="2315" w:type="dxa"/>
            <w:vMerge w:val="restart"/>
            <w:vAlign w:val="center"/>
          </w:tcPr>
          <w:p w14:paraId="0318BC5C">
            <w:pPr>
              <w:pStyle w:val="58"/>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坡面变形观测</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深层水平位移</w:t>
            </w:r>
          </w:p>
        </w:tc>
        <w:tc>
          <w:tcPr>
            <w:tcW w:w="2315" w:type="dxa"/>
            <w:vAlign w:val="center"/>
          </w:tcPr>
          <w:p w14:paraId="1104F254">
            <w:pPr>
              <w:pStyle w:val="58"/>
              <w:jc w:val="center"/>
              <w:rPr>
                <w:rFonts w:hint="default"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支架搭设、拆除</w:t>
            </w:r>
          </w:p>
        </w:tc>
        <w:tc>
          <w:tcPr>
            <w:tcW w:w="2315" w:type="dxa"/>
            <w:vAlign w:val="center"/>
          </w:tcPr>
          <w:p w14:paraId="0620DCF3">
            <w:pPr>
              <w:pStyle w:val="58"/>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1次/</w:t>
            </w:r>
            <w:r>
              <w:rPr>
                <w:rFonts w:hint="eastAsia" w:cs="宋体"/>
                <w:color w:val="auto"/>
                <w:sz w:val="21"/>
                <w:szCs w:val="21"/>
                <w:highlight w:val="none"/>
                <w:lang w:val="en-US" w:eastAsia="zh-CN"/>
              </w:rPr>
              <w:t>一天</w:t>
            </w:r>
          </w:p>
        </w:tc>
        <w:tc>
          <w:tcPr>
            <w:tcW w:w="2315" w:type="dxa"/>
            <w:vMerge w:val="restart"/>
            <w:vAlign w:val="center"/>
          </w:tcPr>
          <w:p w14:paraId="59757C0B">
            <w:pPr>
              <w:pStyle w:val="5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当观测值接近预警值、下雨时增加观测频次</w:t>
            </w:r>
          </w:p>
        </w:tc>
      </w:tr>
      <w:tr w14:paraId="107CF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0" w:hRule="atLeast"/>
          <w:jc w:val="center"/>
        </w:trPr>
        <w:tc>
          <w:tcPr>
            <w:tcW w:w="2315" w:type="dxa"/>
            <w:vMerge w:val="continue"/>
            <w:vAlign w:val="center"/>
          </w:tcPr>
          <w:p w14:paraId="09BAA23D">
            <w:pPr>
              <w:pStyle w:val="52"/>
              <w:spacing w:before="157"/>
              <w:ind w:left="36" w:right="23"/>
              <w:rPr>
                <w:sz w:val="21"/>
                <w:szCs w:val="21"/>
              </w:rPr>
            </w:pPr>
          </w:p>
        </w:tc>
        <w:tc>
          <w:tcPr>
            <w:tcW w:w="2315" w:type="dxa"/>
            <w:vAlign w:val="center"/>
          </w:tcPr>
          <w:p w14:paraId="661324F8">
            <w:pPr>
              <w:pStyle w:val="58"/>
              <w:jc w:val="center"/>
              <w:rPr>
                <w:rFonts w:hint="default"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系杆拱施工</w:t>
            </w:r>
          </w:p>
        </w:tc>
        <w:tc>
          <w:tcPr>
            <w:tcW w:w="2315" w:type="dxa"/>
            <w:vAlign w:val="center"/>
          </w:tcPr>
          <w:p w14:paraId="734195BE">
            <w:pPr>
              <w:pStyle w:val="58"/>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1次/一个</w:t>
            </w:r>
            <w:r>
              <w:rPr>
                <w:rFonts w:hint="eastAsia" w:cs="宋体"/>
                <w:color w:val="auto"/>
                <w:sz w:val="21"/>
                <w:szCs w:val="21"/>
                <w:highlight w:val="none"/>
                <w:lang w:val="en-US" w:eastAsia="zh-CN"/>
              </w:rPr>
              <w:t>礼拜</w:t>
            </w:r>
          </w:p>
        </w:tc>
        <w:tc>
          <w:tcPr>
            <w:tcW w:w="2315" w:type="dxa"/>
            <w:vMerge w:val="continue"/>
            <w:vAlign w:val="top"/>
          </w:tcPr>
          <w:p w14:paraId="45649A93">
            <w:pPr>
              <w:pStyle w:val="52"/>
              <w:spacing w:before="157"/>
              <w:ind w:left="38" w:leftChars="0" w:right="23" w:rightChars="0" w:firstLine="420" w:firstLineChars="200"/>
              <w:rPr>
                <w:sz w:val="21"/>
                <w:szCs w:val="21"/>
              </w:rPr>
            </w:pPr>
          </w:p>
        </w:tc>
      </w:tr>
      <w:tr w14:paraId="31A46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1" w:hRule="atLeast"/>
          <w:jc w:val="center"/>
        </w:trPr>
        <w:tc>
          <w:tcPr>
            <w:tcW w:w="2315" w:type="dxa"/>
            <w:vMerge w:val="continue"/>
            <w:vAlign w:val="center"/>
          </w:tcPr>
          <w:p w14:paraId="7885BA22">
            <w:pPr>
              <w:pStyle w:val="52"/>
              <w:spacing w:before="2" w:line="291" w:lineRule="exact"/>
              <w:ind w:left="36" w:right="23"/>
              <w:rPr>
                <w:sz w:val="21"/>
                <w:szCs w:val="21"/>
              </w:rPr>
            </w:pPr>
          </w:p>
        </w:tc>
        <w:tc>
          <w:tcPr>
            <w:tcW w:w="2315" w:type="dxa"/>
            <w:vAlign w:val="center"/>
          </w:tcPr>
          <w:p w14:paraId="57D67A59">
            <w:pPr>
              <w:pStyle w:val="58"/>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雨季、边坡开挖期间和已出现变形破坏时</w:t>
            </w:r>
          </w:p>
        </w:tc>
        <w:tc>
          <w:tcPr>
            <w:tcW w:w="2315" w:type="dxa"/>
            <w:vAlign w:val="center"/>
          </w:tcPr>
          <w:p w14:paraId="677CA5E9">
            <w:pPr>
              <w:pStyle w:val="58"/>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1次/1天</w:t>
            </w:r>
          </w:p>
        </w:tc>
        <w:tc>
          <w:tcPr>
            <w:tcW w:w="2315" w:type="dxa"/>
            <w:vMerge w:val="continue"/>
            <w:vAlign w:val="top"/>
          </w:tcPr>
          <w:p w14:paraId="7160C402">
            <w:pPr>
              <w:pStyle w:val="52"/>
              <w:spacing w:before="155"/>
              <w:ind w:left="38" w:leftChars="0" w:right="23" w:rightChars="0" w:firstLine="420" w:firstLineChars="200"/>
              <w:rPr>
                <w:sz w:val="21"/>
                <w:szCs w:val="21"/>
              </w:rPr>
            </w:pPr>
          </w:p>
        </w:tc>
      </w:tr>
      <w:tr w14:paraId="504BE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1" w:hRule="atLeast"/>
          <w:jc w:val="center"/>
        </w:trPr>
        <w:tc>
          <w:tcPr>
            <w:tcW w:w="2315" w:type="dxa"/>
            <w:vMerge w:val="continue"/>
            <w:vAlign w:val="center"/>
          </w:tcPr>
          <w:p w14:paraId="31F86024">
            <w:pPr>
              <w:pStyle w:val="52"/>
              <w:spacing w:line="310" w:lineRule="atLeast"/>
              <w:ind w:left="0" w:leftChars="0" w:right="342" w:firstLine="0" w:firstLineChars="0"/>
              <w:jc w:val="left"/>
              <w:rPr>
                <w:sz w:val="21"/>
                <w:szCs w:val="21"/>
              </w:rPr>
            </w:pPr>
          </w:p>
        </w:tc>
        <w:tc>
          <w:tcPr>
            <w:tcW w:w="2315" w:type="dxa"/>
            <w:vAlign w:val="center"/>
          </w:tcPr>
          <w:p w14:paraId="2450B532">
            <w:pPr>
              <w:pStyle w:val="58"/>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连续3日降雨量大于50mm/d</w:t>
            </w:r>
          </w:p>
        </w:tc>
        <w:tc>
          <w:tcPr>
            <w:tcW w:w="2315" w:type="dxa"/>
            <w:vAlign w:val="center"/>
          </w:tcPr>
          <w:p w14:paraId="3074094F">
            <w:pPr>
              <w:pStyle w:val="58"/>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2次/1天</w:t>
            </w:r>
          </w:p>
        </w:tc>
        <w:tc>
          <w:tcPr>
            <w:tcW w:w="2315" w:type="dxa"/>
            <w:vMerge w:val="continue"/>
            <w:vAlign w:val="top"/>
          </w:tcPr>
          <w:p w14:paraId="3A6AC9C5">
            <w:pPr>
              <w:pStyle w:val="52"/>
              <w:spacing w:before="156"/>
              <w:ind w:left="38" w:leftChars="0" w:right="23" w:rightChars="0" w:firstLine="420" w:firstLineChars="200"/>
              <w:rPr>
                <w:sz w:val="21"/>
                <w:szCs w:val="21"/>
              </w:rPr>
            </w:pPr>
          </w:p>
        </w:tc>
      </w:tr>
    </w:tbl>
    <w:p w14:paraId="2932CE5C">
      <w:pPr>
        <w:ind w:firstLine="480"/>
        <w:rPr>
          <w:color w:val="auto"/>
        </w:rPr>
      </w:pPr>
      <w:r>
        <w:rPr>
          <w:rFonts w:hint="eastAsia"/>
          <w:color w:val="auto"/>
        </w:rPr>
        <w:t>当出现下列情况时，监测频次适当提高：</w:t>
      </w:r>
    </w:p>
    <w:p w14:paraId="195585A4">
      <w:pPr>
        <w:ind w:firstLine="480"/>
        <w:rPr>
          <w:color w:val="auto"/>
        </w:rPr>
      </w:pPr>
      <w:r>
        <w:rPr>
          <w:rFonts w:hint="eastAsia"/>
          <w:color w:val="auto"/>
        </w:rPr>
        <w:t>（1）变形数据达到监测预警值，并有继续发展下去的趋势。</w:t>
      </w:r>
    </w:p>
    <w:p w14:paraId="63336217">
      <w:pPr>
        <w:ind w:firstLine="480"/>
        <w:rPr>
          <w:color w:val="auto"/>
        </w:rPr>
      </w:pPr>
      <w:r>
        <w:rPr>
          <w:rFonts w:hint="eastAsia"/>
          <w:color w:val="auto"/>
        </w:rPr>
        <w:t>（2）沉降值、水平位移值突然明显增大。</w:t>
      </w:r>
    </w:p>
    <w:p w14:paraId="6042815B">
      <w:pPr>
        <w:ind w:firstLine="480"/>
        <w:rPr>
          <w:rFonts w:hint="eastAsia"/>
          <w:color w:val="auto"/>
        </w:rPr>
      </w:pPr>
      <w:r>
        <w:rPr>
          <w:rFonts w:hint="eastAsia"/>
          <w:color w:val="auto"/>
        </w:rPr>
        <w:t>（</w:t>
      </w:r>
      <w:r>
        <w:rPr>
          <w:color w:val="auto"/>
        </w:rPr>
        <w:t>3</w:t>
      </w:r>
      <w:r>
        <w:rPr>
          <w:rFonts w:hint="eastAsia"/>
          <w:color w:val="auto"/>
        </w:rPr>
        <w:t>）出现其它突发性情况。</w:t>
      </w:r>
    </w:p>
    <w:p w14:paraId="69E63CF5">
      <w:pPr>
        <w:pStyle w:val="53"/>
        <w:spacing w:before="156" w:beforeLines="50" w:after="156" w:afterLines="50"/>
        <w:ind w:left="0" w:leftChars="0" w:firstLine="0" w:firstLineChars="0"/>
        <w:rPr>
          <w:rFonts w:hint="eastAsia" w:ascii="宋体" w:hAnsi="宋体" w:eastAsia="宋体" w:cs="宋体"/>
          <w:color w:val="auto"/>
          <w:spacing w:val="10"/>
          <w:highlight w:val="none"/>
          <w:lang w:val="en-US" w:eastAsia="zh-CN"/>
        </w:rPr>
      </w:pPr>
      <w:bookmarkStart w:id="127" w:name="_Toc7823"/>
      <w:bookmarkStart w:id="128" w:name="_Toc20840"/>
      <w:r>
        <w:rPr>
          <w:rFonts w:hint="eastAsia" w:ascii="宋体" w:hAnsi="宋体" w:eastAsia="宋体" w:cs="宋体"/>
          <w:color w:val="auto"/>
          <w:spacing w:val="10"/>
          <w:highlight w:val="none"/>
          <w:lang w:val="en-US" w:eastAsia="zh-CN"/>
        </w:rPr>
        <w:t>6.2监测期</w:t>
      </w:r>
      <w:bookmarkEnd w:id="127"/>
      <w:bookmarkEnd w:id="128"/>
    </w:p>
    <w:p w14:paraId="335C9835">
      <w:pPr>
        <w:bidi w:val="0"/>
        <w:adjustRightInd w:val="0"/>
        <w:snapToGrid w:val="0"/>
        <w:spacing w:line="360" w:lineRule="auto"/>
        <w:rPr>
          <w:rFonts w:hint="eastAsia" w:ascii="宋体" w:hAnsi="宋体" w:eastAsia="宋体" w:cs="宋体"/>
          <w:szCs w:val="24"/>
          <w:lang w:val="en-US" w:eastAsia="zh-CN"/>
        </w:rPr>
      </w:pPr>
      <w:r>
        <w:rPr>
          <w:rFonts w:hint="eastAsia" w:ascii="宋体" w:hAnsi="宋体" w:eastAsia="宋体" w:cs="宋体"/>
          <w:szCs w:val="24"/>
          <w:lang w:val="en-US" w:eastAsia="zh-CN"/>
        </w:rPr>
        <w:t>边坡监测工作时间主要为系杆拱支架施工期间，总的监测时间应为边坡</w:t>
      </w:r>
      <w:r>
        <w:rPr>
          <w:rFonts w:hint="eastAsia" w:hAnsi="宋体" w:cs="宋体"/>
          <w:szCs w:val="24"/>
          <w:lang w:val="en-US" w:eastAsia="zh-CN"/>
        </w:rPr>
        <w:t>施工</w:t>
      </w:r>
      <w:r>
        <w:rPr>
          <w:rFonts w:hint="eastAsia" w:ascii="宋体" w:hAnsi="宋体" w:eastAsia="宋体" w:cs="宋体"/>
          <w:szCs w:val="24"/>
          <w:lang w:val="en-US" w:eastAsia="zh-CN"/>
        </w:rPr>
        <w:t>至支架拆除后半年。</w:t>
      </w:r>
    </w:p>
    <w:p w14:paraId="2F46EA51">
      <w:pPr>
        <w:pStyle w:val="56"/>
        <w:numPr>
          <w:ilvl w:val="0"/>
          <w:numId w:val="0"/>
        </w:numPr>
        <w:spacing w:line="240" w:lineRule="auto"/>
        <w:ind w:firstLine="0" w:firstLineChars="0"/>
        <w:jc w:val="both"/>
        <w:rPr>
          <w:rFonts w:hint="default" w:ascii="宋体" w:hAnsi="宋体" w:eastAsia="宋体" w:cs="Times New Roman"/>
          <w:b/>
          <w:bCs/>
          <w:color w:val="auto"/>
          <w:sz w:val="30"/>
          <w:szCs w:val="30"/>
          <w:highlight w:val="none"/>
          <w:lang w:val="en-US" w:eastAsia="zh-CN"/>
        </w:rPr>
      </w:pPr>
      <w:bookmarkStart w:id="129" w:name="_Toc16660"/>
      <w:bookmarkStart w:id="130" w:name="_Toc19987"/>
      <w:r>
        <w:rPr>
          <w:rFonts w:hint="eastAsia" w:ascii="宋体" w:hAnsi="宋体" w:eastAsia="宋体" w:cs="Times New Roman"/>
          <w:b/>
          <w:bCs/>
          <w:color w:val="auto"/>
          <w:sz w:val="30"/>
          <w:szCs w:val="30"/>
          <w:highlight w:val="none"/>
          <w:lang w:val="en-US" w:eastAsia="zh-CN"/>
        </w:rPr>
        <w:t>7、监测控制指标</w:t>
      </w:r>
      <w:bookmarkEnd w:id="129"/>
      <w:bookmarkEnd w:id="130"/>
    </w:p>
    <w:p w14:paraId="53AAE949">
      <w:pPr>
        <w:bidi w:val="0"/>
        <w:adjustRightInd w:val="0"/>
        <w:snapToGrid w:val="0"/>
        <w:spacing w:line="360" w:lineRule="auto"/>
        <w:rPr>
          <w:rFonts w:hint="eastAsia" w:ascii="宋体" w:hAnsi="宋体" w:eastAsia="宋体" w:cs="宋体"/>
          <w:szCs w:val="24"/>
          <w:lang w:val="en-US" w:eastAsia="zh-CN"/>
        </w:rPr>
      </w:pPr>
      <w:r>
        <w:rPr>
          <w:rFonts w:hint="eastAsia" w:ascii="宋体" w:hAnsi="宋体" w:eastAsia="宋体" w:cs="宋体"/>
          <w:szCs w:val="24"/>
          <w:lang w:val="en-US" w:eastAsia="zh-CN"/>
        </w:rPr>
        <w:t>（1）速率控制，最大位移速率应小于2mm/d；</w:t>
      </w:r>
    </w:p>
    <w:p w14:paraId="121B902B">
      <w:pPr>
        <w:bidi w:val="0"/>
        <w:adjustRightInd w:val="0"/>
        <w:snapToGrid w:val="0"/>
        <w:spacing w:line="360" w:lineRule="auto"/>
        <w:rPr>
          <w:rFonts w:hint="eastAsia" w:ascii="宋体" w:hAnsi="宋体" w:eastAsia="宋体" w:cs="宋体"/>
          <w:szCs w:val="24"/>
          <w:lang w:val="en-US" w:eastAsia="zh-CN"/>
        </w:rPr>
      </w:pPr>
      <w:r>
        <w:rPr>
          <w:rFonts w:hint="eastAsia" w:ascii="宋体" w:hAnsi="宋体" w:eastAsia="宋体" w:cs="宋体"/>
          <w:szCs w:val="24"/>
          <w:lang w:val="en-US" w:eastAsia="zh-CN"/>
        </w:rPr>
        <w:t>（2）位移控制:边坡开挖后位移不收敛，持续增长；</w:t>
      </w:r>
    </w:p>
    <w:p w14:paraId="557B7CD0">
      <w:pPr>
        <w:bidi w:val="0"/>
        <w:adjustRightInd w:val="0"/>
        <w:snapToGrid w:val="0"/>
        <w:spacing w:line="360" w:lineRule="auto"/>
        <w:rPr>
          <w:rFonts w:hint="eastAsia" w:ascii="宋体" w:hAnsi="宋体" w:eastAsia="宋体" w:cs="宋体"/>
          <w:szCs w:val="24"/>
          <w:lang w:val="en-US" w:eastAsia="zh-CN"/>
        </w:rPr>
      </w:pPr>
      <w:r>
        <w:rPr>
          <w:rFonts w:hint="eastAsia" w:ascii="宋体" w:hAnsi="宋体" w:eastAsia="宋体" w:cs="宋体"/>
          <w:szCs w:val="24"/>
          <w:lang w:val="en-US" w:eastAsia="zh-CN"/>
        </w:rPr>
        <w:t>（3）坡面裂缝控制，裂缝是边坡变形结果，坡面裂缝张开或下错严重。</w:t>
      </w:r>
    </w:p>
    <w:p w14:paraId="45054276">
      <w:pPr>
        <w:bidi w:val="0"/>
        <w:adjustRightInd w:val="0"/>
        <w:snapToGrid w:val="0"/>
        <w:spacing w:line="360" w:lineRule="auto"/>
        <w:rPr>
          <w:rFonts w:hint="eastAsia" w:ascii="宋体" w:hAnsi="宋体" w:eastAsia="宋体" w:cs="宋体"/>
          <w:szCs w:val="24"/>
          <w:lang w:val="en-US" w:eastAsia="zh-CN"/>
        </w:rPr>
      </w:pPr>
      <w:r>
        <w:rPr>
          <w:rFonts w:hint="eastAsia" w:ascii="宋体" w:hAnsi="宋体" w:eastAsia="宋体" w:cs="宋体"/>
          <w:szCs w:val="24"/>
          <w:lang w:val="en-US" w:eastAsia="zh-CN"/>
        </w:rPr>
        <w:t>在实际监测的过程中如果出现有上述一点或几点现象时,都应引起注意,结合地质资料综合分析，进一步论证边坡的稳定性，以便及早发现安全隐患,进行预测预警，采取相应的补救措施。</w:t>
      </w:r>
    </w:p>
    <w:p w14:paraId="2CB0EB27">
      <w:pPr>
        <w:pStyle w:val="56"/>
        <w:numPr>
          <w:ilvl w:val="0"/>
          <w:numId w:val="0"/>
        </w:numPr>
        <w:spacing w:line="240" w:lineRule="auto"/>
        <w:ind w:firstLine="0" w:firstLineChars="0"/>
        <w:jc w:val="both"/>
        <w:rPr>
          <w:rFonts w:hint="default" w:ascii="宋体" w:hAnsi="宋体" w:eastAsia="宋体" w:cs="Times New Roman"/>
          <w:b/>
          <w:bCs/>
          <w:color w:val="auto"/>
          <w:sz w:val="30"/>
          <w:szCs w:val="30"/>
          <w:highlight w:val="none"/>
          <w:lang w:val="en-US" w:eastAsia="zh-CN"/>
        </w:rPr>
      </w:pPr>
      <w:bookmarkStart w:id="131" w:name="_Toc6873"/>
      <w:bookmarkStart w:id="132" w:name="_Toc3534"/>
      <w:bookmarkStart w:id="133" w:name="_Toc1026"/>
      <w:r>
        <w:rPr>
          <w:rFonts w:hint="eastAsia" w:ascii="宋体" w:hAnsi="宋体" w:eastAsia="宋体" w:cs="Times New Roman"/>
          <w:b/>
          <w:bCs/>
          <w:color w:val="auto"/>
          <w:sz w:val="30"/>
          <w:szCs w:val="30"/>
          <w:highlight w:val="none"/>
          <w:lang w:val="en-US" w:eastAsia="zh-CN"/>
        </w:rPr>
        <w:t>8、监测成果</w:t>
      </w:r>
      <w:bookmarkEnd w:id="131"/>
      <w:bookmarkEnd w:id="132"/>
    </w:p>
    <w:p w14:paraId="0CA90C5F">
      <w:pPr>
        <w:pStyle w:val="53"/>
        <w:spacing w:before="156" w:beforeLines="50" w:after="156" w:afterLines="50"/>
        <w:rPr>
          <w:rFonts w:hint="eastAsia" w:ascii="宋体" w:hAnsi="宋体" w:eastAsia="宋体" w:cs="宋体"/>
          <w:color w:val="auto"/>
          <w:spacing w:val="10"/>
          <w:highlight w:val="none"/>
          <w:lang w:val="en-US" w:eastAsia="zh-CN"/>
        </w:rPr>
      </w:pPr>
      <w:bookmarkStart w:id="134" w:name="_Toc13486"/>
      <w:bookmarkStart w:id="135" w:name="_Toc6171"/>
      <w:r>
        <w:rPr>
          <w:rFonts w:hint="eastAsia" w:ascii="宋体" w:hAnsi="宋体" w:eastAsia="宋体" w:cs="宋体"/>
          <w:color w:val="auto"/>
          <w:spacing w:val="10"/>
          <w:highlight w:val="none"/>
          <w:lang w:val="en-US" w:eastAsia="zh-CN"/>
        </w:rPr>
        <w:t>8.1观测成果整理及计算要求</w:t>
      </w:r>
      <w:bookmarkEnd w:id="134"/>
      <w:bookmarkEnd w:id="135"/>
      <w:r>
        <w:rPr>
          <w:rFonts w:hint="eastAsia" w:ascii="宋体" w:hAnsi="宋体" w:eastAsia="宋体" w:cs="宋体"/>
          <w:color w:val="auto"/>
          <w:spacing w:val="10"/>
          <w:highlight w:val="none"/>
          <w:lang w:val="en-US" w:eastAsia="zh-CN"/>
        </w:rPr>
        <w:t xml:space="preserve"> </w:t>
      </w:r>
    </w:p>
    <w:p w14:paraId="7880751F">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所有观测数据应及时记录，随时计算、校核、汇总，并整理分析，各种曲线必须当天绘制，以便从图上看出各测点曲线变化趋势，能全面了解、分析土体变化情况而作出判断。若发现问题及时复查或复测处理。 </w:t>
      </w:r>
    </w:p>
    <w:p w14:paraId="46EA457F">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具体要求如下： </w:t>
      </w:r>
    </w:p>
    <w:p w14:paraId="67AD4BA4">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①原始数据要真实可靠，记录计算要符合施工测量规范的要求，依据正确，严谨有序，步步校核，结果有效的原则进行成果整理及计算； </w:t>
      </w:r>
    </w:p>
    <w:p w14:paraId="51361F8B">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②将各次观测记录整理检查无误后，进行平差计算，求出各次每个观测点的高程值。从而确定出沉降量； </w:t>
      </w:r>
    </w:p>
    <w:p w14:paraId="73824878">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③对重点地段、特殊地段，及时计算安全期及沉降速率，为正确指导施工提供可靠依据； </w:t>
      </w:r>
    </w:p>
    <w:p w14:paraId="4C786480">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④根据计算分析需要，并提出各施工阶段的具体要求，以便业主能根据实测数据进行施工的安排。</w:t>
      </w:r>
    </w:p>
    <w:p w14:paraId="3ECE1CA4">
      <w:pPr>
        <w:pStyle w:val="53"/>
        <w:spacing w:before="156" w:beforeLines="50" w:after="156" w:afterLines="50"/>
        <w:rPr>
          <w:rFonts w:hint="eastAsia" w:ascii="宋体" w:hAnsi="宋体" w:eastAsia="宋体" w:cs="宋体"/>
          <w:color w:val="auto"/>
          <w:spacing w:val="10"/>
          <w:highlight w:val="none"/>
          <w:lang w:val="en-US" w:eastAsia="zh-CN"/>
        </w:rPr>
      </w:pPr>
      <w:bookmarkStart w:id="136" w:name="_Toc28770"/>
      <w:bookmarkStart w:id="137" w:name="_Toc7335"/>
      <w:r>
        <w:rPr>
          <w:rFonts w:hint="eastAsia" w:ascii="宋体" w:hAnsi="宋体" w:eastAsia="宋体" w:cs="宋体"/>
          <w:color w:val="auto"/>
          <w:spacing w:val="10"/>
          <w:highlight w:val="none"/>
          <w:lang w:val="en-US" w:eastAsia="zh-CN"/>
        </w:rPr>
        <w:t>8.2观测报告内容及提交</w:t>
      </w:r>
      <w:bookmarkEnd w:id="136"/>
      <w:bookmarkEnd w:id="137"/>
      <w:r>
        <w:rPr>
          <w:rFonts w:hint="eastAsia" w:ascii="宋体" w:hAnsi="宋体" w:eastAsia="宋体" w:cs="宋体"/>
          <w:color w:val="auto"/>
          <w:spacing w:val="10"/>
          <w:highlight w:val="none"/>
          <w:lang w:val="en-US" w:eastAsia="zh-CN"/>
        </w:rPr>
        <w:t xml:space="preserve"> </w:t>
      </w:r>
    </w:p>
    <w:p w14:paraId="46232EE0">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每次观测后立即对原始观测数据或监测值进行填表制图，异常值的剔除、初步分析和整理等工作，并将检验过的数据输入计算机的数据库管理系统。</w:t>
      </w:r>
    </w:p>
    <w:p w14:paraId="347DDEBD">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现场监测数据应及时绘制时间---位移曲线图(散点图)和随时间、荷载变化的时态变化曲线图。根据散点图的数据分布情况，合理选择函数对监测结果进行回归分析，以预测该测点可能出现的最大变形值(位移值)和应力值、变化规律和发展趋势，预测结构和建筑物的安全状况，并根据工程的安全状态提出应采取的措施。</w:t>
      </w:r>
    </w:p>
    <w:p w14:paraId="6CD09156">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按规定的格式和内容，及时向业主上报监测成果周报和月报，供业主据此对施工情况进行评估，提出调整设计参数、改变工程施工方法和工艺要求的建议。</w:t>
      </w:r>
    </w:p>
    <w:p w14:paraId="26C3E90C">
      <w:pPr>
        <w:adjustRightInd w:val="0"/>
        <w:snapToGrid w:val="0"/>
        <w:spacing w:before="156" w:beforeLines="50" w:after="156" w:afterLines="50"/>
        <w:outlineLvl w:val="2"/>
        <w:rPr>
          <w:rFonts w:hint="default" w:ascii="宋体" w:hAnsi="宋体" w:eastAsia="宋体" w:cs="宋体"/>
          <w:b/>
          <w:bCs w:val="0"/>
          <w:color w:val="auto"/>
          <w:spacing w:val="10"/>
          <w:kern w:val="2"/>
          <w:sz w:val="24"/>
          <w:szCs w:val="24"/>
          <w:highlight w:val="none"/>
          <w:lang w:val="en-US" w:eastAsia="zh-CN" w:bidi="ar-SA"/>
        </w:rPr>
      </w:pPr>
      <w:r>
        <w:rPr>
          <w:rFonts w:hint="eastAsia" w:ascii="宋体" w:hAnsi="宋体" w:eastAsia="宋体" w:cs="宋体"/>
          <w:b/>
          <w:bCs w:val="0"/>
          <w:color w:val="auto"/>
          <w:spacing w:val="10"/>
          <w:kern w:val="2"/>
          <w:sz w:val="24"/>
          <w:szCs w:val="24"/>
          <w:highlight w:val="none"/>
          <w:lang w:val="en-US" w:eastAsia="zh-CN" w:bidi="ar-SA"/>
        </w:rPr>
        <w:t>8.2.1报表成果</w:t>
      </w:r>
    </w:p>
    <w:p w14:paraId="0675DC14">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周报除填报本周观测成果外，还应绘出监测对象的时间—位移曲线图或应力时态曲线图，并作出简要的变形分析报告，周报须在施工例会前一天提供。</w:t>
      </w:r>
    </w:p>
    <w:p w14:paraId="63C0929C">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月报是周报的基础上作出本月的主要监测成果综述和详细的变形趋势分析报告，并绘出有关图表。</w:t>
      </w:r>
    </w:p>
    <w:p w14:paraId="180660A5">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（1）周（月）报内容主要包括：</w:t>
      </w:r>
    </w:p>
    <w:p w14:paraId="61952565">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①施工概况</w:t>
      </w:r>
    </w:p>
    <w:p w14:paraId="4F377D4F">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本周（月）工程进展及施工监测开展情况简述。</w:t>
      </w:r>
    </w:p>
    <w:p w14:paraId="3B321076">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②监测成果综述</w:t>
      </w:r>
    </w:p>
    <w:p w14:paraId="667BCADE">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本周（月）主要施工影响范围内监测成果综述，重点监测</w:t>
      </w:r>
      <w:bookmarkStart w:id="160" w:name="_GoBack"/>
      <w:bookmarkEnd w:id="160"/>
      <w:r>
        <w:rPr>
          <w:rFonts w:hint="eastAsia" w:ascii="宋体" w:hAnsi="宋体" w:eastAsia="宋体" w:cs="Times New Roman"/>
          <w:bCs/>
          <w:color w:val="auto"/>
          <w:sz w:val="24"/>
          <w:highlight w:val="none"/>
          <w:lang w:val="en-US" w:eastAsia="zh-CN"/>
        </w:rPr>
        <w:t>对象及变形异常的监测数据重点说明。</w:t>
      </w:r>
    </w:p>
    <w:p w14:paraId="2315B8A5">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③监测数据分析</w:t>
      </w:r>
    </w:p>
    <w:p w14:paraId="5FEAACC1">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对监测数据进行归纳总结，绘制时间—位移或应力时态曲线，对于较大位移或应力监测数据，结合施工分析其原因及发展规律，对施工临近建筑物、地下管线等变形的安全性分析，以利于采取进一步措施。</w:t>
      </w:r>
    </w:p>
    <w:p w14:paraId="78A042F9">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④监测建议</w:t>
      </w:r>
    </w:p>
    <w:p w14:paraId="70AAE1C4">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针对监测数据分析结果提出控制措施建议，指导下一步施工。</w:t>
      </w:r>
    </w:p>
    <w:p w14:paraId="2B040ED6">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⑤下周（月）监测计划</w:t>
      </w:r>
    </w:p>
    <w:p w14:paraId="325C7DB1">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根据施工进度及生产计划，安排下周（月）的监测计划。</w:t>
      </w:r>
    </w:p>
    <w:p w14:paraId="5B0C3310">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⑥附录：本周（月）主要监测数据汇总</w:t>
      </w:r>
    </w:p>
    <w:p w14:paraId="791A5F11">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按照监测日报数据汇总本周（月）主要监测数据。</w:t>
      </w:r>
    </w:p>
    <w:p w14:paraId="70C2245D">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（2）阶段性报告：</w:t>
      </w:r>
    </w:p>
    <w:p w14:paraId="7B98E346">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对某一阶段的工作进行总结，包括施工概况、监测成果及分析预测、监测建议及下阶段工作计划、监测工作阶段性总结等。</w:t>
      </w:r>
    </w:p>
    <w:p w14:paraId="32056B5B">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阶段性报告的内容主要包括：</w:t>
      </w:r>
    </w:p>
    <w:p w14:paraId="627282C3">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①该监测期相应的工程、气象及周边环境概况；</w:t>
      </w:r>
    </w:p>
    <w:p w14:paraId="11AF1D28">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②该监测期的监测项目及测点的布置图；</w:t>
      </w:r>
    </w:p>
    <w:p w14:paraId="1AE87735">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③各项监测数据的整理、统计及监测成果的过程曲线；</w:t>
      </w:r>
    </w:p>
    <w:p w14:paraId="75C78BB2">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④各监测项目监测值的变化分析、评价及发展预测；</w:t>
      </w:r>
    </w:p>
    <w:p w14:paraId="2AE31A39">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⑤相关的设计和施工建议；</w:t>
      </w:r>
    </w:p>
    <w:p w14:paraId="5A18AEF4">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⑥其他相关说明。 </w:t>
      </w:r>
    </w:p>
    <w:p w14:paraId="15573FBE">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以上报告编写完成后经单位审批后，第一时间将纸质报告送至业主及其他等相关单位，并存档备查。</w:t>
      </w:r>
    </w:p>
    <w:p w14:paraId="049B47C7">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（3）总报告：</w:t>
      </w:r>
    </w:p>
    <w:p w14:paraId="1E49DF23">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当监测工作结束时，编制监测总报告，将纸质文件送交业主及其他单位，并存档备查。</w:t>
      </w:r>
    </w:p>
    <w:p w14:paraId="47EE8DF1">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总报告的内容主要包括：</w:t>
      </w:r>
    </w:p>
    <w:p w14:paraId="027EF2A6">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①工程概况；</w:t>
      </w:r>
    </w:p>
    <w:p w14:paraId="739C6100">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②监测目的、监测项目和监测依据；</w:t>
      </w:r>
    </w:p>
    <w:p w14:paraId="4F3E576A">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③监测点布设；</w:t>
      </w:r>
    </w:p>
    <w:p w14:paraId="2AC65EC9">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④现场巡查信息：巡视照片、记录等；</w:t>
      </w:r>
    </w:p>
    <w:p w14:paraId="2A787A52">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⑤监测数据图表：监测值、累计变化值、变化速率值、时程曲线、必要的断面曲线图；</w:t>
      </w:r>
    </w:p>
    <w:p w14:paraId="2C60AAE2">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⑥监测数据、巡查信息的分析与说明；</w:t>
      </w:r>
    </w:p>
    <w:p w14:paraId="574C5C4F">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⑦监测工作结论与建议；</w:t>
      </w:r>
    </w:p>
    <w:p w14:paraId="0AA1B20F">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⑧其他相关说明。</w:t>
      </w:r>
    </w:p>
    <w:p w14:paraId="0F3E2D08">
      <w:pPr>
        <w:adjustRightInd w:val="0"/>
        <w:snapToGrid w:val="0"/>
        <w:spacing w:before="156" w:beforeLines="50" w:after="156" w:afterLines="50"/>
        <w:outlineLvl w:val="2"/>
        <w:rPr>
          <w:rFonts w:hint="eastAsia" w:ascii="宋体" w:hAnsi="宋体" w:eastAsia="宋体" w:cs="宋体"/>
          <w:b/>
          <w:bCs w:val="0"/>
          <w:color w:val="auto"/>
          <w:spacing w:val="10"/>
          <w:kern w:val="2"/>
          <w:sz w:val="24"/>
          <w:szCs w:val="24"/>
          <w:highlight w:val="none"/>
          <w:lang w:val="en-US" w:eastAsia="zh-CN" w:bidi="ar-SA"/>
        </w:rPr>
      </w:pPr>
      <w:r>
        <w:rPr>
          <w:rFonts w:hint="eastAsia" w:ascii="宋体" w:hAnsi="宋体" w:eastAsia="宋体" w:cs="宋体"/>
          <w:b/>
          <w:bCs w:val="0"/>
          <w:color w:val="auto"/>
          <w:spacing w:val="10"/>
          <w:kern w:val="2"/>
          <w:sz w:val="24"/>
          <w:szCs w:val="24"/>
          <w:highlight w:val="none"/>
          <w:lang w:val="en-US" w:eastAsia="zh-CN" w:bidi="ar-SA"/>
        </w:rPr>
        <w:t xml:space="preserve">8.2.2报告内容 </w:t>
      </w:r>
    </w:p>
    <w:p w14:paraId="788D9640">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具体格式可根据委托方的要求执行，我单位报告的基本格式如下： </w:t>
      </w:r>
    </w:p>
    <w:p w14:paraId="6061B1F2">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一、项目概述； </w:t>
      </w:r>
    </w:p>
    <w:p w14:paraId="6E7F1B64">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二、观测依据及控制标准； </w:t>
      </w:r>
    </w:p>
    <w:p w14:paraId="184D4755">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三、观测工作情况； </w:t>
      </w:r>
    </w:p>
    <w:p w14:paraId="2B7D22C5">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四、投入主要人员、设备； </w:t>
      </w:r>
    </w:p>
    <w:p w14:paraId="19E7FC62">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五、观测数据统计汇总； </w:t>
      </w:r>
    </w:p>
    <w:p w14:paraId="5EC6A4A9">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六、观测成果分析及评价； </w:t>
      </w:r>
    </w:p>
    <w:p w14:paraId="00016B9A">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七、存在问题及下阶段工作计划。</w:t>
      </w:r>
    </w:p>
    <w:p w14:paraId="0AA6DDAE">
      <w:pPr>
        <w:pStyle w:val="56"/>
        <w:numPr>
          <w:ilvl w:val="0"/>
          <w:numId w:val="0"/>
        </w:numPr>
        <w:spacing w:line="240" w:lineRule="auto"/>
        <w:ind w:firstLine="0" w:firstLineChars="0"/>
        <w:jc w:val="both"/>
        <w:rPr>
          <w:rFonts w:hint="default" w:ascii="宋体" w:hAnsi="宋体" w:eastAsia="宋体" w:cs="Times New Roman"/>
          <w:b/>
          <w:bCs/>
          <w:color w:val="auto"/>
          <w:sz w:val="30"/>
          <w:szCs w:val="30"/>
          <w:highlight w:val="none"/>
          <w:lang w:val="en-US" w:eastAsia="zh-CN"/>
        </w:rPr>
      </w:pPr>
      <w:bookmarkStart w:id="138" w:name="_Toc19161"/>
      <w:bookmarkStart w:id="139" w:name="_Toc20381"/>
      <w:bookmarkStart w:id="140" w:name="_Toc25820"/>
      <w:r>
        <w:rPr>
          <w:rFonts w:hint="eastAsia" w:ascii="宋体" w:hAnsi="宋体" w:eastAsia="宋体" w:cs="Times New Roman"/>
          <w:b/>
          <w:bCs/>
          <w:color w:val="auto"/>
          <w:sz w:val="30"/>
          <w:szCs w:val="30"/>
          <w:highlight w:val="none"/>
          <w:lang w:val="en-US" w:eastAsia="zh-CN"/>
        </w:rPr>
        <w:t>9、拟投入的设备</w:t>
      </w:r>
      <w:bookmarkEnd w:id="138"/>
      <w:bookmarkEnd w:id="139"/>
      <w:bookmarkEnd w:id="140"/>
    </w:p>
    <w:p w14:paraId="58DE66A7">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拟投入本项目的主要设备。</w:t>
      </w:r>
    </w:p>
    <w:p w14:paraId="4545D01E">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监控量测仪器使用原则：</w:t>
      </w:r>
    </w:p>
    <w:p w14:paraId="76609270">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1）所有监测仪器中同类型仪器优先同一型号，确保精度和数据的可比对性。对于埋设的仪器和元件采用统一规格。提高仪器的通用性，减少由此带来数据处理的不便。</w:t>
      </w:r>
    </w:p>
    <w:p w14:paraId="6D0381B6">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2）现场使用的仪器设备必须成熟、可靠，数量满足监测工作要求。</w:t>
      </w:r>
    </w:p>
    <w:p w14:paraId="0F831770">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3）使用的仪器提交检定证书，仪器设备的检定（标定）单位必须具有国家检定资质，检定证书盖有检定单位的公章，仪器使用必须在有效期内。</w:t>
      </w:r>
    </w:p>
    <w:p w14:paraId="20863164">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4）现场监测仪器设备安装完毕，对仪器设备进行测试，率定和校正，并记录其观测系统的各个仪器设备在工作状态下的初始设置。所有监测仪器、设备应定期进行检校和维护，以保证其处于良好的工作状态。</w:t>
      </w:r>
    </w:p>
    <w:p w14:paraId="5E34C84F">
      <w:pPr>
        <w:pStyle w:val="59"/>
        <w:ind w:firstLine="2951" w:firstLineChars="1400"/>
        <w:jc w:val="both"/>
        <w:rPr>
          <w:rFonts w:hint="eastAsia" w:ascii="宋体" w:hAnsi="宋体" w:eastAsia="宋体" w:cs="Times New Roman"/>
          <w:b/>
          <w:color w:val="auto"/>
          <w:sz w:val="21"/>
          <w:szCs w:val="21"/>
          <w:highlight w:val="none"/>
          <w:lang w:val="en-US" w:eastAsia="zh-CN"/>
        </w:rPr>
      </w:pPr>
      <w:r>
        <w:rPr>
          <w:rFonts w:hint="eastAsia" w:ascii="宋体" w:hAnsi="宋体" w:eastAsia="宋体" w:cs="Times New Roman"/>
          <w:b/>
          <w:color w:val="auto"/>
          <w:sz w:val="21"/>
          <w:szCs w:val="21"/>
          <w:highlight w:val="none"/>
          <w:lang w:val="en-US" w:eastAsia="zh-CN"/>
        </w:rPr>
        <w:t>表9-2拟投入本标段的主要仪器设备</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5"/>
        <w:gridCol w:w="2083"/>
        <w:gridCol w:w="1179"/>
        <w:gridCol w:w="2403"/>
        <w:gridCol w:w="2260"/>
      </w:tblGrid>
      <w:tr w14:paraId="2F376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30" w:type="pct"/>
            <w:noWrap w:val="0"/>
            <w:vAlign w:val="center"/>
          </w:tcPr>
          <w:p w14:paraId="321F4CBD">
            <w:pPr>
              <w:pStyle w:val="5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122" w:type="pct"/>
            <w:noWrap w:val="0"/>
            <w:vAlign w:val="center"/>
          </w:tcPr>
          <w:p w14:paraId="381E297D">
            <w:pPr>
              <w:pStyle w:val="5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种类（名称）</w:t>
            </w:r>
          </w:p>
        </w:tc>
        <w:tc>
          <w:tcPr>
            <w:tcW w:w="635" w:type="pct"/>
            <w:noWrap w:val="0"/>
            <w:vAlign w:val="center"/>
          </w:tcPr>
          <w:p w14:paraId="6572867B">
            <w:pPr>
              <w:pStyle w:val="5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294" w:type="pct"/>
            <w:noWrap w:val="0"/>
            <w:vAlign w:val="center"/>
          </w:tcPr>
          <w:p w14:paraId="47BE04C5">
            <w:pPr>
              <w:pStyle w:val="5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型号</w:t>
            </w:r>
          </w:p>
        </w:tc>
        <w:tc>
          <w:tcPr>
            <w:tcW w:w="1217" w:type="pct"/>
            <w:noWrap w:val="0"/>
            <w:vAlign w:val="center"/>
          </w:tcPr>
          <w:p w14:paraId="13EB2D0D">
            <w:pPr>
              <w:pStyle w:val="5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精度</w:t>
            </w:r>
          </w:p>
        </w:tc>
      </w:tr>
      <w:tr w14:paraId="01826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30" w:type="pct"/>
            <w:noWrap w:val="0"/>
            <w:vAlign w:val="center"/>
          </w:tcPr>
          <w:p w14:paraId="12CC671A">
            <w:pPr>
              <w:pStyle w:val="58"/>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1122" w:type="pct"/>
            <w:noWrap w:val="0"/>
            <w:vAlign w:val="center"/>
          </w:tcPr>
          <w:p w14:paraId="37738FA1">
            <w:pPr>
              <w:pStyle w:val="5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塔</w:t>
            </w:r>
            <w:r>
              <w:rPr>
                <w:rFonts w:hint="eastAsia" w:ascii="宋体" w:hAnsi="宋体" w:eastAsia="宋体" w:cs="宋体"/>
                <w:color w:val="auto"/>
                <w:sz w:val="21"/>
                <w:szCs w:val="21"/>
                <w:highlight w:val="none"/>
              </w:rPr>
              <w:t>尺</w:t>
            </w:r>
          </w:p>
        </w:tc>
        <w:tc>
          <w:tcPr>
            <w:tcW w:w="635" w:type="pct"/>
            <w:noWrap w:val="0"/>
            <w:vAlign w:val="center"/>
          </w:tcPr>
          <w:p w14:paraId="2A90844D">
            <w:pPr>
              <w:pStyle w:val="5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294" w:type="pct"/>
            <w:noWrap w:val="0"/>
            <w:vAlign w:val="center"/>
          </w:tcPr>
          <w:p w14:paraId="3CC2261F">
            <w:pPr>
              <w:pStyle w:val="5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Trimble 2m</w:t>
            </w:r>
          </w:p>
        </w:tc>
        <w:tc>
          <w:tcPr>
            <w:tcW w:w="1217" w:type="pct"/>
            <w:noWrap w:val="0"/>
            <w:vAlign w:val="center"/>
          </w:tcPr>
          <w:p w14:paraId="013EA555">
            <w:pPr>
              <w:pStyle w:val="5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U=(0.01～0.02)mmK=2</w:t>
            </w:r>
          </w:p>
        </w:tc>
      </w:tr>
      <w:tr w14:paraId="154F5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30" w:type="pct"/>
            <w:noWrap w:val="0"/>
            <w:vAlign w:val="center"/>
          </w:tcPr>
          <w:p w14:paraId="4091B775">
            <w:pPr>
              <w:pStyle w:val="58"/>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122" w:type="pct"/>
            <w:noWrap w:val="0"/>
            <w:vAlign w:val="center"/>
          </w:tcPr>
          <w:p w14:paraId="65734B36">
            <w:pPr>
              <w:pStyle w:val="5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电子水准仪</w:t>
            </w:r>
          </w:p>
        </w:tc>
        <w:tc>
          <w:tcPr>
            <w:tcW w:w="635" w:type="pct"/>
            <w:noWrap w:val="0"/>
            <w:vAlign w:val="center"/>
          </w:tcPr>
          <w:p w14:paraId="1940F180">
            <w:pPr>
              <w:pStyle w:val="58"/>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1294" w:type="pct"/>
            <w:noWrap w:val="0"/>
            <w:vAlign w:val="center"/>
          </w:tcPr>
          <w:p w14:paraId="4D890F88">
            <w:pPr>
              <w:pStyle w:val="5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DiNi03</w:t>
            </w:r>
          </w:p>
        </w:tc>
        <w:tc>
          <w:tcPr>
            <w:tcW w:w="1217" w:type="pct"/>
            <w:noWrap w:val="0"/>
            <w:vAlign w:val="center"/>
          </w:tcPr>
          <w:p w14:paraId="3FBBF0F5">
            <w:pPr>
              <w:pStyle w:val="5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±0.3mm/km</w:t>
            </w:r>
          </w:p>
        </w:tc>
      </w:tr>
      <w:tr w14:paraId="68CC3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30" w:type="pct"/>
            <w:noWrap w:val="0"/>
            <w:vAlign w:val="center"/>
          </w:tcPr>
          <w:p w14:paraId="5AFE44FD">
            <w:pPr>
              <w:pStyle w:val="58"/>
              <w:jc w:val="center"/>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3</w:t>
            </w:r>
          </w:p>
        </w:tc>
        <w:tc>
          <w:tcPr>
            <w:tcW w:w="1122" w:type="pct"/>
            <w:noWrap w:val="0"/>
            <w:vAlign w:val="center"/>
          </w:tcPr>
          <w:p w14:paraId="22BC4537">
            <w:pPr>
              <w:pStyle w:val="58"/>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全站仪</w:t>
            </w:r>
          </w:p>
        </w:tc>
        <w:tc>
          <w:tcPr>
            <w:tcW w:w="635" w:type="pct"/>
            <w:noWrap w:val="0"/>
            <w:vAlign w:val="center"/>
          </w:tcPr>
          <w:p w14:paraId="5C8EFCD3">
            <w:pPr>
              <w:pStyle w:val="58"/>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294" w:type="pct"/>
            <w:noWrap w:val="0"/>
            <w:vAlign w:val="center"/>
          </w:tcPr>
          <w:p w14:paraId="6782481F">
            <w:pPr>
              <w:pStyle w:val="58"/>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徕卡</w:t>
            </w:r>
          </w:p>
        </w:tc>
        <w:tc>
          <w:tcPr>
            <w:tcW w:w="1217" w:type="pct"/>
            <w:noWrap w:val="0"/>
            <w:vAlign w:val="center"/>
          </w:tcPr>
          <w:p w14:paraId="0668B69A">
            <w:pPr>
              <w:pStyle w:val="5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mm＋1ppm*D</w:t>
            </w:r>
          </w:p>
        </w:tc>
      </w:tr>
    </w:tbl>
    <w:p w14:paraId="323A2306">
      <w:pPr>
        <w:bidi w:val="0"/>
        <w:rPr>
          <w:rFonts w:hint="eastAsia"/>
          <w:lang w:val="en-US" w:eastAsia="zh-CN"/>
        </w:rPr>
      </w:pPr>
      <w:r>
        <w:rPr>
          <w:sz w:val="21"/>
          <w:szCs w:val="21"/>
        </w:rPr>
        <w:t>说明：本表主要列写投入本项目工程的主要仪器、设备。若实际</w:t>
      </w:r>
    </w:p>
    <w:p w14:paraId="5105AAC5">
      <w:pPr>
        <w:pStyle w:val="56"/>
        <w:numPr>
          <w:ilvl w:val="0"/>
          <w:numId w:val="0"/>
        </w:numPr>
        <w:spacing w:line="240" w:lineRule="auto"/>
        <w:ind w:firstLine="0" w:firstLineChars="0"/>
        <w:jc w:val="both"/>
        <w:rPr>
          <w:rFonts w:hint="default" w:ascii="宋体" w:hAnsi="宋体" w:eastAsia="宋体" w:cs="Times New Roman"/>
          <w:b/>
          <w:bCs/>
          <w:color w:val="auto"/>
          <w:sz w:val="30"/>
          <w:szCs w:val="30"/>
          <w:highlight w:val="none"/>
          <w:lang w:val="en-US" w:eastAsia="zh-CN"/>
        </w:rPr>
      </w:pPr>
      <w:bookmarkStart w:id="141" w:name="_Toc2594"/>
      <w:r>
        <w:rPr>
          <w:rFonts w:hint="eastAsia" w:cs="Times New Roman"/>
          <w:b/>
          <w:bCs/>
          <w:color w:val="auto"/>
          <w:sz w:val="30"/>
          <w:szCs w:val="30"/>
          <w:highlight w:val="none"/>
          <w:lang w:val="en-US" w:eastAsia="zh-CN"/>
        </w:rPr>
        <w:t>10</w:t>
      </w:r>
      <w:r>
        <w:rPr>
          <w:rFonts w:hint="eastAsia" w:ascii="宋体" w:hAnsi="宋体" w:eastAsia="宋体" w:cs="Times New Roman"/>
          <w:b/>
          <w:bCs/>
          <w:color w:val="auto"/>
          <w:sz w:val="30"/>
          <w:szCs w:val="30"/>
          <w:highlight w:val="none"/>
          <w:lang w:val="en-US" w:eastAsia="zh-CN"/>
        </w:rPr>
        <w:t>、监测工作服务的目标及保证措施</w:t>
      </w:r>
      <w:bookmarkEnd w:id="133"/>
      <w:bookmarkEnd w:id="141"/>
    </w:p>
    <w:p w14:paraId="1DA45BA1">
      <w:pPr>
        <w:pStyle w:val="53"/>
        <w:spacing w:before="156" w:beforeLines="50" w:after="156" w:afterLines="50"/>
        <w:ind w:left="0" w:leftChars="0" w:firstLine="0" w:firstLineChars="0"/>
        <w:rPr>
          <w:rFonts w:hint="eastAsia" w:ascii="宋体" w:hAnsi="宋体" w:eastAsia="宋体" w:cs="宋体"/>
          <w:color w:val="auto"/>
          <w:spacing w:val="10"/>
          <w:highlight w:val="none"/>
          <w:lang w:val="en-US" w:eastAsia="zh-CN"/>
        </w:rPr>
      </w:pPr>
      <w:bookmarkStart w:id="142" w:name="_Toc14787"/>
      <w:bookmarkStart w:id="143" w:name="_Toc25170"/>
      <w:r>
        <w:rPr>
          <w:rFonts w:hint="eastAsia" w:cs="宋体"/>
          <w:color w:val="auto"/>
          <w:spacing w:val="10"/>
          <w:highlight w:val="none"/>
          <w:lang w:val="en-US" w:eastAsia="zh-CN"/>
        </w:rPr>
        <w:t>10</w:t>
      </w:r>
      <w:r>
        <w:rPr>
          <w:rFonts w:hint="eastAsia" w:ascii="宋体" w:hAnsi="宋体" w:eastAsia="宋体" w:cs="宋体"/>
          <w:color w:val="auto"/>
          <w:spacing w:val="10"/>
          <w:highlight w:val="none"/>
          <w:lang w:val="en-US" w:eastAsia="zh-CN"/>
        </w:rPr>
        <w:t>.1工作服务的目标</w:t>
      </w:r>
      <w:bookmarkEnd w:id="142"/>
      <w:bookmarkEnd w:id="143"/>
    </w:p>
    <w:p w14:paraId="3F567731">
      <w:pPr>
        <w:spacing w:line="360" w:lineRule="auto"/>
        <w:ind w:firstLine="480" w:firstLineChars="200"/>
        <w:rPr>
          <w:rFonts w:hint="eastAsia" w:ascii="宋体" w:hAnsi="宋体" w:eastAsia="宋体" w:cs="Times New Roman"/>
          <w:bCs/>
          <w:color w:val="auto"/>
          <w:sz w:val="24"/>
          <w:highlight w:val="none"/>
        </w:rPr>
      </w:pPr>
      <w:r>
        <w:rPr>
          <w:rFonts w:hint="eastAsia" w:ascii="宋体" w:hAnsi="宋体" w:eastAsia="宋体" w:cs="Times New Roman"/>
          <w:bCs/>
          <w:color w:val="auto"/>
          <w:sz w:val="24"/>
          <w:highlight w:val="none"/>
          <w:lang w:val="en-US" w:eastAsia="zh-CN"/>
        </w:rPr>
        <w:t xml:space="preserve">观测成果优良率达100%，客户满意度100%。观测成果及时指导施工、确保路基稳定、优化设计，为优质精品工程作出应有的贡献。 </w:t>
      </w:r>
    </w:p>
    <w:p w14:paraId="7BEE00D3">
      <w:pPr>
        <w:spacing w:line="360" w:lineRule="auto"/>
        <w:ind w:firstLine="480" w:firstLineChars="200"/>
        <w:rPr>
          <w:rFonts w:hint="eastAsia" w:ascii="宋体" w:hAnsi="宋体" w:eastAsia="宋体" w:cs="Times New Roman"/>
          <w:bCs/>
          <w:color w:val="auto"/>
          <w:sz w:val="24"/>
          <w:highlight w:val="none"/>
        </w:rPr>
      </w:pPr>
      <w:r>
        <w:rPr>
          <w:rFonts w:hint="eastAsia" w:ascii="宋体" w:hAnsi="宋体" w:eastAsia="宋体" w:cs="Times New Roman"/>
          <w:bCs/>
          <w:color w:val="auto"/>
          <w:sz w:val="24"/>
          <w:highlight w:val="none"/>
          <w:lang w:val="en-US" w:eastAsia="zh-CN"/>
        </w:rPr>
        <w:t xml:space="preserve">（1）监测人员将恪守工作人员守则，以良好的职业道德和职业行为，保证为业主以及相关单位提供优质、高效的沉降观测服务工作。 </w:t>
      </w:r>
    </w:p>
    <w:p w14:paraId="40F671D0">
      <w:pPr>
        <w:spacing w:line="360" w:lineRule="auto"/>
        <w:ind w:firstLine="480" w:firstLineChars="200"/>
        <w:rPr>
          <w:rFonts w:hint="eastAsia" w:ascii="宋体" w:hAnsi="宋体" w:eastAsia="宋体" w:cs="Times New Roman"/>
          <w:bCs/>
          <w:color w:val="auto"/>
          <w:sz w:val="24"/>
          <w:highlight w:val="none"/>
        </w:rPr>
      </w:pPr>
      <w:r>
        <w:rPr>
          <w:rFonts w:hint="eastAsia" w:ascii="宋体" w:hAnsi="宋体" w:eastAsia="宋体" w:cs="Times New Roman"/>
          <w:bCs/>
          <w:color w:val="auto"/>
          <w:sz w:val="24"/>
          <w:highlight w:val="none"/>
          <w:lang w:val="en-US" w:eastAsia="zh-CN"/>
        </w:rPr>
        <w:t xml:space="preserve">（2）监测工作将严格按照大纲以及有关文件的规定，在规定时间内完成沉降观测工作，及时提交沉降观测报告。 </w:t>
      </w:r>
    </w:p>
    <w:p w14:paraId="354A0C8A">
      <w:pPr>
        <w:spacing w:line="360" w:lineRule="auto"/>
        <w:ind w:firstLine="480" w:firstLineChars="200"/>
        <w:rPr>
          <w:rFonts w:hint="eastAsia" w:ascii="宋体" w:hAnsi="宋体" w:eastAsia="宋体" w:cs="Times New Roman"/>
          <w:bCs/>
          <w:color w:val="auto"/>
          <w:sz w:val="24"/>
          <w:highlight w:val="none"/>
        </w:rPr>
      </w:pPr>
      <w:r>
        <w:rPr>
          <w:rFonts w:hint="eastAsia" w:ascii="宋体" w:hAnsi="宋体" w:eastAsia="宋体" w:cs="Times New Roman"/>
          <w:bCs/>
          <w:color w:val="auto"/>
          <w:sz w:val="24"/>
          <w:highlight w:val="none"/>
          <w:lang w:val="en-US" w:eastAsia="zh-CN"/>
        </w:rPr>
        <w:t xml:space="preserve">（3）监测人员有权拒绝不符合规定要求的外界干扰，对沉降观测结果负有保密责任。 </w:t>
      </w:r>
    </w:p>
    <w:p w14:paraId="1FE26415">
      <w:pPr>
        <w:spacing w:line="360" w:lineRule="auto"/>
        <w:ind w:firstLine="480" w:firstLineChars="200"/>
        <w:rPr>
          <w:rFonts w:hint="eastAsia" w:ascii="宋体" w:hAnsi="宋体" w:eastAsia="宋体" w:cs="Times New Roman"/>
          <w:bCs/>
          <w:color w:val="auto"/>
          <w:sz w:val="24"/>
          <w:highlight w:val="none"/>
        </w:rPr>
      </w:pPr>
      <w:r>
        <w:rPr>
          <w:rFonts w:hint="eastAsia" w:ascii="宋体" w:hAnsi="宋体" w:eastAsia="宋体" w:cs="Times New Roman"/>
          <w:bCs/>
          <w:color w:val="auto"/>
          <w:sz w:val="24"/>
          <w:highlight w:val="none"/>
          <w:lang w:val="en-US" w:eastAsia="zh-CN"/>
        </w:rPr>
        <w:t xml:space="preserve">（4）对来自业主的指示及时进行受理、认真调查、客观分析、明确责任，并在业主规定的期限内做出答复。 </w:t>
      </w:r>
    </w:p>
    <w:p w14:paraId="31FE2E85">
      <w:pPr>
        <w:spacing w:line="360" w:lineRule="auto"/>
        <w:ind w:firstLine="480" w:firstLineChars="200"/>
        <w:rPr>
          <w:rFonts w:hint="eastAsia" w:ascii="宋体" w:hAnsi="宋体" w:eastAsia="宋体" w:cs="Times New Roman"/>
          <w:bCs/>
          <w:color w:val="auto"/>
          <w:sz w:val="24"/>
          <w:highlight w:val="none"/>
        </w:rPr>
      </w:pPr>
      <w:r>
        <w:rPr>
          <w:rFonts w:hint="eastAsia" w:ascii="宋体" w:hAnsi="宋体" w:eastAsia="宋体" w:cs="Times New Roman"/>
          <w:bCs/>
          <w:color w:val="auto"/>
          <w:sz w:val="24"/>
          <w:highlight w:val="none"/>
          <w:lang w:val="en-US" w:eastAsia="zh-CN"/>
        </w:rPr>
        <w:t>（5）所有监测人员熟悉本项目相关的体系文件和技术文件，现场观测、报告出具等环节严格按照体系文件的要求执行。</w:t>
      </w:r>
    </w:p>
    <w:p w14:paraId="219F60D5">
      <w:pPr>
        <w:pStyle w:val="53"/>
        <w:spacing w:before="156" w:beforeLines="50" w:after="156" w:afterLines="50"/>
        <w:ind w:left="0" w:leftChars="0" w:firstLine="0" w:firstLineChars="0"/>
        <w:rPr>
          <w:rFonts w:hint="eastAsia" w:ascii="宋体" w:hAnsi="宋体" w:eastAsia="宋体" w:cs="宋体"/>
          <w:color w:val="auto"/>
          <w:spacing w:val="10"/>
          <w:highlight w:val="none"/>
          <w:lang w:val="en-US" w:eastAsia="zh-CN"/>
        </w:rPr>
      </w:pPr>
      <w:bookmarkStart w:id="144" w:name="_Toc19776"/>
      <w:bookmarkStart w:id="145" w:name="_Toc31914"/>
      <w:r>
        <w:rPr>
          <w:rFonts w:hint="eastAsia" w:cs="宋体"/>
          <w:color w:val="auto"/>
          <w:spacing w:val="10"/>
          <w:highlight w:val="none"/>
          <w:lang w:val="en-US" w:eastAsia="zh-CN"/>
        </w:rPr>
        <w:t>10</w:t>
      </w:r>
      <w:r>
        <w:rPr>
          <w:rFonts w:hint="eastAsia" w:ascii="宋体" w:hAnsi="宋体" w:eastAsia="宋体" w:cs="宋体"/>
          <w:color w:val="auto"/>
          <w:spacing w:val="10"/>
          <w:highlight w:val="none"/>
          <w:lang w:val="en-US" w:eastAsia="zh-CN"/>
        </w:rPr>
        <w:t>.2保证测量精度的技术措施</w:t>
      </w:r>
      <w:bookmarkEnd w:id="144"/>
      <w:bookmarkEnd w:id="145"/>
    </w:p>
    <w:p w14:paraId="58CAFCDF">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本次观测项目责任重大，要求较高，要高质量的完成本观测项目，除了现场技术人员严格按相关规范规程操作外，在人员、设备等方面还可进一步采取必要措施保证观测精度。</w:t>
      </w:r>
    </w:p>
    <w:p w14:paraId="55E75F65">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（1）人员的要求 </w:t>
      </w:r>
    </w:p>
    <w:p w14:paraId="38E15D58">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①人员的素质要求，必须接受专业的学习及技能培训，熟练掌握仪器的操作规程，熟悉测量理论，能针对不同工程特点、具体情况采用不同的观测方法及观测程序，对实施过程中出现的问题能够分析原因并正确的运用误差理论进行平差计算，做到及时、精确的完成每次观测任务。 </w:t>
      </w:r>
    </w:p>
    <w:p w14:paraId="34577F2E">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②在观测过程中，操作人员要相互配合，工作协调一致，认真仔细，做到步步有校核。</w:t>
      </w:r>
    </w:p>
    <w:p w14:paraId="2B171448">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③观测过程中发现数据与正常值偏差较大时，立即进行复测，防止由于仪器设备或人员操作而造成的不必要的误差。 </w:t>
      </w:r>
    </w:p>
    <w:p w14:paraId="72968978">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（2）仪器设备的要求</w:t>
      </w:r>
    </w:p>
    <w:p w14:paraId="704F4759">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在首次观测前要对所有仪器的各项指标进行检测校正，必要时经计量单位予以鉴定。 </w:t>
      </w:r>
    </w:p>
    <w:p w14:paraId="0A3C5C53">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（3）建立固定的观测路线 </w:t>
      </w:r>
    </w:p>
    <w:p w14:paraId="5D6AB6C1">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由测区水准控制网，依据沉降观测点的埋设要求或图纸设计的沉降观测点布点图，确定沉降观测的位置。在控制点与沉降观测点之间建立固定的观测路线，并在架设仪器站点与转点处做好标记桩，保证各次观测均沿统一路线。 </w:t>
      </w:r>
    </w:p>
    <w:p w14:paraId="72317576">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（4）测点保护措施 </w:t>
      </w:r>
    </w:p>
    <w:p w14:paraId="6C247299">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观测数据的连续性是靠测点的连续为基础的。根据《中华人民共和国测量标志保护条例》，结合本工程的具体情况，提出如下测点安全保护措施： </w:t>
      </w:r>
    </w:p>
    <w:p w14:paraId="26C4031F">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①在施工期间，施工单位要特别注意测点的保护工作，在测点周围树立醒目保护标识，提醒各方工作人员注意保护，破坏后及时恢复； </w:t>
      </w:r>
    </w:p>
    <w:p w14:paraId="57BD0C7E">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②基准点应布设在施工影响范围以外坚固位置，四周可砌简易保护墙，设立醒目警示标识。当对变形观测成果发生怀疑时，应随时进行检核。 </w:t>
      </w:r>
    </w:p>
    <w:p w14:paraId="50B67440">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（5）测点恢复措施</w:t>
      </w:r>
    </w:p>
    <w:p w14:paraId="40E84503">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①施工单位施工过程中应注意对测点的保护，如发现测点破坏应及时恢复并通知我单位采取初值。 </w:t>
      </w:r>
    </w:p>
    <w:p w14:paraId="5FA24006">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②应避免同一断面同时出现两处测点破坏，避免同一测点连续两次被破坏。 </w:t>
      </w:r>
    </w:p>
    <w:p w14:paraId="59AB0DFB">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③对于破坏较严重，需进行重新埋设的测点，单次沉降数据可根据同一断面其他两处测点的沉降变化以及前期三处测点的沉降变化估算一次，作为后续工后沉降预测的参数。 </w:t>
      </w:r>
    </w:p>
    <w:p w14:paraId="20E486B8">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（6）观测要求 </w:t>
      </w:r>
    </w:p>
    <w:p w14:paraId="22784450">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①在观测过程中，要尽量提高观测精度，消除观测过程中的系统误差，每次观测应做到“五定”： </w:t>
      </w:r>
    </w:p>
    <w:p w14:paraId="666D5638">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a.沉降观测依据的基准点、观测水准点、沉降观测点、点位要稳定； </w:t>
      </w:r>
    </w:p>
    <w:p w14:paraId="630F3300">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b.所有仪器、设备要稳定； </w:t>
      </w:r>
    </w:p>
    <w:p w14:paraId="4E22DE0B">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c.观测人员要稳定； </w:t>
      </w:r>
    </w:p>
    <w:p w14:paraId="16B1E08E">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d.观测时的环境条件基本一致； </w:t>
      </w:r>
    </w:p>
    <w:p w14:paraId="3CA2ADB4">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e.观测路线、镜位、程序的方法要固定。 </w:t>
      </w:r>
    </w:p>
    <w:p w14:paraId="7984D181">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②观测中的注意事项 </w:t>
      </w:r>
    </w:p>
    <w:p w14:paraId="5626D35B">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a.严格按测量规范的要求施测。 </w:t>
      </w:r>
    </w:p>
    <w:p w14:paraId="2B2C5D17">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b.前后视观测最好用同一水平尺。 </w:t>
      </w:r>
    </w:p>
    <w:p w14:paraId="1F69247F">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c.各次观测必须按照固定观测路线进行。 </w:t>
      </w:r>
    </w:p>
    <w:p w14:paraId="1D120EED">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d.观测时要避免阳光直射，且各观测环境基本一致。 </w:t>
      </w:r>
    </w:p>
    <w:p w14:paraId="39027077">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e.成像清晰、稳定时在读数。 </w:t>
      </w:r>
    </w:p>
    <w:p w14:paraId="2EB319E3">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f.随时观测，随时检核计算，观测时要一气合成。 </w:t>
      </w:r>
    </w:p>
    <w:p w14:paraId="04966809">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g.在雨季前后要联测，检查水准点的标高是否有变动。 </w:t>
      </w:r>
    </w:p>
    <w:p w14:paraId="356A1897">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h.将各次所观测的沉降情况及时反馈业主，当某路段沉降量超过规范规定的范围时停止施工，会同业主采取应急措施。</w:t>
      </w:r>
    </w:p>
    <w:p w14:paraId="028D3404">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（7）内业资料整理、分析评价及质量保证措施 </w:t>
      </w:r>
    </w:p>
    <w:p w14:paraId="675E1D56">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①人员保证 </w:t>
      </w:r>
    </w:p>
    <w:p w14:paraId="71E80F22">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配备有较高专业知识和丰富工程经验的人员，作为内业资料负责人，另配备充足的内业资料分析人员，能够结合观测成果对工程安全状态及地基处理效果作出准确评价。</w:t>
      </w:r>
    </w:p>
    <w:p w14:paraId="34482001">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②校审制度保证 </w:t>
      </w:r>
    </w:p>
    <w:p w14:paraId="3BF23430">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本项目内业资料整理、分析评价及报告编制均由分项负责人编制、现场负责人复核、项目负责人审核的三级校审制度，保证内业资料整理、分析评价及报告编制质量。</w:t>
      </w:r>
    </w:p>
    <w:p w14:paraId="4EA21A4D">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③及时性保证 </w:t>
      </w:r>
    </w:p>
    <w:p w14:paraId="23D77D52">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实时观测报告周报、月报及观测总报告应严格按照合同约定时间提交，不得出现晚报、漏报等现象。 </w:t>
      </w:r>
    </w:p>
    <w:p w14:paraId="7C33B22F">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 xml:space="preserve">④技术保证 </w:t>
      </w:r>
    </w:p>
    <w:p w14:paraId="5CFFAD5E">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运用计算机编程语言及数值模拟方法等对观测过程、成果进行分析，解决较为复杂的工程问题。</w:t>
      </w:r>
    </w:p>
    <w:p w14:paraId="318E16D5">
      <w:pPr>
        <w:pStyle w:val="56"/>
        <w:numPr>
          <w:ilvl w:val="0"/>
          <w:numId w:val="0"/>
        </w:numPr>
        <w:spacing w:line="240" w:lineRule="auto"/>
        <w:ind w:firstLine="0" w:firstLineChars="0"/>
        <w:jc w:val="both"/>
        <w:rPr>
          <w:rFonts w:hint="eastAsia" w:ascii="宋体" w:hAnsi="宋体" w:eastAsia="宋体" w:cs="Times New Roman"/>
          <w:b/>
          <w:bCs/>
          <w:color w:val="auto"/>
          <w:sz w:val="30"/>
          <w:szCs w:val="30"/>
          <w:highlight w:val="none"/>
          <w:lang w:val="en-US" w:eastAsia="zh-CN"/>
        </w:rPr>
      </w:pPr>
      <w:bookmarkStart w:id="146" w:name="_Toc19050"/>
      <w:bookmarkStart w:id="147" w:name="_Toc5141"/>
      <w:r>
        <w:rPr>
          <w:rFonts w:hint="eastAsia" w:ascii="宋体" w:hAnsi="宋体" w:eastAsia="宋体" w:cs="Times New Roman"/>
          <w:b/>
          <w:bCs/>
          <w:color w:val="auto"/>
          <w:sz w:val="30"/>
          <w:szCs w:val="30"/>
          <w:highlight w:val="none"/>
          <w:lang w:val="en-US" w:eastAsia="zh-CN"/>
        </w:rPr>
        <w:t>1</w:t>
      </w:r>
      <w:r>
        <w:rPr>
          <w:rFonts w:hint="eastAsia" w:cs="Times New Roman"/>
          <w:b/>
          <w:bCs/>
          <w:color w:val="auto"/>
          <w:sz w:val="30"/>
          <w:szCs w:val="30"/>
          <w:highlight w:val="none"/>
          <w:lang w:val="en-US" w:eastAsia="zh-CN"/>
        </w:rPr>
        <w:t>1</w:t>
      </w:r>
      <w:r>
        <w:rPr>
          <w:rFonts w:hint="eastAsia" w:ascii="宋体" w:hAnsi="宋体" w:eastAsia="宋体" w:cs="Times New Roman"/>
          <w:b/>
          <w:bCs/>
          <w:color w:val="auto"/>
          <w:sz w:val="30"/>
          <w:szCs w:val="30"/>
          <w:highlight w:val="none"/>
          <w:lang w:val="en-US" w:eastAsia="zh-CN"/>
        </w:rPr>
        <w:t>.监测应急预案</w:t>
      </w:r>
      <w:bookmarkEnd w:id="146"/>
      <w:bookmarkEnd w:id="147"/>
    </w:p>
    <w:p w14:paraId="23D55EDB">
      <w:pPr>
        <w:pStyle w:val="53"/>
        <w:spacing w:before="156" w:beforeLines="50" w:after="156" w:afterLines="50"/>
        <w:ind w:left="0" w:leftChars="0" w:firstLine="0" w:firstLineChars="0"/>
        <w:rPr>
          <w:rFonts w:hint="eastAsia" w:ascii="宋体" w:hAnsi="宋体" w:eastAsia="宋体" w:cs="宋体"/>
          <w:color w:val="auto"/>
          <w:spacing w:val="10"/>
          <w:highlight w:val="none"/>
          <w:lang w:val="en-US" w:eastAsia="zh-CN"/>
        </w:rPr>
      </w:pPr>
      <w:bookmarkStart w:id="148" w:name="_Toc533505394"/>
      <w:bookmarkStart w:id="149" w:name="_Toc465199897"/>
      <w:bookmarkStart w:id="150" w:name="_Toc15904"/>
      <w:bookmarkStart w:id="151" w:name="_Toc27888"/>
      <w:r>
        <w:rPr>
          <w:rFonts w:hint="eastAsia" w:ascii="宋体" w:hAnsi="宋体" w:eastAsia="宋体" w:cs="宋体"/>
          <w:color w:val="auto"/>
          <w:spacing w:val="10"/>
          <w:highlight w:val="none"/>
          <w:lang w:val="en-US" w:eastAsia="zh-CN"/>
        </w:rPr>
        <w:t>1</w:t>
      </w:r>
      <w:r>
        <w:rPr>
          <w:rFonts w:hint="eastAsia" w:cs="宋体"/>
          <w:color w:val="auto"/>
          <w:spacing w:val="10"/>
          <w:highlight w:val="none"/>
          <w:lang w:val="en-US" w:eastAsia="zh-CN"/>
        </w:rPr>
        <w:t>1</w:t>
      </w:r>
      <w:r>
        <w:rPr>
          <w:rFonts w:hint="eastAsia" w:ascii="宋体" w:hAnsi="宋体" w:eastAsia="宋体" w:cs="宋体"/>
          <w:color w:val="auto"/>
          <w:spacing w:val="10"/>
          <w:highlight w:val="none"/>
          <w:lang w:val="en-US" w:eastAsia="zh-CN"/>
        </w:rPr>
        <w:t>.1应急预案启动条件</w:t>
      </w:r>
      <w:bookmarkEnd w:id="148"/>
      <w:bookmarkEnd w:id="149"/>
      <w:bookmarkEnd w:id="150"/>
      <w:bookmarkEnd w:id="151"/>
    </w:p>
    <w:p w14:paraId="6972E5CD">
      <w:pPr>
        <w:pStyle w:val="54"/>
        <w:snapToGrid w:val="0"/>
        <w:rPr>
          <w:rFonts w:hint="eastAsia" w:ascii="宋体" w:hAnsi="宋体" w:eastAsia="宋体" w:cs="宋体"/>
          <w:color w:val="auto"/>
          <w:kern w:val="0"/>
          <w:highlight w:val="none"/>
        </w:rPr>
      </w:pPr>
      <w:r>
        <w:rPr>
          <w:rFonts w:hint="eastAsia" w:ascii="宋体" w:hAnsi="宋体" w:eastAsia="宋体" w:cs="宋体"/>
          <w:color w:val="auto"/>
          <w:kern w:val="0"/>
          <w:highlight w:val="none"/>
          <w:lang w:val="en-US" w:eastAsia="zh-CN"/>
        </w:rPr>
        <w:t>边坡</w:t>
      </w:r>
      <w:r>
        <w:rPr>
          <w:rFonts w:hint="eastAsia" w:ascii="宋体" w:hAnsi="宋体" w:eastAsia="宋体" w:cs="宋体"/>
          <w:color w:val="auto"/>
          <w:kern w:val="0"/>
          <w:highlight w:val="none"/>
        </w:rPr>
        <w:t>施工过程中，由于受周围环境和自然条件影响，不确定因素较多，易产生安全隐患或安全事故。为确保对国家财产和人民生命安全高度负责，做到安全工作防患于未然，除了加强日常监测工作、及时提供准确、可靠的监测数据供相关人员分析外，针对灾害性天气和突发事件，还应建立应急反应机制，制定应急预案。根据省、市相关文件规定</w:t>
      </w:r>
      <w:r>
        <w:rPr>
          <w:rFonts w:hint="eastAsia" w:ascii="宋体" w:hAnsi="宋体" w:eastAsia="宋体" w:cs="宋体"/>
          <w:color w:val="auto"/>
          <w:kern w:val="0"/>
          <w:highlight w:val="none"/>
          <w:lang w:val="en-US" w:eastAsia="zh-CN"/>
        </w:rPr>
        <w:t>高边坡</w:t>
      </w:r>
      <w:r>
        <w:rPr>
          <w:rFonts w:hint="eastAsia" w:ascii="宋体" w:hAnsi="宋体" w:eastAsia="宋体" w:cs="宋体"/>
          <w:color w:val="auto"/>
          <w:kern w:val="0"/>
          <w:highlight w:val="none"/>
        </w:rPr>
        <w:t>施工过程中出现下列情形之一，应启动应急反应机制：</w:t>
      </w:r>
    </w:p>
    <w:p w14:paraId="462148A0">
      <w:pPr>
        <w:pStyle w:val="54"/>
        <w:snapToGrid w:val="0"/>
        <w:rPr>
          <w:rFonts w:hint="eastAsia" w:ascii="宋体" w:hAnsi="宋体" w:eastAsia="宋体" w:cs="宋体"/>
          <w:color w:val="auto"/>
          <w:kern w:val="0"/>
          <w:highlight w:val="none"/>
        </w:rPr>
      </w:pPr>
      <w:r>
        <w:rPr>
          <w:rFonts w:hint="eastAsia" w:ascii="宋体" w:hAnsi="宋体" w:eastAsia="宋体" w:cs="宋体"/>
          <w:color w:val="auto"/>
          <w:kern w:val="0"/>
          <w:highlight w:val="none"/>
        </w:rPr>
        <w:t>1）开挖以后，遇长时间较大降水天气；</w:t>
      </w:r>
    </w:p>
    <w:p w14:paraId="283B475C">
      <w:pPr>
        <w:pStyle w:val="54"/>
        <w:snapToGrid w:val="0"/>
        <w:rPr>
          <w:rFonts w:hint="eastAsia" w:ascii="宋体" w:hAnsi="宋体" w:eastAsia="宋体" w:cs="宋体"/>
          <w:color w:val="auto"/>
          <w:kern w:val="0"/>
          <w:highlight w:val="none"/>
        </w:rPr>
      </w:pPr>
      <w:r>
        <w:rPr>
          <w:rFonts w:hint="eastAsia" w:ascii="宋体" w:hAnsi="宋体" w:eastAsia="宋体" w:cs="宋体"/>
          <w:color w:val="auto"/>
          <w:kern w:val="0"/>
          <w:highlight w:val="none"/>
        </w:rPr>
        <w:t>2）</w:t>
      </w:r>
      <w:r>
        <w:rPr>
          <w:rFonts w:hint="eastAsia" w:ascii="宋体" w:hAnsi="宋体" w:eastAsia="宋体" w:cs="宋体"/>
          <w:color w:val="auto"/>
          <w:kern w:val="0"/>
          <w:highlight w:val="none"/>
          <w:lang w:val="en-US" w:eastAsia="zh-CN"/>
        </w:rPr>
        <w:t>边坡</w:t>
      </w:r>
      <w:r>
        <w:rPr>
          <w:rFonts w:hint="eastAsia" w:ascii="宋体" w:hAnsi="宋体" w:eastAsia="宋体" w:cs="宋体"/>
          <w:color w:val="auto"/>
          <w:kern w:val="0"/>
          <w:highlight w:val="none"/>
        </w:rPr>
        <w:t>支护结构位移发生突变的；</w:t>
      </w:r>
    </w:p>
    <w:p w14:paraId="01469389">
      <w:pPr>
        <w:pStyle w:val="54"/>
        <w:snapToGrid w:val="0"/>
        <w:rPr>
          <w:rFonts w:hint="eastAsia" w:ascii="宋体" w:hAnsi="宋体" w:eastAsia="宋体" w:cs="宋体"/>
          <w:color w:val="auto"/>
          <w:kern w:val="0"/>
          <w:highlight w:val="none"/>
        </w:rPr>
      </w:pPr>
      <w:r>
        <w:rPr>
          <w:rFonts w:hint="eastAsia" w:ascii="宋体" w:hAnsi="宋体" w:eastAsia="宋体" w:cs="宋体"/>
          <w:color w:val="auto"/>
          <w:kern w:val="0"/>
          <w:highlight w:val="none"/>
        </w:rPr>
        <w:t>3）</w:t>
      </w:r>
      <w:r>
        <w:rPr>
          <w:rFonts w:hint="eastAsia" w:ascii="宋体" w:hAnsi="宋体" w:eastAsia="宋体" w:cs="宋体"/>
          <w:color w:val="auto"/>
          <w:kern w:val="0"/>
          <w:highlight w:val="none"/>
          <w:lang w:val="en-US" w:eastAsia="zh-CN"/>
        </w:rPr>
        <w:t>边坡</w:t>
      </w:r>
      <w:r>
        <w:rPr>
          <w:rFonts w:hint="eastAsia" w:ascii="宋体" w:hAnsi="宋体" w:eastAsia="宋体" w:cs="宋体"/>
          <w:color w:val="auto"/>
          <w:kern w:val="0"/>
          <w:highlight w:val="none"/>
        </w:rPr>
        <w:t>支护结构位移变形总量或变形速率接近预警值的；</w:t>
      </w:r>
    </w:p>
    <w:p w14:paraId="651D6777">
      <w:pPr>
        <w:pStyle w:val="54"/>
        <w:snapToGrid w:val="0"/>
        <w:rPr>
          <w:rFonts w:hint="eastAsia" w:ascii="宋体" w:hAnsi="宋体" w:eastAsia="宋体" w:cs="宋体"/>
          <w:color w:val="auto"/>
          <w:kern w:val="0"/>
          <w:highlight w:val="none"/>
        </w:rPr>
      </w:pPr>
      <w:r>
        <w:rPr>
          <w:rFonts w:hint="eastAsia" w:ascii="宋体" w:hAnsi="宋体" w:eastAsia="宋体" w:cs="宋体"/>
          <w:color w:val="auto"/>
          <w:kern w:val="0"/>
          <w:highlight w:val="none"/>
          <w:lang w:val="en-US" w:eastAsia="zh-CN"/>
        </w:rPr>
        <w:t>4</w:t>
      </w:r>
      <w:r>
        <w:rPr>
          <w:rFonts w:hint="eastAsia" w:ascii="宋体" w:hAnsi="宋体" w:eastAsia="宋体" w:cs="宋体"/>
          <w:color w:val="auto"/>
          <w:kern w:val="0"/>
          <w:highlight w:val="none"/>
        </w:rPr>
        <w:t>）其他紧急情况。</w:t>
      </w:r>
    </w:p>
    <w:p w14:paraId="3C50C4A2">
      <w:pPr>
        <w:pStyle w:val="53"/>
        <w:spacing w:before="156" w:beforeLines="50" w:after="156" w:afterLines="50"/>
        <w:ind w:left="0" w:leftChars="0" w:firstLine="0" w:firstLineChars="0"/>
        <w:rPr>
          <w:rFonts w:hint="eastAsia" w:ascii="宋体" w:hAnsi="宋体" w:eastAsia="宋体" w:cs="宋体"/>
          <w:color w:val="auto"/>
          <w:spacing w:val="10"/>
          <w:highlight w:val="none"/>
          <w:lang w:val="en-US" w:eastAsia="zh-CN"/>
        </w:rPr>
      </w:pPr>
      <w:bookmarkStart w:id="152" w:name="_Toc21803"/>
      <w:bookmarkStart w:id="153" w:name="_Toc533505395"/>
      <w:bookmarkStart w:id="154" w:name="_Toc465199898"/>
      <w:bookmarkStart w:id="155" w:name="_Toc19902"/>
      <w:r>
        <w:rPr>
          <w:rFonts w:hint="eastAsia" w:ascii="宋体" w:hAnsi="宋体" w:eastAsia="宋体" w:cs="宋体"/>
          <w:color w:val="auto"/>
          <w:spacing w:val="10"/>
          <w:highlight w:val="none"/>
          <w:lang w:val="en-US" w:eastAsia="zh-CN"/>
        </w:rPr>
        <w:t>1</w:t>
      </w:r>
      <w:r>
        <w:rPr>
          <w:rFonts w:hint="eastAsia" w:cs="宋体"/>
          <w:color w:val="auto"/>
          <w:spacing w:val="10"/>
          <w:highlight w:val="none"/>
          <w:lang w:val="en-US" w:eastAsia="zh-CN"/>
        </w:rPr>
        <w:t>1</w:t>
      </w:r>
      <w:r>
        <w:rPr>
          <w:rFonts w:hint="eastAsia" w:ascii="宋体" w:hAnsi="宋体" w:eastAsia="宋体" w:cs="宋体"/>
          <w:color w:val="auto"/>
          <w:spacing w:val="10"/>
          <w:highlight w:val="none"/>
          <w:lang w:val="en-US" w:eastAsia="zh-CN"/>
        </w:rPr>
        <w:t>.2应急人员、物资储备</w:t>
      </w:r>
      <w:bookmarkEnd w:id="152"/>
      <w:bookmarkEnd w:id="153"/>
      <w:bookmarkEnd w:id="154"/>
      <w:bookmarkEnd w:id="155"/>
    </w:p>
    <w:p w14:paraId="16A01085">
      <w:pPr>
        <w:autoSpaceDE w:val="0"/>
        <w:autoSpaceDN w:val="0"/>
        <w:adjustRightInd w:val="0"/>
        <w:spacing w:line="360" w:lineRule="auto"/>
        <w:ind w:firstLine="460" w:firstLineChars="192"/>
        <w:jc w:val="left"/>
        <w:rPr>
          <w:rFonts w:ascii="宋体"/>
          <w:color w:val="auto"/>
          <w:kern w:val="0"/>
          <w:sz w:val="24"/>
          <w:szCs w:val="24"/>
          <w:highlight w:val="none"/>
        </w:rPr>
      </w:pPr>
      <w:r>
        <w:rPr>
          <w:rFonts w:hint="eastAsia" w:ascii="宋体" w:hAnsi="宋体" w:cs="宋体"/>
          <w:color w:val="auto"/>
          <w:kern w:val="0"/>
          <w:sz w:val="24"/>
          <w:szCs w:val="24"/>
          <w:highlight w:val="none"/>
        </w:rPr>
        <w:t>人员储备：项目部平时注重对</w:t>
      </w:r>
      <w:r>
        <w:rPr>
          <w:rFonts w:hint="eastAsia" w:ascii="宋体" w:hAnsi="宋体" w:cs="宋体"/>
          <w:color w:val="auto"/>
          <w:kern w:val="0"/>
          <w:sz w:val="24"/>
          <w:szCs w:val="24"/>
          <w:highlight w:val="none"/>
          <w:lang w:eastAsia="zh-CN"/>
        </w:rPr>
        <w:t>外业</w:t>
      </w:r>
      <w:r>
        <w:rPr>
          <w:rFonts w:hint="eastAsia" w:ascii="宋体" w:hAnsi="宋体" w:cs="宋体"/>
          <w:color w:val="auto"/>
          <w:kern w:val="0"/>
          <w:sz w:val="24"/>
          <w:szCs w:val="24"/>
          <w:highlight w:val="none"/>
        </w:rPr>
        <w:t>、内业组等人员的测量知识的培训工作，当出现险情时，需要增加监测频次或抢险时，满足现场需要。</w:t>
      </w:r>
    </w:p>
    <w:p w14:paraId="502E6B14">
      <w:pPr>
        <w:autoSpaceDE w:val="0"/>
        <w:autoSpaceDN w:val="0"/>
        <w:adjustRightInd w:val="0"/>
        <w:spacing w:line="360" w:lineRule="auto"/>
        <w:ind w:firstLine="460" w:firstLineChars="192"/>
        <w:jc w:val="left"/>
        <w:rPr>
          <w:rFonts w:ascii="宋体"/>
          <w:color w:val="auto"/>
          <w:kern w:val="0"/>
          <w:sz w:val="24"/>
          <w:szCs w:val="24"/>
          <w:highlight w:val="none"/>
        </w:rPr>
      </w:pPr>
      <w:r>
        <w:rPr>
          <w:rFonts w:hint="eastAsia" w:ascii="宋体" w:hAnsi="宋体" w:cs="宋体"/>
          <w:color w:val="auto"/>
          <w:kern w:val="0"/>
          <w:sz w:val="24"/>
          <w:szCs w:val="24"/>
          <w:highlight w:val="none"/>
        </w:rPr>
        <w:t>物资储备：所有的仪器在满足正常作业要求的情况下，项目部均有一套闲置仪器以备出现险情的情况下及时投入使用。</w:t>
      </w:r>
    </w:p>
    <w:p w14:paraId="532EEDCC">
      <w:pPr>
        <w:autoSpaceDE w:val="0"/>
        <w:autoSpaceDN w:val="0"/>
        <w:adjustRightInd w:val="0"/>
        <w:spacing w:line="360" w:lineRule="auto"/>
        <w:ind w:firstLine="460" w:firstLineChars="192"/>
        <w:jc w:val="left"/>
        <w:rPr>
          <w:rFonts w:hint="eastAsia" w:ascii="宋体" w:eastAsia="宋体"/>
          <w:color w:val="auto"/>
          <w:kern w:val="0"/>
          <w:sz w:val="24"/>
          <w:szCs w:val="24"/>
          <w:highlight w:val="none"/>
          <w:lang w:eastAsia="zh-CN"/>
        </w:rPr>
      </w:pPr>
      <w:r>
        <w:rPr>
          <w:rFonts w:hint="eastAsia" w:ascii="宋体" w:hAnsi="宋体" w:cs="宋体"/>
          <w:color w:val="auto"/>
          <w:kern w:val="0"/>
          <w:sz w:val="24"/>
          <w:szCs w:val="24"/>
          <w:highlight w:val="none"/>
        </w:rPr>
        <w:t>组长全面负责突发情况下抢险预案的实施，负责方案的决策和现场总指挥，负责资源的调配</w:t>
      </w:r>
      <w:r>
        <w:rPr>
          <w:rFonts w:hint="eastAsia" w:hAnsi="宋体" w:cs="宋体"/>
          <w:color w:val="auto"/>
          <w:kern w:val="0"/>
          <w:sz w:val="24"/>
          <w:szCs w:val="24"/>
          <w:highlight w:val="none"/>
          <w:lang w:eastAsia="zh-CN"/>
        </w:rPr>
        <w:t>。</w:t>
      </w:r>
    </w:p>
    <w:p w14:paraId="2645C66B">
      <w:pPr>
        <w:autoSpaceDE w:val="0"/>
        <w:autoSpaceDN w:val="0"/>
        <w:adjustRightInd w:val="0"/>
        <w:spacing w:line="360" w:lineRule="auto"/>
        <w:ind w:firstLine="460" w:firstLineChars="192"/>
        <w:jc w:val="left"/>
        <w:rPr>
          <w:rFonts w:hint="eastAsia"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rPr>
        <w:t>副组长负责抢险方案的制定工作及现场的指挥工作；当应急情况发生时由组长组织实施，组员全力按应急预案要求进行实施。</w:t>
      </w:r>
    </w:p>
    <w:p w14:paraId="352F2475">
      <w:pPr>
        <w:pStyle w:val="53"/>
        <w:spacing w:before="156" w:beforeLines="50" w:after="156" w:afterLines="50"/>
        <w:ind w:left="0" w:leftChars="0" w:firstLine="0" w:firstLineChars="0"/>
        <w:rPr>
          <w:rFonts w:hint="eastAsia" w:ascii="宋体" w:hAnsi="宋体" w:eastAsia="宋体" w:cs="宋体"/>
          <w:color w:val="auto"/>
          <w:spacing w:val="10"/>
          <w:highlight w:val="none"/>
          <w:lang w:val="en-US" w:eastAsia="zh-CN"/>
        </w:rPr>
      </w:pPr>
      <w:bookmarkStart w:id="156" w:name="_Toc305"/>
      <w:bookmarkStart w:id="157" w:name="_Toc399233109"/>
      <w:bookmarkStart w:id="158" w:name="_Toc20258"/>
      <w:r>
        <w:rPr>
          <w:rFonts w:hint="eastAsia" w:ascii="宋体" w:hAnsi="宋体" w:eastAsia="宋体" w:cs="宋体"/>
          <w:color w:val="auto"/>
          <w:spacing w:val="10"/>
          <w:highlight w:val="none"/>
          <w:lang w:val="en-US" w:eastAsia="zh-CN"/>
        </w:rPr>
        <w:t>1</w:t>
      </w:r>
      <w:r>
        <w:rPr>
          <w:rFonts w:hint="eastAsia" w:cs="宋体"/>
          <w:color w:val="auto"/>
          <w:spacing w:val="10"/>
          <w:highlight w:val="none"/>
          <w:lang w:val="en-US" w:eastAsia="zh-CN"/>
        </w:rPr>
        <w:t>1</w:t>
      </w:r>
      <w:r>
        <w:rPr>
          <w:rFonts w:hint="eastAsia" w:ascii="宋体" w:hAnsi="宋体" w:eastAsia="宋体" w:cs="宋体"/>
          <w:color w:val="auto"/>
          <w:spacing w:val="10"/>
          <w:highlight w:val="none"/>
          <w:lang w:val="en-US" w:eastAsia="zh-CN"/>
        </w:rPr>
        <w:t>.3应急措施</w:t>
      </w:r>
      <w:bookmarkEnd w:id="156"/>
      <w:bookmarkEnd w:id="157"/>
      <w:bookmarkEnd w:id="158"/>
    </w:p>
    <w:p w14:paraId="77BD0321">
      <w:pPr>
        <w:autoSpaceDE w:val="0"/>
        <w:autoSpaceDN w:val="0"/>
        <w:adjustRightInd w:val="0"/>
        <w:spacing w:line="360" w:lineRule="auto"/>
        <w:ind w:firstLine="460" w:firstLineChars="192"/>
        <w:jc w:val="left"/>
        <w:rPr>
          <w:rFonts w:hint="eastAsia" w:ascii="宋体" w:hAnsi="宋体"/>
          <w:color w:val="auto"/>
          <w:kern w:val="0"/>
          <w:sz w:val="24"/>
          <w:highlight w:val="none"/>
        </w:rPr>
      </w:pPr>
      <w:r>
        <w:rPr>
          <w:rFonts w:hint="eastAsia" w:ascii="宋体" w:hAnsi="宋体" w:eastAsia="宋体" w:cs="Times New Roman"/>
          <w:color w:val="auto"/>
          <w:kern w:val="0"/>
          <w:sz w:val="24"/>
          <w:highlight w:val="none"/>
        </w:rPr>
        <w:t>应急措施分为超过预警值的应急措施和应急抢险措施</w:t>
      </w:r>
      <w:r>
        <w:rPr>
          <w:rFonts w:hint="eastAsia" w:ascii="宋体" w:hAnsi="宋体" w:eastAsia="宋体" w:cs="Times New Roman"/>
          <w:color w:val="auto"/>
          <w:kern w:val="0"/>
          <w:sz w:val="24"/>
          <w:highlight w:val="none"/>
          <w:lang w:eastAsia="zh-CN"/>
        </w:rPr>
        <w:t>，应</w:t>
      </w:r>
      <w:r>
        <w:rPr>
          <w:rFonts w:hint="eastAsia" w:ascii="宋体" w:hAnsi="宋体"/>
          <w:color w:val="auto"/>
          <w:kern w:val="0"/>
          <w:sz w:val="24"/>
          <w:highlight w:val="none"/>
          <w:lang w:eastAsia="zh-CN"/>
        </w:rPr>
        <w:t>急处置流程如图</w:t>
      </w:r>
      <w:r>
        <w:rPr>
          <w:rFonts w:hint="eastAsia" w:ascii="宋体" w:hAnsi="宋体"/>
          <w:color w:val="auto"/>
          <w:kern w:val="0"/>
          <w:sz w:val="24"/>
          <w:highlight w:val="none"/>
          <w:lang w:val="en-US" w:eastAsia="zh-CN"/>
        </w:rPr>
        <w:t>1</w:t>
      </w:r>
      <w:r>
        <w:rPr>
          <w:rFonts w:hint="eastAsia" w:hAnsi="宋体"/>
          <w:color w:val="auto"/>
          <w:kern w:val="0"/>
          <w:sz w:val="24"/>
          <w:highlight w:val="none"/>
          <w:lang w:val="en-US" w:eastAsia="zh-CN"/>
        </w:rPr>
        <w:t>0</w:t>
      </w:r>
      <w:r>
        <w:rPr>
          <w:rFonts w:hint="eastAsia" w:ascii="宋体" w:hAnsi="宋体"/>
          <w:color w:val="auto"/>
          <w:kern w:val="0"/>
          <w:sz w:val="24"/>
          <w:highlight w:val="none"/>
          <w:lang w:val="en-US" w:eastAsia="zh-CN"/>
        </w:rPr>
        <w:t>-1所示</w:t>
      </w:r>
      <w:r>
        <w:rPr>
          <w:rFonts w:hint="eastAsia" w:ascii="宋体" w:hAnsi="宋体"/>
          <w:color w:val="auto"/>
          <w:kern w:val="0"/>
          <w:sz w:val="24"/>
          <w:highlight w:val="none"/>
        </w:rPr>
        <w:t>。</w:t>
      </w:r>
    </w:p>
    <w:p w14:paraId="57A6FD73">
      <w:pPr>
        <w:bidi w:val="0"/>
        <w:jc w:val="center"/>
        <w:rPr>
          <w:color w:val="auto"/>
          <w:kern w:val="0"/>
          <w:highlight w:val="none"/>
        </w:rPr>
      </w:pPr>
      <w:bookmarkStart w:id="159" w:name="_Toc11169"/>
      <w:r>
        <w:rPr>
          <w:rFonts w:hint="eastAsia" w:ascii="宋体" w:hAnsi="宋体" w:eastAsia="宋体" w:cs="宋体"/>
          <w:b/>
          <w:bCs/>
          <w:color w:val="auto"/>
          <w:highlight w:val="none"/>
        </w:rPr>
        <w:drawing>
          <wp:anchor distT="0" distB="0" distL="114300" distR="114300" simplePos="0" relativeHeight="251661312" behindDoc="0" locked="0" layoutInCell="1" allowOverlap="1">
            <wp:simplePos x="0" y="0"/>
            <wp:positionH relativeFrom="column">
              <wp:posOffset>430530</wp:posOffset>
            </wp:positionH>
            <wp:positionV relativeFrom="paragraph">
              <wp:posOffset>13335</wp:posOffset>
            </wp:positionV>
            <wp:extent cx="5349240" cy="3573780"/>
            <wp:effectExtent l="0" t="0" r="0" b="0"/>
            <wp:wrapTopAndBottom/>
            <wp:docPr id="60" name="图片 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4" descr="1"/>
                    <pic:cNvPicPr>
                      <a:picLocks noChangeAspect="1"/>
                    </pic:cNvPicPr>
                  </pic:nvPicPr>
                  <pic:blipFill>
                    <a:blip r:embed="rId26"/>
                    <a:stretch>
                      <a:fillRect/>
                    </a:stretch>
                  </pic:blipFill>
                  <pic:spPr>
                    <a:xfrm>
                      <a:off x="0" y="0"/>
                      <a:ext cx="5349240" cy="3573780"/>
                    </a:xfrm>
                    <a:prstGeom prst="rect">
                      <a:avLst/>
                    </a:prstGeom>
                    <a:noFill/>
                    <a:ln>
                      <a:noFill/>
                    </a:ln>
                  </pic:spPr>
                </pic:pic>
              </a:graphicData>
            </a:graphic>
          </wp:anchor>
        </w:drawing>
      </w:r>
      <w:r>
        <w:rPr>
          <w:rFonts w:hint="eastAsia" w:ascii="宋体" w:hAnsi="宋体" w:eastAsia="宋体" w:cs="宋体"/>
          <w:b/>
          <w:bCs/>
          <w:color w:val="auto"/>
          <w:highlight w:val="none"/>
          <w:lang w:eastAsia="zh-CN"/>
        </w:rPr>
        <w:t>图</w:t>
      </w:r>
      <w:r>
        <w:rPr>
          <w:rFonts w:hint="eastAsia" w:ascii="宋体" w:hAnsi="宋体" w:eastAsia="宋体" w:cs="宋体"/>
          <w:b/>
          <w:bCs/>
          <w:color w:val="auto"/>
          <w:highlight w:val="none"/>
          <w:lang w:val="en-US" w:eastAsia="zh-CN"/>
        </w:rPr>
        <w:t>1</w:t>
      </w:r>
      <w:r>
        <w:rPr>
          <w:rFonts w:hint="eastAsia" w:hAnsi="宋体" w:cs="宋体"/>
          <w:b/>
          <w:bCs/>
          <w:color w:val="auto"/>
          <w:highlight w:val="none"/>
          <w:lang w:val="en-US" w:eastAsia="zh-CN"/>
        </w:rPr>
        <w:t>1</w:t>
      </w:r>
      <w:r>
        <w:rPr>
          <w:rFonts w:hint="eastAsia" w:ascii="宋体" w:hAnsi="宋体" w:eastAsia="宋体" w:cs="宋体"/>
          <w:b/>
          <w:bCs/>
          <w:color w:val="auto"/>
          <w:highlight w:val="none"/>
          <w:lang w:val="en-US" w:eastAsia="zh-CN"/>
        </w:rPr>
        <w:t>-1</w:t>
      </w:r>
      <w:r>
        <w:rPr>
          <w:rFonts w:hint="eastAsia" w:ascii="宋体" w:hAnsi="宋体" w:eastAsia="宋体" w:cs="宋体"/>
          <w:b/>
          <w:bCs/>
          <w:color w:val="auto"/>
          <w:highlight w:val="none"/>
        </w:rPr>
        <w:t>应急处置流程图</w:t>
      </w:r>
      <w:bookmarkEnd w:id="159"/>
    </w:p>
    <w:p w14:paraId="4BAD2B85">
      <w:pPr>
        <w:pStyle w:val="54"/>
        <w:snapToGrid w:val="0"/>
        <w:rPr>
          <w:rFonts w:hint="eastAsia" w:ascii="宋体" w:hAnsi="宋体" w:eastAsia="宋体" w:cs="宋体"/>
          <w:color w:val="auto"/>
          <w:kern w:val="0"/>
          <w:highlight w:val="none"/>
        </w:rPr>
      </w:pPr>
      <w:r>
        <w:rPr>
          <w:rFonts w:hint="eastAsia" w:ascii="宋体" w:hAnsi="宋体" w:eastAsia="宋体" w:cs="宋体"/>
          <w:color w:val="auto"/>
          <w:kern w:val="0"/>
          <w:highlight w:val="none"/>
        </w:rPr>
        <w:t>1）应急小组保持24小时与业主、设计、监理等相关单位通讯联络；</w:t>
      </w:r>
    </w:p>
    <w:p w14:paraId="248F399B">
      <w:pPr>
        <w:pStyle w:val="54"/>
        <w:snapToGrid w:val="0"/>
        <w:rPr>
          <w:rFonts w:hint="eastAsia" w:ascii="宋体" w:hAnsi="宋体" w:eastAsia="宋体" w:cs="宋体"/>
          <w:color w:val="auto"/>
          <w:kern w:val="0"/>
          <w:highlight w:val="none"/>
        </w:rPr>
      </w:pPr>
      <w:r>
        <w:rPr>
          <w:rFonts w:hint="eastAsia" w:ascii="宋体" w:hAnsi="宋体" w:eastAsia="宋体" w:cs="宋体"/>
          <w:color w:val="auto"/>
          <w:kern w:val="0"/>
          <w:highlight w:val="none"/>
        </w:rPr>
        <w:t>2）加强监测；</w:t>
      </w:r>
    </w:p>
    <w:p w14:paraId="44C18887">
      <w:pPr>
        <w:pStyle w:val="54"/>
        <w:snapToGrid w:val="0"/>
        <w:rPr>
          <w:rFonts w:hint="eastAsia" w:ascii="宋体" w:hAnsi="宋体" w:eastAsia="宋体" w:cs="宋体"/>
          <w:color w:val="auto"/>
          <w:kern w:val="0"/>
          <w:highlight w:val="none"/>
        </w:rPr>
      </w:pPr>
      <w:r>
        <w:rPr>
          <w:rFonts w:hint="eastAsia" w:ascii="宋体" w:hAnsi="宋体" w:eastAsia="宋体" w:cs="宋体"/>
          <w:color w:val="auto"/>
          <w:kern w:val="0"/>
          <w:highlight w:val="none"/>
        </w:rPr>
        <w:t>1、项目部全体监测人员应立即开始24小时跟踪监测；</w:t>
      </w:r>
    </w:p>
    <w:p w14:paraId="267213D2">
      <w:pPr>
        <w:pStyle w:val="54"/>
        <w:snapToGrid w:val="0"/>
        <w:rPr>
          <w:rFonts w:hint="eastAsia" w:ascii="宋体" w:hAnsi="宋体" w:eastAsia="宋体" w:cs="宋体"/>
          <w:color w:val="auto"/>
          <w:kern w:val="0"/>
          <w:highlight w:val="none"/>
        </w:rPr>
      </w:pPr>
      <w:r>
        <w:rPr>
          <w:rFonts w:hint="eastAsia" w:ascii="宋体" w:hAnsi="宋体" w:eastAsia="宋体" w:cs="宋体"/>
          <w:color w:val="auto"/>
          <w:kern w:val="0"/>
          <w:highlight w:val="none"/>
        </w:rPr>
        <w:t>2、增加监测人员、增加监测设备，对该工点及周边环境进行全面排查；</w:t>
      </w:r>
    </w:p>
    <w:p w14:paraId="6122F3ED">
      <w:pPr>
        <w:pStyle w:val="54"/>
        <w:snapToGrid w:val="0"/>
        <w:rPr>
          <w:rFonts w:hint="eastAsia" w:ascii="宋体" w:hAnsi="宋体" w:eastAsia="宋体" w:cs="宋体"/>
          <w:color w:val="auto"/>
          <w:kern w:val="0"/>
          <w:highlight w:val="none"/>
        </w:rPr>
      </w:pPr>
      <w:r>
        <w:rPr>
          <w:rFonts w:hint="eastAsia" w:ascii="宋体" w:hAnsi="宋体" w:eastAsia="宋体" w:cs="宋体"/>
          <w:color w:val="auto"/>
          <w:kern w:val="0"/>
          <w:highlight w:val="none"/>
        </w:rPr>
        <w:t>3、根据异常情况和异常段落增加监测点数量、监测项目和监测频率，并及时提交监测成果；</w:t>
      </w:r>
    </w:p>
    <w:p w14:paraId="2C12CE00">
      <w:pPr>
        <w:pStyle w:val="54"/>
        <w:snapToGrid w:val="0"/>
        <w:rPr>
          <w:rFonts w:hint="eastAsia" w:ascii="宋体" w:hAnsi="宋体" w:eastAsia="宋体" w:cs="宋体"/>
          <w:color w:val="auto"/>
          <w:kern w:val="0"/>
          <w:highlight w:val="none"/>
        </w:rPr>
      </w:pPr>
      <w:r>
        <w:rPr>
          <w:rFonts w:hint="eastAsia" w:ascii="宋体" w:hAnsi="宋体" w:eastAsia="宋体" w:cs="宋体"/>
          <w:color w:val="auto"/>
          <w:kern w:val="0"/>
          <w:highlight w:val="none"/>
        </w:rPr>
        <w:t>4、对遭受破坏的监测点及时恢复，保持数据的连续性；</w:t>
      </w:r>
    </w:p>
    <w:p w14:paraId="667A839A">
      <w:pPr>
        <w:pStyle w:val="54"/>
        <w:snapToGrid w:val="0"/>
        <w:rPr>
          <w:rFonts w:hint="eastAsia" w:ascii="宋体" w:hAnsi="宋体" w:eastAsia="宋体" w:cs="宋体"/>
          <w:color w:val="auto"/>
          <w:kern w:val="0"/>
          <w:highlight w:val="none"/>
        </w:rPr>
      </w:pPr>
      <w:r>
        <w:rPr>
          <w:rFonts w:hint="eastAsia" w:ascii="宋体" w:hAnsi="宋体" w:eastAsia="宋体" w:cs="宋体"/>
          <w:color w:val="auto"/>
          <w:kern w:val="0"/>
          <w:highlight w:val="none"/>
        </w:rPr>
        <w:t>5、根据监测数据对突发情况的变化趋势作出预测。</w:t>
      </w:r>
    </w:p>
    <w:p w14:paraId="2AB0B3D5">
      <w:pPr>
        <w:pStyle w:val="54"/>
        <w:snapToGrid w:val="0"/>
        <w:rPr>
          <w:rFonts w:hint="eastAsia" w:ascii="宋体" w:hAnsi="宋体" w:eastAsia="宋体" w:cs="宋体"/>
          <w:color w:val="auto"/>
          <w:kern w:val="0"/>
          <w:highlight w:val="none"/>
        </w:rPr>
      </w:pPr>
      <w:r>
        <w:rPr>
          <w:rFonts w:hint="eastAsia" w:ascii="宋体" w:hAnsi="宋体" w:eastAsia="宋体" w:cs="宋体"/>
          <w:color w:val="auto"/>
          <w:kern w:val="0"/>
          <w:highlight w:val="none"/>
        </w:rPr>
        <w:t>6、物资储备：所有的仪器在满足正常作业要求的情况下，项目部均有一套备用仪器以备出现险情的情况下及时投入使用。</w:t>
      </w:r>
    </w:p>
    <w:p w14:paraId="624253A3">
      <w:pPr>
        <w:pStyle w:val="54"/>
        <w:snapToGrid w:val="0"/>
        <w:rPr>
          <w:rFonts w:hint="eastAsia" w:ascii="宋体" w:hAnsi="宋体" w:eastAsia="宋体" w:cs="宋体"/>
          <w:color w:val="auto"/>
          <w:kern w:val="0"/>
          <w:highlight w:val="none"/>
        </w:rPr>
      </w:pPr>
      <w:r>
        <w:rPr>
          <w:rFonts w:hint="eastAsia" w:ascii="宋体" w:hAnsi="宋体" w:eastAsia="宋体" w:cs="宋体"/>
          <w:color w:val="auto"/>
          <w:kern w:val="0"/>
          <w:highlight w:val="none"/>
        </w:rPr>
        <w:t>3）建立快速反映机制</w:t>
      </w:r>
    </w:p>
    <w:p w14:paraId="5862D4BA">
      <w:pPr>
        <w:pStyle w:val="54"/>
        <w:snapToGrid w:val="0"/>
        <w:rPr>
          <w:rFonts w:hint="eastAsia" w:ascii="宋体" w:hAnsi="宋体" w:eastAsia="宋体" w:cs="宋体"/>
          <w:color w:val="auto"/>
          <w:kern w:val="0"/>
          <w:highlight w:val="none"/>
        </w:rPr>
      </w:pPr>
      <w:r>
        <w:rPr>
          <w:rFonts w:hint="eastAsia" w:ascii="宋体" w:hAnsi="宋体" w:eastAsia="宋体" w:cs="宋体"/>
          <w:color w:val="auto"/>
          <w:kern w:val="0"/>
          <w:highlight w:val="none"/>
        </w:rPr>
        <w:t>1、对于紧急情况下的监测成果应立即以口头或者书面的形式上报，并会同相关部门一起进行分析和处理，配合相关部门和工程技术人员制定应急预案；</w:t>
      </w:r>
    </w:p>
    <w:p w14:paraId="3C6E9506">
      <w:pPr>
        <w:pStyle w:val="54"/>
        <w:snapToGrid w:val="0"/>
        <w:rPr>
          <w:rFonts w:hint="eastAsia" w:ascii="宋体" w:hAnsi="宋体" w:eastAsia="宋体" w:cs="宋体"/>
          <w:color w:val="auto"/>
          <w:kern w:val="0"/>
          <w:highlight w:val="none"/>
        </w:rPr>
      </w:pPr>
      <w:r>
        <w:rPr>
          <w:rFonts w:hint="eastAsia" w:ascii="宋体" w:hAnsi="宋体" w:eastAsia="宋体" w:cs="宋体"/>
          <w:color w:val="auto"/>
          <w:kern w:val="0"/>
          <w:highlight w:val="none"/>
        </w:rPr>
        <w:t>2、参加预警会议，汇报监测及加密监测数据情况，参与警情原因分析，并配合相关部门和工程技术人员对警情进行分析和制定警情处理方案，预测可能发生的风险隐患。</w:t>
      </w:r>
    </w:p>
    <w:p w14:paraId="09E8EAA1">
      <w:pPr>
        <w:pStyle w:val="54"/>
        <w:snapToGrid w:val="0"/>
        <w:rPr>
          <w:rFonts w:hint="eastAsia" w:ascii="宋体" w:hAnsi="宋体" w:eastAsia="宋体" w:cs="宋体"/>
          <w:color w:val="auto"/>
          <w:kern w:val="0"/>
          <w:highlight w:val="none"/>
        </w:rPr>
      </w:pPr>
      <w:r>
        <w:rPr>
          <w:rFonts w:hint="eastAsia" w:ascii="宋体" w:hAnsi="宋体" w:eastAsia="宋体" w:cs="宋体"/>
          <w:color w:val="auto"/>
          <w:kern w:val="0"/>
          <w:highlight w:val="none"/>
        </w:rPr>
        <w:t>4）调整监测方案</w:t>
      </w:r>
    </w:p>
    <w:p w14:paraId="2043AF27">
      <w:pPr>
        <w:pStyle w:val="54"/>
        <w:snapToGrid w:val="0"/>
        <w:rPr>
          <w:rFonts w:hint="eastAsia" w:ascii="宋体" w:hAnsi="宋体" w:eastAsia="宋体" w:cs="宋体"/>
          <w:color w:val="auto"/>
          <w:kern w:val="0"/>
          <w:highlight w:val="none"/>
        </w:rPr>
      </w:pPr>
      <w:r>
        <w:rPr>
          <w:rFonts w:hint="eastAsia" w:ascii="宋体" w:hAnsi="宋体" w:eastAsia="宋体" w:cs="宋体"/>
          <w:color w:val="auto"/>
          <w:kern w:val="0"/>
          <w:highlight w:val="none"/>
        </w:rPr>
        <w:t>结合现场实际情况，调整</w:t>
      </w:r>
      <w:r>
        <w:rPr>
          <w:rFonts w:hint="eastAsia" w:ascii="宋体" w:hAnsi="宋体" w:eastAsia="宋体" w:cs="宋体"/>
          <w:color w:val="auto"/>
          <w:kern w:val="0"/>
          <w:highlight w:val="none"/>
          <w:lang w:eastAsia="zh-CN"/>
        </w:rPr>
        <w:t>相关</w:t>
      </w:r>
      <w:r>
        <w:rPr>
          <w:rFonts w:hint="eastAsia" w:ascii="宋体" w:hAnsi="宋体" w:eastAsia="宋体" w:cs="宋体"/>
          <w:color w:val="auto"/>
          <w:kern w:val="0"/>
          <w:highlight w:val="none"/>
        </w:rPr>
        <w:t>监测方案，及时发现险情，防止其继续扩大，为上述应急预案的实施提供技术保障。</w:t>
      </w:r>
    </w:p>
    <w:p w14:paraId="4B1C4A80">
      <w:pPr>
        <w:pStyle w:val="54"/>
        <w:numPr>
          <w:ilvl w:val="0"/>
          <w:numId w:val="2"/>
        </w:numPr>
        <w:snapToGrid w:val="0"/>
        <w:rPr>
          <w:rFonts w:hint="eastAsia" w:ascii="宋体" w:hAnsi="宋体" w:eastAsia="宋体" w:cs="宋体"/>
          <w:color w:val="auto"/>
          <w:kern w:val="0"/>
          <w:highlight w:val="none"/>
        </w:rPr>
      </w:pPr>
      <w:r>
        <w:rPr>
          <w:rFonts w:hint="eastAsia" w:ascii="宋体" w:hAnsi="宋体" w:eastAsia="宋体" w:cs="宋体"/>
          <w:color w:val="auto"/>
          <w:kern w:val="0"/>
          <w:highlight w:val="none"/>
        </w:rPr>
        <w:t>紧急情况下进行观测前，必须采取有效措施保护好观测人员和设备的安全。</w:t>
      </w:r>
    </w:p>
    <w:p w14:paraId="44A437EE">
      <w:pPr>
        <w:pStyle w:val="54"/>
        <w:numPr>
          <w:ilvl w:val="0"/>
          <w:numId w:val="2"/>
        </w:numPr>
        <w:snapToGrid w:val="0"/>
        <w:rPr>
          <w:rFonts w:hint="eastAsia" w:ascii="宋体" w:hAnsi="宋体" w:eastAsia="宋体" w:cs="宋体"/>
          <w:color w:val="auto"/>
          <w:kern w:val="0"/>
          <w:highlight w:val="none"/>
        </w:rPr>
      </w:pPr>
      <w:r>
        <w:rPr>
          <w:rFonts w:hint="eastAsia" w:ascii="宋体" w:hAnsi="宋体" w:eastAsia="宋体" w:cs="宋体"/>
          <w:color w:val="auto"/>
          <w:kern w:val="0"/>
          <w:highlight w:val="none"/>
        </w:rPr>
        <w:t>项目负责人全面负责突发情况下抢险预案的实施，负责方案的决策和现场总指挥，负责资源的调配；项目技术负责人负责抢险方案的制定工作及现场的指挥工作；当应急情况发生时由项目负责人组织实施，组员全力按应急预案要求进行实施。</w:t>
      </w:r>
    </w:p>
    <w:p w14:paraId="169DCB5C">
      <w:pPr>
        <w:pStyle w:val="41"/>
        <w:jc w:val="both"/>
        <w:rPr>
          <w:rFonts w:hint="eastAsia" w:ascii="宋体" w:hAnsi="宋体" w:eastAsia="宋体" w:cs="宋体"/>
          <w:color w:val="000000"/>
          <w:kern w:val="0"/>
          <w:sz w:val="24"/>
          <w:szCs w:val="24"/>
          <w:lang w:val="en-US" w:eastAsia="zh-CN" w:bidi="ar"/>
        </w:rPr>
      </w:pPr>
    </w:p>
    <w:sectPr>
      <w:headerReference r:id="rId9" w:type="default"/>
      <w:footerReference r:id="rId10" w:type="default"/>
      <w:pgSz w:w="11906" w:h="16838"/>
      <w:pgMar w:top="1418" w:right="1588" w:bottom="1531" w:left="1247" w:header="851" w:footer="907" w:gutter="0"/>
      <w:pgNumType w:fmt="decimal" w:start="1"/>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方正小标宋简体">
    <w:altName w:val="黑体"/>
    <w:panose1 w:val="03000509000000000000"/>
    <w:charset w:val="86"/>
    <w:family w:val="script"/>
    <w:pitch w:val="default"/>
    <w:sig w:usb0="00000000" w:usb1="00000000" w:usb2="00000010" w:usb3="00000000" w:csb0="00040000" w:csb1="00000000"/>
  </w:font>
  <w:font w:name="Arial Unicode MS">
    <w:altName w:val="宋体"/>
    <w:panose1 w:val="020B0604020202020204"/>
    <w:charset w:val="86"/>
    <w:family w:val="auto"/>
    <w:pitch w:val="default"/>
    <w:sig w:usb0="00000000" w:usb1="00000000" w:usb2="0000003F" w:usb3="00000000" w:csb0="603F01FF" w:csb1="FFFF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6EBB4">
    <w:pPr>
      <w:pStyle w:val="19"/>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6E27F4">
                          <w:pPr>
                            <w:pStyle w:val="1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6E6E27F4">
                    <w:pPr>
                      <w:pStyle w:val="1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26A98">
    <w:pPr>
      <w:pStyle w:val="19"/>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E84724">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08E84724">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39F9E">
    <w:pPr>
      <w:pStyle w:val="19"/>
      <w:ind w:firstLine="360"/>
      <w:jc w:val="center"/>
      <w:rPr>
        <w:rFonts w:hint="default" w:eastAsia="宋体"/>
        <w:lang w:val="en-US"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64A8CA">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2464A8CA">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38305">
    <w:pPr>
      <w:pStyle w:val="20"/>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D7F74">
    <w:pPr>
      <w:pStyle w:val="20"/>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FA9BA">
    <w:pPr>
      <w:pStyle w:val="8"/>
      <w:ind w:firstLine="0" w:firstLineChars="0"/>
      <w:jc w:val="center"/>
    </w:pPr>
    <w:r>
      <w:rPr>
        <w:w w:val="90"/>
        <w:sz w:val="21"/>
        <w:szCs w:val="21"/>
      </w:rPr>
      <w:drawing>
        <wp:inline distT="0" distB="0" distL="0" distR="0">
          <wp:extent cx="295910" cy="241300"/>
          <wp:effectExtent l="0" t="0" r="8890" b="0"/>
          <wp:docPr id="12" name="图片 12" descr="中国中铁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中国中铁标志"/>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95910" cy="241300"/>
                  </a:xfrm>
                  <a:prstGeom prst="rect">
                    <a:avLst/>
                  </a:prstGeom>
                  <a:noFill/>
                  <a:ln>
                    <a:noFill/>
                  </a:ln>
                </pic:spPr>
              </pic:pic>
            </a:graphicData>
          </a:graphic>
        </wp:inline>
      </w:drawing>
    </w:r>
    <w:r>
      <w:rPr>
        <w:rFonts w:hint="eastAsia" w:eastAsia="宋体"/>
        <w:b/>
        <w:w w:val="90"/>
        <w:sz w:val="21"/>
        <w:szCs w:val="21"/>
        <w:u w:val="single"/>
        <w:lang w:val="en-US" w:eastAsia="zh-CN"/>
      </w:rPr>
      <w:t>中铁四局新建漳汕高铁福建段3标</w:t>
    </w:r>
    <w:r>
      <w:rPr>
        <w:rFonts w:hint="eastAsia"/>
        <w:b/>
        <w:w w:val="90"/>
        <w:sz w:val="21"/>
        <w:szCs w:val="21"/>
        <w:u w:val="single"/>
        <w:lang w:val="en-US" w:eastAsia="zh-CN"/>
      </w:rPr>
      <w:t xml:space="preserve">                                      </w:t>
    </w:r>
    <w:r>
      <w:rPr>
        <w:rFonts w:hint="eastAsia" w:eastAsia="宋体"/>
        <w:b/>
        <w:w w:val="90"/>
        <w:sz w:val="21"/>
        <w:szCs w:val="21"/>
        <w:u w:val="single"/>
        <w:lang w:val="en-US" w:eastAsia="zh-CN"/>
      </w:rPr>
      <w:t>东山连接线</w:t>
    </w:r>
    <w:r>
      <w:rPr>
        <w:rFonts w:hint="eastAsia"/>
        <w:b/>
        <w:w w:val="90"/>
        <w:sz w:val="21"/>
        <w:szCs w:val="21"/>
        <w:u w:val="single"/>
        <w:lang w:val="en-US" w:eastAsia="zh-CN"/>
      </w:rPr>
      <w:t>边坡监测</w:t>
    </w:r>
    <w:r>
      <w:rPr>
        <w:rFonts w:hint="default" w:eastAsia="宋体"/>
        <w:b/>
        <w:w w:val="90"/>
        <w:sz w:val="21"/>
        <w:szCs w:val="21"/>
        <w:u w:val="single"/>
        <w:lang w:val="en-US" w:eastAsia="zh-CN"/>
      </w:rPr>
      <w:t>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430D68"/>
    <w:multiLevelType w:val="singleLevel"/>
    <w:tmpl w:val="45430D68"/>
    <w:lvl w:ilvl="0" w:tentative="0">
      <w:start w:val="5"/>
      <w:numFmt w:val="decimal"/>
      <w:suff w:val="nothing"/>
      <w:lvlText w:val="%1）"/>
      <w:lvlJc w:val="left"/>
    </w:lvl>
  </w:abstractNum>
  <w:abstractNum w:abstractNumId="1">
    <w:nsid w:val="5D1075B9"/>
    <w:multiLevelType w:val="singleLevel"/>
    <w:tmpl w:val="5D1075B9"/>
    <w:lvl w:ilvl="0" w:tentative="0">
      <w:start w:val="1"/>
      <w:numFmt w:val="decimal"/>
      <w:suff w:val="nothing"/>
      <w:lvlText w:val="（%1）"/>
      <w:lvlJc w:val="left"/>
      <w:pPr>
        <w:ind w:left="-248"/>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283"/>
    <w:rsid w:val="00001719"/>
    <w:rsid w:val="00004ABB"/>
    <w:rsid w:val="00012144"/>
    <w:rsid w:val="00012552"/>
    <w:rsid w:val="00012B50"/>
    <w:rsid w:val="00012F96"/>
    <w:rsid w:val="00020394"/>
    <w:rsid w:val="00020E2E"/>
    <w:rsid w:val="0002303B"/>
    <w:rsid w:val="000238AC"/>
    <w:rsid w:val="00024AED"/>
    <w:rsid w:val="00025046"/>
    <w:rsid w:val="00031E35"/>
    <w:rsid w:val="00032ED1"/>
    <w:rsid w:val="00033445"/>
    <w:rsid w:val="0003480D"/>
    <w:rsid w:val="00034CEF"/>
    <w:rsid w:val="00035394"/>
    <w:rsid w:val="00035725"/>
    <w:rsid w:val="000402ED"/>
    <w:rsid w:val="0004335F"/>
    <w:rsid w:val="00044714"/>
    <w:rsid w:val="00044961"/>
    <w:rsid w:val="00052943"/>
    <w:rsid w:val="00054CA3"/>
    <w:rsid w:val="0005538C"/>
    <w:rsid w:val="00056514"/>
    <w:rsid w:val="000568A4"/>
    <w:rsid w:val="00060503"/>
    <w:rsid w:val="00062EC6"/>
    <w:rsid w:val="00062FDA"/>
    <w:rsid w:val="000671B9"/>
    <w:rsid w:val="00070210"/>
    <w:rsid w:val="00070743"/>
    <w:rsid w:val="000715E8"/>
    <w:rsid w:val="00071F2E"/>
    <w:rsid w:val="000733DE"/>
    <w:rsid w:val="000755E5"/>
    <w:rsid w:val="0007608B"/>
    <w:rsid w:val="00082E95"/>
    <w:rsid w:val="00083185"/>
    <w:rsid w:val="00083228"/>
    <w:rsid w:val="00083ABE"/>
    <w:rsid w:val="00086282"/>
    <w:rsid w:val="00090C26"/>
    <w:rsid w:val="00094567"/>
    <w:rsid w:val="0009683C"/>
    <w:rsid w:val="000A0F05"/>
    <w:rsid w:val="000A29E7"/>
    <w:rsid w:val="000A49FA"/>
    <w:rsid w:val="000A6F70"/>
    <w:rsid w:val="000A7A8E"/>
    <w:rsid w:val="000B1B1D"/>
    <w:rsid w:val="000B2A61"/>
    <w:rsid w:val="000B2EE3"/>
    <w:rsid w:val="000B31FA"/>
    <w:rsid w:val="000B7FD8"/>
    <w:rsid w:val="000C4938"/>
    <w:rsid w:val="000C5241"/>
    <w:rsid w:val="000C6D8D"/>
    <w:rsid w:val="000C7548"/>
    <w:rsid w:val="000C779E"/>
    <w:rsid w:val="000D1AD8"/>
    <w:rsid w:val="000D2B7D"/>
    <w:rsid w:val="000D39F4"/>
    <w:rsid w:val="000D40C7"/>
    <w:rsid w:val="000D44D6"/>
    <w:rsid w:val="000E2AA5"/>
    <w:rsid w:val="000E5893"/>
    <w:rsid w:val="000E6420"/>
    <w:rsid w:val="000F07E4"/>
    <w:rsid w:val="000F2B50"/>
    <w:rsid w:val="000F5A35"/>
    <w:rsid w:val="000F6113"/>
    <w:rsid w:val="000F632B"/>
    <w:rsid w:val="00100EAF"/>
    <w:rsid w:val="00101757"/>
    <w:rsid w:val="00103D5D"/>
    <w:rsid w:val="00111812"/>
    <w:rsid w:val="00111AC4"/>
    <w:rsid w:val="00111B95"/>
    <w:rsid w:val="00115249"/>
    <w:rsid w:val="00116590"/>
    <w:rsid w:val="00116CC4"/>
    <w:rsid w:val="00120AA7"/>
    <w:rsid w:val="001240D7"/>
    <w:rsid w:val="001247A8"/>
    <w:rsid w:val="00124C73"/>
    <w:rsid w:val="001274BE"/>
    <w:rsid w:val="001310CE"/>
    <w:rsid w:val="00135346"/>
    <w:rsid w:val="00137170"/>
    <w:rsid w:val="00137213"/>
    <w:rsid w:val="0013727E"/>
    <w:rsid w:val="00137A6A"/>
    <w:rsid w:val="00140A20"/>
    <w:rsid w:val="00142823"/>
    <w:rsid w:val="00145153"/>
    <w:rsid w:val="0014779C"/>
    <w:rsid w:val="001507D4"/>
    <w:rsid w:val="00151391"/>
    <w:rsid w:val="00151721"/>
    <w:rsid w:val="00151D55"/>
    <w:rsid w:val="001528AD"/>
    <w:rsid w:val="0015549C"/>
    <w:rsid w:val="001572E6"/>
    <w:rsid w:val="00161026"/>
    <w:rsid w:val="00161226"/>
    <w:rsid w:val="001619A3"/>
    <w:rsid w:val="00163038"/>
    <w:rsid w:val="001636D8"/>
    <w:rsid w:val="001642D6"/>
    <w:rsid w:val="0016497F"/>
    <w:rsid w:val="00165E33"/>
    <w:rsid w:val="0016642C"/>
    <w:rsid w:val="00171339"/>
    <w:rsid w:val="001815DB"/>
    <w:rsid w:val="0018173D"/>
    <w:rsid w:val="00182F06"/>
    <w:rsid w:val="0018312D"/>
    <w:rsid w:val="00183471"/>
    <w:rsid w:val="00185D90"/>
    <w:rsid w:val="00191AD4"/>
    <w:rsid w:val="001A11B2"/>
    <w:rsid w:val="001A3471"/>
    <w:rsid w:val="001A7460"/>
    <w:rsid w:val="001B3132"/>
    <w:rsid w:val="001B4B68"/>
    <w:rsid w:val="001B6459"/>
    <w:rsid w:val="001B6D9F"/>
    <w:rsid w:val="001B793D"/>
    <w:rsid w:val="001C0E34"/>
    <w:rsid w:val="001C1BBC"/>
    <w:rsid w:val="001C3960"/>
    <w:rsid w:val="001C6569"/>
    <w:rsid w:val="001C6E73"/>
    <w:rsid w:val="001D264A"/>
    <w:rsid w:val="001D42E8"/>
    <w:rsid w:val="001D6896"/>
    <w:rsid w:val="001D7E0C"/>
    <w:rsid w:val="001E157A"/>
    <w:rsid w:val="001E5FF7"/>
    <w:rsid w:val="001E66D8"/>
    <w:rsid w:val="001E6772"/>
    <w:rsid w:val="001F0AD0"/>
    <w:rsid w:val="001F1B84"/>
    <w:rsid w:val="001F569C"/>
    <w:rsid w:val="002069BD"/>
    <w:rsid w:val="0021108C"/>
    <w:rsid w:val="00211B90"/>
    <w:rsid w:val="00212EEB"/>
    <w:rsid w:val="00216AA2"/>
    <w:rsid w:val="00222DBB"/>
    <w:rsid w:val="00222E80"/>
    <w:rsid w:val="00225367"/>
    <w:rsid w:val="00226B67"/>
    <w:rsid w:val="00232868"/>
    <w:rsid w:val="00232CE3"/>
    <w:rsid w:val="00234527"/>
    <w:rsid w:val="00235C1A"/>
    <w:rsid w:val="00236F8C"/>
    <w:rsid w:val="00241A3B"/>
    <w:rsid w:val="0024261A"/>
    <w:rsid w:val="00252C39"/>
    <w:rsid w:val="00255E0F"/>
    <w:rsid w:val="00270DFF"/>
    <w:rsid w:val="00271383"/>
    <w:rsid w:val="00276A17"/>
    <w:rsid w:val="00277D8B"/>
    <w:rsid w:val="00284F16"/>
    <w:rsid w:val="00286951"/>
    <w:rsid w:val="00286DAD"/>
    <w:rsid w:val="002879C4"/>
    <w:rsid w:val="00287A2C"/>
    <w:rsid w:val="00290CEF"/>
    <w:rsid w:val="00291620"/>
    <w:rsid w:val="00291868"/>
    <w:rsid w:val="002936B8"/>
    <w:rsid w:val="00295DC8"/>
    <w:rsid w:val="002A09AC"/>
    <w:rsid w:val="002A0A00"/>
    <w:rsid w:val="002A37F1"/>
    <w:rsid w:val="002A48FF"/>
    <w:rsid w:val="002A70CD"/>
    <w:rsid w:val="002B2030"/>
    <w:rsid w:val="002B2330"/>
    <w:rsid w:val="002B3FF1"/>
    <w:rsid w:val="002B51F9"/>
    <w:rsid w:val="002B660A"/>
    <w:rsid w:val="002C0C67"/>
    <w:rsid w:val="002C1943"/>
    <w:rsid w:val="002C1A1D"/>
    <w:rsid w:val="002C2BF2"/>
    <w:rsid w:val="002C7AA7"/>
    <w:rsid w:val="002D0F75"/>
    <w:rsid w:val="002D515B"/>
    <w:rsid w:val="002D6C72"/>
    <w:rsid w:val="002E62C7"/>
    <w:rsid w:val="002F0E1C"/>
    <w:rsid w:val="002F1988"/>
    <w:rsid w:val="002F52C9"/>
    <w:rsid w:val="002F65DF"/>
    <w:rsid w:val="002F720D"/>
    <w:rsid w:val="0030067B"/>
    <w:rsid w:val="003023AE"/>
    <w:rsid w:val="00302B8D"/>
    <w:rsid w:val="00304DAD"/>
    <w:rsid w:val="003074F5"/>
    <w:rsid w:val="003169B6"/>
    <w:rsid w:val="00316A26"/>
    <w:rsid w:val="0032164E"/>
    <w:rsid w:val="0032180D"/>
    <w:rsid w:val="003219A0"/>
    <w:rsid w:val="00321A5B"/>
    <w:rsid w:val="00323E6A"/>
    <w:rsid w:val="003241B2"/>
    <w:rsid w:val="0032641A"/>
    <w:rsid w:val="00326AC5"/>
    <w:rsid w:val="00327851"/>
    <w:rsid w:val="00332275"/>
    <w:rsid w:val="0033626C"/>
    <w:rsid w:val="0034297C"/>
    <w:rsid w:val="00342CE6"/>
    <w:rsid w:val="00344781"/>
    <w:rsid w:val="00344A27"/>
    <w:rsid w:val="003464C1"/>
    <w:rsid w:val="00346C67"/>
    <w:rsid w:val="00352CE8"/>
    <w:rsid w:val="00355444"/>
    <w:rsid w:val="00355637"/>
    <w:rsid w:val="00356889"/>
    <w:rsid w:val="003575BE"/>
    <w:rsid w:val="00363CDC"/>
    <w:rsid w:val="0036430E"/>
    <w:rsid w:val="00364D99"/>
    <w:rsid w:val="003656D4"/>
    <w:rsid w:val="00372D45"/>
    <w:rsid w:val="00373F1F"/>
    <w:rsid w:val="00380C74"/>
    <w:rsid w:val="00381057"/>
    <w:rsid w:val="00383078"/>
    <w:rsid w:val="0038450A"/>
    <w:rsid w:val="00384621"/>
    <w:rsid w:val="0039205E"/>
    <w:rsid w:val="003931A6"/>
    <w:rsid w:val="00393A44"/>
    <w:rsid w:val="00396F31"/>
    <w:rsid w:val="0039726D"/>
    <w:rsid w:val="003A3027"/>
    <w:rsid w:val="003A3B15"/>
    <w:rsid w:val="003B227E"/>
    <w:rsid w:val="003B2A53"/>
    <w:rsid w:val="003B3943"/>
    <w:rsid w:val="003B495D"/>
    <w:rsid w:val="003B4EAB"/>
    <w:rsid w:val="003B553F"/>
    <w:rsid w:val="003B688C"/>
    <w:rsid w:val="003B77A9"/>
    <w:rsid w:val="003B7A98"/>
    <w:rsid w:val="003B7F18"/>
    <w:rsid w:val="003C01F1"/>
    <w:rsid w:val="003C39E2"/>
    <w:rsid w:val="003C3A4F"/>
    <w:rsid w:val="003C56CC"/>
    <w:rsid w:val="003C720C"/>
    <w:rsid w:val="003D78EC"/>
    <w:rsid w:val="003E003E"/>
    <w:rsid w:val="003E22B9"/>
    <w:rsid w:val="003E2C14"/>
    <w:rsid w:val="003E5064"/>
    <w:rsid w:val="003E75E1"/>
    <w:rsid w:val="003F247D"/>
    <w:rsid w:val="003F3130"/>
    <w:rsid w:val="003F3AF0"/>
    <w:rsid w:val="003F6878"/>
    <w:rsid w:val="00400746"/>
    <w:rsid w:val="00405089"/>
    <w:rsid w:val="004050AF"/>
    <w:rsid w:val="00407A4E"/>
    <w:rsid w:val="004139E6"/>
    <w:rsid w:val="004161B1"/>
    <w:rsid w:val="00416F82"/>
    <w:rsid w:val="004179E0"/>
    <w:rsid w:val="004402EF"/>
    <w:rsid w:val="00441B45"/>
    <w:rsid w:val="004448F3"/>
    <w:rsid w:val="004465DF"/>
    <w:rsid w:val="00450786"/>
    <w:rsid w:val="00454BAB"/>
    <w:rsid w:val="00457AA3"/>
    <w:rsid w:val="00464F1A"/>
    <w:rsid w:val="004665D8"/>
    <w:rsid w:val="004667BC"/>
    <w:rsid w:val="004729B4"/>
    <w:rsid w:val="00473C13"/>
    <w:rsid w:val="004740B0"/>
    <w:rsid w:val="004749EA"/>
    <w:rsid w:val="004752DE"/>
    <w:rsid w:val="004759D0"/>
    <w:rsid w:val="00480534"/>
    <w:rsid w:val="00483B92"/>
    <w:rsid w:val="004844AC"/>
    <w:rsid w:val="00491269"/>
    <w:rsid w:val="004912E7"/>
    <w:rsid w:val="004A1B6B"/>
    <w:rsid w:val="004A262D"/>
    <w:rsid w:val="004A5DE4"/>
    <w:rsid w:val="004B2207"/>
    <w:rsid w:val="004B3498"/>
    <w:rsid w:val="004C0E35"/>
    <w:rsid w:val="004C1B87"/>
    <w:rsid w:val="004C31AE"/>
    <w:rsid w:val="004C417B"/>
    <w:rsid w:val="004C47D3"/>
    <w:rsid w:val="004C55E9"/>
    <w:rsid w:val="004C568F"/>
    <w:rsid w:val="004C5F4B"/>
    <w:rsid w:val="004D0DBB"/>
    <w:rsid w:val="004D1628"/>
    <w:rsid w:val="004D31E6"/>
    <w:rsid w:val="004D3DD8"/>
    <w:rsid w:val="004E247F"/>
    <w:rsid w:val="004E68B7"/>
    <w:rsid w:val="004F159B"/>
    <w:rsid w:val="004F2A9E"/>
    <w:rsid w:val="004F6482"/>
    <w:rsid w:val="00507362"/>
    <w:rsid w:val="005121C6"/>
    <w:rsid w:val="00512B29"/>
    <w:rsid w:val="00512F03"/>
    <w:rsid w:val="00513D4E"/>
    <w:rsid w:val="005200F8"/>
    <w:rsid w:val="00521364"/>
    <w:rsid w:val="005214D4"/>
    <w:rsid w:val="005224C5"/>
    <w:rsid w:val="00522E56"/>
    <w:rsid w:val="005233A9"/>
    <w:rsid w:val="00523676"/>
    <w:rsid w:val="00524EB0"/>
    <w:rsid w:val="00527A26"/>
    <w:rsid w:val="005303CD"/>
    <w:rsid w:val="0053087A"/>
    <w:rsid w:val="005343FD"/>
    <w:rsid w:val="005369F4"/>
    <w:rsid w:val="00540C16"/>
    <w:rsid w:val="0054237C"/>
    <w:rsid w:val="00542CE4"/>
    <w:rsid w:val="0054383D"/>
    <w:rsid w:val="00544883"/>
    <w:rsid w:val="005479A5"/>
    <w:rsid w:val="00550C7A"/>
    <w:rsid w:val="0055185F"/>
    <w:rsid w:val="00551922"/>
    <w:rsid w:val="00553087"/>
    <w:rsid w:val="005539F8"/>
    <w:rsid w:val="00553BD2"/>
    <w:rsid w:val="00553DA8"/>
    <w:rsid w:val="005543FA"/>
    <w:rsid w:val="005552D1"/>
    <w:rsid w:val="0055596D"/>
    <w:rsid w:val="005623E9"/>
    <w:rsid w:val="00563708"/>
    <w:rsid w:val="00570367"/>
    <w:rsid w:val="0057069E"/>
    <w:rsid w:val="0057256C"/>
    <w:rsid w:val="00573BE3"/>
    <w:rsid w:val="00582862"/>
    <w:rsid w:val="00583BFB"/>
    <w:rsid w:val="00583FFC"/>
    <w:rsid w:val="0058419D"/>
    <w:rsid w:val="0058500C"/>
    <w:rsid w:val="005941CB"/>
    <w:rsid w:val="00596C4A"/>
    <w:rsid w:val="005A5C78"/>
    <w:rsid w:val="005B0160"/>
    <w:rsid w:val="005B0506"/>
    <w:rsid w:val="005B1078"/>
    <w:rsid w:val="005B372F"/>
    <w:rsid w:val="005B436C"/>
    <w:rsid w:val="005C1059"/>
    <w:rsid w:val="005C18A8"/>
    <w:rsid w:val="005C1F17"/>
    <w:rsid w:val="005D0264"/>
    <w:rsid w:val="005D13AB"/>
    <w:rsid w:val="005D3096"/>
    <w:rsid w:val="005D6D49"/>
    <w:rsid w:val="005E26CF"/>
    <w:rsid w:val="005E2C7D"/>
    <w:rsid w:val="005E71EC"/>
    <w:rsid w:val="005E7628"/>
    <w:rsid w:val="005E77B6"/>
    <w:rsid w:val="005F106B"/>
    <w:rsid w:val="005F714D"/>
    <w:rsid w:val="00602309"/>
    <w:rsid w:val="00610B5F"/>
    <w:rsid w:val="00611BC9"/>
    <w:rsid w:val="006146D7"/>
    <w:rsid w:val="006157E7"/>
    <w:rsid w:val="00621AA8"/>
    <w:rsid w:val="00622497"/>
    <w:rsid w:val="00624525"/>
    <w:rsid w:val="0063071C"/>
    <w:rsid w:val="00630F9E"/>
    <w:rsid w:val="00633362"/>
    <w:rsid w:val="00636026"/>
    <w:rsid w:val="0063631D"/>
    <w:rsid w:val="0064035D"/>
    <w:rsid w:val="0064135B"/>
    <w:rsid w:val="00641A89"/>
    <w:rsid w:val="00653160"/>
    <w:rsid w:val="006545DC"/>
    <w:rsid w:val="00660897"/>
    <w:rsid w:val="006619B4"/>
    <w:rsid w:val="006627E0"/>
    <w:rsid w:val="00663F48"/>
    <w:rsid w:val="0067187B"/>
    <w:rsid w:val="00676792"/>
    <w:rsid w:val="0067704B"/>
    <w:rsid w:val="00677858"/>
    <w:rsid w:val="00680635"/>
    <w:rsid w:val="006835FD"/>
    <w:rsid w:val="006906B3"/>
    <w:rsid w:val="00690B58"/>
    <w:rsid w:val="00691687"/>
    <w:rsid w:val="00693F20"/>
    <w:rsid w:val="006945E4"/>
    <w:rsid w:val="00694D66"/>
    <w:rsid w:val="00696098"/>
    <w:rsid w:val="006965EA"/>
    <w:rsid w:val="006A0FD8"/>
    <w:rsid w:val="006A362C"/>
    <w:rsid w:val="006A3F50"/>
    <w:rsid w:val="006A6044"/>
    <w:rsid w:val="006B09DE"/>
    <w:rsid w:val="006B17F6"/>
    <w:rsid w:val="006B6088"/>
    <w:rsid w:val="006B6FC6"/>
    <w:rsid w:val="006B7486"/>
    <w:rsid w:val="006C110D"/>
    <w:rsid w:val="006C1765"/>
    <w:rsid w:val="006C7F26"/>
    <w:rsid w:val="006D2365"/>
    <w:rsid w:val="006D29AC"/>
    <w:rsid w:val="006D52EA"/>
    <w:rsid w:val="006D7276"/>
    <w:rsid w:val="006D7739"/>
    <w:rsid w:val="006E2905"/>
    <w:rsid w:val="006E4464"/>
    <w:rsid w:val="006F0358"/>
    <w:rsid w:val="006F1545"/>
    <w:rsid w:val="006F3018"/>
    <w:rsid w:val="006F32D8"/>
    <w:rsid w:val="006F48A6"/>
    <w:rsid w:val="006F773B"/>
    <w:rsid w:val="0070179F"/>
    <w:rsid w:val="00706718"/>
    <w:rsid w:val="00711B55"/>
    <w:rsid w:val="00714673"/>
    <w:rsid w:val="00714EA0"/>
    <w:rsid w:val="00715001"/>
    <w:rsid w:val="00717204"/>
    <w:rsid w:val="00717378"/>
    <w:rsid w:val="0072265D"/>
    <w:rsid w:val="00725D2A"/>
    <w:rsid w:val="00727F17"/>
    <w:rsid w:val="007304A2"/>
    <w:rsid w:val="00730805"/>
    <w:rsid w:val="00730FDB"/>
    <w:rsid w:val="00733851"/>
    <w:rsid w:val="00733C01"/>
    <w:rsid w:val="0073751E"/>
    <w:rsid w:val="0073799B"/>
    <w:rsid w:val="0074290E"/>
    <w:rsid w:val="00742BE8"/>
    <w:rsid w:val="0075179A"/>
    <w:rsid w:val="00756B60"/>
    <w:rsid w:val="00757753"/>
    <w:rsid w:val="00762A8A"/>
    <w:rsid w:val="007633B4"/>
    <w:rsid w:val="00764098"/>
    <w:rsid w:val="00764286"/>
    <w:rsid w:val="00766C7C"/>
    <w:rsid w:val="00772F45"/>
    <w:rsid w:val="00774B2C"/>
    <w:rsid w:val="00775016"/>
    <w:rsid w:val="00777469"/>
    <w:rsid w:val="007802C9"/>
    <w:rsid w:val="0078171A"/>
    <w:rsid w:val="007825F8"/>
    <w:rsid w:val="00782705"/>
    <w:rsid w:val="007835C3"/>
    <w:rsid w:val="00785881"/>
    <w:rsid w:val="007860DD"/>
    <w:rsid w:val="00790B68"/>
    <w:rsid w:val="0079162D"/>
    <w:rsid w:val="00793FB3"/>
    <w:rsid w:val="007A2112"/>
    <w:rsid w:val="007A2275"/>
    <w:rsid w:val="007B39BC"/>
    <w:rsid w:val="007B4A32"/>
    <w:rsid w:val="007B550D"/>
    <w:rsid w:val="007C2994"/>
    <w:rsid w:val="007C5F28"/>
    <w:rsid w:val="007C6C80"/>
    <w:rsid w:val="007D1481"/>
    <w:rsid w:val="007D1A50"/>
    <w:rsid w:val="007D2608"/>
    <w:rsid w:val="007D2B4B"/>
    <w:rsid w:val="007D37CF"/>
    <w:rsid w:val="007D4269"/>
    <w:rsid w:val="007D5BA2"/>
    <w:rsid w:val="007D6A26"/>
    <w:rsid w:val="007E0CA3"/>
    <w:rsid w:val="007E0FD0"/>
    <w:rsid w:val="007E38D7"/>
    <w:rsid w:val="007E44F9"/>
    <w:rsid w:val="007E5FEF"/>
    <w:rsid w:val="007F25C8"/>
    <w:rsid w:val="007F599C"/>
    <w:rsid w:val="007F6781"/>
    <w:rsid w:val="007F78C1"/>
    <w:rsid w:val="00802C97"/>
    <w:rsid w:val="00803503"/>
    <w:rsid w:val="00804D9E"/>
    <w:rsid w:val="00806FD0"/>
    <w:rsid w:val="0081292C"/>
    <w:rsid w:val="008133C1"/>
    <w:rsid w:val="008151EF"/>
    <w:rsid w:val="00816C70"/>
    <w:rsid w:val="00820032"/>
    <w:rsid w:val="008236BE"/>
    <w:rsid w:val="00824E89"/>
    <w:rsid w:val="00830D46"/>
    <w:rsid w:val="008311F6"/>
    <w:rsid w:val="00831ED7"/>
    <w:rsid w:val="00832FBD"/>
    <w:rsid w:val="0083698A"/>
    <w:rsid w:val="008426B7"/>
    <w:rsid w:val="00843761"/>
    <w:rsid w:val="0084426B"/>
    <w:rsid w:val="00844B0F"/>
    <w:rsid w:val="00845506"/>
    <w:rsid w:val="008467D1"/>
    <w:rsid w:val="00850ACB"/>
    <w:rsid w:val="00851ECE"/>
    <w:rsid w:val="008530A6"/>
    <w:rsid w:val="00854CCC"/>
    <w:rsid w:val="00861B2A"/>
    <w:rsid w:val="00861D71"/>
    <w:rsid w:val="00865976"/>
    <w:rsid w:val="008675A3"/>
    <w:rsid w:val="00871306"/>
    <w:rsid w:val="008748EE"/>
    <w:rsid w:val="00874A59"/>
    <w:rsid w:val="008764E1"/>
    <w:rsid w:val="00881B82"/>
    <w:rsid w:val="0088498D"/>
    <w:rsid w:val="00884FA5"/>
    <w:rsid w:val="008861C5"/>
    <w:rsid w:val="008940FE"/>
    <w:rsid w:val="008941CA"/>
    <w:rsid w:val="00897530"/>
    <w:rsid w:val="008A0D05"/>
    <w:rsid w:val="008A44D6"/>
    <w:rsid w:val="008B1188"/>
    <w:rsid w:val="008B2628"/>
    <w:rsid w:val="008B4CD9"/>
    <w:rsid w:val="008C0BA9"/>
    <w:rsid w:val="008C3486"/>
    <w:rsid w:val="008C4EBF"/>
    <w:rsid w:val="008D10CB"/>
    <w:rsid w:val="008D34FD"/>
    <w:rsid w:val="008D39DF"/>
    <w:rsid w:val="008D48A0"/>
    <w:rsid w:val="008D6E30"/>
    <w:rsid w:val="008E6D0B"/>
    <w:rsid w:val="008F0136"/>
    <w:rsid w:val="008F090B"/>
    <w:rsid w:val="008F25B1"/>
    <w:rsid w:val="008F2A10"/>
    <w:rsid w:val="008F4724"/>
    <w:rsid w:val="008F580F"/>
    <w:rsid w:val="0090268A"/>
    <w:rsid w:val="009029EA"/>
    <w:rsid w:val="00902ECD"/>
    <w:rsid w:val="009031EA"/>
    <w:rsid w:val="00904B0D"/>
    <w:rsid w:val="00911EAE"/>
    <w:rsid w:val="00912B5D"/>
    <w:rsid w:val="0091415D"/>
    <w:rsid w:val="00916103"/>
    <w:rsid w:val="00916C62"/>
    <w:rsid w:val="00922F9C"/>
    <w:rsid w:val="0092431D"/>
    <w:rsid w:val="00925A1F"/>
    <w:rsid w:val="00927CB7"/>
    <w:rsid w:val="0093093A"/>
    <w:rsid w:val="00940A8F"/>
    <w:rsid w:val="009416A1"/>
    <w:rsid w:val="0094538E"/>
    <w:rsid w:val="00946793"/>
    <w:rsid w:val="009570EB"/>
    <w:rsid w:val="00964D6F"/>
    <w:rsid w:val="0096771F"/>
    <w:rsid w:val="009706A6"/>
    <w:rsid w:val="00970A9D"/>
    <w:rsid w:val="009711C5"/>
    <w:rsid w:val="0097426D"/>
    <w:rsid w:val="009762A0"/>
    <w:rsid w:val="00981CE1"/>
    <w:rsid w:val="0098386C"/>
    <w:rsid w:val="00985248"/>
    <w:rsid w:val="00986A16"/>
    <w:rsid w:val="009872F7"/>
    <w:rsid w:val="00991D53"/>
    <w:rsid w:val="00993B3E"/>
    <w:rsid w:val="009943C2"/>
    <w:rsid w:val="009957F1"/>
    <w:rsid w:val="00997F6B"/>
    <w:rsid w:val="009A067E"/>
    <w:rsid w:val="009A09BE"/>
    <w:rsid w:val="009A165A"/>
    <w:rsid w:val="009A2901"/>
    <w:rsid w:val="009A35B4"/>
    <w:rsid w:val="009A475E"/>
    <w:rsid w:val="009A5B33"/>
    <w:rsid w:val="009A5FB5"/>
    <w:rsid w:val="009A6DBD"/>
    <w:rsid w:val="009B3B66"/>
    <w:rsid w:val="009B6A9E"/>
    <w:rsid w:val="009B6CCE"/>
    <w:rsid w:val="009B7D0A"/>
    <w:rsid w:val="009C02CC"/>
    <w:rsid w:val="009C0C2B"/>
    <w:rsid w:val="009C2EFF"/>
    <w:rsid w:val="009C37A1"/>
    <w:rsid w:val="009C4133"/>
    <w:rsid w:val="009C4401"/>
    <w:rsid w:val="009C5A99"/>
    <w:rsid w:val="009C5FB8"/>
    <w:rsid w:val="009D0DBE"/>
    <w:rsid w:val="009D580B"/>
    <w:rsid w:val="009D6208"/>
    <w:rsid w:val="009D7F78"/>
    <w:rsid w:val="009E0347"/>
    <w:rsid w:val="009E22F1"/>
    <w:rsid w:val="009E3F6A"/>
    <w:rsid w:val="009E518F"/>
    <w:rsid w:val="009E5283"/>
    <w:rsid w:val="009E7393"/>
    <w:rsid w:val="009E76A1"/>
    <w:rsid w:val="009E7B81"/>
    <w:rsid w:val="009F45DF"/>
    <w:rsid w:val="009F468E"/>
    <w:rsid w:val="009F76D3"/>
    <w:rsid w:val="00A00EDC"/>
    <w:rsid w:val="00A02FF8"/>
    <w:rsid w:val="00A04053"/>
    <w:rsid w:val="00A0549C"/>
    <w:rsid w:val="00A0554A"/>
    <w:rsid w:val="00A0673B"/>
    <w:rsid w:val="00A072CC"/>
    <w:rsid w:val="00A1189E"/>
    <w:rsid w:val="00A13AB5"/>
    <w:rsid w:val="00A14A29"/>
    <w:rsid w:val="00A157DF"/>
    <w:rsid w:val="00A15828"/>
    <w:rsid w:val="00A16C81"/>
    <w:rsid w:val="00A17690"/>
    <w:rsid w:val="00A205BB"/>
    <w:rsid w:val="00A21DFC"/>
    <w:rsid w:val="00A2338F"/>
    <w:rsid w:val="00A27CF3"/>
    <w:rsid w:val="00A33613"/>
    <w:rsid w:val="00A41B62"/>
    <w:rsid w:val="00A473FF"/>
    <w:rsid w:val="00A50457"/>
    <w:rsid w:val="00A5234F"/>
    <w:rsid w:val="00A54E15"/>
    <w:rsid w:val="00A55739"/>
    <w:rsid w:val="00A5649B"/>
    <w:rsid w:val="00A60F30"/>
    <w:rsid w:val="00A621BF"/>
    <w:rsid w:val="00A649A3"/>
    <w:rsid w:val="00A674DD"/>
    <w:rsid w:val="00A712E8"/>
    <w:rsid w:val="00A72E5F"/>
    <w:rsid w:val="00A739F3"/>
    <w:rsid w:val="00A73AF2"/>
    <w:rsid w:val="00A76858"/>
    <w:rsid w:val="00A77C4D"/>
    <w:rsid w:val="00A8170C"/>
    <w:rsid w:val="00A8671A"/>
    <w:rsid w:val="00A86A89"/>
    <w:rsid w:val="00A86BD6"/>
    <w:rsid w:val="00A86E8C"/>
    <w:rsid w:val="00AA04D1"/>
    <w:rsid w:val="00AA1EE8"/>
    <w:rsid w:val="00AA2E3D"/>
    <w:rsid w:val="00AA34DD"/>
    <w:rsid w:val="00AA4E11"/>
    <w:rsid w:val="00AA6EBA"/>
    <w:rsid w:val="00AA7216"/>
    <w:rsid w:val="00AA75D6"/>
    <w:rsid w:val="00AB03F6"/>
    <w:rsid w:val="00AB0EC4"/>
    <w:rsid w:val="00AB4BA2"/>
    <w:rsid w:val="00AB542A"/>
    <w:rsid w:val="00AB598F"/>
    <w:rsid w:val="00AC0ECB"/>
    <w:rsid w:val="00AC2B2C"/>
    <w:rsid w:val="00AC57F9"/>
    <w:rsid w:val="00AC5B09"/>
    <w:rsid w:val="00AC6637"/>
    <w:rsid w:val="00AC789D"/>
    <w:rsid w:val="00AC7A26"/>
    <w:rsid w:val="00AD0E79"/>
    <w:rsid w:val="00AD2481"/>
    <w:rsid w:val="00AD3522"/>
    <w:rsid w:val="00AE27AB"/>
    <w:rsid w:val="00AE77CA"/>
    <w:rsid w:val="00AF066E"/>
    <w:rsid w:val="00AF0A72"/>
    <w:rsid w:val="00AF456A"/>
    <w:rsid w:val="00AF486C"/>
    <w:rsid w:val="00AF57E7"/>
    <w:rsid w:val="00AF6978"/>
    <w:rsid w:val="00B012B3"/>
    <w:rsid w:val="00B0216E"/>
    <w:rsid w:val="00B06178"/>
    <w:rsid w:val="00B07E83"/>
    <w:rsid w:val="00B1610D"/>
    <w:rsid w:val="00B16612"/>
    <w:rsid w:val="00B208B8"/>
    <w:rsid w:val="00B21E4D"/>
    <w:rsid w:val="00B224D7"/>
    <w:rsid w:val="00B22DDB"/>
    <w:rsid w:val="00B243B0"/>
    <w:rsid w:val="00B327B0"/>
    <w:rsid w:val="00B347F6"/>
    <w:rsid w:val="00B3488D"/>
    <w:rsid w:val="00B34C4F"/>
    <w:rsid w:val="00B369DB"/>
    <w:rsid w:val="00B36E78"/>
    <w:rsid w:val="00B36EF4"/>
    <w:rsid w:val="00B447A2"/>
    <w:rsid w:val="00B465F0"/>
    <w:rsid w:val="00B509A7"/>
    <w:rsid w:val="00B539B4"/>
    <w:rsid w:val="00B5585D"/>
    <w:rsid w:val="00B56E0C"/>
    <w:rsid w:val="00B61DF6"/>
    <w:rsid w:val="00B62F0F"/>
    <w:rsid w:val="00B63869"/>
    <w:rsid w:val="00B65691"/>
    <w:rsid w:val="00B7264F"/>
    <w:rsid w:val="00B73CD7"/>
    <w:rsid w:val="00B82EBE"/>
    <w:rsid w:val="00B8609A"/>
    <w:rsid w:val="00B9502F"/>
    <w:rsid w:val="00B978E3"/>
    <w:rsid w:val="00BA1A0D"/>
    <w:rsid w:val="00BA1A38"/>
    <w:rsid w:val="00BA2223"/>
    <w:rsid w:val="00BA53DD"/>
    <w:rsid w:val="00BA55FB"/>
    <w:rsid w:val="00BA57AE"/>
    <w:rsid w:val="00BB15B7"/>
    <w:rsid w:val="00BC3057"/>
    <w:rsid w:val="00BC3359"/>
    <w:rsid w:val="00BC54D7"/>
    <w:rsid w:val="00BC60AA"/>
    <w:rsid w:val="00BC625B"/>
    <w:rsid w:val="00BC7495"/>
    <w:rsid w:val="00BD4E20"/>
    <w:rsid w:val="00BD6AB1"/>
    <w:rsid w:val="00BD7256"/>
    <w:rsid w:val="00BE36A4"/>
    <w:rsid w:val="00BE6100"/>
    <w:rsid w:val="00BE6287"/>
    <w:rsid w:val="00BE6D2F"/>
    <w:rsid w:val="00BE77FE"/>
    <w:rsid w:val="00BF3D0B"/>
    <w:rsid w:val="00BF5C10"/>
    <w:rsid w:val="00BF7179"/>
    <w:rsid w:val="00C022B3"/>
    <w:rsid w:val="00C0234B"/>
    <w:rsid w:val="00C02A38"/>
    <w:rsid w:val="00C037AB"/>
    <w:rsid w:val="00C06B5E"/>
    <w:rsid w:val="00C07E83"/>
    <w:rsid w:val="00C07FF1"/>
    <w:rsid w:val="00C143CF"/>
    <w:rsid w:val="00C1668F"/>
    <w:rsid w:val="00C16C2D"/>
    <w:rsid w:val="00C17A90"/>
    <w:rsid w:val="00C26B15"/>
    <w:rsid w:val="00C31A9C"/>
    <w:rsid w:val="00C33532"/>
    <w:rsid w:val="00C3614A"/>
    <w:rsid w:val="00C36EBF"/>
    <w:rsid w:val="00C37BE6"/>
    <w:rsid w:val="00C37F09"/>
    <w:rsid w:val="00C44057"/>
    <w:rsid w:val="00C443B8"/>
    <w:rsid w:val="00C472C7"/>
    <w:rsid w:val="00C52D5F"/>
    <w:rsid w:val="00C60DAE"/>
    <w:rsid w:val="00C63E4F"/>
    <w:rsid w:val="00C6472A"/>
    <w:rsid w:val="00C6537C"/>
    <w:rsid w:val="00C6557C"/>
    <w:rsid w:val="00C662D8"/>
    <w:rsid w:val="00C73115"/>
    <w:rsid w:val="00C77306"/>
    <w:rsid w:val="00C802F9"/>
    <w:rsid w:val="00C8152C"/>
    <w:rsid w:val="00C8578E"/>
    <w:rsid w:val="00C86321"/>
    <w:rsid w:val="00C87FB5"/>
    <w:rsid w:val="00C91C8F"/>
    <w:rsid w:val="00C94492"/>
    <w:rsid w:val="00C979F4"/>
    <w:rsid w:val="00CA1D3B"/>
    <w:rsid w:val="00CA3D81"/>
    <w:rsid w:val="00CA574E"/>
    <w:rsid w:val="00CA58C7"/>
    <w:rsid w:val="00CA5B7C"/>
    <w:rsid w:val="00CA615A"/>
    <w:rsid w:val="00CB0198"/>
    <w:rsid w:val="00CB0705"/>
    <w:rsid w:val="00CB0EF2"/>
    <w:rsid w:val="00CB28B7"/>
    <w:rsid w:val="00CB3C47"/>
    <w:rsid w:val="00CB6A9E"/>
    <w:rsid w:val="00CB7EDB"/>
    <w:rsid w:val="00CC0C3E"/>
    <w:rsid w:val="00CC1724"/>
    <w:rsid w:val="00CC28CC"/>
    <w:rsid w:val="00CC2B04"/>
    <w:rsid w:val="00CC3191"/>
    <w:rsid w:val="00CC3F20"/>
    <w:rsid w:val="00CD0794"/>
    <w:rsid w:val="00CD0A43"/>
    <w:rsid w:val="00CD2F6D"/>
    <w:rsid w:val="00CE1691"/>
    <w:rsid w:val="00CE6866"/>
    <w:rsid w:val="00CE77D9"/>
    <w:rsid w:val="00CF259B"/>
    <w:rsid w:val="00CF386E"/>
    <w:rsid w:val="00CF4043"/>
    <w:rsid w:val="00CF42A3"/>
    <w:rsid w:val="00D06A69"/>
    <w:rsid w:val="00D1401E"/>
    <w:rsid w:val="00D14538"/>
    <w:rsid w:val="00D147F0"/>
    <w:rsid w:val="00D15210"/>
    <w:rsid w:val="00D17F1C"/>
    <w:rsid w:val="00D216EB"/>
    <w:rsid w:val="00D24459"/>
    <w:rsid w:val="00D24EB7"/>
    <w:rsid w:val="00D25795"/>
    <w:rsid w:val="00D265B4"/>
    <w:rsid w:val="00D26938"/>
    <w:rsid w:val="00D30BAE"/>
    <w:rsid w:val="00D3227B"/>
    <w:rsid w:val="00D32F3F"/>
    <w:rsid w:val="00D34698"/>
    <w:rsid w:val="00D36748"/>
    <w:rsid w:val="00D373AC"/>
    <w:rsid w:val="00D373DA"/>
    <w:rsid w:val="00D41E81"/>
    <w:rsid w:val="00D428EC"/>
    <w:rsid w:val="00D43714"/>
    <w:rsid w:val="00D43D39"/>
    <w:rsid w:val="00D45ABF"/>
    <w:rsid w:val="00D464F4"/>
    <w:rsid w:val="00D505CB"/>
    <w:rsid w:val="00D53451"/>
    <w:rsid w:val="00D54BD2"/>
    <w:rsid w:val="00D5668F"/>
    <w:rsid w:val="00D56EE1"/>
    <w:rsid w:val="00D57101"/>
    <w:rsid w:val="00D6038A"/>
    <w:rsid w:val="00D62174"/>
    <w:rsid w:val="00D62549"/>
    <w:rsid w:val="00D649DA"/>
    <w:rsid w:val="00D64DBC"/>
    <w:rsid w:val="00D73335"/>
    <w:rsid w:val="00D73F91"/>
    <w:rsid w:val="00D7403A"/>
    <w:rsid w:val="00D74B55"/>
    <w:rsid w:val="00D811BB"/>
    <w:rsid w:val="00D84222"/>
    <w:rsid w:val="00D87CCD"/>
    <w:rsid w:val="00D90A18"/>
    <w:rsid w:val="00D90DF0"/>
    <w:rsid w:val="00D94296"/>
    <w:rsid w:val="00D94E25"/>
    <w:rsid w:val="00DA18F9"/>
    <w:rsid w:val="00DA446E"/>
    <w:rsid w:val="00DA51C0"/>
    <w:rsid w:val="00DA65DF"/>
    <w:rsid w:val="00DB0FEB"/>
    <w:rsid w:val="00DB3067"/>
    <w:rsid w:val="00DB3D0C"/>
    <w:rsid w:val="00DB600C"/>
    <w:rsid w:val="00DB63FD"/>
    <w:rsid w:val="00DC482E"/>
    <w:rsid w:val="00DC5429"/>
    <w:rsid w:val="00DD1E7D"/>
    <w:rsid w:val="00DD2FD2"/>
    <w:rsid w:val="00DD41B6"/>
    <w:rsid w:val="00DD5E50"/>
    <w:rsid w:val="00DE4DE5"/>
    <w:rsid w:val="00DF11EA"/>
    <w:rsid w:val="00DF2230"/>
    <w:rsid w:val="00DF4006"/>
    <w:rsid w:val="00DF6426"/>
    <w:rsid w:val="00E00259"/>
    <w:rsid w:val="00E02852"/>
    <w:rsid w:val="00E03029"/>
    <w:rsid w:val="00E03060"/>
    <w:rsid w:val="00E045AF"/>
    <w:rsid w:val="00E1561E"/>
    <w:rsid w:val="00E1621D"/>
    <w:rsid w:val="00E17606"/>
    <w:rsid w:val="00E20495"/>
    <w:rsid w:val="00E205CA"/>
    <w:rsid w:val="00E21E19"/>
    <w:rsid w:val="00E2321E"/>
    <w:rsid w:val="00E25B66"/>
    <w:rsid w:val="00E269F8"/>
    <w:rsid w:val="00E26EF8"/>
    <w:rsid w:val="00E27A1A"/>
    <w:rsid w:val="00E31A92"/>
    <w:rsid w:val="00E33931"/>
    <w:rsid w:val="00E346A6"/>
    <w:rsid w:val="00E36066"/>
    <w:rsid w:val="00E37F12"/>
    <w:rsid w:val="00E413C5"/>
    <w:rsid w:val="00E445A7"/>
    <w:rsid w:val="00E53474"/>
    <w:rsid w:val="00E62C64"/>
    <w:rsid w:val="00E633AD"/>
    <w:rsid w:val="00E67BF7"/>
    <w:rsid w:val="00E736EB"/>
    <w:rsid w:val="00E743FA"/>
    <w:rsid w:val="00E7470D"/>
    <w:rsid w:val="00E75D1F"/>
    <w:rsid w:val="00E761DB"/>
    <w:rsid w:val="00E80EAF"/>
    <w:rsid w:val="00E84A21"/>
    <w:rsid w:val="00E85EB9"/>
    <w:rsid w:val="00E91309"/>
    <w:rsid w:val="00E91F75"/>
    <w:rsid w:val="00E967A8"/>
    <w:rsid w:val="00E96835"/>
    <w:rsid w:val="00E96F30"/>
    <w:rsid w:val="00EA1513"/>
    <w:rsid w:val="00EA2A41"/>
    <w:rsid w:val="00EA3B45"/>
    <w:rsid w:val="00EA4219"/>
    <w:rsid w:val="00EA53B8"/>
    <w:rsid w:val="00EA68C9"/>
    <w:rsid w:val="00EB0961"/>
    <w:rsid w:val="00EB27CC"/>
    <w:rsid w:val="00EB45CE"/>
    <w:rsid w:val="00EB5125"/>
    <w:rsid w:val="00EC45A8"/>
    <w:rsid w:val="00EC4B75"/>
    <w:rsid w:val="00EC6849"/>
    <w:rsid w:val="00ED1C97"/>
    <w:rsid w:val="00ED6A0D"/>
    <w:rsid w:val="00ED7EA8"/>
    <w:rsid w:val="00EE292E"/>
    <w:rsid w:val="00EE2939"/>
    <w:rsid w:val="00EE2FFD"/>
    <w:rsid w:val="00EE45B5"/>
    <w:rsid w:val="00F015F8"/>
    <w:rsid w:val="00F01669"/>
    <w:rsid w:val="00F0203A"/>
    <w:rsid w:val="00F02D8B"/>
    <w:rsid w:val="00F1485B"/>
    <w:rsid w:val="00F157FC"/>
    <w:rsid w:val="00F16099"/>
    <w:rsid w:val="00F16375"/>
    <w:rsid w:val="00F175AE"/>
    <w:rsid w:val="00F316A5"/>
    <w:rsid w:val="00F32DEA"/>
    <w:rsid w:val="00F353CD"/>
    <w:rsid w:val="00F41645"/>
    <w:rsid w:val="00F43706"/>
    <w:rsid w:val="00F44CF8"/>
    <w:rsid w:val="00F46C65"/>
    <w:rsid w:val="00F552C3"/>
    <w:rsid w:val="00F56AAD"/>
    <w:rsid w:val="00F57BF0"/>
    <w:rsid w:val="00F62B40"/>
    <w:rsid w:val="00F63FE1"/>
    <w:rsid w:val="00F64A16"/>
    <w:rsid w:val="00F714A7"/>
    <w:rsid w:val="00F73FC1"/>
    <w:rsid w:val="00F74CAF"/>
    <w:rsid w:val="00F77E56"/>
    <w:rsid w:val="00F8073B"/>
    <w:rsid w:val="00F80C51"/>
    <w:rsid w:val="00F80D88"/>
    <w:rsid w:val="00F862FC"/>
    <w:rsid w:val="00F877F7"/>
    <w:rsid w:val="00F87A71"/>
    <w:rsid w:val="00F92A2E"/>
    <w:rsid w:val="00F94B0A"/>
    <w:rsid w:val="00FA13C8"/>
    <w:rsid w:val="00FA1DE4"/>
    <w:rsid w:val="00FA6018"/>
    <w:rsid w:val="00FA70AB"/>
    <w:rsid w:val="00FA71CB"/>
    <w:rsid w:val="00FB021D"/>
    <w:rsid w:val="00FB05AD"/>
    <w:rsid w:val="00FB1A2B"/>
    <w:rsid w:val="00FB1F49"/>
    <w:rsid w:val="00FB25C9"/>
    <w:rsid w:val="00FB3551"/>
    <w:rsid w:val="00FB3A28"/>
    <w:rsid w:val="00FB4572"/>
    <w:rsid w:val="00FB5612"/>
    <w:rsid w:val="00FC08DA"/>
    <w:rsid w:val="00FC0D44"/>
    <w:rsid w:val="00FC0F36"/>
    <w:rsid w:val="00FC2661"/>
    <w:rsid w:val="00FC4C88"/>
    <w:rsid w:val="00FC50C9"/>
    <w:rsid w:val="00FD269D"/>
    <w:rsid w:val="00FD6F30"/>
    <w:rsid w:val="00FD7190"/>
    <w:rsid w:val="00FF488E"/>
    <w:rsid w:val="01111319"/>
    <w:rsid w:val="02B93B0C"/>
    <w:rsid w:val="030F587B"/>
    <w:rsid w:val="0333386A"/>
    <w:rsid w:val="03C238E3"/>
    <w:rsid w:val="04354B6C"/>
    <w:rsid w:val="0438739D"/>
    <w:rsid w:val="05E30C43"/>
    <w:rsid w:val="06472591"/>
    <w:rsid w:val="06551EB5"/>
    <w:rsid w:val="07242D4B"/>
    <w:rsid w:val="078B699E"/>
    <w:rsid w:val="091A5E86"/>
    <w:rsid w:val="0A144200"/>
    <w:rsid w:val="0A21471B"/>
    <w:rsid w:val="0B743EC7"/>
    <w:rsid w:val="0F1E4C45"/>
    <w:rsid w:val="10142B6F"/>
    <w:rsid w:val="109862D5"/>
    <w:rsid w:val="115855D4"/>
    <w:rsid w:val="11A9344C"/>
    <w:rsid w:val="12261477"/>
    <w:rsid w:val="144F4060"/>
    <w:rsid w:val="15460298"/>
    <w:rsid w:val="184654C3"/>
    <w:rsid w:val="1A563771"/>
    <w:rsid w:val="1A647B53"/>
    <w:rsid w:val="1B3128A0"/>
    <w:rsid w:val="1BE46E9E"/>
    <w:rsid w:val="1D5752B2"/>
    <w:rsid w:val="1DB630DE"/>
    <w:rsid w:val="1DCE08B7"/>
    <w:rsid w:val="1F2A0EF7"/>
    <w:rsid w:val="1F4F3119"/>
    <w:rsid w:val="1FFB7C4D"/>
    <w:rsid w:val="21047593"/>
    <w:rsid w:val="21D924F7"/>
    <w:rsid w:val="222D79CD"/>
    <w:rsid w:val="24380B9D"/>
    <w:rsid w:val="2665428F"/>
    <w:rsid w:val="28504A16"/>
    <w:rsid w:val="28763F74"/>
    <w:rsid w:val="28EA3093"/>
    <w:rsid w:val="295E5872"/>
    <w:rsid w:val="29787CBE"/>
    <w:rsid w:val="29813A19"/>
    <w:rsid w:val="2BB74A47"/>
    <w:rsid w:val="2C5A4F79"/>
    <w:rsid w:val="2D64508E"/>
    <w:rsid w:val="2E565D9A"/>
    <w:rsid w:val="300C4C8D"/>
    <w:rsid w:val="30A46F75"/>
    <w:rsid w:val="31BD26BF"/>
    <w:rsid w:val="32344D1B"/>
    <w:rsid w:val="34C52752"/>
    <w:rsid w:val="35290177"/>
    <w:rsid w:val="3699448B"/>
    <w:rsid w:val="385A23CD"/>
    <w:rsid w:val="38DD0468"/>
    <w:rsid w:val="3C8179E6"/>
    <w:rsid w:val="3DE61568"/>
    <w:rsid w:val="41A14A2A"/>
    <w:rsid w:val="42B514CB"/>
    <w:rsid w:val="438963E1"/>
    <w:rsid w:val="44A528DB"/>
    <w:rsid w:val="44CD7C76"/>
    <w:rsid w:val="4535499E"/>
    <w:rsid w:val="45E234F2"/>
    <w:rsid w:val="475613F4"/>
    <w:rsid w:val="48DB34AE"/>
    <w:rsid w:val="49665344"/>
    <w:rsid w:val="49DA6DBD"/>
    <w:rsid w:val="4ABA72A0"/>
    <w:rsid w:val="4ACF2FE8"/>
    <w:rsid w:val="4B622489"/>
    <w:rsid w:val="4C20694F"/>
    <w:rsid w:val="4C571036"/>
    <w:rsid w:val="4C837CA6"/>
    <w:rsid w:val="4E041495"/>
    <w:rsid w:val="4ED2246F"/>
    <w:rsid w:val="51CF7584"/>
    <w:rsid w:val="51D77FB5"/>
    <w:rsid w:val="52042707"/>
    <w:rsid w:val="523B74F8"/>
    <w:rsid w:val="5266136C"/>
    <w:rsid w:val="528F20A8"/>
    <w:rsid w:val="52BD1B75"/>
    <w:rsid w:val="53FA5173"/>
    <w:rsid w:val="541B34FE"/>
    <w:rsid w:val="54771C39"/>
    <w:rsid w:val="56B95D55"/>
    <w:rsid w:val="57971B0A"/>
    <w:rsid w:val="587C43C8"/>
    <w:rsid w:val="5A5C214A"/>
    <w:rsid w:val="5ACB46AC"/>
    <w:rsid w:val="5CF56192"/>
    <w:rsid w:val="5F0D7769"/>
    <w:rsid w:val="5F5219FC"/>
    <w:rsid w:val="5F8849A9"/>
    <w:rsid w:val="5FED52D7"/>
    <w:rsid w:val="60D43C0B"/>
    <w:rsid w:val="61A23975"/>
    <w:rsid w:val="621E0D5C"/>
    <w:rsid w:val="623D4459"/>
    <w:rsid w:val="62507A8C"/>
    <w:rsid w:val="63014B97"/>
    <w:rsid w:val="632A04CE"/>
    <w:rsid w:val="64855003"/>
    <w:rsid w:val="65200DE7"/>
    <w:rsid w:val="65FD27AF"/>
    <w:rsid w:val="672661ED"/>
    <w:rsid w:val="67BA25BB"/>
    <w:rsid w:val="697E310E"/>
    <w:rsid w:val="6B6A2945"/>
    <w:rsid w:val="6C4D49BB"/>
    <w:rsid w:val="6CAA45D2"/>
    <w:rsid w:val="6D187F4A"/>
    <w:rsid w:val="6E0F697C"/>
    <w:rsid w:val="6F5563D6"/>
    <w:rsid w:val="706A2E8F"/>
    <w:rsid w:val="71035712"/>
    <w:rsid w:val="720D0AF9"/>
    <w:rsid w:val="766A7338"/>
    <w:rsid w:val="78014AA9"/>
    <w:rsid w:val="79AA4A27"/>
    <w:rsid w:val="79B124B6"/>
    <w:rsid w:val="7AEC7DE9"/>
    <w:rsid w:val="7B306B1B"/>
    <w:rsid w:val="7C0F6D9D"/>
    <w:rsid w:val="7C640AAE"/>
    <w:rsid w:val="7C8251D3"/>
    <w:rsid w:val="7C9B6A7C"/>
    <w:rsid w:val="7CFB66AA"/>
    <w:rsid w:val="7E1E43D6"/>
    <w:rsid w:val="7F5727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semiHidden="0" w:name="caption"/>
    <w:lsdException w:uiPriority="99" w:name="table of figures"/>
    <w:lsdException w:uiPriority="99" w:name="envelope address"/>
    <w:lsdException w:qFormat="1" w:unhideWhenUsed="0" w:uiPriority="99"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99" w:semiHidden="0" w:name="Body Text First Indent"/>
    <w:lsdException w:qFormat="1" w:uiPriority="99"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440" w:lineRule="exact"/>
      <w:ind w:firstLine="200" w:firstLineChars="200"/>
      <w:jc w:val="both"/>
    </w:pPr>
    <w:rPr>
      <w:rFonts w:ascii="宋体" w:hAnsi="Calibri" w:eastAsia="宋体" w:cs="Times New Roman"/>
      <w:kern w:val="2"/>
      <w:sz w:val="24"/>
      <w:szCs w:val="22"/>
      <w:lang w:val="en-US" w:eastAsia="zh-CN" w:bidi="ar-SA"/>
    </w:rPr>
  </w:style>
  <w:style w:type="paragraph" w:styleId="5">
    <w:name w:val="heading 1"/>
    <w:basedOn w:val="1"/>
    <w:next w:val="1"/>
    <w:link w:val="30"/>
    <w:qFormat/>
    <w:uiPriority w:val="0"/>
    <w:pPr>
      <w:keepNext/>
      <w:keepLines/>
      <w:outlineLvl w:val="0"/>
    </w:pPr>
    <w:rPr>
      <w:rFonts w:hAnsi="Times New Roman"/>
      <w:b/>
      <w:bCs/>
      <w:kern w:val="44"/>
      <w:szCs w:val="44"/>
    </w:rPr>
  </w:style>
  <w:style w:type="paragraph" w:styleId="6">
    <w:name w:val="heading 2"/>
    <w:basedOn w:val="1"/>
    <w:next w:val="1"/>
    <w:link w:val="31"/>
    <w:unhideWhenUsed/>
    <w:qFormat/>
    <w:uiPriority w:val="9"/>
    <w:pPr>
      <w:keepNext/>
      <w:keepLines/>
      <w:outlineLvl w:val="1"/>
    </w:pPr>
    <w:rPr>
      <w:rFonts w:hAnsi="Cambria"/>
      <w:b/>
      <w:bCs/>
      <w:szCs w:val="32"/>
    </w:rPr>
  </w:style>
  <w:style w:type="paragraph" w:styleId="7">
    <w:name w:val="heading 3"/>
    <w:basedOn w:val="6"/>
    <w:next w:val="1"/>
    <w:link w:val="32"/>
    <w:qFormat/>
    <w:uiPriority w:val="0"/>
    <w:pPr>
      <w:keepNext/>
      <w:keepLines/>
      <w:outlineLvl w:val="2"/>
    </w:pPr>
    <w:rPr>
      <w:rFonts w:hAnsi="Times New Roman"/>
      <w:szCs w:val="32"/>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6"/>
    <w:unhideWhenUsed/>
    <w:qFormat/>
    <w:uiPriority w:val="99"/>
    <w:pPr>
      <w:spacing w:after="120"/>
    </w:pPr>
  </w:style>
  <w:style w:type="paragraph" w:styleId="3">
    <w:name w:val="Body Text 2"/>
    <w:basedOn w:val="1"/>
    <w:next w:val="4"/>
    <w:qFormat/>
    <w:uiPriority w:val="0"/>
    <w:pPr>
      <w:spacing w:after="120" w:line="480" w:lineRule="auto"/>
    </w:pPr>
    <w:rPr>
      <w:rFonts w:eastAsia="宋体" w:cs="Times New Roman"/>
      <w:szCs w:val="24"/>
    </w:rPr>
  </w:style>
  <w:style w:type="paragraph" w:customStyle="1" w:styleId="4">
    <w:name w:val="toc 911"/>
    <w:next w:val="1"/>
    <w:qFormat/>
    <w:uiPriority w:val="0"/>
    <w:pPr>
      <w:widowControl/>
      <w:wordWrap w:val="0"/>
      <w:autoSpaceDE/>
      <w:autoSpaceDN/>
      <w:spacing w:before="0" w:after="0" w:line="240" w:lineRule="auto"/>
      <w:ind w:left="3400" w:firstLine="0"/>
      <w:jc w:val="both"/>
    </w:pPr>
    <w:rPr>
      <w:rFonts w:ascii="Calibri" w:hAnsi="Calibri" w:eastAsia="宋体" w:cs="Times New Roman"/>
      <w:sz w:val="21"/>
    </w:rPr>
  </w:style>
  <w:style w:type="paragraph" w:styleId="8">
    <w:name w:val="Normal Indent"/>
    <w:basedOn w:val="1"/>
    <w:unhideWhenUsed/>
    <w:qFormat/>
    <w:uiPriority w:val="99"/>
    <w:pPr>
      <w:ind w:firstLine="420"/>
    </w:pPr>
  </w:style>
  <w:style w:type="paragraph" w:styleId="9">
    <w:name w:val="caption"/>
    <w:basedOn w:val="1"/>
    <w:next w:val="1"/>
    <w:link w:val="49"/>
    <w:unhideWhenUsed/>
    <w:qFormat/>
    <w:uiPriority w:val="35"/>
    <w:pPr>
      <w:spacing w:line="240" w:lineRule="auto"/>
      <w:ind w:firstLine="0" w:firstLineChars="0"/>
      <w:jc w:val="center"/>
    </w:pPr>
    <w:rPr>
      <w:rFonts w:hAnsi="等线 Light"/>
      <w:sz w:val="21"/>
      <w:szCs w:val="20"/>
    </w:rPr>
  </w:style>
  <w:style w:type="paragraph" w:styleId="10">
    <w:name w:val="toa heading"/>
    <w:basedOn w:val="1"/>
    <w:next w:val="1"/>
    <w:qFormat/>
    <w:uiPriority w:val="0"/>
    <w:rPr>
      <w:rFonts w:ascii="Arial" w:hAnsi="Arial"/>
    </w:rPr>
  </w:style>
  <w:style w:type="paragraph" w:styleId="11">
    <w:name w:val="annotation text"/>
    <w:basedOn w:val="1"/>
    <w:semiHidden/>
    <w:unhideWhenUsed/>
    <w:qFormat/>
    <w:uiPriority w:val="99"/>
    <w:pPr>
      <w:jc w:val="left"/>
    </w:pPr>
  </w:style>
  <w:style w:type="paragraph" w:styleId="12">
    <w:name w:val="Body Text Indent"/>
    <w:basedOn w:val="1"/>
    <w:next w:val="13"/>
    <w:semiHidden/>
    <w:unhideWhenUsed/>
    <w:qFormat/>
    <w:uiPriority w:val="99"/>
    <w:pPr>
      <w:spacing w:after="120"/>
      <w:ind w:left="420" w:leftChars="200"/>
    </w:pPr>
  </w:style>
  <w:style w:type="paragraph" w:styleId="13">
    <w:name w:val="envelope return"/>
    <w:basedOn w:val="1"/>
    <w:qFormat/>
    <w:uiPriority w:val="99"/>
    <w:pPr>
      <w:snapToGrid w:val="0"/>
    </w:pPr>
    <w:rPr>
      <w:rFonts w:ascii="Arial" w:hAnsi="Arial" w:cs="Arial"/>
      <w:szCs w:val="24"/>
    </w:rPr>
  </w:style>
  <w:style w:type="paragraph" w:styleId="14">
    <w:name w:val="Plain Text"/>
    <w:basedOn w:val="1"/>
    <w:link w:val="44"/>
    <w:qFormat/>
    <w:uiPriority w:val="0"/>
    <w:pPr>
      <w:spacing w:line="240" w:lineRule="auto"/>
      <w:ind w:firstLine="0" w:firstLineChars="0"/>
    </w:pPr>
    <w:rPr>
      <w:rFonts w:hAnsi="Courier New"/>
      <w:sz w:val="21"/>
      <w:szCs w:val="21"/>
    </w:rPr>
  </w:style>
  <w:style w:type="paragraph" w:styleId="15">
    <w:name w:val="Date"/>
    <w:basedOn w:val="1"/>
    <w:next w:val="1"/>
    <w:link w:val="34"/>
    <w:unhideWhenUsed/>
    <w:qFormat/>
    <w:uiPriority w:val="99"/>
    <w:pPr>
      <w:ind w:left="100" w:leftChars="2500"/>
    </w:pPr>
  </w:style>
  <w:style w:type="paragraph" w:styleId="16">
    <w:name w:val="Body Text Indent 2"/>
    <w:basedOn w:val="1"/>
    <w:next w:val="17"/>
    <w:qFormat/>
    <w:uiPriority w:val="0"/>
    <w:pPr>
      <w:spacing w:line="360" w:lineRule="auto"/>
      <w:ind w:firstLine="560" w:firstLineChars="200"/>
    </w:pPr>
    <w:rPr>
      <w:rFonts w:ascii="宋体"/>
      <w:sz w:val="28"/>
    </w:rPr>
  </w:style>
  <w:style w:type="paragraph" w:styleId="17">
    <w:name w:val="Body Text First Indent"/>
    <w:basedOn w:val="1"/>
    <w:qFormat/>
    <w:uiPriority w:val="99"/>
    <w:pPr>
      <w:ind w:firstLine="420" w:firstLineChars="100"/>
    </w:pPr>
  </w:style>
  <w:style w:type="paragraph" w:styleId="18">
    <w:name w:val="Balloon Text"/>
    <w:basedOn w:val="1"/>
    <w:link w:val="35"/>
    <w:unhideWhenUsed/>
    <w:qFormat/>
    <w:uiPriority w:val="99"/>
    <w:rPr>
      <w:sz w:val="18"/>
      <w:szCs w:val="18"/>
    </w:rPr>
  </w:style>
  <w:style w:type="paragraph" w:styleId="19">
    <w:name w:val="footer"/>
    <w:basedOn w:val="1"/>
    <w:link w:val="36"/>
    <w:unhideWhenUsed/>
    <w:qFormat/>
    <w:uiPriority w:val="0"/>
    <w:pPr>
      <w:tabs>
        <w:tab w:val="center" w:pos="4153"/>
        <w:tab w:val="right" w:pos="8306"/>
      </w:tabs>
      <w:snapToGrid w:val="0"/>
      <w:jc w:val="left"/>
    </w:pPr>
    <w:rPr>
      <w:sz w:val="18"/>
      <w:szCs w:val="18"/>
    </w:rPr>
  </w:style>
  <w:style w:type="paragraph" w:styleId="20">
    <w:name w:val="header"/>
    <w:basedOn w:val="1"/>
    <w:link w:val="37"/>
    <w:unhideWhenUsed/>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style>
  <w:style w:type="paragraph" w:styleId="22">
    <w:name w:val="toc 2"/>
    <w:basedOn w:val="1"/>
    <w:next w:val="1"/>
    <w:qFormat/>
    <w:uiPriority w:val="39"/>
    <w:pPr>
      <w:ind w:left="420" w:leftChars="200"/>
    </w:pPr>
  </w:style>
  <w:style w:type="paragraph" w:styleId="23">
    <w:name w:val="Normal (Web)"/>
    <w:basedOn w:val="1"/>
    <w:unhideWhenUsed/>
    <w:qFormat/>
    <w:uiPriority w:val="99"/>
    <w:pPr>
      <w:spacing w:before="100" w:beforeAutospacing="1" w:after="100" w:afterAutospacing="1" w:line="240" w:lineRule="auto"/>
      <w:ind w:firstLine="0" w:firstLineChars="0"/>
    </w:pPr>
    <w:rPr>
      <w:szCs w:val="24"/>
    </w:rPr>
  </w:style>
  <w:style w:type="paragraph" w:styleId="24">
    <w:name w:val="Body Text First Indent 2"/>
    <w:basedOn w:val="12"/>
    <w:unhideWhenUsed/>
    <w:qFormat/>
    <w:uiPriority w:val="99"/>
    <w:pPr>
      <w:ind w:firstLine="420"/>
    </w:pPr>
  </w:style>
  <w:style w:type="table" w:styleId="26">
    <w:name w:val="Table Grid"/>
    <w:basedOn w:val="2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Hyperlink"/>
    <w:qFormat/>
    <w:uiPriority w:val="99"/>
    <w:rPr>
      <w:color w:val="0000FF"/>
      <w:u w:val="single"/>
    </w:rPr>
  </w:style>
  <w:style w:type="paragraph" w:customStyle="1" w:styleId="29">
    <w:name w:val="标书正文"/>
    <w:basedOn w:val="1"/>
    <w:qFormat/>
    <w:uiPriority w:val="0"/>
    <w:pPr>
      <w:spacing w:line="480" w:lineRule="exact"/>
      <w:jc w:val="center"/>
    </w:pPr>
  </w:style>
  <w:style w:type="character" w:customStyle="1" w:styleId="30">
    <w:name w:val="标题 1 字符"/>
    <w:link w:val="5"/>
    <w:qFormat/>
    <w:uiPriority w:val="0"/>
    <w:rPr>
      <w:rFonts w:ascii="宋体"/>
      <w:b/>
      <w:bCs/>
      <w:kern w:val="44"/>
      <w:sz w:val="24"/>
      <w:szCs w:val="44"/>
    </w:rPr>
  </w:style>
  <w:style w:type="character" w:customStyle="1" w:styleId="31">
    <w:name w:val="标题 2 字符"/>
    <w:link w:val="6"/>
    <w:qFormat/>
    <w:uiPriority w:val="9"/>
    <w:rPr>
      <w:rFonts w:ascii="宋体" w:hAnsi="Cambria"/>
      <w:b/>
      <w:bCs/>
      <w:kern w:val="2"/>
      <w:sz w:val="24"/>
      <w:szCs w:val="32"/>
    </w:rPr>
  </w:style>
  <w:style w:type="character" w:customStyle="1" w:styleId="32">
    <w:name w:val="标题 3 字符"/>
    <w:link w:val="7"/>
    <w:qFormat/>
    <w:uiPriority w:val="0"/>
    <w:rPr>
      <w:rFonts w:ascii="宋体"/>
      <w:bCs/>
      <w:kern w:val="2"/>
      <w:sz w:val="24"/>
      <w:szCs w:val="32"/>
    </w:rPr>
  </w:style>
  <w:style w:type="paragraph" w:customStyle="1" w:styleId="33">
    <w:name w:val="目录 31"/>
    <w:basedOn w:val="1"/>
    <w:next w:val="1"/>
    <w:unhideWhenUsed/>
    <w:qFormat/>
    <w:uiPriority w:val="39"/>
    <w:pPr>
      <w:ind w:left="400" w:leftChars="400"/>
    </w:pPr>
  </w:style>
  <w:style w:type="character" w:customStyle="1" w:styleId="34">
    <w:name w:val="日期 字符"/>
    <w:basedOn w:val="27"/>
    <w:link w:val="15"/>
    <w:semiHidden/>
    <w:qFormat/>
    <w:uiPriority w:val="99"/>
  </w:style>
  <w:style w:type="character" w:customStyle="1" w:styleId="35">
    <w:name w:val="批注框文本 字符"/>
    <w:link w:val="18"/>
    <w:semiHidden/>
    <w:qFormat/>
    <w:uiPriority w:val="99"/>
    <w:rPr>
      <w:sz w:val="18"/>
      <w:szCs w:val="18"/>
    </w:rPr>
  </w:style>
  <w:style w:type="character" w:customStyle="1" w:styleId="36">
    <w:name w:val="页脚 字符"/>
    <w:link w:val="19"/>
    <w:qFormat/>
    <w:uiPriority w:val="0"/>
    <w:rPr>
      <w:sz w:val="18"/>
      <w:szCs w:val="18"/>
    </w:rPr>
  </w:style>
  <w:style w:type="character" w:customStyle="1" w:styleId="37">
    <w:name w:val="页眉 字符"/>
    <w:link w:val="20"/>
    <w:qFormat/>
    <w:uiPriority w:val="0"/>
    <w:rPr>
      <w:sz w:val="18"/>
      <w:szCs w:val="18"/>
    </w:rPr>
  </w:style>
  <w:style w:type="paragraph" w:customStyle="1" w:styleId="38">
    <w:name w:val="目录 11"/>
    <w:basedOn w:val="1"/>
    <w:next w:val="1"/>
    <w:qFormat/>
    <w:uiPriority w:val="39"/>
    <w:pPr>
      <w:spacing w:line="360" w:lineRule="auto"/>
      <w:ind w:firstLine="0" w:firstLineChars="0"/>
    </w:pPr>
    <w:rPr>
      <w:rFonts w:ascii="Times New Roman" w:hAnsi="Times New Roman"/>
      <w:szCs w:val="20"/>
    </w:rPr>
  </w:style>
  <w:style w:type="paragraph" w:customStyle="1" w:styleId="39">
    <w:name w:val="目录 21"/>
    <w:basedOn w:val="1"/>
    <w:next w:val="1"/>
    <w:qFormat/>
    <w:uiPriority w:val="39"/>
    <w:pPr>
      <w:spacing w:line="360" w:lineRule="auto"/>
      <w:ind w:firstLine="150" w:firstLineChars="150"/>
    </w:pPr>
    <w:rPr>
      <w:rFonts w:ascii="Times New Roman" w:hAnsi="Times New Roman"/>
      <w:bCs/>
      <w:szCs w:val="20"/>
    </w:rPr>
  </w:style>
  <w:style w:type="paragraph" w:customStyle="1" w:styleId="40">
    <w:name w:val="列出段落1"/>
    <w:basedOn w:val="1"/>
    <w:qFormat/>
    <w:uiPriority w:val="34"/>
    <w:pPr>
      <w:ind w:firstLine="420"/>
    </w:pPr>
  </w:style>
  <w:style w:type="paragraph" w:customStyle="1" w:styleId="41">
    <w:name w:val="图表"/>
    <w:basedOn w:val="1"/>
    <w:qFormat/>
    <w:uiPriority w:val="0"/>
    <w:pPr>
      <w:spacing w:line="240" w:lineRule="auto"/>
      <w:ind w:firstLine="0" w:firstLineChars="0"/>
      <w:jc w:val="center"/>
    </w:pPr>
    <w:rPr>
      <w:sz w:val="21"/>
    </w:rPr>
  </w:style>
  <w:style w:type="paragraph" w:customStyle="1" w:styleId="42">
    <w:name w:val="列出段落2"/>
    <w:basedOn w:val="1"/>
    <w:qFormat/>
    <w:uiPriority w:val="99"/>
    <w:pPr>
      <w:ind w:firstLine="420"/>
    </w:pPr>
  </w:style>
  <w:style w:type="paragraph" w:customStyle="1" w:styleId="43">
    <w:name w:val="公文_发文机关标志"/>
    <w:basedOn w:val="1"/>
    <w:qFormat/>
    <w:uiPriority w:val="0"/>
    <w:pPr>
      <w:widowControl/>
      <w:spacing w:line="240" w:lineRule="auto"/>
      <w:ind w:firstLine="0" w:firstLineChars="0"/>
      <w:jc w:val="center"/>
    </w:pPr>
    <w:rPr>
      <w:rFonts w:ascii="方正小标宋简体" w:hAnsi="Times New Roman" w:eastAsia="方正小标宋简体"/>
      <w:color w:val="FF0000"/>
      <w:sz w:val="72"/>
      <w:szCs w:val="72"/>
    </w:rPr>
  </w:style>
  <w:style w:type="character" w:customStyle="1" w:styleId="44">
    <w:name w:val="纯文本 字符"/>
    <w:link w:val="14"/>
    <w:qFormat/>
    <w:uiPriority w:val="0"/>
    <w:rPr>
      <w:rFonts w:ascii="宋体" w:hAnsi="Courier New" w:eastAsia="宋体" w:cs="Times New Roman"/>
      <w:kern w:val="2"/>
      <w:sz w:val="21"/>
      <w:szCs w:val="21"/>
    </w:rPr>
  </w:style>
  <w:style w:type="paragraph" w:customStyle="1" w:styleId="45">
    <w:name w:val="列出段落"/>
    <w:basedOn w:val="1"/>
    <w:qFormat/>
    <w:uiPriority w:val="99"/>
    <w:pPr>
      <w:spacing w:line="240" w:lineRule="auto"/>
      <w:ind w:firstLine="420" w:firstLineChars="0"/>
    </w:pPr>
    <w:rPr>
      <w:sz w:val="21"/>
      <w:szCs w:val="24"/>
    </w:rPr>
  </w:style>
  <w:style w:type="character" w:customStyle="1" w:styleId="46">
    <w:name w:val="正文文本 字符"/>
    <w:link w:val="2"/>
    <w:qFormat/>
    <w:uiPriority w:val="99"/>
    <w:rPr>
      <w:rFonts w:ascii="宋体" w:hAnsi="Calibri"/>
      <w:kern w:val="2"/>
      <w:sz w:val="24"/>
      <w:szCs w:val="22"/>
    </w:rPr>
  </w:style>
  <w:style w:type="paragraph" w:customStyle="1" w:styleId="47">
    <w:name w:val="TOC Heading"/>
    <w:basedOn w:val="5"/>
    <w:next w:val="1"/>
    <w:unhideWhenUsed/>
    <w:qFormat/>
    <w:uiPriority w:val="39"/>
    <w:pPr>
      <w:widowControl/>
      <w:spacing w:before="240" w:line="259" w:lineRule="auto"/>
      <w:ind w:firstLine="0" w:firstLineChars="0"/>
      <w:jc w:val="left"/>
      <w:outlineLvl w:val="9"/>
    </w:pPr>
    <w:rPr>
      <w:rFonts w:ascii="等线 Light" w:hAnsi="等线 Light" w:eastAsia="等线 Light"/>
      <w:b w:val="0"/>
      <w:bCs w:val="0"/>
      <w:color w:val="2F5496"/>
      <w:kern w:val="0"/>
      <w:sz w:val="32"/>
      <w:szCs w:val="32"/>
    </w:rPr>
  </w:style>
  <w:style w:type="paragraph" w:styleId="48">
    <w:name w:val="List Paragraph"/>
    <w:basedOn w:val="1"/>
    <w:qFormat/>
    <w:uiPriority w:val="99"/>
    <w:pPr>
      <w:ind w:firstLine="420"/>
    </w:pPr>
  </w:style>
  <w:style w:type="character" w:customStyle="1" w:styleId="49">
    <w:name w:val="题注 字符"/>
    <w:link w:val="9"/>
    <w:qFormat/>
    <w:locked/>
    <w:uiPriority w:val="35"/>
    <w:rPr>
      <w:rFonts w:ascii="宋体" w:hAnsi="等线 Light"/>
      <w:kern w:val="2"/>
      <w:sz w:val="21"/>
    </w:rPr>
  </w:style>
  <w:style w:type="paragraph" w:customStyle="1" w:styleId="50">
    <w:name w:val="text(用)"/>
    <w:basedOn w:val="1"/>
    <w:qFormat/>
    <w:uiPriority w:val="0"/>
    <w:pPr>
      <w:spacing w:line="360" w:lineRule="auto"/>
      <w:ind w:firstLine="480" w:firstLineChars="0"/>
    </w:pPr>
    <w:rPr>
      <w:rFonts w:hAnsi="Times New Roman" w:cs="宋体"/>
      <w:szCs w:val="24"/>
    </w:rPr>
  </w:style>
  <w:style w:type="paragraph" w:customStyle="1" w:styleId="51">
    <w:name w:val="table(用)"/>
    <w:basedOn w:val="50"/>
    <w:qFormat/>
    <w:uiPriority w:val="0"/>
    <w:pPr>
      <w:spacing w:line="240" w:lineRule="auto"/>
      <w:ind w:firstLine="0"/>
      <w:jc w:val="center"/>
    </w:pPr>
    <w:rPr>
      <w:rFonts w:hAnsi="宋体"/>
      <w:sz w:val="18"/>
    </w:rPr>
  </w:style>
  <w:style w:type="paragraph" w:customStyle="1" w:styleId="52">
    <w:name w:val="Table Paragraph"/>
    <w:basedOn w:val="1"/>
    <w:qFormat/>
    <w:uiPriority w:val="1"/>
    <w:rPr>
      <w:rFonts w:ascii="宋体" w:hAnsi="宋体" w:eastAsia="宋体" w:cs="宋体"/>
      <w:lang w:val="zh-CN" w:eastAsia="zh-CN" w:bidi="zh-CN"/>
    </w:rPr>
  </w:style>
  <w:style w:type="paragraph" w:customStyle="1" w:styleId="53">
    <w:name w:val="章节1"/>
    <w:basedOn w:val="1"/>
    <w:qFormat/>
    <w:uiPriority w:val="0"/>
    <w:pPr>
      <w:outlineLvl w:val="1"/>
    </w:pPr>
    <w:rPr>
      <w:rFonts w:ascii="宋体" w:hAnsi="宋体"/>
      <w:b/>
      <w:sz w:val="28"/>
      <w:szCs w:val="28"/>
    </w:rPr>
  </w:style>
  <w:style w:type="paragraph" w:customStyle="1" w:styleId="54">
    <w:name w:val="报告正文"/>
    <w:basedOn w:val="1"/>
    <w:qFormat/>
    <w:uiPriority w:val="0"/>
    <w:rPr>
      <w:rFonts w:ascii="Times New Roman" w:hAnsi="Times New Roman" w:eastAsia="宋体" w:cs="Times New Roman"/>
      <w:szCs w:val="24"/>
    </w:rPr>
  </w:style>
  <w:style w:type="paragraph" w:customStyle="1" w:styleId="55">
    <w:name w:val="三级标题"/>
    <w:basedOn w:val="1"/>
    <w:qFormat/>
    <w:uiPriority w:val="0"/>
    <w:pPr>
      <w:spacing w:line="520" w:lineRule="exact"/>
      <w:ind w:firstLine="480" w:firstLineChars="200"/>
      <w:jc w:val="left"/>
      <w:outlineLvl w:val="2"/>
    </w:pPr>
    <w:rPr>
      <w:rFonts w:ascii="宋体" w:hAnsi="宋体"/>
      <w:sz w:val="24"/>
    </w:rPr>
  </w:style>
  <w:style w:type="paragraph" w:customStyle="1" w:styleId="56">
    <w:name w:val="章节大"/>
    <w:basedOn w:val="1"/>
    <w:qFormat/>
    <w:uiPriority w:val="0"/>
    <w:pPr>
      <w:adjustRightInd w:val="0"/>
      <w:snapToGrid w:val="0"/>
      <w:spacing w:before="156" w:beforeLines="50" w:after="156" w:afterLines="50"/>
      <w:jc w:val="center"/>
      <w:outlineLvl w:val="0"/>
    </w:pPr>
    <w:rPr>
      <w:rFonts w:ascii="宋体" w:hAnsi="宋体"/>
      <w:b/>
      <w:sz w:val="32"/>
      <w:szCs w:val="32"/>
    </w:rPr>
  </w:style>
  <w:style w:type="paragraph" w:customStyle="1" w:styleId="57">
    <w:name w:val="正文，四宋"/>
    <w:basedOn w:val="1"/>
    <w:qFormat/>
    <w:uiPriority w:val="0"/>
    <w:pPr>
      <w:spacing w:line="520" w:lineRule="exact"/>
      <w:ind w:firstLine="567"/>
    </w:pPr>
    <w:rPr>
      <w:kern w:val="0"/>
      <w:sz w:val="28"/>
      <w:szCs w:val="20"/>
    </w:rPr>
  </w:style>
  <w:style w:type="paragraph" w:customStyle="1" w:styleId="58">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styleId="59">
    <w:name w:val="No Spacing"/>
    <w:qFormat/>
    <w:uiPriority w:val="1"/>
    <w:rPr>
      <w:rFonts w:ascii="Calibri" w:hAnsi="Calibri" w:eastAsia="宋体" w:cs="Times New Roman"/>
      <w:sz w:val="22"/>
      <w:szCs w:val="22"/>
      <w:lang w:val="en-US" w:eastAsia="zh-CN" w:bidi="ar-SA"/>
    </w:rPr>
  </w:style>
  <w:style w:type="paragraph" w:customStyle="1" w:styleId="60">
    <w:name w:val="4正文"/>
    <w:basedOn w:val="1"/>
    <w:qFormat/>
    <w:uiPriority w:val="0"/>
    <w:pPr>
      <w:widowControl/>
      <w:snapToGrid w:val="0"/>
      <w:spacing w:line="360" w:lineRule="auto"/>
      <w:ind w:firstLine="200" w:firstLineChars="200"/>
      <w:jc w:val="left"/>
    </w:pPr>
    <w:rPr>
      <w:rFonts w:ascii="宋体" w:hAnsi="宋体"/>
      <w:spacing w:val="10"/>
      <w:kern w:val="0"/>
      <w:sz w:val="24"/>
      <w:lang w:bidi="en-US"/>
    </w:rPr>
  </w:style>
  <w:style w:type="paragraph" w:customStyle="1" w:styleId="61">
    <w:name w:val="Normal_24"/>
    <w:qFormat/>
    <w:uiPriority w:val="99"/>
    <w:pPr>
      <w:spacing w:before="120" w:after="240"/>
      <w:jc w:val="both"/>
    </w:pPr>
    <w:rPr>
      <w:rFonts w:ascii="Times New Roman" w:hAnsi="Times New Roman" w:eastAsia="宋体" w:cs="Times New Roman"/>
      <w:sz w:val="22"/>
      <w:szCs w:val="22"/>
      <w:lang w:val="en-US" w:eastAsia="en-US" w:bidi="ar-SA"/>
    </w:rPr>
  </w:style>
  <w:style w:type="paragraph" w:customStyle="1" w:styleId="62">
    <w:name w:val="样式 宋体 小四 行距: 22 磅"/>
    <w:basedOn w:val="1"/>
    <w:qFormat/>
    <w:uiPriority w:val="0"/>
    <w:rPr>
      <w:rFonts w:ascii="宋体" w:hAnsi="宋体" w:cs="宋体"/>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5.png"/><Relationship Id="rId25" Type="http://schemas.openxmlformats.org/officeDocument/2006/relationships/image" Target="media/image14.wmf"/><Relationship Id="rId24" Type="http://schemas.openxmlformats.org/officeDocument/2006/relationships/oleObject" Target="embeddings/oleObject1.bin"/><Relationship Id="rId23" Type="http://schemas.openxmlformats.org/officeDocument/2006/relationships/image" Target="media/image13.jpeg"/><Relationship Id="rId22" Type="http://schemas.openxmlformats.org/officeDocument/2006/relationships/image" Target="media/image12.png"/><Relationship Id="rId21" Type="http://schemas.openxmlformats.org/officeDocument/2006/relationships/image" Target="media/image11.wmf"/><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jpe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05CFF8-B942-4F1F-A3F6-C85F26500A6F}">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27</Pages>
  <Words>12381</Words>
  <Characters>13490</Characters>
  <Lines>146</Lines>
  <Paragraphs>41</Paragraphs>
  <TotalTime>5</TotalTime>
  <ScaleCrop>false</ScaleCrop>
  <LinksUpToDate>false</LinksUpToDate>
  <CharactersWithSpaces>13661</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2021-08-23T02:55:00Z</dcterms:created>
  <dc:creator>PC</dc:creator>
  <cp:lastModifiedBy>Da1We1God丶</cp:lastModifiedBy>
  <cp:lastPrinted>2021-07-23T04:48:00Z</cp:lastPrinted>
  <dcterms:modified xsi:type="dcterms:W3CDTF">2025-10-23T15:53:40Z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24C8B3D322174EC5AD1A178BACDED609_13</vt:lpwstr>
  </property>
  <property fmtid="{D5CDD505-2E9C-101B-9397-08002B2CF9AE}" pid="4" name="KSOTemplateDocerSaveRecord">
    <vt:lpwstr>eyJoZGlkIjoiMTljN2FjMjIzNzIyNDU0MGIzMGZmNTY4ZTkyODkzYTMiLCJ1c2VySWQiOiIyNTA4ODk4OTUifQ==</vt:lpwstr>
  </property>
</Properties>
</file>