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040BC0">
      <w:pPr>
        <w:keepNext w:val="0"/>
        <w:keepLines w:val="0"/>
        <w:pageBreakBefore w:val="0"/>
        <w:widowControl w:val="0"/>
        <w:kinsoku/>
        <w:wordWrap/>
        <w:overflowPunct/>
        <w:topLinePunct w:val="0"/>
        <w:autoSpaceDE/>
        <w:autoSpaceDN/>
        <w:bidi w:val="0"/>
        <w:adjustRightInd/>
        <w:snapToGrid/>
        <w:spacing w:before="327" w:beforeLines="100" w:line="240" w:lineRule="auto"/>
        <w:ind w:left="0" w:leftChars="0" w:right="6" w:firstLine="0" w:firstLineChars="0"/>
        <w:jc w:val="center"/>
        <w:textAlignment w:val="auto"/>
        <w:rPr>
          <w:rFonts w:hint="eastAsia" w:eastAsia="宋体" w:cs="仿宋" w:asciiTheme="minorEastAsia" w:hAnsiTheme="minorEastAsia"/>
          <w:b/>
          <w:sz w:val="44"/>
          <w:szCs w:val="44"/>
          <w:lang w:val="en-US" w:eastAsia="zh-CN"/>
        </w:rPr>
      </w:pPr>
      <w:bookmarkStart w:id="0" w:name="_Toc878"/>
      <w:bookmarkStart w:id="1" w:name="_Toc35506666"/>
      <w:bookmarkStart w:id="2" w:name="_Toc34921540"/>
      <w:bookmarkStart w:id="3" w:name="_Toc29129"/>
      <w:bookmarkStart w:id="4" w:name="_Toc35524850"/>
      <w:bookmarkStart w:id="5" w:name="_Toc34921037"/>
      <w:bookmarkStart w:id="6" w:name="_Toc18296"/>
      <w:bookmarkStart w:id="7" w:name="_Toc19970"/>
      <w:bookmarkStart w:id="8" w:name="_Toc34924749"/>
      <w:bookmarkStart w:id="9" w:name="_Toc475990850"/>
      <w:bookmarkStart w:id="10" w:name="_Toc475958292"/>
      <w:bookmarkStart w:id="11" w:name="_Toc349913600"/>
      <w:r>
        <w:rPr>
          <w:rFonts w:hint="eastAsia" w:eastAsia="宋体" w:cs="仿宋" w:asciiTheme="minorEastAsia" w:hAnsiTheme="minorEastAsia"/>
          <w:b/>
          <w:sz w:val="44"/>
          <w:szCs w:val="44"/>
          <w:lang w:val="en-US" w:eastAsia="zh-CN"/>
        </w:rPr>
        <w:t>沈海线漳州龙海至诏安段（龙海北溪头至</w:t>
      </w:r>
    </w:p>
    <w:p w14:paraId="3562158D">
      <w:pPr>
        <w:spacing w:line="240" w:lineRule="auto"/>
        <w:ind w:left="0" w:leftChars="0" w:right="6" w:firstLine="0" w:firstLineChars="0"/>
        <w:jc w:val="center"/>
        <w:rPr>
          <w:rFonts w:hint="eastAsia" w:eastAsia="宋体" w:cs="仿宋" w:asciiTheme="minorEastAsia" w:hAnsiTheme="minorEastAsia"/>
          <w:b/>
          <w:sz w:val="44"/>
          <w:szCs w:val="44"/>
          <w:lang w:val="en-US" w:eastAsia="zh-CN"/>
        </w:rPr>
      </w:pPr>
      <w:r>
        <w:rPr>
          <w:rFonts w:hint="eastAsia" w:eastAsia="宋体" w:cs="仿宋" w:asciiTheme="minorEastAsia" w:hAnsiTheme="minorEastAsia"/>
          <w:b/>
          <w:sz w:val="44"/>
          <w:szCs w:val="44"/>
          <w:lang w:val="en-US" w:eastAsia="zh-CN"/>
        </w:rPr>
        <w:t>诏安闽粤界）扩容工程A12合同段</w:t>
      </w:r>
    </w:p>
    <w:p w14:paraId="4D877685">
      <w:pPr>
        <w:pStyle w:val="43"/>
        <w:keepNext w:val="0"/>
        <w:keepLines w:val="0"/>
        <w:pageBreakBefore w:val="0"/>
        <w:widowControl w:val="0"/>
        <w:kinsoku/>
        <w:wordWrap/>
        <w:overflowPunct/>
        <w:topLinePunct w:val="0"/>
        <w:autoSpaceDE/>
        <w:autoSpaceDN/>
        <w:bidi w:val="0"/>
        <w:adjustRightInd w:val="0"/>
        <w:snapToGrid w:val="0"/>
        <w:spacing w:before="164" w:beforeLines="50" w:beforeAutospacing="0" w:after="0" w:afterAutospacing="0" w:line="360" w:lineRule="auto"/>
        <w:jc w:val="center"/>
        <w:textAlignment w:val="auto"/>
        <w:rPr>
          <w:rFonts w:hint="eastAsia" w:ascii="黑体" w:hAnsi="黑体" w:eastAsia="黑体" w:cs="黑体"/>
          <w:sz w:val="44"/>
          <w:szCs w:val="44"/>
          <w:u w:val="none" w:color="auto"/>
          <w:lang w:val="en-US" w:eastAsia="zh-CN"/>
        </w:rPr>
      </w:pPr>
      <w:r>
        <w:rPr>
          <w:rFonts w:hint="eastAsia" w:ascii="黑体" w:hAnsi="黑体" w:eastAsia="黑体" w:cs="黑体"/>
          <w:sz w:val="44"/>
          <w:szCs w:val="44"/>
          <w:u w:val="none" w:color="auto"/>
          <w:lang w:val="en-US" w:eastAsia="zh-CN"/>
        </w:rPr>
        <w:t>实施性施工组织设计</w:t>
      </w:r>
      <w:bookmarkEnd w:id="0"/>
      <w:bookmarkEnd w:id="1"/>
      <w:bookmarkEnd w:id="2"/>
      <w:bookmarkEnd w:id="3"/>
      <w:bookmarkEnd w:id="4"/>
      <w:bookmarkEnd w:id="5"/>
      <w:bookmarkEnd w:id="6"/>
      <w:bookmarkEnd w:id="7"/>
      <w:bookmarkEnd w:id="8"/>
    </w:p>
    <w:p w14:paraId="52256B35">
      <w:pPr>
        <w:pStyle w:val="43"/>
        <w:widowControl w:val="0"/>
        <w:adjustRightInd w:val="0"/>
        <w:snapToGrid w:val="0"/>
        <w:spacing w:beforeAutospacing="0" w:after="0" w:afterAutospacing="0" w:line="360" w:lineRule="auto"/>
        <w:rPr>
          <w:rFonts w:hint="eastAsia" w:ascii="黑体" w:hAnsi="黑体" w:eastAsia="黑体" w:cs="黑体"/>
          <w:sz w:val="44"/>
          <w:szCs w:val="44"/>
          <w:u w:val="none" w:color="auto"/>
          <w:lang w:val="en-US" w:eastAsia="zh-CN"/>
        </w:rPr>
      </w:pPr>
    </w:p>
    <w:p w14:paraId="3EB42519">
      <w:pPr>
        <w:pStyle w:val="43"/>
        <w:widowControl w:val="0"/>
        <w:adjustRightInd w:val="0"/>
        <w:snapToGrid w:val="0"/>
        <w:spacing w:beforeAutospacing="0" w:after="0" w:afterAutospacing="0" w:line="360" w:lineRule="auto"/>
        <w:rPr>
          <w:rFonts w:hint="eastAsia" w:ascii="黑体" w:hAnsi="黑体" w:eastAsia="黑体" w:cs="黑体"/>
          <w:sz w:val="44"/>
          <w:szCs w:val="44"/>
          <w:u w:val="none" w:color="auto"/>
          <w:lang w:val="en-US" w:eastAsia="zh-CN"/>
        </w:rPr>
      </w:pPr>
    </w:p>
    <w:p w14:paraId="33E99D4C">
      <w:pPr>
        <w:pStyle w:val="172"/>
        <w:jc w:val="center"/>
        <w:rPr>
          <w:rFonts w:hint="eastAsia" w:ascii="宋体" w:hAnsi="宋体" w:eastAsia="宋体" w:cs="仿宋"/>
          <w:color w:val="auto"/>
          <w:szCs w:val="28"/>
          <w:highlight w:val="none"/>
          <w:lang w:eastAsia="zh-CN"/>
        </w:rPr>
      </w:pPr>
      <w:r>
        <w:rPr>
          <w:rFonts w:hint="eastAsia" w:ascii="宋体" w:hAnsi="宋体" w:eastAsia="宋体" w:cs="仿宋"/>
          <w:color w:val="auto"/>
          <w:szCs w:val="28"/>
          <w:highlight w:val="none"/>
          <w:lang w:eastAsia="zh-CN"/>
        </w:rPr>
        <w:drawing>
          <wp:inline distT="0" distB="0" distL="114300" distR="114300">
            <wp:extent cx="4345305" cy="927100"/>
            <wp:effectExtent l="0" t="0" r="13335" b="2540"/>
            <wp:docPr id="1455"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 descr="图片1"/>
                    <pic:cNvPicPr>
                      <a:picLocks noChangeAspect="1"/>
                    </pic:cNvPicPr>
                  </pic:nvPicPr>
                  <pic:blipFill>
                    <a:blip r:embed="rId18"/>
                    <a:stretch>
                      <a:fillRect/>
                    </a:stretch>
                  </pic:blipFill>
                  <pic:spPr>
                    <a:xfrm>
                      <a:off x="0" y="0"/>
                      <a:ext cx="4345305" cy="927100"/>
                    </a:xfrm>
                    <a:prstGeom prst="rect">
                      <a:avLst/>
                    </a:prstGeom>
                    <a:noFill/>
                    <a:ln>
                      <a:noFill/>
                    </a:ln>
                  </pic:spPr>
                </pic:pic>
              </a:graphicData>
            </a:graphic>
          </wp:inline>
        </w:drawing>
      </w:r>
    </w:p>
    <w:p w14:paraId="5EA47DAB">
      <w:pPr>
        <w:pStyle w:val="172"/>
        <w:rPr>
          <w:rFonts w:hint="eastAsia" w:ascii="宋体" w:hAnsi="宋体" w:eastAsia="宋体" w:cs="仿宋"/>
          <w:color w:val="auto"/>
          <w:szCs w:val="28"/>
          <w:highlight w:val="none"/>
          <w:lang w:eastAsia="zh-CN"/>
        </w:rPr>
      </w:pPr>
    </w:p>
    <w:p w14:paraId="5D2D2CC9">
      <w:pPr>
        <w:pStyle w:val="172"/>
        <w:rPr>
          <w:rFonts w:hint="eastAsia" w:ascii="宋体" w:hAnsi="宋体" w:eastAsia="宋体" w:cs="仿宋"/>
          <w:color w:val="auto"/>
          <w:szCs w:val="28"/>
          <w:highlight w:val="none"/>
          <w:lang w:eastAsia="zh-CN"/>
        </w:rPr>
      </w:pPr>
    </w:p>
    <w:p w14:paraId="2B56E5E9">
      <w:pPr>
        <w:pStyle w:val="172"/>
        <w:rPr>
          <w:rFonts w:hint="eastAsia" w:ascii="宋体" w:hAnsi="宋体" w:eastAsia="宋体" w:cs="仿宋"/>
          <w:color w:val="auto"/>
          <w:szCs w:val="28"/>
          <w:highlight w:val="none"/>
          <w:lang w:eastAsia="zh-CN"/>
        </w:rPr>
      </w:pPr>
    </w:p>
    <w:p w14:paraId="2A512499">
      <w:pPr>
        <w:pStyle w:val="172"/>
        <w:rPr>
          <w:rFonts w:hint="eastAsia" w:ascii="宋体" w:hAnsi="宋体" w:eastAsia="宋体" w:cs="仿宋"/>
          <w:color w:val="auto"/>
          <w:szCs w:val="28"/>
          <w:highlight w:val="none"/>
          <w:lang w:eastAsia="zh-CN"/>
        </w:rPr>
      </w:pPr>
    </w:p>
    <w:p w14:paraId="7EEDEA09">
      <w:pPr>
        <w:spacing w:line="360" w:lineRule="auto"/>
        <w:jc w:val="both"/>
        <w:rPr>
          <w:rFonts w:hint="eastAsia" w:ascii="宋体" w:hAnsi="宋体" w:cs="仿宋"/>
          <w:b/>
          <w:bCs/>
          <w:color w:val="auto"/>
          <w:szCs w:val="28"/>
          <w:highlight w:val="none"/>
        </w:rPr>
      </w:pPr>
    </w:p>
    <w:p w14:paraId="06B2D22C">
      <w:pPr>
        <w:pStyle w:val="173"/>
        <w:keepNext w:val="0"/>
        <w:keepLines w:val="0"/>
        <w:pageBreakBefore w:val="0"/>
        <w:widowControl/>
        <w:kinsoku/>
        <w:wordWrap/>
        <w:overflowPunct/>
        <w:topLinePunct w:val="0"/>
        <w:autoSpaceDE/>
        <w:autoSpaceDN/>
        <w:bidi w:val="0"/>
        <w:adjustRightInd/>
        <w:snapToGrid/>
        <w:spacing w:before="130" w:after="120" w:line="640" w:lineRule="exact"/>
        <w:textAlignment w:val="auto"/>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编制:__________</w:t>
      </w:r>
    </w:p>
    <w:p w14:paraId="265F30B8">
      <w:pPr>
        <w:pStyle w:val="173"/>
        <w:keepNext w:val="0"/>
        <w:keepLines w:val="0"/>
        <w:pageBreakBefore w:val="0"/>
        <w:widowControl/>
        <w:kinsoku/>
        <w:wordWrap/>
        <w:overflowPunct/>
        <w:topLinePunct w:val="0"/>
        <w:autoSpaceDE/>
        <w:autoSpaceDN/>
        <w:bidi w:val="0"/>
        <w:adjustRightInd/>
        <w:snapToGrid/>
        <w:spacing w:before="130" w:after="120" w:line="640" w:lineRule="exact"/>
        <w:textAlignment w:val="auto"/>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审核:__________</w:t>
      </w:r>
    </w:p>
    <w:p w14:paraId="06D50558">
      <w:pPr>
        <w:pStyle w:val="173"/>
        <w:keepNext w:val="0"/>
        <w:keepLines w:val="0"/>
        <w:pageBreakBefore w:val="0"/>
        <w:widowControl/>
        <w:kinsoku/>
        <w:wordWrap/>
        <w:overflowPunct/>
        <w:topLinePunct w:val="0"/>
        <w:autoSpaceDE/>
        <w:autoSpaceDN/>
        <w:bidi w:val="0"/>
        <w:adjustRightInd/>
        <w:snapToGrid/>
        <w:spacing w:before="130" w:after="120" w:line="640" w:lineRule="exact"/>
        <w:textAlignment w:val="auto"/>
        <w:rPr>
          <w:rFonts w:hint="eastAsia"/>
          <w:b/>
          <w:color w:val="auto"/>
          <w:sz w:val="32"/>
          <w:highlight w:val="none"/>
        </w:rPr>
      </w:pPr>
      <w:r>
        <w:rPr>
          <w:rFonts w:hint="eastAsia" w:ascii="宋体" w:hAnsi="宋体" w:eastAsia="宋体" w:cs="宋体"/>
          <w:b/>
          <w:bCs/>
          <w:color w:val="auto"/>
          <w:sz w:val="32"/>
          <w:szCs w:val="32"/>
          <w:highlight w:val="none"/>
        </w:rPr>
        <w:t>批准:__________</w:t>
      </w:r>
    </w:p>
    <w:p w14:paraId="2D3D54EE">
      <w:pPr>
        <w:spacing w:line="276" w:lineRule="auto"/>
        <w:jc w:val="both"/>
        <w:rPr>
          <w:rFonts w:hint="eastAsia"/>
          <w:b/>
          <w:color w:val="auto"/>
          <w:sz w:val="32"/>
          <w:highlight w:val="none"/>
        </w:rPr>
      </w:pPr>
    </w:p>
    <w:p w14:paraId="7C011E58">
      <w:pPr>
        <w:pStyle w:val="172"/>
        <w:rPr>
          <w:rFonts w:hint="eastAsia"/>
          <w:b/>
          <w:color w:val="auto"/>
          <w:sz w:val="32"/>
          <w:highlight w:val="none"/>
        </w:rPr>
      </w:pPr>
    </w:p>
    <w:p w14:paraId="698995BE">
      <w:pPr>
        <w:pStyle w:val="172"/>
        <w:rPr>
          <w:rFonts w:hint="eastAsia"/>
          <w:b/>
          <w:color w:val="auto"/>
          <w:sz w:val="32"/>
          <w:highlight w:val="none"/>
        </w:rPr>
      </w:pPr>
    </w:p>
    <w:p w14:paraId="1816A261">
      <w:pPr>
        <w:widowControl/>
        <w:spacing w:line="420" w:lineRule="auto"/>
        <w:ind w:left="0" w:leftChars="0" w:right="100" w:firstLine="0" w:firstLineChars="0"/>
        <w:jc w:val="center"/>
        <w:outlineLvl w:val="9"/>
        <w:rPr>
          <w:rFonts w:hint="eastAsia" w:asciiTheme="minorEastAsia" w:hAnsiTheme="minorEastAsia"/>
          <w:b/>
          <w:sz w:val="32"/>
          <w:szCs w:val="32"/>
          <w:lang w:val="en-US" w:eastAsia="zh-CN"/>
        </w:rPr>
      </w:pPr>
      <w:r>
        <w:rPr>
          <w:rFonts w:hint="eastAsia" w:asciiTheme="minorEastAsia" w:hAnsiTheme="minorEastAsia"/>
          <w:b/>
          <w:sz w:val="32"/>
          <w:szCs w:val="32"/>
          <w:lang w:val="en-US" w:eastAsia="zh-CN"/>
        </w:rPr>
        <w:t>安徽开源路桥有限责任公司</w:t>
      </w:r>
    </w:p>
    <w:p w14:paraId="5DBEEDBA">
      <w:pPr>
        <w:widowControl/>
        <w:spacing w:line="420" w:lineRule="auto"/>
        <w:ind w:left="0" w:leftChars="0" w:right="100" w:firstLine="0" w:firstLineChars="0"/>
        <w:jc w:val="center"/>
        <w:outlineLvl w:val="9"/>
        <w:rPr>
          <w:rFonts w:hint="eastAsia" w:eastAsia="宋体" w:cs="宋体" w:asciiTheme="minorEastAsia" w:hAnsiTheme="minorEastAsia"/>
          <w:b/>
          <w:sz w:val="32"/>
          <w:szCs w:val="32"/>
          <w:lang w:val="en-US" w:eastAsia="zh-CN"/>
        </w:rPr>
      </w:pPr>
      <w:r>
        <w:rPr>
          <w:rFonts w:hint="eastAsia" w:eastAsia="宋体" w:cs="宋体" w:asciiTheme="minorEastAsia" w:hAnsiTheme="minorEastAsia"/>
          <w:b/>
          <w:sz w:val="32"/>
          <w:szCs w:val="32"/>
          <w:lang w:val="en-US" w:eastAsia="zh-CN"/>
        </w:rPr>
        <w:t>沈海线漳州龙海至诏安段（龙海北溪头至诏安闽粤界）</w:t>
      </w:r>
    </w:p>
    <w:p w14:paraId="1BCE8F43">
      <w:pPr>
        <w:widowControl/>
        <w:spacing w:line="420" w:lineRule="auto"/>
        <w:ind w:left="0" w:leftChars="0" w:right="100" w:firstLine="0" w:firstLineChars="0"/>
        <w:jc w:val="center"/>
        <w:outlineLvl w:val="9"/>
        <w:rPr>
          <w:rFonts w:hint="default" w:eastAsia="宋体" w:cs="宋体" w:asciiTheme="minorEastAsia" w:hAnsiTheme="minorEastAsia"/>
          <w:b/>
          <w:sz w:val="32"/>
          <w:szCs w:val="32"/>
          <w:lang w:val="en-US" w:eastAsia="zh-CN"/>
        </w:rPr>
      </w:pPr>
      <w:r>
        <w:rPr>
          <w:rFonts w:hint="eastAsia" w:eastAsia="宋体" w:cs="宋体" w:asciiTheme="minorEastAsia" w:hAnsiTheme="minorEastAsia"/>
          <w:b/>
          <w:sz w:val="32"/>
          <w:szCs w:val="32"/>
          <w:lang w:val="en-US" w:eastAsia="zh-CN"/>
        </w:rPr>
        <w:t>扩容工程A12合同段</w:t>
      </w:r>
      <w:r>
        <w:rPr>
          <w:rFonts w:hint="eastAsia" w:cs="宋体" w:asciiTheme="minorEastAsia" w:hAnsiTheme="minorEastAsia"/>
          <w:b/>
          <w:sz w:val="32"/>
          <w:szCs w:val="32"/>
          <w:lang w:val="en-US" w:eastAsia="zh-CN"/>
        </w:rPr>
        <w:t>项目经理部</w:t>
      </w:r>
    </w:p>
    <w:p w14:paraId="5EF52D4D">
      <w:pPr>
        <w:pStyle w:val="46"/>
        <w:ind w:left="0" w:leftChars="0" w:firstLine="0" w:firstLineChars="0"/>
        <w:jc w:val="center"/>
        <w:outlineLvl w:val="9"/>
        <w:rPr>
          <w:rFonts w:hint="eastAsia" w:eastAsia="宋体" w:cs="宋体" w:asciiTheme="minorEastAsia" w:hAnsiTheme="minorEastAsia"/>
          <w:b/>
          <w:kern w:val="2"/>
          <w:sz w:val="32"/>
          <w:szCs w:val="32"/>
          <w:lang w:val="en-US" w:eastAsia="zh-CN" w:bidi="ar-SA"/>
        </w:rPr>
      </w:pPr>
      <w:r>
        <w:rPr>
          <w:rFonts w:hint="eastAsia" w:eastAsia="宋体" w:cs="宋体" w:asciiTheme="minorEastAsia" w:hAnsiTheme="minorEastAsia"/>
          <w:b/>
          <w:kern w:val="2"/>
          <w:sz w:val="32"/>
          <w:szCs w:val="32"/>
          <w:lang w:val="en-US" w:eastAsia="zh-CN" w:bidi="ar-SA"/>
        </w:rPr>
        <w:t>二0二</w:t>
      </w:r>
      <w:r>
        <w:rPr>
          <w:rFonts w:hint="eastAsia" w:cs="宋体" w:asciiTheme="minorEastAsia" w:hAnsiTheme="minorEastAsia"/>
          <w:b/>
          <w:kern w:val="2"/>
          <w:sz w:val="32"/>
          <w:szCs w:val="32"/>
          <w:lang w:val="en-US" w:eastAsia="zh-CN" w:bidi="ar-SA"/>
        </w:rPr>
        <w:t>六</w:t>
      </w:r>
      <w:r>
        <w:rPr>
          <w:rFonts w:hint="eastAsia" w:eastAsia="宋体" w:cs="宋体" w:asciiTheme="minorEastAsia" w:hAnsiTheme="minorEastAsia"/>
          <w:b/>
          <w:kern w:val="2"/>
          <w:sz w:val="32"/>
          <w:szCs w:val="32"/>
          <w:lang w:val="en-US" w:eastAsia="zh-CN" w:bidi="ar-SA"/>
        </w:rPr>
        <w:t>年</w:t>
      </w:r>
      <w:r>
        <w:rPr>
          <w:rFonts w:hint="eastAsia" w:cs="宋体" w:asciiTheme="minorEastAsia" w:hAnsiTheme="minorEastAsia"/>
          <w:b/>
          <w:kern w:val="2"/>
          <w:sz w:val="32"/>
          <w:szCs w:val="32"/>
          <w:lang w:val="en-US" w:eastAsia="zh-CN" w:bidi="ar-SA"/>
        </w:rPr>
        <w:t>一</w:t>
      </w:r>
      <w:r>
        <w:rPr>
          <w:rFonts w:hint="eastAsia" w:eastAsia="宋体" w:cs="宋体" w:asciiTheme="minorEastAsia" w:hAnsiTheme="minorEastAsia"/>
          <w:b/>
          <w:kern w:val="2"/>
          <w:sz w:val="32"/>
          <w:szCs w:val="32"/>
          <w:lang w:val="en-US" w:eastAsia="zh-CN" w:bidi="ar-SA"/>
        </w:rPr>
        <w:t>月</w:t>
      </w:r>
    </w:p>
    <w:p w14:paraId="7490970D">
      <w:pPr>
        <w:pStyle w:val="22"/>
        <w:rPr>
          <w:rFonts w:hint="eastAsia"/>
          <w:lang w:val="en-US" w:eastAsia="zh-CN"/>
        </w:rPr>
        <w:sectPr>
          <w:headerReference r:id="rId5" w:type="default"/>
          <w:footerReference r:id="rId6" w:type="default"/>
          <w:pgSz w:w="11906" w:h="16838"/>
          <w:pgMar w:top="1440" w:right="1134" w:bottom="1440" w:left="1247" w:header="850" w:footer="992" w:gutter="0"/>
          <w:pgNumType w:fmt="numberInDash" w:start="1"/>
          <w:cols w:space="720" w:num="1"/>
          <w:docGrid w:linePitch="326" w:charSpace="0"/>
        </w:sectPr>
      </w:pPr>
    </w:p>
    <w:p w14:paraId="020C16F9">
      <w:pPr>
        <w:spacing w:line="240" w:lineRule="auto"/>
        <w:ind w:firstLine="0" w:firstLineChars="0"/>
        <w:jc w:val="center"/>
        <w:rPr>
          <w:rFonts w:hint="eastAsia" w:asciiTheme="minorEastAsia" w:hAnsiTheme="minorEastAsia" w:eastAsiaTheme="minorEastAsia" w:cstheme="minorEastAsia"/>
          <w:b/>
          <w:bCs/>
          <w:i w:val="0"/>
          <w:iCs w:val="0"/>
          <w:sz w:val="30"/>
          <w:szCs w:val="30"/>
        </w:rPr>
      </w:pPr>
      <w:r>
        <w:rPr>
          <w:rFonts w:hint="eastAsia" w:asciiTheme="minorEastAsia" w:hAnsiTheme="minorEastAsia" w:eastAsiaTheme="minorEastAsia" w:cstheme="minorEastAsia"/>
          <w:b/>
          <w:bCs/>
          <w:i w:val="0"/>
          <w:iCs w:val="0"/>
          <w:sz w:val="30"/>
          <w:szCs w:val="30"/>
        </w:rPr>
        <w:t>目</w:t>
      </w:r>
      <w:r>
        <w:rPr>
          <w:rFonts w:hint="eastAsia" w:asciiTheme="minorEastAsia" w:hAnsiTheme="minorEastAsia" w:eastAsiaTheme="minorEastAsia" w:cstheme="minorEastAsia"/>
          <w:b/>
          <w:bCs/>
          <w:i w:val="0"/>
          <w:iCs w:val="0"/>
          <w:sz w:val="30"/>
          <w:szCs w:val="30"/>
          <w:lang w:val="en-US" w:eastAsia="zh-CN"/>
        </w:rPr>
        <w:t xml:space="preserve">  </w:t>
      </w:r>
      <w:r>
        <w:rPr>
          <w:rFonts w:hint="eastAsia" w:asciiTheme="minorEastAsia" w:hAnsiTheme="minorEastAsia" w:eastAsiaTheme="minorEastAsia" w:cstheme="minorEastAsia"/>
          <w:b/>
          <w:bCs/>
          <w:i w:val="0"/>
          <w:iCs w:val="0"/>
          <w:sz w:val="30"/>
          <w:szCs w:val="30"/>
        </w:rPr>
        <w:t>录</w:t>
      </w:r>
    </w:p>
    <w:p w14:paraId="26469B63">
      <w:pPr>
        <w:pStyle w:val="34"/>
        <w:tabs>
          <w:tab w:val="right" w:leader="dot" w:pos="9525"/>
          <w:tab w:val="clear" w:pos="8930"/>
        </w:tabs>
      </w:pPr>
      <w:bookmarkStart w:id="3051" w:name="_GoBack"/>
      <w:bookmarkEnd w:id="3051"/>
      <w:r>
        <w:rPr>
          <w:rFonts w:hint="eastAsia" w:ascii="宋体" w:hAnsi="宋体" w:eastAsia="宋体" w:cs="宋体"/>
          <w:b w:val="0"/>
          <w:bCs/>
          <w:i w:val="0"/>
          <w:iCs w:val="0"/>
          <w:sz w:val="24"/>
          <w:szCs w:val="24"/>
        </w:rPr>
        <w:fldChar w:fldCharType="begin"/>
      </w:r>
      <w:r>
        <w:rPr>
          <w:rFonts w:hint="eastAsia" w:ascii="宋体" w:hAnsi="宋体" w:eastAsia="宋体" w:cs="宋体"/>
          <w:b w:val="0"/>
          <w:bCs/>
          <w:i w:val="0"/>
          <w:iCs w:val="0"/>
          <w:sz w:val="24"/>
          <w:szCs w:val="24"/>
        </w:rPr>
        <w:instrText xml:space="preserve">TOC \o "1-3" \h \u </w:instrText>
      </w:r>
      <w:r>
        <w:rPr>
          <w:rFonts w:hint="eastAsia" w:ascii="宋体" w:hAnsi="宋体" w:eastAsia="宋体" w:cs="宋体"/>
          <w:b w:val="0"/>
          <w:bCs/>
          <w:i w:val="0"/>
          <w:iCs w:val="0"/>
          <w:sz w:val="24"/>
          <w:szCs w:val="24"/>
        </w:rPr>
        <w:fldChar w:fldCharType="separate"/>
      </w: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_Toc22003 </w:instrText>
      </w:r>
      <w:r>
        <w:rPr>
          <w:rFonts w:hint="eastAsia" w:ascii="宋体" w:hAnsi="宋体" w:eastAsia="宋体" w:cs="宋体"/>
          <w:bCs/>
          <w:i w:val="0"/>
          <w:iCs w:val="0"/>
          <w:szCs w:val="24"/>
        </w:rPr>
        <w:fldChar w:fldCharType="separate"/>
      </w:r>
      <w:r>
        <w:rPr>
          <w:rFonts w:hint="eastAsia"/>
        </w:rPr>
        <w:t>第一章  编制依据及</w:t>
      </w:r>
      <w:r>
        <w:rPr>
          <w:rFonts w:hint="eastAsia"/>
          <w:lang w:val="en-US" w:eastAsia="zh-CN"/>
        </w:rPr>
        <w:t>范围</w:t>
      </w:r>
      <w:r>
        <w:tab/>
      </w:r>
      <w:r>
        <w:fldChar w:fldCharType="begin"/>
      </w:r>
      <w:r>
        <w:instrText xml:space="preserve"> PAGEREF _Toc22003 \h </w:instrText>
      </w:r>
      <w:r>
        <w:fldChar w:fldCharType="separate"/>
      </w:r>
      <w:r>
        <w:t>1</w:t>
      </w:r>
      <w:r>
        <w:fldChar w:fldCharType="end"/>
      </w:r>
      <w:r>
        <w:rPr>
          <w:rFonts w:hint="eastAsia" w:ascii="宋体" w:hAnsi="宋体" w:eastAsia="宋体" w:cs="宋体"/>
          <w:bCs/>
          <w:i w:val="0"/>
          <w:iCs w:val="0"/>
          <w:szCs w:val="24"/>
        </w:rPr>
        <w:fldChar w:fldCharType="end"/>
      </w:r>
    </w:p>
    <w:p w14:paraId="226EE50A">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_Toc29786 </w:instrText>
      </w:r>
      <w:r>
        <w:rPr>
          <w:rFonts w:hint="eastAsia" w:ascii="宋体" w:hAnsi="宋体" w:eastAsia="宋体" w:cs="宋体"/>
          <w:bCs/>
          <w:i w:val="0"/>
          <w:iCs w:val="0"/>
          <w:szCs w:val="24"/>
        </w:rPr>
        <w:fldChar w:fldCharType="separate"/>
      </w:r>
      <w:r>
        <w:rPr>
          <w:rFonts w:hint="default"/>
          <w:lang w:val="en-US" w:eastAsia="zh-CN"/>
        </w:rPr>
        <w:t>1.1.</w:t>
      </w:r>
      <w:r>
        <w:rPr>
          <w:rFonts w:hint="eastAsia"/>
        </w:rPr>
        <w:t>文件依据</w:t>
      </w:r>
      <w:r>
        <w:tab/>
      </w:r>
      <w:r>
        <w:fldChar w:fldCharType="begin"/>
      </w:r>
      <w:r>
        <w:instrText xml:space="preserve"> PAGEREF _Toc29786 \h </w:instrText>
      </w:r>
      <w:r>
        <w:fldChar w:fldCharType="separate"/>
      </w:r>
      <w:r>
        <w:t>1</w:t>
      </w:r>
      <w:r>
        <w:fldChar w:fldCharType="end"/>
      </w:r>
      <w:r>
        <w:rPr>
          <w:rFonts w:hint="eastAsia" w:ascii="宋体" w:hAnsi="宋体" w:eastAsia="宋体" w:cs="宋体"/>
          <w:bCs/>
          <w:i w:val="0"/>
          <w:iCs w:val="0"/>
          <w:szCs w:val="24"/>
        </w:rPr>
        <w:fldChar w:fldCharType="end"/>
      </w:r>
    </w:p>
    <w:p w14:paraId="649BCE4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_Toc4642 </w:instrText>
      </w:r>
      <w:r>
        <w:rPr>
          <w:rFonts w:hint="eastAsia" w:ascii="宋体" w:hAnsi="宋体" w:eastAsia="宋体" w:cs="宋体"/>
          <w:bCs/>
          <w:i w:val="0"/>
          <w:iCs w:val="0"/>
          <w:szCs w:val="24"/>
        </w:rPr>
        <w:fldChar w:fldCharType="separate"/>
      </w:r>
      <w:r>
        <w:rPr>
          <w:rFonts w:hint="eastAsia" w:ascii="Times New Roman" w:hAnsi="Times New Roman" w:eastAsia="宋体" w:cs="Times New Roman"/>
          <w:kern w:val="0"/>
          <w:szCs w:val="20"/>
          <w:lang w:val="en-US" w:eastAsia="zh-CN"/>
        </w:rPr>
        <w:t>1.1.1相关法律法规</w:t>
      </w:r>
      <w:r>
        <w:tab/>
      </w:r>
      <w:r>
        <w:fldChar w:fldCharType="begin"/>
      </w:r>
      <w:r>
        <w:instrText xml:space="preserve"> PAGEREF _Toc4642 \h </w:instrText>
      </w:r>
      <w:r>
        <w:fldChar w:fldCharType="separate"/>
      </w:r>
      <w:r>
        <w:t>1</w:t>
      </w:r>
      <w:r>
        <w:fldChar w:fldCharType="end"/>
      </w:r>
      <w:r>
        <w:rPr>
          <w:rFonts w:hint="eastAsia" w:ascii="宋体" w:hAnsi="宋体" w:eastAsia="宋体" w:cs="宋体"/>
          <w:bCs/>
          <w:i w:val="0"/>
          <w:iCs w:val="0"/>
          <w:szCs w:val="24"/>
        </w:rPr>
        <w:fldChar w:fldCharType="end"/>
      </w:r>
    </w:p>
    <w:p w14:paraId="6DA7C2E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_Toc27903 </w:instrText>
      </w:r>
      <w:r>
        <w:rPr>
          <w:rFonts w:hint="eastAsia" w:ascii="宋体" w:hAnsi="宋体" w:eastAsia="宋体" w:cs="宋体"/>
          <w:bCs/>
          <w:i w:val="0"/>
          <w:iCs w:val="0"/>
          <w:szCs w:val="24"/>
        </w:rPr>
        <w:fldChar w:fldCharType="separate"/>
      </w:r>
      <w:r>
        <w:rPr>
          <w:rFonts w:hint="eastAsia" w:ascii="Times New Roman" w:hAnsi="Times New Roman" w:eastAsia="宋体" w:cs="Times New Roman"/>
          <w:kern w:val="0"/>
          <w:szCs w:val="20"/>
          <w:lang w:val="en-US" w:eastAsia="zh-CN"/>
        </w:rPr>
        <w:t>1.1.2 相关标准、规范、规程、指南</w:t>
      </w:r>
      <w:r>
        <w:tab/>
      </w:r>
      <w:r>
        <w:fldChar w:fldCharType="begin"/>
      </w:r>
      <w:r>
        <w:instrText xml:space="preserve"> PAGEREF _Toc27903 \h </w:instrText>
      </w:r>
      <w:r>
        <w:fldChar w:fldCharType="separate"/>
      </w:r>
      <w:r>
        <w:t>1</w:t>
      </w:r>
      <w:r>
        <w:fldChar w:fldCharType="end"/>
      </w:r>
      <w:r>
        <w:rPr>
          <w:rFonts w:hint="eastAsia" w:ascii="宋体" w:hAnsi="宋体" w:eastAsia="宋体" w:cs="宋体"/>
          <w:bCs/>
          <w:i w:val="0"/>
          <w:iCs w:val="0"/>
          <w:szCs w:val="24"/>
        </w:rPr>
        <w:fldChar w:fldCharType="end"/>
      </w:r>
    </w:p>
    <w:p w14:paraId="6C74770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_Toc8760 </w:instrText>
      </w:r>
      <w:r>
        <w:rPr>
          <w:rFonts w:hint="eastAsia" w:ascii="宋体" w:hAnsi="宋体" w:eastAsia="宋体" w:cs="宋体"/>
          <w:bCs/>
          <w:i w:val="0"/>
          <w:iCs w:val="0"/>
          <w:szCs w:val="24"/>
        </w:rPr>
        <w:fldChar w:fldCharType="separate"/>
      </w:r>
      <w:r>
        <w:rPr>
          <w:rFonts w:hint="eastAsia" w:ascii="Times New Roman" w:hAnsi="Times New Roman" w:eastAsia="宋体" w:cs="Times New Roman"/>
          <w:kern w:val="0"/>
          <w:szCs w:val="20"/>
        </w:rPr>
        <w:t>1.</w:t>
      </w:r>
      <w:r>
        <w:rPr>
          <w:rFonts w:hint="eastAsia" w:ascii="Times New Roman" w:hAnsi="Times New Roman" w:eastAsia="宋体" w:cs="Times New Roman"/>
          <w:kern w:val="0"/>
          <w:szCs w:val="20"/>
          <w:lang w:val="en-US" w:eastAsia="zh-CN"/>
        </w:rPr>
        <w:t>1</w:t>
      </w:r>
      <w:r>
        <w:rPr>
          <w:rFonts w:hint="eastAsia" w:ascii="Times New Roman" w:hAnsi="Times New Roman" w:eastAsia="宋体" w:cs="Times New Roman"/>
          <w:kern w:val="0"/>
          <w:szCs w:val="20"/>
        </w:rPr>
        <w:t>.</w:t>
      </w:r>
      <w:r>
        <w:rPr>
          <w:rFonts w:hint="eastAsia" w:ascii="Times New Roman" w:hAnsi="Times New Roman" w:cs="Times New Roman"/>
          <w:kern w:val="0"/>
          <w:szCs w:val="20"/>
          <w:lang w:val="en-US" w:eastAsia="zh-CN"/>
        </w:rPr>
        <w:t>3</w:t>
      </w:r>
      <w:r>
        <w:rPr>
          <w:rFonts w:hint="eastAsia" w:ascii="Times New Roman" w:hAnsi="Times New Roman" w:eastAsia="宋体" w:cs="Times New Roman"/>
          <w:kern w:val="0"/>
          <w:szCs w:val="20"/>
        </w:rPr>
        <w:t xml:space="preserve"> 业主文件</w:t>
      </w:r>
      <w:r>
        <w:tab/>
      </w:r>
      <w:r>
        <w:fldChar w:fldCharType="begin"/>
      </w:r>
      <w:r>
        <w:instrText xml:space="preserve"> PAGEREF _Toc8760 \h </w:instrText>
      </w:r>
      <w:r>
        <w:fldChar w:fldCharType="separate"/>
      </w:r>
      <w:r>
        <w:t>3</w:t>
      </w:r>
      <w:r>
        <w:fldChar w:fldCharType="end"/>
      </w:r>
      <w:r>
        <w:rPr>
          <w:rFonts w:hint="eastAsia" w:ascii="宋体" w:hAnsi="宋体" w:eastAsia="宋体" w:cs="宋体"/>
          <w:bCs/>
          <w:i w:val="0"/>
          <w:iCs w:val="0"/>
          <w:szCs w:val="24"/>
        </w:rPr>
        <w:fldChar w:fldCharType="end"/>
      </w:r>
    </w:p>
    <w:p w14:paraId="0359C82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_Toc18897 </w:instrText>
      </w:r>
      <w:r>
        <w:rPr>
          <w:rFonts w:hint="eastAsia" w:ascii="宋体" w:hAnsi="宋体" w:eastAsia="宋体" w:cs="宋体"/>
          <w:bCs/>
          <w:i w:val="0"/>
          <w:iCs w:val="0"/>
          <w:szCs w:val="24"/>
        </w:rPr>
        <w:fldChar w:fldCharType="separate"/>
      </w:r>
      <w:r>
        <w:rPr>
          <w:rFonts w:hint="eastAsia" w:ascii="Times New Roman" w:hAnsi="Times New Roman" w:eastAsia="宋体" w:cs="Times New Roman"/>
          <w:kern w:val="0"/>
          <w:szCs w:val="20"/>
        </w:rPr>
        <w:t>1.</w:t>
      </w:r>
      <w:r>
        <w:rPr>
          <w:rFonts w:hint="eastAsia" w:ascii="Times New Roman" w:hAnsi="Times New Roman" w:eastAsia="宋体" w:cs="Times New Roman"/>
          <w:kern w:val="0"/>
          <w:szCs w:val="20"/>
          <w:lang w:val="en-US" w:eastAsia="zh-CN"/>
        </w:rPr>
        <w:t>1</w:t>
      </w:r>
      <w:r>
        <w:rPr>
          <w:rFonts w:hint="eastAsia" w:ascii="Times New Roman" w:hAnsi="Times New Roman" w:eastAsia="宋体" w:cs="Times New Roman"/>
          <w:kern w:val="0"/>
          <w:szCs w:val="20"/>
        </w:rPr>
        <w:t>.</w:t>
      </w:r>
      <w:r>
        <w:rPr>
          <w:rFonts w:hint="eastAsia" w:ascii="Times New Roman" w:hAnsi="Times New Roman" w:eastAsia="宋体" w:cs="Times New Roman"/>
          <w:kern w:val="0"/>
          <w:szCs w:val="20"/>
          <w:lang w:val="en-US" w:eastAsia="zh-CN"/>
        </w:rPr>
        <w:t>4</w:t>
      </w:r>
      <w:r>
        <w:rPr>
          <w:rFonts w:hint="eastAsia" w:ascii="Times New Roman" w:hAnsi="Times New Roman" w:eastAsia="宋体" w:cs="Times New Roman"/>
          <w:kern w:val="0"/>
          <w:szCs w:val="20"/>
        </w:rPr>
        <w:t xml:space="preserve"> </w:t>
      </w:r>
      <w:r>
        <w:rPr>
          <w:rFonts w:hint="eastAsia" w:ascii="Times New Roman" w:hAnsi="Times New Roman" w:eastAsia="宋体" w:cs="Times New Roman"/>
          <w:kern w:val="0"/>
          <w:szCs w:val="20"/>
          <w:lang w:val="en-US" w:eastAsia="zh-CN"/>
        </w:rPr>
        <w:t>其它</w:t>
      </w:r>
      <w:r>
        <w:tab/>
      </w:r>
      <w:r>
        <w:fldChar w:fldCharType="begin"/>
      </w:r>
      <w:r>
        <w:instrText xml:space="preserve"> PAGEREF _Toc18897 \h </w:instrText>
      </w:r>
      <w:r>
        <w:fldChar w:fldCharType="separate"/>
      </w:r>
      <w:r>
        <w:t>3</w:t>
      </w:r>
      <w:r>
        <w:fldChar w:fldCharType="end"/>
      </w:r>
      <w:r>
        <w:rPr>
          <w:rFonts w:hint="eastAsia" w:ascii="宋体" w:hAnsi="宋体" w:eastAsia="宋体" w:cs="宋体"/>
          <w:bCs/>
          <w:i w:val="0"/>
          <w:iCs w:val="0"/>
          <w:szCs w:val="24"/>
        </w:rPr>
        <w:fldChar w:fldCharType="end"/>
      </w:r>
    </w:p>
    <w:p w14:paraId="4528AA8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_Toc29480 </w:instrText>
      </w:r>
      <w:r>
        <w:rPr>
          <w:rFonts w:hint="eastAsia" w:ascii="宋体" w:hAnsi="宋体" w:eastAsia="宋体" w:cs="宋体"/>
          <w:bCs/>
          <w:i w:val="0"/>
          <w:iCs w:val="0"/>
          <w:szCs w:val="24"/>
        </w:rPr>
        <w:fldChar w:fldCharType="separate"/>
      </w:r>
      <w:r>
        <w:rPr>
          <w:rFonts w:hint="eastAsia" w:ascii="Arial" w:hAnsi="Arial" w:eastAsia="宋体" w:cs="宋体"/>
          <w:lang w:val="en-US" w:eastAsia="zh-CN"/>
        </w:rPr>
        <w:t>1.2 编制范围</w:t>
      </w:r>
      <w:r>
        <w:tab/>
      </w:r>
      <w:r>
        <w:fldChar w:fldCharType="begin"/>
      </w:r>
      <w:r>
        <w:instrText xml:space="preserve"> PAGEREF _Toc29480 \h </w:instrText>
      </w:r>
      <w:r>
        <w:fldChar w:fldCharType="separate"/>
      </w:r>
      <w:r>
        <w:t>3</w:t>
      </w:r>
      <w:r>
        <w:fldChar w:fldCharType="end"/>
      </w:r>
      <w:r>
        <w:rPr>
          <w:rFonts w:hint="eastAsia" w:ascii="宋体" w:hAnsi="宋体" w:eastAsia="宋体" w:cs="宋体"/>
          <w:bCs/>
          <w:i w:val="0"/>
          <w:iCs w:val="0"/>
          <w:szCs w:val="24"/>
        </w:rPr>
        <w:fldChar w:fldCharType="end"/>
      </w:r>
    </w:p>
    <w:p w14:paraId="5BB40915">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_Toc29935 </w:instrText>
      </w:r>
      <w:r>
        <w:rPr>
          <w:rFonts w:hint="eastAsia" w:ascii="宋体" w:hAnsi="宋体" w:eastAsia="宋体" w:cs="宋体"/>
          <w:bCs/>
          <w:i w:val="0"/>
          <w:iCs w:val="0"/>
          <w:szCs w:val="24"/>
        </w:rPr>
        <w:fldChar w:fldCharType="separate"/>
      </w:r>
      <w:r>
        <w:rPr>
          <w:rFonts w:hint="eastAsia"/>
        </w:rPr>
        <w:t>第</w:t>
      </w:r>
      <w:r>
        <w:rPr>
          <w:rFonts w:hint="eastAsia"/>
          <w:lang w:val="en-US" w:eastAsia="zh-CN"/>
        </w:rPr>
        <w:t>二</w:t>
      </w:r>
      <w:r>
        <w:rPr>
          <w:rFonts w:hint="eastAsia"/>
        </w:rPr>
        <w:t>章  编制原则</w:t>
      </w:r>
      <w:r>
        <w:tab/>
      </w:r>
      <w:r>
        <w:fldChar w:fldCharType="begin"/>
      </w:r>
      <w:r>
        <w:instrText xml:space="preserve"> PAGEREF _Toc29935 \h </w:instrText>
      </w:r>
      <w:r>
        <w:fldChar w:fldCharType="separate"/>
      </w:r>
      <w:r>
        <w:t>3</w:t>
      </w:r>
      <w:r>
        <w:fldChar w:fldCharType="end"/>
      </w:r>
      <w:r>
        <w:rPr>
          <w:rFonts w:hint="eastAsia" w:ascii="宋体" w:hAnsi="宋体" w:eastAsia="宋体" w:cs="宋体"/>
          <w:bCs/>
          <w:i w:val="0"/>
          <w:iCs w:val="0"/>
          <w:szCs w:val="24"/>
        </w:rPr>
        <w:fldChar w:fldCharType="end"/>
      </w:r>
    </w:p>
    <w:p w14:paraId="3570B7DB">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_Toc7081 </w:instrText>
      </w:r>
      <w:r>
        <w:rPr>
          <w:rFonts w:hint="eastAsia" w:ascii="宋体" w:hAnsi="宋体" w:eastAsia="宋体" w:cs="宋体"/>
          <w:bCs/>
          <w:i w:val="0"/>
          <w:iCs w:val="0"/>
          <w:szCs w:val="24"/>
        </w:rPr>
        <w:fldChar w:fldCharType="separate"/>
      </w:r>
      <w:r>
        <w:rPr>
          <w:rFonts w:hint="eastAsia"/>
        </w:rPr>
        <w:t>第</w:t>
      </w:r>
      <w:r>
        <w:rPr>
          <w:rFonts w:hint="eastAsia"/>
          <w:lang w:val="en-US" w:eastAsia="zh-CN"/>
        </w:rPr>
        <w:t>三</w:t>
      </w:r>
      <w:r>
        <w:rPr>
          <w:rFonts w:hint="eastAsia"/>
        </w:rPr>
        <w:t xml:space="preserve">章  </w:t>
      </w:r>
      <w:r>
        <w:rPr>
          <w:rFonts w:hint="eastAsia" w:ascii="宋体" w:hAnsi="宋体" w:eastAsia="宋体" w:cs="宋体"/>
        </w:rPr>
        <w:t>工程概况</w:t>
      </w:r>
      <w:r>
        <w:tab/>
      </w:r>
      <w:r>
        <w:fldChar w:fldCharType="begin"/>
      </w:r>
      <w:r>
        <w:instrText xml:space="preserve"> PAGEREF _Toc7081 \h </w:instrText>
      </w:r>
      <w:r>
        <w:fldChar w:fldCharType="separate"/>
      </w:r>
      <w:r>
        <w:t>3</w:t>
      </w:r>
      <w:r>
        <w:fldChar w:fldCharType="end"/>
      </w:r>
      <w:r>
        <w:rPr>
          <w:rFonts w:hint="eastAsia" w:ascii="宋体" w:hAnsi="宋体" w:eastAsia="宋体" w:cs="宋体"/>
          <w:bCs/>
          <w:i w:val="0"/>
          <w:iCs w:val="0"/>
          <w:szCs w:val="24"/>
        </w:rPr>
        <w:fldChar w:fldCharType="end"/>
      </w:r>
    </w:p>
    <w:p w14:paraId="011BA16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_Toc29436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3.1.</w:t>
      </w:r>
      <w:r>
        <w:rPr>
          <w:rFonts w:hint="eastAsia" w:ascii="宋体" w:hAnsi="宋体" w:eastAsia="宋体" w:cs="宋体"/>
        </w:rPr>
        <w:t>工程简介</w:t>
      </w:r>
      <w:r>
        <w:tab/>
      </w:r>
      <w:r>
        <w:fldChar w:fldCharType="begin"/>
      </w:r>
      <w:r>
        <w:instrText xml:space="preserve"> PAGEREF _Toc29436 \h </w:instrText>
      </w:r>
      <w:r>
        <w:fldChar w:fldCharType="separate"/>
      </w:r>
      <w:r>
        <w:t>4</w:t>
      </w:r>
      <w:r>
        <w:fldChar w:fldCharType="end"/>
      </w:r>
      <w:r>
        <w:rPr>
          <w:rFonts w:hint="eastAsia" w:ascii="宋体" w:hAnsi="宋体" w:eastAsia="宋体" w:cs="宋体"/>
          <w:bCs/>
          <w:i w:val="0"/>
          <w:iCs w:val="0"/>
          <w:szCs w:val="24"/>
        </w:rPr>
        <w:fldChar w:fldCharType="end"/>
      </w:r>
    </w:p>
    <w:p w14:paraId="5E6541EF">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_Toc23412 </w:instrText>
      </w:r>
      <w:r>
        <w:rPr>
          <w:rFonts w:hint="eastAsia" w:ascii="宋体" w:hAnsi="宋体" w:eastAsia="宋体" w:cs="宋体"/>
          <w:bCs/>
          <w:i w:val="0"/>
          <w:iCs w:val="0"/>
          <w:szCs w:val="24"/>
        </w:rPr>
        <w:fldChar w:fldCharType="separate"/>
      </w:r>
      <w:r>
        <w:rPr>
          <w:rFonts w:hint="default"/>
          <w:lang w:val="en-US" w:eastAsia="zh-CN"/>
        </w:rPr>
        <w:t>3.2.</w:t>
      </w:r>
      <w:r>
        <w:rPr>
          <w:rFonts w:hint="eastAsia"/>
        </w:rPr>
        <w:t>主要工程数量</w:t>
      </w:r>
      <w:r>
        <w:tab/>
      </w:r>
      <w:r>
        <w:fldChar w:fldCharType="begin"/>
      </w:r>
      <w:r>
        <w:instrText xml:space="preserve"> PAGEREF _Toc23412 \h </w:instrText>
      </w:r>
      <w:r>
        <w:fldChar w:fldCharType="separate"/>
      </w:r>
      <w:r>
        <w:t>5</w:t>
      </w:r>
      <w:r>
        <w:fldChar w:fldCharType="end"/>
      </w:r>
      <w:r>
        <w:rPr>
          <w:rFonts w:hint="eastAsia" w:ascii="宋体" w:hAnsi="宋体" w:eastAsia="宋体" w:cs="宋体"/>
          <w:bCs/>
          <w:i w:val="0"/>
          <w:iCs w:val="0"/>
          <w:szCs w:val="24"/>
        </w:rPr>
        <w:fldChar w:fldCharType="end"/>
      </w:r>
    </w:p>
    <w:p w14:paraId="66838AAF">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_Toc9190 </w:instrText>
      </w:r>
      <w:r>
        <w:rPr>
          <w:rFonts w:hint="eastAsia" w:ascii="宋体" w:hAnsi="宋体" w:eastAsia="宋体" w:cs="宋体"/>
          <w:bCs/>
          <w:i w:val="0"/>
          <w:iCs w:val="0"/>
          <w:szCs w:val="24"/>
        </w:rPr>
        <w:fldChar w:fldCharType="separate"/>
      </w:r>
      <w:r>
        <w:rPr>
          <w:rFonts w:hint="default"/>
          <w:lang w:val="en-US" w:eastAsia="zh-CN"/>
        </w:rPr>
        <w:t>3.3.</w:t>
      </w:r>
      <w:r>
        <w:rPr>
          <w:rFonts w:hint="eastAsia"/>
        </w:rPr>
        <w:t>合同工期及造价</w:t>
      </w:r>
      <w:r>
        <w:tab/>
      </w:r>
      <w:r>
        <w:fldChar w:fldCharType="begin"/>
      </w:r>
      <w:r>
        <w:instrText xml:space="preserve"> PAGEREF _Toc9190 \h </w:instrText>
      </w:r>
      <w:r>
        <w:fldChar w:fldCharType="separate"/>
      </w:r>
      <w:r>
        <w:t>7</w:t>
      </w:r>
      <w:r>
        <w:fldChar w:fldCharType="end"/>
      </w:r>
      <w:r>
        <w:rPr>
          <w:rFonts w:hint="eastAsia" w:ascii="宋体" w:hAnsi="宋体" w:eastAsia="宋体" w:cs="宋体"/>
          <w:bCs/>
          <w:i w:val="0"/>
          <w:iCs w:val="0"/>
          <w:szCs w:val="24"/>
        </w:rPr>
        <w:fldChar w:fldCharType="end"/>
      </w:r>
    </w:p>
    <w:p w14:paraId="582A0D3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_Toc7535 </w:instrText>
      </w:r>
      <w:r>
        <w:rPr>
          <w:rFonts w:hint="eastAsia" w:ascii="宋体" w:hAnsi="宋体" w:eastAsia="宋体" w:cs="宋体"/>
          <w:bCs/>
          <w:i w:val="0"/>
          <w:iCs w:val="0"/>
          <w:szCs w:val="24"/>
        </w:rPr>
        <w:fldChar w:fldCharType="separate"/>
      </w:r>
      <w:r>
        <w:rPr>
          <w:rFonts w:hint="default" w:ascii="Arial" w:hAnsi="Arial" w:eastAsia="宋体" w:cs="宋体"/>
          <w:lang w:val="en-US" w:eastAsia="zh-CN"/>
        </w:rPr>
        <w:t>3.4.</w:t>
      </w:r>
      <w:r>
        <w:rPr>
          <w:rFonts w:hint="eastAsia" w:ascii="Arial" w:hAnsi="Arial" w:eastAsia="宋体" w:cs="宋体"/>
          <w:lang w:val="en-US" w:eastAsia="zh-CN"/>
        </w:rPr>
        <w:t>主要技术标准</w:t>
      </w:r>
      <w:r>
        <w:tab/>
      </w:r>
      <w:r>
        <w:fldChar w:fldCharType="begin"/>
      </w:r>
      <w:r>
        <w:instrText xml:space="preserve"> PAGEREF _Toc7535 \h </w:instrText>
      </w:r>
      <w:r>
        <w:fldChar w:fldCharType="separate"/>
      </w:r>
      <w:r>
        <w:t>8</w:t>
      </w:r>
      <w:r>
        <w:fldChar w:fldCharType="end"/>
      </w:r>
      <w:r>
        <w:rPr>
          <w:rFonts w:hint="eastAsia" w:ascii="宋体" w:hAnsi="宋体" w:eastAsia="宋体" w:cs="宋体"/>
          <w:bCs/>
          <w:i w:val="0"/>
          <w:iCs w:val="0"/>
          <w:szCs w:val="24"/>
        </w:rPr>
        <w:fldChar w:fldCharType="end"/>
      </w:r>
    </w:p>
    <w:p w14:paraId="4C8A897B">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_Toc28392 </w:instrText>
      </w:r>
      <w:r>
        <w:rPr>
          <w:rFonts w:hint="eastAsia" w:ascii="宋体" w:hAnsi="宋体" w:eastAsia="宋体" w:cs="宋体"/>
          <w:bCs/>
          <w:i w:val="0"/>
          <w:iCs w:val="0"/>
          <w:szCs w:val="24"/>
        </w:rPr>
        <w:fldChar w:fldCharType="separate"/>
      </w:r>
      <w:r>
        <w:rPr>
          <w:rFonts w:hint="default" w:ascii="Arial" w:hAnsi="Arial" w:eastAsia="宋体" w:cs="宋体"/>
          <w:lang w:val="en-US" w:eastAsia="zh-CN"/>
        </w:rPr>
        <w:t>3.5.</w:t>
      </w:r>
      <w:r>
        <w:rPr>
          <w:rFonts w:hint="eastAsia" w:ascii="Arial" w:hAnsi="Arial" w:eastAsia="宋体" w:cs="宋体"/>
          <w:lang w:val="en-US" w:eastAsia="zh-CN"/>
        </w:rPr>
        <w:t>参建单位</w:t>
      </w:r>
      <w:r>
        <w:tab/>
      </w:r>
      <w:r>
        <w:fldChar w:fldCharType="begin"/>
      </w:r>
      <w:r>
        <w:instrText xml:space="preserve"> PAGEREF _Toc28392 \h </w:instrText>
      </w:r>
      <w:r>
        <w:fldChar w:fldCharType="separate"/>
      </w:r>
      <w:r>
        <w:t>8</w:t>
      </w:r>
      <w:r>
        <w:fldChar w:fldCharType="end"/>
      </w:r>
      <w:r>
        <w:rPr>
          <w:rFonts w:hint="eastAsia" w:ascii="宋体" w:hAnsi="宋体" w:eastAsia="宋体" w:cs="宋体"/>
          <w:bCs/>
          <w:i w:val="0"/>
          <w:iCs w:val="0"/>
          <w:szCs w:val="24"/>
        </w:rPr>
        <w:fldChar w:fldCharType="end"/>
      </w:r>
    </w:p>
    <w:p w14:paraId="63C53D2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_Toc23595 </w:instrText>
      </w:r>
      <w:r>
        <w:rPr>
          <w:rFonts w:hint="eastAsia" w:ascii="宋体" w:hAnsi="宋体" w:eastAsia="宋体" w:cs="宋体"/>
          <w:bCs/>
          <w:i w:val="0"/>
          <w:iCs w:val="0"/>
          <w:szCs w:val="24"/>
        </w:rPr>
        <w:fldChar w:fldCharType="separate"/>
      </w:r>
      <w:r>
        <w:rPr>
          <w:rFonts w:hint="default" w:ascii="Arial" w:hAnsi="Arial" w:eastAsia="宋体" w:cs="宋体"/>
          <w:lang w:val="en-US" w:eastAsia="zh-CN"/>
        </w:rPr>
        <w:t>3.6.</w:t>
      </w:r>
      <w:r>
        <w:rPr>
          <w:rFonts w:hint="eastAsia" w:ascii="Arial" w:hAnsi="Arial" w:eastAsia="宋体" w:cs="宋体"/>
          <w:lang w:val="en-US" w:eastAsia="zh-CN"/>
        </w:rPr>
        <w:t>自然地理</w:t>
      </w:r>
      <w:r>
        <w:rPr>
          <w:rFonts w:hint="eastAsia" w:cs="宋体"/>
          <w:lang w:val="en-US" w:eastAsia="zh-CN"/>
        </w:rPr>
        <w:t>条件</w:t>
      </w:r>
      <w:r>
        <w:tab/>
      </w:r>
      <w:r>
        <w:fldChar w:fldCharType="begin"/>
      </w:r>
      <w:r>
        <w:instrText xml:space="preserve"> PAGEREF _Toc23595 \h </w:instrText>
      </w:r>
      <w:r>
        <w:fldChar w:fldCharType="separate"/>
      </w:r>
      <w:r>
        <w:t>8</w:t>
      </w:r>
      <w:r>
        <w:fldChar w:fldCharType="end"/>
      </w:r>
      <w:r>
        <w:rPr>
          <w:rFonts w:hint="eastAsia" w:ascii="宋体" w:hAnsi="宋体" w:eastAsia="宋体" w:cs="宋体"/>
          <w:bCs/>
          <w:i w:val="0"/>
          <w:iCs w:val="0"/>
          <w:szCs w:val="24"/>
        </w:rPr>
        <w:fldChar w:fldCharType="end"/>
      </w:r>
    </w:p>
    <w:p w14:paraId="74D5EDD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_Toc23436 </w:instrText>
      </w:r>
      <w:r>
        <w:rPr>
          <w:rFonts w:hint="eastAsia" w:ascii="宋体" w:hAnsi="宋体" w:eastAsia="宋体" w:cs="宋体"/>
          <w:bCs/>
          <w:i w:val="0"/>
          <w:iCs w:val="0"/>
          <w:szCs w:val="24"/>
        </w:rPr>
        <w:fldChar w:fldCharType="separate"/>
      </w:r>
      <w:r>
        <w:rPr>
          <w:rFonts w:hint="default" w:ascii="宋体" w:hAnsi="宋体" w:cs="Times New Roman"/>
          <w:bCs/>
          <w:kern w:val="2"/>
          <w:szCs w:val="32"/>
          <w:lang w:val="en-US" w:eastAsia="zh-CN" w:bidi="ar-SA"/>
        </w:rPr>
        <w:t>3.6.1.</w:t>
      </w:r>
      <w:r>
        <w:rPr>
          <w:rFonts w:hint="eastAsia" w:ascii="宋体" w:hAnsi="宋体" w:cs="Times New Roman"/>
          <w:bCs/>
          <w:kern w:val="2"/>
          <w:szCs w:val="32"/>
          <w:lang w:val="en-US" w:eastAsia="zh-CN" w:bidi="ar-SA"/>
        </w:rPr>
        <w:t>地理位置于交通</w:t>
      </w:r>
      <w:r>
        <w:tab/>
      </w:r>
      <w:r>
        <w:fldChar w:fldCharType="begin"/>
      </w:r>
      <w:r>
        <w:instrText xml:space="preserve"> PAGEREF _Toc23436 \h </w:instrText>
      </w:r>
      <w:r>
        <w:fldChar w:fldCharType="separate"/>
      </w:r>
      <w:r>
        <w:t>8</w:t>
      </w:r>
      <w:r>
        <w:fldChar w:fldCharType="end"/>
      </w:r>
      <w:r>
        <w:rPr>
          <w:rFonts w:hint="eastAsia" w:ascii="宋体" w:hAnsi="宋体" w:eastAsia="宋体" w:cs="宋体"/>
          <w:bCs/>
          <w:i w:val="0"/>
          <w:iCs w:val="0"/>
          <w:szCs w:val="24"/>
        </w:rPr>
        <w:fldChar w:fldCharType="end"/>
      </w:r>
    </w:p>
    <w:p w14:paraId="0B1C49E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_Toc862 </w:instrText>
      </w:r>
      <w:r>
        <w:rPr>
          <w:rFonts w:hint="eastAsia" w:ascii="宋体" w:hAnsi="宋体" w:eastAsia="宋体" w:cs="宋体"/>
          <w:bCs/>
          <w:i w:val="0"/>
          <w:iCs w:val="0"/>
          <w:szCs w:val="24"/>
        </w:rPr>
        <w:fldChar w:fldCharType="separate"/>
      </w:r>
      <w:r>
        <w:rPr>
          <w:rFonts w:hint="default" w:ascii="宋体" w:hAnsi="宋体" w:cs="Times New Roman"/>
          <w:bCs/>
          <w:kern w:val="2"/>
          <w:szCs w:val="32"/>
          <w:lang w:val="en-US" w:eastAsia="zh-CN" w:bidi="ar-SA"/>
        </w:rPr>
        <w:t>3.6.</w:t>
      </w:r>
      <w:r>
        <w:rPr>
          <w:rFonts w:hint="eastAsia" w:ascii="宋体" w:hAnsi="宋体" w:cs="Times New Roman"/>
          <w:bCs/>
          <w:kern w:val="2"/>
          <w:szCs w:val="32"/>
          <w:lang w:val="en-US" w:eastAsia="zh-CN" w:bidi="ar-SA"/>
        </w:rPr>
        <w:t>2</w:t>
      </w:r>
      <w:r>
        <w:rPr>
          <w:rFonts w:hint="default" w:ascii="宋体" w:hAnsi="宋体" w:cs="Times New Roman"/>
          <w:bCs/>
          <w:kern w:val="2"/>
          <w:szCs w:val="32"/>
          <w:lang w:val="en-US" w:eastAsia="zh-CN" w:bidi="ar-SA"/>
        </w:rPr>
        <w:t>.</w:t>
      </w:r>
      <w:r>
        <w:rPr>
          <w:rFonts w:hint="eastAsia" w:ascii="宋体" w:hAnsi="宋体" w:cs="Times New Roman"/>
          <w:bCs/>
          <w:kern w:val="2"/>
          <w:szCs w:val="32"/>
          <w:lang w:val="en-US" w:eastAsia="zh-CN" w:bidi="ar-SA"/>
        </w:rPr>
        <w:t>地形、地貌</w:t>
      </w:r>
      <w:r>
        <w:tab/>
      </w:r>
      <w:r>
        <w:fldChar w:fldCharType="begin"/>
      </w:r>
      <w:r>
        <w:instrText xml:space="preserve"> PAGEREF _Toc862 \h </w:instrText>
      </w:r>
      <w:r>
        <w:fldChar w:fldCharType="separate"/>
      </w:r>
      <w:r>
        <w:t>9</w:t>
      </w:r>
      <w:r>
        <w:fldChar w:fldCharType="end"/>
      </w:r>
      <w:r>
        <w:rPr>
          <w:rFonts w:hint="eastAsia" w:ascii="宋体" w:hAnsi="宋体" w:eastAsia="宋体" w:cs="宋体"/>
          <w:bCs/>
          <w:i w:val="0"/>
          <w:iCs w:val="0"/>
          <w:szCs w:val="24"/>
        </w:rPr>
        <w:fldChar w:fldCharType="end"/>
      </w:r>
    </w:p>
    <w:p w14:paraId="04FA2CC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_Toc26545 </w:instrText>
      </w:r>
      <w:r>
        <w:rPr>
          <w:rFonts w:hint="eastAsia" w:ascii="宋体" w:hAnsi="宋体" w:eastAsia="宋体" w:cs="宋体"/>
          <w:bCs/>
          <w:i w:val="0"/>
          <w:iCs w:val="0"/>
          <w:szCs w:val="24"/>
        </w:rPr>
        <w:fldChar w:fldCharType="separate"/>
      </w:r>
      <w:r>
        <w:rPr>
          <w:rFonts w:hint="default" w:ascii="宋体" w:hAnsi="宋体" w:cs="Times New Roman"/>
          <w:bCs/>
          <w:kern w:val="2"/>
          <w:szCs w:val="32"/>
          <w:lang w:val="en-US" w:eastAsia="zh-CN" w:bidi="ar-SA"/>
        </w:rPr>
        <w:t>3.6.</w:t>
      </w:r>
      <w:r>
        <w:rPr>
          <w:rFonts w:hint="eastAsia" w:ascii="宋体" w:hAnsi="宋体" w:cs="Times New Roman"/>
          <w:bCs/>
          <w:kern w:val="2"/>
          <w:szCs w:val="32"/>
          <w:lang w:val="en-US" w:eastAsia="zh-CN" w:bidi="ar-SA"/>
        </w:rPr>
        <w:t>3</w:t>
      </w:r>
      <w:r>
        <w:rPr>
          <w:rFonts w:hint="default" w:ascii="宋体" w:hAnsi="宋体" w:cs="Times New Roman"/>
          <w:bCs/>
          <w:kern w:val="2"/>
          <w:szCs w:val="32"/>
          <w:lang w:val="en-US" w:eastAsia="zh-CN" w:bidi="ar-SA"/>
        </w:rPr>
        <w:t>.</w:t>
      </w:r>
      <w:r>
        <w:rPr>
          <w:rFonts w:hint="eastAsia" w:ascii="宋体" w:hAnsi="宋体" w:cs="Times New Roman"/>
          <w:bCs/>
          <w:kern w:val="2"/>
          <w:szCs w:val="32"/>
          <w:lang w:val="en-US" w:eastAsia="zh-CN" w:bidi="ar-SA"/>
        </w:rPr>
        <w:t>地质构造</w:t>
      </w:r>
      <w:r>
        <w:tab/>
      </w:r>
      <w:r>
        <w:fldChar w:fldCharType="begin"/>
      </w:r>
      <w:r>
        <w:instrText xml:space="preserve"> PAGEREF _Toc26545 \h </w:instrText>
      </w:r>
      <w:r>
        <w:fldChar w:fldCharType="separate"/>
      </w:r>
      <w:r>
        <w:t>9</w:t>
      </w:r>
      <w:r>
        <w:fldChar w:fldCharType="end"/>
      </w:r>
      <w:r>
        <w:rPr>
          <w:rFonts w:hint="eastAsia" w:ascii="宋体" w:hAnsi="宋体" w:eastAsia="宋体" w:cs="宋体"/>
          <w:bCs/>
          <w:i w:val="0"/>
          <w:iCs w:val="0"/>
          <w:szCs w:val="24"/>
        </w:rPr>
        <w:fldChar w:fldCharType="end"/>
      </w:r>
    </w:p>
    <w:p w14:paraId="01C1C9E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_Toc32334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3.6.</w:t>
      </w:r>
      <w:r>
        <w:rPr>
          <w:rFonts w:hint="eastAsia" w:ascii="宋体" w:hAnsi="宋体" w:cs="Times New Roman"/>
          <w:bCs/>
          <w:kern w:val="2"/>
          <w:szCs w:val="32"/>
          <w:lang w:val="en-US" w:eastAsia="zh-CN" w:bidi="ar-SA"/>
        </w:rPr>
        <w:t>4</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水系</w:t>
      </w:r>
      <w:r>
        <w:tab/>
      </w:r>
      <w:r>
        <w:fldChar w:fldCharType="begin"/>
      </w:r>
      <w:r>
        <w:instrText xml:space="preserve"> PAGEREF _Toc32334 \h </w:instrText>
      </w:r>
      <w:r>
        <w:fldChar w:fldCharType="separate"/>
      </w:r>
      <w:r>
        <w:t>9</w:t>
      </w:r>
      <w:r>
        <w:fldChar w:fldCharType="end"/>
      </w:r>
      <w:r>
        <w:rPr>
          <w:rFonts w:hint="eastAsia" w:ascii="宋体" w:hAnsi="宋体" w:eastAsia="宋体" w:cs="宋体"/>
          <w:bCs/>
          <w:i w:val="0"/>
          <w:iCs w:val="0"/>
          <w:szCs w:val="24"/>
        </w:rPr>
        <w:fldChar w:fldCharType="end"/>
      </w:r>
    </w:p>
    <w:p w14:paraId="059148B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_Toc10986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3.6.</w:t>
      </w:r>
      <w:r>
        <w:rPr>
          <w:rFonts w:hint="eastAsia" w:ascii="宋体" w:hAnsi="宋体" w:cs="Times New Roman"/>
          <w:bCs/>
          <w:kern w:val="2"/>
          <w:szCs w:val="32"/>
          <w:lang w:val="en-US" w:eastAsia="zh-CN" w:bidi="ar-SA"/>
        </w:rPr>
        <w:t>5</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气象</w:t>
      </w:r>
      <w:r>
        <w:tab/>
      </w:r>
      <w:r>
        <w:fldChar w:fldCharType="begin"/>
      </w:r>
      <w:r>
        <w:instrText xml:space="preserve"> PAGEREF _Toc10986 \h </w:instrText>
      </w:r>
      <w:r>
        <w:fldChar w:fldCharType="separate"/>
      </w:r>
      <w:r>
        <w:t>10</w:t>
      </w:r>
      <w:r>
        <w:fldChar w:fldCharType="end"/>
      </w:r>
      <w:r>
        <w:rPr>
          <w:rFonts w:hint="eastAsia" w:ascii="宋体" w:hAnsi="宋体" w:eastAsia="宋体" w:cs="宋体"/>
          <w:bCs/>
          <w:i w:val="0"/>
          <w:iCs w:val="0"/>
          <w:szCs w:val="24"/>
        </w:rPr>
        <w:fldChar w:fldCharType="end"/>
      </w:r>
    </w:p>
    <w:p w14:paraId="14EDE5A6">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_Toc25139 </w:instrText>
      </w:r>
      <w:r>
        <w:rPr>
          <w:rFonts w:hint="eastAsia" w:ascii="宋体" w:hAnsi="宋体" w:eastAsia="宋体" w:cs="宋体"/>
          <w:bCs/>
          <w:i w:val="0"/>
          <w:iCs w:val="0"/>
          <w:szCs w:val="24"/>
        </w:rPr>
        <w:fldChar w:fldCharType="separate"/>
      </w:r>
      <w:r>
        <w:rPr>
          <w:rFonts w:hint="default" w:ascii="Arial" w:hAnsi="Arial" w:eastAsia="宋体" w:cs="宋体"/>
          <w:lang w:val="en-US" w:eastAsia="zh-CN"/>
        </w:rPr>
        <w:t>3.</w:t>
      </w:r>
      <w:r>
        <w:rPr>
          <w:rFonts w:hint="eastAsia" w:cs="宋体"/>
          <w:lang w:val="en-US" w:eastAsia="zh-CN"/>
        </w:rPr>
        <w:t>7</w:t>
      </w:r>
      <w:r>
        <w:rPr>
          <w:rFonts w:hint="default" w:ascii="Arial" w:hAnsi="Arial" w:eastAsia="宋体" w:cs="宋体"/>
          <w:lang w:val="en-US" w:eastAsia="zh-CN"/>
        </w:rPr>
        <w:t>.</w:t>
      </w:r>
      <w:r>
        <w:rPr>
          <w:rFonts w:hint="eastAsia" w:cs="宋体"/>
          <w:lang w:val="en-US" w:eastAsia="zh-CN"/>
        </w:rPr>
        <w:t>工程地质条件</w:t>
      </w:r>
      <w:r>
        <w:tab/>
      </w:r>
      <w:r>
        <w:fldChar w:fldCharType="begin"/>
      </w:r>
      <w:r>
        <w:instrText xml:space="preserve"> PAGEREF _Toc25139 \h </w:instrText>
      </w:r>
      <w:r>
        <w:fldChar w:fldCharType="separate"/>
      </w:r>
      <w:r>
        <w:t>10</w:t>
      </w:r>
      <w:r>
        <w:fldChar w:fldCharType="end"/>
      </w:r>
      <w:r>
        <w:rPr>
          <w:rFonts w:hint="eastAsia" w:ascii="宋体" w:hAnsi="宋体" w:eastAsia="宋体" w:cs="宋体"/>
          <w:bCs/>
          <w:i w:val="0"/>
          <w:iCs w:val="0"/>
          <w:szCs w:val="24"/>
        </w:rPr>
        <w:fldChar w:fldCharType="end"/>
      </w:r>
    </w:p>
    <w:p w14:paraId="3F1B7FE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_Toc6574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w:t>
      </w:r>
      <w:r>
        <w:rPr>
          <w:rFonts w:hint="eastAsia" w:ascii="宋体" w:hAnsi="宋体" w:cs="Times New Roman"/>
          <w:bCs/>
          <w:kern w:val="2"/>
          <w:szCs w:val="32"/>
          <w:lang w:val="en-US" w:eastAsia="zh-CN" w:bidi="ar-SA"/>
        </w:rPr>
        <w:t>7</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w:t>
      </w:r>
      <w:r>
        <w:rPr>
          <w:rFonts w:hint="eastAsia" w:ascii="宋体" w:hAnsi="宋体" w:eastAsia="宋体" w:cs="宋体"/>
        </w:rPr>
        <w:t>地层工程地质层组</w:t>
      </w:r>
      <w:r>
        <w:rPr>
          <w:rFonts w:hint="eastAsia" w:ascii="宋体" w:hAnsi="宋体" w:eastAsia="宋体" w:cs="宋体"/>
          <w:lang w:val="en-US" w:eastAsia="zh-CN"/>
        </w:rPr>
        <w:t>划分</w:t>
      </w:r>
      <w:r>
        <w:tab/>
      </w:r>
      <w:r>
        <w:fldChar w:fldCharType="begin"/>
      </w:r>
      <w:r>
        <w:instrText xml:space="preserve"> PAGEREF _Toc6574 \h </w:instrText>
      </w:r>
      <w:r>
        <w:fldChar w:fldCharType="separate"/>
      </w:r>
      <w:r>
        <w:t>10</w:t>
      </w:r>
      <w:r>
        <w:fldChar w:fldCharType="end"/>
      </w:r>
      <w:r>
        <w:rPr>
          <w:rFonts w:hint="eastAsia" w:ascii="宋体" w:hAnsi="宋体" w:eastAsia="宋体" w:cs="宋体"/>
          <w:bCs/>
          <w:i w:val="0"/>
          <w:iCs w:val="0"/>
          <w:szCs w:val="24"/>
        </w:rPr>
        <w:fldChar w:fldCharType="end"/>
      </w:r>
    </w:p>
    <w:p w14:paraId="7F373C8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_Toc23846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w:t>
      </w:r>
      <w:r>
        <w:rPr>
          <w:rFonts w:hint="eastAsia" w:ascii="宋体" w:hAnsi="宋体" w:cs="Times New Roman"/>
          <w:bCs/>
          <w:kern w:val="2"/>
          <w:szCs w:val="32"/>
          <w:lang w:val="en-US" w:eastAsia="zh-CN" w:bidi="ar-SA"/>
        </w:rPr>
        <w:t>7</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w:t>
      </w:r>
      <w:r>
        <w:rPr>
          <w:rFonts w:hint="eastAsia" w:ascii="宋体" w:hAnsi="宋体" w:eastAsia="宋体" w:cs="宋体"/>
        </w:rPr>
        <w:t>地质构造及地震</w:t>
      </w:r>
      <w:r>
        <w:tab/>
      </w:r>
      <w:r>
        <w:fldChar w:fldCharType="begin"/>
      </w:r>
      <w:r>
        <w:instrText xml:space="preserve"> PAGEREF _Toc23846 \h </w:instrText>
      </w:r>
      <w:r>
        <w:fldChar w:fldCharType="separate"/>
      </w:r>
      <w:r>
        <w:t>11</w:t>
      </w:r>
      <w:r>
        <w:fldChar w:fldCharType="end"/>
      </w:r>
      <w:r>
        <w:rPr>
          <w:rFonts w:hint="eastAsia" w:ascii="宋体" w:hAnsi="宋体" w:eastAsia="宋体" w:cs="宋体"/>
          <w:bCs/>
          <w:i w:val="0"/>
          <w:iCs w:val="0"/>
          <w:szCs w:val="24"/>
        </w:rPr>
        <w:fldChar w:fldCharType="end"/>
      </w:r>
    </w:p>
    <w:p w14:paraId="2E59E0F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_Toc3892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w:t>
      </w:r>
      <w:r>
        <w:rPr>
          <w:rFonts w:hint="eastAsia" w:ascii="宋体" w:hAnsi="宋体" w:cs="Times New Roman"/>
          <w:bCs/>
          <w:kern w:val="2"/>
          <w:szCs w:val="32"/>
          <w:lang w:val="en-US" w:eastAsia="zh-CN" w:bidi="ar-SA"/>
        </w:rPr>
        <w:t>7</w:t>
      </w:r>
      <w:r>
        <w:rPr>
          <w:rFonts w:hint="default" w:ascii="宋体" w:hAnsi="宋体" w:eastAsia="宋体" w:cs="Times New Roman"/>
          <w:bCs/>
          <w:kern w:val="2"/>
          <w:szCs w:val="32"/>
          <w:lang w:val="en-US" w:eastAsia="zh-CN" w:bidi="ar-SA"/>
        </w:rPr>
        <w:t>.</w:t>
      </w:r>
      <w:r>
        <w:rPr>
          <w:rFonts w:hint="eastAsia" w:ascii="宋体" w:hAnsi="宋体" w:eastAsia="宋体" w:cs="宋体"/>
        </w:rPr>
        <w:t>3</w:t>
      </w:r>
      <w:r>
        <w:rPr>
          <w:rFonts w:hint="eastAsia" w:ascii="宋体" w:hAnsi="宋体" w:cs="宋体"/>
          <w:lang w:val="en-US" w:eastAsia="zh-CN"/>
        </w:rPr>
        <w:t>.</w:t>
      </w:r>
      <w:r>
        <w:rPr>
          <w:rFonts w:hint="eastAsia" w:ascii="宋体" w:hAnsi="宋体" w:eastAsia="宋体" w:cs="宋体"/>
        </w:rPr>
        <w:t>水文地质条件</w:t>
      </w:r>
      <w:r>
        <w:tab/>
      </w:r>
      <w:r>
        <w:fldChar w:fldCharType="begin"/>
      </w:r>
      <w:r>
        <w:instrText xml:space="preserve"> PAGEREF _Toc3892 \h </w:instrText>
      </w:r>
      <w:r>
        <w:fldChar w:fldCharType="separate"/>
      </w:r>
      <w:r>
        <w:t>12</w:t>
      </w:r>
      <w:r>
        <w:fldChar w:fldCharType="end"/>
      </w:r>
      <w:r>
        <w:rPr>
          <w:rFonts w:hint="eastAsia" w:ascii="宋体" w:hAnsi="宋体" w:eastAsia="宋体" w:cs="宋体"/>
          <w:bCs/>
          <w:i w:val="0"/>
          <w:iCs w:val="0"/>
          <w:szCs w:val="24"/>
        </w:rPr>
        <w:fldChar w:fldCharType="end"/>
      </w:r>
    </w:p>
    <w:p w14:paraId="1DA3287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_Toc5402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w:t>
      </w:r>
      <w:r>
        <w:rPr>
          <w:rFonts w:hint="eastAsia" w:ascii="宋体" w:hAnsi="宋体" w:cs="Times New Roman"/>
          <w:bCs/>
          <w:kern w:val="2"/>
          <w:szCs w:val="32"/>
          <w:lang w:val="en-US" w:eastAsia="zh-CN" w:bidi="ar-SA"/>
        </w:rPr>
        <w:t>7</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4</w:t>
      </w:r>
      <w:r>
        <w:rPr>
          <w:rFonts w:hint="eastAsia" w:ascii="宋体" w:hAnsi="宋体" w:cs="宋体"/>
          <w:lang w:val="en-US" w:eastAsia="zh-CN"/>
        </w:rPr>
        <w:t>.</w:t>
      </w:r>
      <w:r>
        <w:rPr>
          <w:rFonts w:hint="default" w:ascii="宋体" w:hAnsi="宋体" w:eastAsia="宋体" w:cs="Times New Roman"/>
          <w:bCs/>
          <w:kern w:val="2"/>
          <w:szCs w:val="32"/>
          <w:lang w:val="en-US" w:eastAsia="zh-CN" w:bidi="ar-SA"/>
        </w:rPr>
        <w:t>不良地质及特殊性岩</w:t>
      </w:r>
      <w:r>
        <w:rPr>
          <w:rFonts w:hint="eastAsia" w:ascii="宋体" w:hAnsi="宋体" w:cs="Times New Roman"/>
          <w:bCs/>
          <w:kern w:val="2"/>
          <w:szCs w:val="32"/>
          <w:lang w:val="en-US" w:eastAsia="zh-CN" w:bidi="ar-SA"/>
        </w:rPr>
        <w:t>（</w:t>
      </w:r>
      <w:r>
        <w:rPr>
          <w:rFonts w:hint="default" w:ascii="宋体" w:hAnsi="宋体" w:eastAsia="宋体" w:cs="Times New Roman"/>
          <w:bCs/>
          <w:kern w:val="2"/>
          <w:szCs w:val="32"/>
          <w:lang w:val="en-US" w:eastAsia="zh-CN" w:bidi="ar-SA"/>
        </w:rPr>
        <w:t>土</w:t>
      </w:r>
      <w:r>
        <w:rPr>
          <w:rFonts w:hint="eastAsia" w:ascii="宋体" w:hAnsi="宋体" w:cs="Times New Roman"/>
          <w:bCs/>
          <w:kern w:val="2"/>
          <w:szCs w:val="32"/>
          <w:lang w:val="en-US" w:eastAsia="zh-CN" w:bidi="ar-SA"/>
        </w:rPr>
        <w:t>）体</w:t>
      </w:r>
      <w:r>
        <w:tab/>
      </w:r>
      <w:r>
        <w:fldChar w:fldCharType="begin"/>
      </w:r>
      <w:r>
        <w:instrText xml:space="preserve"> PAGEREF _Toc5402 \h </w:instrText>
      </w:r>
      <w:r>
        <w:fldChar w:fldCharType="separate"/>
      </w:r>
      <w:r>
        <w:t>13</w:t>
      </w:r>
      <w:r>
        <w:fldChar w:fldCharType="end"/>
      </w:r>
      <w:r>
        <w:rPr>
          <w:rFonts w:hint="eastAsia" w:ascii="宋体" w:hAnsi="宋体" w:eastAsia="宋体" w:cs="宋体"/>
          <w:bCs/>
          <w:i w:val="0"/>
          <w:iCs w:val="0"/>
          <w:szCs w:val="24"/>
        </w:rPr>
        <w:fldChar w:fldCharType="end"/>
      </w:r>
    </w:p>
    <w:p w14:paraId="5EF2A49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_Toc15081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w:t>
      </w:r>
      <w:r>
        <w:rPr>
          <w:rFonts w:hint="eastAsia" w:ascii="宋体" w:hAnsi="宋体" w:cs="Times New Roman"/>
          <w:bCs/>
          <w:kern w:val="2"/>
          <w:szCs w:val="32"/>
          <w:lang w:val="en-US" w:eastAsia="zh-CN" w:bidi="ar-SA"/>
        </w:rPr>
        <w:t>7</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5</w:t>
      </w:r>
      <w:r>
        <w:rPr>
          <w:rFonts w:hint="default" w:ascii="宋体" w:hAnsi="宋体" w:eastAsia="宋体" w:cs="Times New Roman"/>
          <w:bCs/>
          <w:kern w:val="2"/>
          <w:szCs w:val="32"/>
          <w:lang w:val="en-US" w:eastAsia="zh-CN" w:bidi="ar-SA"/>
        </w:rPr>
        <w:t>.</w:t>
      </w:r>
      <w:r>
        <w:rPr>
          <w:rFonts w:hint="eastAsia" w:ascii="宋体" w:hAnsi="宋体" w:eastAsia="宋体" w:cs="宋体"/>
          <w:lang w:val="en-US" w:eastAsia="zh-CN"/>
        </w:rPr>
        <w:t>地震</w:t>
      </w:r>
      <w:r>
        <w:tab/>
      </w:r>
      <w:r>
        <w:fldChar w:fldCharType="begin"/>
      </w:r>
      <w:r>
        <w:instrText xml:space="preserve"> PAGEREF _Toc15081 \h </w:instrText>
      </w:r>
      <w:r>
        <w:fldChar w:fldCharType="separate"/>
      </w:r>
      <w:r>
        <w:t>14</w:t>
      </w:r>
      <w:r>
        <w:fldChar w:fldCharType="end"/>
      </w:r>
      <w:r>
        <w:rPr>
          <w:rFonts w:hint="eastAsia" w:ascii="宋体" w:hAnsi="宋体" w:eastAsia="宋体" w:cs="宋体"/>
          <w:bCs/>
          <w:i w:val="0"/>
          <w:iCs w:val="0"/>
          <w:szCs w:val="24"/>
        </w:rPr>
        <w:fldChar w:fldCharType="end"/>
      </w:r>
    </w:p>
    <w:p w14:paraId="342AEC61">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_Toc16358 </w:instrText>
      </w:r>
      <w:r>
        <w:rPr>
          <w:rFonts w:hint="eastAsia" w:ascii="宋体" w:hAnsi="宋体" w:eastAsia="宋体" w:cs="宋体"/>
          <w:bCs/>
          <w:i w:val="0"/>
          <w:iCs w:val="0"/>
          <w:szCs w:val="24"/>
        </w:rPr>
        <w:fldChar w:fldCharType="separate"/>
      </w:r>
      <w:r>
        <w:rPr>
          <w:rFonts w:hint="default" w:ascii="Arial" w:hAnsi="Arial" w:eastAsia="宋体" w:cs="宋体"/>
          <w:lang w:val="en-US" w:eastAsia="zh-CN"/>
        </w:rPr>
        <w:t>3.</w:t>
      </w:r>
      <w:r>
        <w:rPr>
          <w:rFonts w:hint="eastAsia" w:cs="宋体"/>
          <w:lang w:val="en-US" w:eastAsia="zh-CN"/>
        </w:rPr>
        <w:t>8</w:t>
      </w:r>
      <w:r>
        <w:rPr>
          <w:rFonts w:hint="default" w:ascii="Arial" w:hAnsi="Arial" w:eastAsia="宋体" w:cs="宋体"/>
          <w:lang w:val="en-US" w:eastAsia="zh-CN"/>
        </w:rPr>
        <w:t>.</w:t>
      </w:r>
      <w:r>
        <w:rPr>
          <w:rFonts w:hint="eastAsia" w:cs="宋体"/>
          <w:lang w:val="en-US" w:eastAsia="zh-CN"/>
        </w:rPr>
        <w:t>沿线筑路材料</w:t>
      </w:r>
      <w:r>
        <w:tab/>
      </w:r>
      <w:r>
        <w:fldChar w:fldCharType="begin"/>
      </w:r>
      <w:r>
        <w:instrText xml:space="preserve"> PAGEREF _Toc16358 \h </w:instrText>
      </w:r>
      <w:r>
        <w:fldChar w:fldCharType="separate"/>
      </w:r>
      <w:r>
        <w:t>15</w:t>
      </w:r>
      <w:r>
        <w:fldChar w:fldCharType="end"/>
      </w:r>
      <w:r>
        <w:rPr>
          <w:rFonts w:hint="eastAsia" w:ascii="宋体" w:hAnsi="宋体" w:eastAsia="宋体" w:cs="宋体"/>
          <w:bCs/>
          <w:i w:val="0"/>
          <w:iCs w:val="0"/>
          <w:szCs w:val="24"/>
        </w:rPr>
        <w:fldChar w:fldCharType="end"/>
      </w:r>
    </w:p>
    <w:p w14:paraId="604B3EB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_Toc14053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3.</w:t>
      </w:r>
      <w:r>
        <w:rPr>
          <w:rFonts w:hint="eastAsia" w:ascii="宋体" w:hAnsi="宋体" w:cs="Times New Roman"/>
          <w:bCs/>
          <w:kern w:val="2"/>
          <w:szCs w:val="32"/>
          <w:lang w:val="en-US" w:eastAsia="zh-CN" w:bidi="ar-SA"/>
        </w:rPr>
        <w:t>8</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w:t>
      </w:r>
      <w:r>
        <w:rPr>
          <w:rFonts w:hint="eastAsia" w:ascii="宋体" w:hAnsi="宋体" w:eastAsia="宋体" w:cs="宋体"/>
          <w:lang w:val="en-US" w:eastAsia="zh-CN"/>
        </w:rPr>
        <w:t>沿线</w:t>
      </w:r>
      <w:r>
        <w:rPr>
          <w:rFonts w:hint="eastAsia" w:ascii="宋体" w:hAnsi="宋体" w:cs="宋体"/>
          <w:lang w:val="en-US" w:eastAsia="zh-CN"/>
        </w:rPr>
        <w:t>筑路材料</w:t>
      </w:r>
      <w:r>
        <w:tab/>
      </w:r>
      <w:r>
        <w:fldChar w:fldCharType="begin"/>
      </w:r>
      <w:r>
        <w:instrText xml:space="preserve"> PAGEREF _Toc14053 \h </w:instrText>
      </w:r>
      <w:r>
        <w:fldChar w:fldCharType="separate"/>
      </w:r>
      <w:r>
        <w:t>15</w:t>
      </w:r>
      <w:r>
        <w:fldChar w:fldCharType="end"/>
      </w:r>
      <w:r>
        <w:rPr>
          <w:rFonts w:hint="eastAsia" w:ascii="宋体" w:hAnsi="宋体" w:eastAsia="宋体" w:cs="宋体"/>
          <w:bCs/>
          <w:i w:val="0"/>
          <w:iCs w:val="0"/>
          <w:szCs w:val="24"/>
        </w:rPr>
        <w:fldChar w:fldCharType="end"/>
      </w:r>
    </w:p>
    <w:p w14:paraId="013FFB63">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_Toc17524 </w:instrText>
      </w:r>
      <w:r>
        <w:rPr>
          <w:rFonts w:hint="eastAsia" w:ascii="宋体" w:hAnsi="宋体" w:eastAsia="宋体" w:cs="宋体"/>
          <w:bCs/>
          <w:i w:val="0"/>
          <w:iCs w:val="0"/>
          <w:szCs w:val="24"/>
        </w:rPr>
        <w:fldChar w:fldCharType="separate"/>
      </w:r>
      <w:r>
        <w:rPr>
          <w:rFonts w:hint="eastAsia"/>
        </w:rPr>
        <w:t>第</w:t>
      </w:r>
      <w:r>
        <w:rPr>
          <w:rFonts w:hint="eastAsia"/>
          <w:lang w:val="en-US" w:eastAsia="zh-CN"/>
        </w:rPr>
        <w:t>四</w:t>
      </w:r>
      <w:r>
        <w:rPr>
          <w:rFonts w:hint="eastAsia"/>
        </w:rPr>
        <w:t xml:space="preserve">章  </w:t>
      </w:r>
      <w:r>
        <w:rPr>
          <w:rFonts w:hint="eastAsia"/>
          <w:lang w:val="en-US" w:eastAsia="zh-CN"/>
        </w:rPr>
        <w:t>前期准备工作</w:t>
      </w:r>
      <w:r>
        <w:tab/>
      </w:r>
      <w:r>
        <w:fldChar w:fldCharType="begin"/>
      </w:r>
      <w:r>
        <w:instrText xml:space="preserve"> PAGEREF _Toc17524 \h </w:instrText>
      </w:r>
      <w:r>
        <w:fldChar w:fldCharType="separate"/>
      </w:r>
      <w:r>
        <w:t>16</w:t>
      </w:r>
      <w:r>
        <w:fldChar w:fldCharType="end"/>
      </w:r>
      <w:r>
        <w:rPr>
          <w:rFonts w:hint="eastAsia" w:ascii="宋体" w:hAnsi="宋体" w:eastAsia="宋体" w:cs="宋体"/>
          <w:bCs/>
          <w:i w:val="0"/>
          <w:iCs w:val="0"/>
          <w:szCs w:val="24"/>
        </w:rPr>
        <w:fldChar w:fldCharType="end"/>
      </w:r>
    </w:p>
    <w:p w14:paraId="19896FFB">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_Toc30418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w:t>
      </w:r>
      <w:r>
        <w:rPr>
          <w:rFonts w:hint="eastAsia" w:ascii="宋体" w:hAnsi="宋体" w:eastAsia="宋体" w:cs="宋体"/>
        </w:rPr>
        <w:t>前期准备工作程序流程</w:t>
      </w:r>
      <w:r>
        <w:tab/>
      </w:r>
      <w:r>
        <w:fldChar w:fldCharType="begin"/>
      </w:r>
      <w:r>
        <w:instrText xml:space="preserve"> PAGEREF _Toc30418 \h </w:instrText>
      </w:r>
      <w:r>
        <w:fldChar w:fldCharType="separate"/>
      </w:r>
      <w:r>
        <w:t>16</w:t>
      </w:r>
      <w:r>
        <w:fldChar w:fldCharType="end"/>
      </w:r>
      <w:r>
        <w:rPr>
          <w:rFonts w:hint="eastAsia" w:ascii="宋体" w:hAnsi="宋体" w:eastAsia="宋体" w:cs="宋体"/>
          <w:bCs/>
          <w:i w:val="0"/>
          <w:iCs w:val="0"/>
          <w:szCs w:val="24"/>
        </w:rPr>
        <w:fldChar w:fldCharType="end"/>
      </w:r>
    </w:p>
    <w:p w14:paraId="1EA251B9">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_Toc30348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4.1.1.</w:t>
      </w:r>
      <w:r>
        <w:rPr>
          <w:rFonts w:hint="eastAsia" w:ascii="宋体" w:hAnsi="宋体" w:eastAsia="宋体" w:cs="宋体"/>
        </w:rPr>
        <w:t>测量控制</w:t>
      </w:r>
      <w:r>
        <w:tab/>
      </w:r>
      <w:r>
        <w:fldChar w:fldCharType="begin"/>
      </w:r>
      <w:r>
        <w:instrText xml:space="preserve"> PAGEREF _Toc30348 \h </w:instrText>
      </w:r>
      <w:r>
        <w:fldChar w:fldCharType="separate"/>
      </w:r>
      <w:r>
        <w:t>16</w:t>
      </w:r>
      <w:r>
        <w:fldChar w:fldCharType="end"/>
      </w:r>
      <w:r>
        <w:rPr>
          <w:rFonts w:hint="eastAsia" w:ascii="宋体" w:hAnsi="宋体" w:eastAsia="宋体" w:cs="宋体"/>
          <w:bCs/>
          <w:i w:val="0"/>
          <w:iCs w:val="0"/>
          <w:szCs w:val="24"/>
        </w:rPr>
        <w:fldChar w:fldCharType="end"/>
      </w:r>
    </w:p>
    <w:p w14:paraId="36ABA01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_Toc31505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4.1.2.</w:t>
      </w:r>
      <w:r>
        <w:rPr>
          <w:rFonts w:hint="eastAsia" w:ascii="宋体" w:hAnsi="宋体" w:eastAsia="宋体" w:cs="宋体"/>
        </w:rPr>
        <w:t>施工总平面布置</w:t>
      </w:r>
      <w:r>
        <w:tab/>
      </w:r>
      <w:r>
        <w:fldChar w:fldCharType="begin"/>
      </w:r>
      <w:r>
        <w:instrText xml:space="preserve"> PAGEREF _Toc31505 \h </w:instrText>
      </w:r>
      <w:r>
        <w:fldChar w:fldCharType="separate"/>
      </w:r>
      <w:r>
        <w:t>17</w:t>
      </w:r>
      <w:r>
        <w:fldChar w:fldCharType="end"/>
      </w:r>
      <w:r>
        <w:rPr>
          <w:rFonts w:hint="eastAsia" w:ascii="宋体" w:hAnsi="宋体" w:eastAsia="宋体" w:cs="宋体"/>
          <w:bCs/>
          <w:i w:val="0"/>
          <w:iCs w:val="0"/>
          <w:szCs w:val="24"/>
        </w:rPr>
        <w:fldChar w:fldCharType="end"/>
      </w:r>
    </w:p>
    <w:p w14:paraId="353832B9">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_Toc18902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4.1.3.</w:t>
      </w:r>
      <w:r>
        <w:rPr>
          <w:rFonts w:hint="eastAsia" w:ascii="宋体" w:hAnsi="宋体" w:eastAsia="宋体" w:cs="宋体"/>
          <w:highlight w:val="none"/>
        </w:rPr>
        <w:t>生产、</w:t>
      </w:r>
      <w:r>
        <w:rPr>
          <w:rFonts w:hint="eastAsia" w:ascii="宋体" w:hAnsi="宋体" w:eastAsia="宋体" w:cs="宋体"/>
          <w:highlight w:val="none"/>
          <w:lang w:val="en-US" w:eastAsia="zh-CN"/>
        </w:rPr>
        <w:t>办公、</w:t>
      </w:r>
      <w:r>
        <w:rPr>
          <w:rFonts w:hint="eastAsia" w:ascii="宋体" w:hAnsi="宋体" w:eastAsia="宋体" w:cs="宋体"/>
          <w:highlight w:val="none"/>
        </w:rPr>
        <w:t>生活</w:t>
      </w:r>
      <w:r>
        <w:rPr>
          <w:rFonts w:hint="eastAsia" w:ascii="宋体" w:hAnsi="宋体" w:eastAsia="宋体" w:cs="宋体"/>
          <w:highlight w:val="none"/>
          <w:lang w:val="en-US" w:eastAsia="zh-CN"/>
        </w:rPr>
        <w:t>用房</w:t>
      </w:r>
      <w:r>
        <w:tab/>
      </w:r>
      <w:r>
        <w:fldChar w:fldCharType="begin"/>
      </w:r>
      <w:r>
        <w:instrText xml:space="preserve"> PAGEREF _Toc18902 \h </w:instrText>
      </w:r>
      <w:r>
        <w:fldChar w:fldCharType="separate"/>
      </w:r>
      <w:r>
        <w:t>17</w:t>
      </w:r>
      <w:r>
        <w:fldChar w:fldCharType="end"/>
      </w:r>
      <w:r>
        <w:rPr>
          <w:rFonts w:hint="eastAsia" w:ascii="宋体" w:hAnsi="宋体" w:eastAsia="宋体" w:cs="宋体"/>
          <w:bCs/>
          <w:i w:val="0"/>
          <w:iCs w:val="0"/>
          <w:szCs w:val="24"/>
        </w:rPr>
        <w:fldChar w:fldCharType="end"/>
      </w:r>
    </w:p>
    <w:p w14:paraId="7D74380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_Toc21044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w:t>
      </w:r>
      <w:r>
        <w:rPr>
          <w:rFonts w:hint="eastAsia" w:ascii="宋体" w:hAnsi="宋体" w:cs="Times New Roman"/>
          <w:bCs/>
          <w:kern w:val="2"/>
          <w:szCs w:val="32"/>
          <w:lang w:val="en-US" w:eastAsia="zh-CN" w:bidi="ar-SA"/>
        </w:rPr>
        <w:t>4</w:t>
      </w:r>
      <w:r>
        <w:rPr>
          <w:rFonts w:hint="default" w:ascii="宋体" w:hAnsi="宋体" w:eastAsia="宋体" w:cs="宋体"/>
          <w:highlight w:val="none"/>
          <w:lang w:val="en-US" w:eastAsia="zh-CN"/>
        </w:rPr>
        <w:t>.</w:t>
      </w:r>
      <w:r>
        <w:rPr>
          <w:rFonts w:hint="eastAsia" w:ascii="宋体" w:hAnsi="宋体" w:eastAsia="宋体" w:cs="宋体"/>
          <w:highlight w:val="none"/>
          <w:lang w:val="en-US" w:eastAsia="zh-CN"/>
        </w:rPr>
        <w:t>项目驻地、</w:t>
      </w:r>
      <w:r>
        <w:rPr>
          <w:rFonts w:hint="eastAsia" w:ascii="宋体" w:hAnsi="宋体" w:eastAsia="宋体" w:cs="宋体"/>
          <w:highlight w:val="none"/>
        </w:rPr>
        <w:t>拌合站、钢筋加工场</w:t>
      </w:r>
      <w:r>
        <w:rPr>
          <w:rFonts w:hint="eastAsia" w:ascii="宋体" w:hAnsi="宋体" w:cs="宋体"/>
          <w:highlight w:val="none"/>
          <w:lang w:eastAsia="zh-CN"/>
        </w:rPr>
        <w:t>、</w:t>
      </w:r>
      <w:r>
        <w:rPr>
          <w:rFonts w:hint="eastAsia" w:ascii="宋体" w:hAnsi="宋体" w:cs="宋体"/>
          <w:highlight w:val="none"/>
          <w:lang w:val="en-US" w:eastAsia="zh-CN"/>
        </w:rPr>
        <w:t>小型构件预制厂</w:t>
      </w:r>
      <w:r>
        <w:tab/>
      </w:r>
      <w:r>
        <w:fldChar w:fldCharType="begin"/>
      </w:r>
      <w:r>
        <w:instrText xml:space="preserve"> PAGEREF _Toc21044 \h </w:instrText>
      </w:r>
      <w:r>
        <w:fldChar w:fldCharType="separate"/>
      </w:r>
      <w:r>
        <w:t>18</w:t>
      </w:r>
      <w:r>
        <w:fldChar w:fldCharType="end"/>
      </w:r>
      <w:r>
        <w:rPr>
          <w:rFonts w:hint="eastAsia" w:ascii="宋体" w:hAnsi="宋体" w:eastAsia="宋体" w:cs="宋体"/>
          <w:bCs/>
          <w:i w:val="0"/>
          <w:iCs w:val="0"/>
          <w:szCs w:val="24"/>
        </w:rPr>
        <w:fldChar w:fldCharType="end"/>
      </w:r>
    </w:p>
    <w:p w14:paraId="410B96F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_Toc32264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w:t>
      </w:r>
      <w:r>
        <w:rPr>
          <w:rFonts w:hint="eastAsia" w:ascii="宋体" w:hAnsi="宋体" w:cs="Times New Roman"/>
          <w:bCs/>
          <w:kern w:val="2"/>
          <w:szCs w:val="32"/>
          <w:lang w:val="en-US" w:eastAsia="zh-CN" w:bidi="ar-SA"/>
        </w:rPr>
        <w:t>5</w:t>
      </w:r>
      <w:r>
        <w:rPr>
          <w:rFonts w:hint="default" w:ascii="宋体" w:hAnsi="宋体" w:eastAsia="宋体" w:cs="Times New Roman"/>
          <w:bCs/>
          <w:kern w:val="2"/>
          <w:szCs w:val="32"/>
          <w:lang w:val="en-US" w:eastAsia="zh-CN" w:bidi="ar-SA"/>
        </w:rPr>
        <w:t>.</w:t>
      </w:r>
      <w:r>
        <w:rPr>
          <w:rFonts w:hint="eastAsia" w:ascii="宋体" w:hAnsi="宋体" w:eastAsia="宋体" w:cs="宋体"/>
          <w:highlight w:val="none"/>
          <w:lang w:val="en-US" w:eastAsia="zh-CN"/>
        </w:rPr>
        <w:t>试验室建设</w:t>
      </w:r>
      <w:r>
        <w:tab/>
      </w:r>
      <w:r>
        <w:fldChar w:fldCharType="begin"/>
      </w:r>
      <w:r>
        <w:instrText xml:space="preserve"> PAGEREF _Toc32264 \h </w:instrText>
      </w:r>
      <w:r>
        <w:fldChar w:fldCharType="separate"/>
      </w:r>
      <w:r>
        <w:t>19</w:t>
      </w:r>
      <w:r>
        <w:fldChar w:fldCharType="end"/>
      </w:r>
      <w:r>
        <w:rPr>
          <w:rFonts w:hint="eastAsia" w:ascii="宋体" w:hAnsi="宋体" w:eastAsia="宋体" w:cs="宋体"/>
          <w:bCs/>
          <w:i w:val="0"/>
          <w:iCs w:val="0"/>
          <w:szCs w:val="24"/>
        </w:rPr>
        <w:fldChar w:fldCharType="end"/>
      </w:r>
    </w:p>
    <w:p w14:paraId="1D24988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_Toc759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w:t>
      </w:r>
      <w:r>
        <w:rPr>
          <w:rFonts w:hint="eastAsia" w:ascii="宋体" w:hAnsi="宋体" w:cs="Times New Roman"/>
          <w:bCs/>
          <w:kern w:val="2"/>
          <w:szCs w:val="32"/>
          <w:lang w:val="en-US" w:eastAsia="zh-CN" w:bidi="ar-SA"/>
        </w:rPr>
        <w:t>6</w:t>
      </w:r>
      <w:r>
        <w:rPr>
          <w:rFonts w:hint="default" w:ascii="宋体" w:hAnsi="宋体" w:eastAsia="宋体" w:cs="Times New Roman"/>
          <w:bCs/>
          <w:kern w:val="2"/>
          <w:szCs w:val="32"/>
          <w:lang w:val="en-US" w:eastAsia="zh-CN" w:bidi="ar-SA"/>
        </w:rPr>
        <w:t>.</w:t>
      </w:r>
      <w:r>
        <w:rPr>
          <w:rFonts w:hint="eastAsia" w:ascii="宋体" w:hAnsi="宋体" w:eastAsia="宋体" w:cs="Times New Roman"/>
          <w:bCs/>
          <w:kern w:val="2"/>
          <w:szCs w:val="32"/>
          <w:lang w:val="en-US" w:eastAsia="zh-CN" w:bidi="ar-SA"/>
        </w:rPr>
        <w:t>施工用水</w:t>
      </w:r>
      <w:r>
        <w:tab/>
      </w:r>
      <w:r>
        <w:fldChar w:fldCharType="begin"/>
      </w:r>
      <w:r>
        <w:instrText xml:space="preserve"> PAGEREF _Toc759 \h </w:instrText>
      </w:r>
      <w:r>
        <w:fldChar w:fldCharType="separate"/>
      </w:r>
      <w:r>
        <w:t>20</w:t>
      </w:r>
      <w:r>
        <w:fldChar w:fldCharType="end"/>
      </w:r>
      <w:r>
        <w:rPr>
          <w:rFonts w:hint="eastAsia" w:ascii="宋体" w:hAnsi="宋体" w:eastAsia="宋体" w:cs="宋体"/>
          <w:bCs/>
          <w:i w:val="0"/>
          <w:iCs w:val="0"/>
          <w:szCs w:val="24"/>
        </w:rPr>
        <w:fldChar w:fldCharType="end"/>
      </w:r>
    </w:p>
    <w:p w14:paraId="06FA9889">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_Toc5461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w:t>
      </w:r>
      <w:r>
        <w:rPr>
          <w:rFonts w:hint="eastAsia" w:ascii="宋体" w:hAnsi="宋体" w:cs="Times New Roman"/>
          <w:bCs/>
          <w:kern w:val="2"/>
          <w:szCs w:val="32"/>
          <w:lang w:val="en-US" w:eastAsia="zh-CN" w:bidi="ar-SA"/>
        </w:rPr>
        <w:t>7</w:t>
      </w:r>
      <w:r>
        <w:rPr>
          <w:rFonts w:hint="default" w:ascii="宋体" w:hAnsi="宋体" w:eastAsia="宋体" w:cs="Times New Roman"/>
          <w:bCs/>
          <w:kern w:val="2"/>
          <w:szCs w:val="32"/>
          <w:lang w:val="en-US" w:eastAsia="zh-CN" w:bidi="ar-SA"/>
        </w:rPr>
        <w:t>.</w:t>
      </w:r>
      <w:r>
        <w:rPr>
          <w:rFonts w:hint="eastAsia" w:ascii="宋体" w:hAnsi="宋体" w:eastAsia="宋体" w:cs="Times New Roman"/>
          <w:bCs/>
          <w:kern w:val="2"/>
          <w:szCs w:val="32"/>
          <w:lang w:val="en-US" w:eastAsia="zh-CN" w:bidi="ar-SA"/>
        </w:rPr>
        <w:t>临时用电</w:t>
      </w:r>
      <w:r>
        <w:tab/>
      </w:r>
      <w:r>
        <w:fldChar w:fldCharType="begin"/>
      </w:r>
      <w:r>
        <w:instrText xml:space="preserve"> PAGEREF _Toc5461 \h </w:instrText>
      </w:r>
      <w:r>
        <w:fldChar w:fldCharType="separate"/>
      </w:r>
      <w:r>
        <w:t>20</w:t>
      </w:r>
      <w:r>
        <w:fldChar w:fldCharType="end"/>
      </w:r>
      <w:r>
        <w:rPr>
          <w:rFonts w:hint="eastAsia" w:ascii="宋体" w:hAnsi="宋体" w:eastAsia="宋体" w:cs="宋体"/>
          <w:bCs/>
          <w:i w:val="0"/>
          <w:iCs w:val="0"/>
          <w:szCs w:val="24"/>
        </w:rPr>
        <w:fldChar w:fldCharType="end"/>
      </w:r>
    </w:p>
    <w:p w14:paraId="6616B08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_Toc2919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4.1.8.</w:t>
      </w:r>
      <w:r>
        <w:rPr>
          <w:rFonts w:hint="eastAsia" w:ascii="宋体" w:hAnsi="宋体" w:eastAsia="宋体" w:cs="宋体"/>
          <w:highlight w:val="none"/>
          <w:lang w:val="en-US" w:eastAsia="zh-CN"/>
        </w:rPr>
        <w:t>施工便道、钢栈桥</w:t>
      </w:r>
      <w:r>
        <w:tab/>
      </w:r>
      <w:r>
        <w:fldChar w:fldCharType="begin"/>
      </w:r>
      <w:r>
        <w:instrText xml:space="preserve"> PAGEREF _Toc2919 \h </w:instrText>
      </w:r>
      <w:r>
        <w:fldChar w:fldCharType="separate"/>
      </w:r>
      <w:r>
        <w:t>22</w:t>
      </w:r>
      <w:r>
        <w:fldChar w:fldCharType="end"/>
      </w:r>
      <w:r>
        <w:rPr>
          <w:rFonts w:hint="eastAsia" w:ascii="宋体" w:hAnsi="宋体" w:eastAsia="宋体" w:cs="宋体"/>
          <w:bCs/>
          <w:i w:val="0"/>
          <w:iCs w:val="0"/>
          <w:szCs w:val="24"/>
        </w:rPr>
        <w:fldChar w:fldCharType="end"/>
      </w:r>
    </w:p>
    <w:p w14:paraId="20E8186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_Toc12192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4.1.9.</w:t>
      </w:r>
      <w:r>
        <w:rPr>
          <w:rFonts w:hint="eastAsia" w:ascii="宋体" w:hAnsi="宋体" w:eastAsia="宋体" w:cs="宋体"/>
          <w:highlight w:val="none"/>
        </w:rPr>
        <w:t>智慧工地建设</w:t>
      </w:r>
      <w:r>
        <w:tab/>
      </w:r>
      <w:r>
        <w:fldChar w:fldCharType="begin"/>
      </w:r>
      <w:r>
        <w:instrText xml:space="preserve"> PAGEREF _Toc12192 \h </w:instrText>
      </w:r>
      <w:r>
        <w:fldChar w:fldCharType="separate"/>
      </w:r>
      <w:r>
        <w:t>26</w:t>
      </w:r>
      <w:r>
        <w:fldChar w:fldCharType="end"/>
      </w:r>
      <w:r>
        <w:rPr>
          <w:rFonts w:hint="eastAsia" w:ascii="宋体" w:hAnsi="宋体" w:eastAsia="宋体" w:cs="宋体"/>
          <w:bCs/>
          <w:i w:val="0"/>
          <w:iCs w:val="0"/>
          <w:szCs w:val="24"/>
        </w:rPr>
        <w:fldChar w:fldCharType="end"/>
      </w:r>
    </w:p>
    <w:p w14:paraId="71AE0B9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_Toc17879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4.1.10.</w:t>
      </w:r>
      <w:r>
        <w:rPr>
          <w:rFonts w:hint="eastAsia" w:ascii="宋体" w:hAnsi="宋体" w:eastAsia="宋体" w:cs="宋体"/>
          <w:highlight w:val="none"/>
        </w:rPr>
        <w:t>施工通讯</w:t>
      </w:r>
      <w:r>
        <w:tab/>
      </w:r>
      <w:r>
        <w:fldChar w:fldCharType="begin"/>
      </w:r>
      <w:r>
        <w:instrText xml:space="preserve"> PAGEREF _Toc17879 \h </w:instrText>
      </w:r>
      <w:r>
        <w:fldChar w:fldCharType="separate"/>
      </w:r>
      <w:r>
        <w:t>26</w:t>
      </w:r>
      <w:r>
        <w:fldChar w:fldCharType="end"/>
      </w:r>
      <w:r>
        <w:rPr>
          <w:rFonts w:hint="eastAsia" w:ascii="宋体" w:hAnsi="宋体" w:eastAsia="宋体" w:cs="宋体"/>
          <w:bCs/>
          <w:i w:val="0"/>
          <w:iCs w:val="0"/>
          <w:szCs w:val="24"/>
        </w:rPr>
        <w:fldChar w:fldCharType="end"/>
      </w:r>
    </w:p>
    <w:p w14:paraId="324A60D0">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_Toc30721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4.2.</w:t>
      </w:r>
      <w:r>
        <w:rPr>
          <w:rFonts w:hint="eastAsia" w:ascii="宋体" w:hAnsi="宋体" w:eastAsia="宋体" w:cs="宋体"/>
          <w:highlight w:val="none"/>
        </w:rPr>
        <w:t>工程所需机械、人员和临时设施准备及进场</w:t>
      </w:r>
      <w:r>
        <w:tab/>
      </w:r>
      <w:r>
        <w:fldChar w:fldCharType="begin"/>
      </w:r>
      <w:r>
        <w:instrText xml:space="preserve"> PAGEREF _Toc30721 \h </w:instrText>
      </w:r>
      <w:r>
        <w:fldChar w:fldCharType="separate"/>
      </w:r>
      <w:r>
        <w:t>26</w:t>
      </w:r>
      <w:r>
        <w:fldChar w:fldCharType="end"/>
      </w:r>
      <w:r>
        <w:rPr>
          <w:rFonts w:hint="eastAsia" w:ascii="宋体" w:hAnsi="宋体" w:eastAsia="宋体" w:cs="宋体"/>
          <w:bCs/>
          <w:i w:val="0"/>
          <w:iCs w:val="0"/>
          <w:szCs w:val="24"/>
        </w:rPr>
        <w:fldChar w:fldCharType="end"/>
      </w:r>
    </w:p>
    <w:p w14:paraId="7D948D2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_Toc19144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4.3.</w:t>
      </w:r>
      <w:r>
        <w:rPr>
          <w:rFonts w:hint="eastAsia" w:ascii="宋体" w:hAnsi="宋体" w:eastAsia="宋体" w:cs="宋体"/>
          <w:highlight w:val="none"/>
        </w:rPr>
        <w:t>试验准备</w:t>
      </w:r>
      <w:r>
        <w:tab/>
      </w:r>
      <w:r>
        <w:fldChar w:fldCharType="begin"/>
      </w:r>
      <w:r>
        <w:instrText xml:space="preserve"> PAGEREF _Toc19144 \h </w:instrText>
      </w:r>
      <w:r>
        <w:fldChar w:fldCharType="separate"/>
      </w:r>
      <w:r>
        <w:t>27</w:t>
      </w:r>
      <w:r>
        <w:fldChar w:fldCharType="end"/>
      </w:r>
      <w:r>
        <w:rPr>
          <w:rFonts w:hint="eastAsia" w:ascii="宋体" w:hAnsi="宋体" w:eastAsia="宋体" w:cs="宋体"/>
          <w:bCs/>
          <w:i w:val="0"/>
          <w:iCs w:val="0"/>
          <w:szCs w:val="24"/>
        </w:rPr>
        <w:fldChar w:fldCharType="end"/>
      </w:r>
    </w:p>
    <w:p w14:paraId="64A67EC7">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_Toc30639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4.4.</w:t>
      </w:r>
      <w:r>
        <w:rPr>
          <w:rFonts w:hint="eastAsia" w:ascii="宋体" w:hAnsi="宋体" w:eastAsia="宋体" w:cs="宋体"/>
          <w:highlight w:val="none"/>
        </w:rPr>
        <w:t>技术资料准备</w:t>
      </w:r>
      <w:r>
        <w:tab/>
      </w:r>
      <w:r>
        <w:fldChar w:fldCharType="begin"/>
      </w:r>
      <w:r>
        <w:instrText xml:space="preserve"> PAGEREF _Toc30639 \h </w:instrText>
      </w:r>
      <w:r>
        <w:fldChar w:fldCharType="separate"/>
      </w:r>
      <w:r>
        <w:t>27</w:t>
      </w:r>
      <w:r>
        <w:fldChar w:fldCharType="end"/>
      </w:r>
      <w:r>
        <w:rPr>
          <w:rFonts w:hint="eastAsia" w:ascii="宋体" w:hAnsi="宋体" w:eastAsia="宋体" w:cs="宋体"/>
          <w:bCs/>
          <w:i w:val="0"/>
          <w:iCs w:val="0"/>
          <w:szCs w:val="24"/>
        </w:rPr>
        <w:fldChar w:fldCharType="end"/>
      </w:r>
    </w:p>
    <w:p w14:paraId="19FB05D6">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_Toc14182 </w:instrText>
      </w:r>
      <w:r>
        <w:rPr>
          <w:rFonts w:hint="eastAsia" w:ascii="宋体" w:hAnsi="宋体" w:eastAsia="宋体" w:cs="宋体"/>
          <w:bCs/>
          <w:i w:val="0"/>
          <w:iCs w:val="0"/>
          <w:szCs w:val="24"/>
        </w:rPr>
        <w:fldChar w:fldCharType="separate"/>
      </w:r>
      <w:r>
        <w:rPr>
          <w:rFonts w:hint="eastAsia"/>
        </w:rPr>
        <w:t>第</w:t>
      </w:r>
      <w:r>
        <w:rPr>
          <w:rFonts w:hint="eastAsia"/>
          <w:lang w:val="en-US" w:eastAsia="zh-CN"/>
        </w:rPr>
        <w:t>五</w:t>
      </w:r>
      <w:r>
        <w:rPr>
          <w:rFonts w:hint="eastAsia"/>
        </w:rPr>
        <w:t xml:space="preserve">章  </w:t>
      </w:r>
      <w:r>
        <w:rPr>
          <w:rFonts w:hint="eastAsia" w:ascii="宋体" w:hAnsi="宋体" w:eastAsia="宋体" w:cs="宋体"/>
        </w:rPr>
        <w:t>工程施工的总体部署</w:t>
      </w:r>
      <w:r>
        <w:tab/>
      </w:r>
      <w:r>
        <w:fldChar w:fldCharType="begin"/>
      </w:r>
      <w:r>
        <w:instrText xml:space="preserve"> PAGEREF _Toc14182 \h </w:instrText>
      </w:r>
      <w:r>
        <w:fldChar w:fldCharType="separate"/>
      </w:r>
      <w:r>
        <w:t>28</w:t>
      </w:r>
      <w:r>
        <w:fldChar w:fldCharType="end"/>
      </w:r>
      <w:r>
        <w:rPr>
          <w:rFonts w:hint="eastAsia" w:ascii="宋体" w:hAnsi="宋体" w:eastAsia="宋体" w:cs="宋体"/>
          <w:bCs/>
          <w:i w:val="0"/>
          <w:iCs w:val="0"/>
          <w:szCs w:val="24"/>
        </w:rPr>
        <w:fldChar w:fldCharType="end"/>
      </w:r>
    </w:p>
    <w:p w14:paraId="11BCB81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_Toc3836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5.1.</w:t>
      </w:r>
      <w:r>
        <w:rPr>
          <w:rFonts w:hint="eastAsia" w:ascii="宋体" w:hAnsi="宋体" w:eastAsia="宋体" w:cs="宋体"/>
          <w:highlight w:val="none"/>
        </w:rPr>
        <w:t>总体部署原则</w:t>
      </w:r>
      <w:r>
        <w:tab/>
      </w:r>
      <w:r>
        <w:fldChar w:fldCharType="begin"/>
      </w:r>
      <w:r>
        <w:instrText xml:space="preserve"> PAGEREF _Toc3836 \h </w:instrText>
      </w:r>
      <w:r>
        <w:fldChar w:fldCharType="separate"/>
      </w:r>
      <w:r>
        <w:t>28</w:t>
      </w:r>
      <w:r>
        <w:fldChar w:fldCharType="end"/>
      </w:r>
      <w:r>
        <w:rPr>
          <w:rFonts w:hint="eastAsia" w:ascii="宋体" w:hAnsi="宋体" w:eastAsia="宋体" w:cs="宋体"/>
          <w:bCs/>
          <w:i w:val="0"/>
          <w:iCs w:val="0"/>
          <w:szCs w:val="24"/>
        </w:rPr>
        <w:fldChar w:fldCharType="end"/>
      </w:r>
    </w:p>
    <w:p w14:paraId="4C35D18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_Toc26679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5.2.</w:t>
      </w:r>
      <w:r>
        <w:rPr>
          <w:rFonts w:hint="eastAsia" w:ascii="宋体" w:hAnsi="宋体" w:eastAsia="宋体" w:cs="宋体"/>
          <w:highlight w:val="none"/>
        </w:rPr>
        <w:t>施工管理机构</w:t>
      </w:r>
      <w:r>
        <w:tab/>
      </w:r>
      <w:r>
        <w:fldChar w:fldCharType="begin"/>
      </w:r>
      <w:r>
        <w:instrText xml:space="preserve"> PAGEREF _Toc26679 \h </w:instrText>
      </w:r>
      <w:r>
        <w:fldChar w:fldCharType="separate"/>
      </w:r>
      <w:r>
        <w:t>28</w:t>
      </w:r>
      <w:r>
        <w:fldChar w:fldCharType="end"/>
      </w:r>
      <w:r>
        <w:rPr>
          <w:rFonts w:hint="eastAsia" w:ascii="宋体" w:hAnsi="宋体" w:eastAsia="宋体" w:cs="宋体"/>
          <w:bCs/>
          <w:i w:val="0"/>
          <w:iCs w:val="0"/>
          <w:szCs w:val="24"/>
        </w:rPr>
        <w:fldChar w:fldCharType="end"/>
      </w:r>
    </w:p>
    <w:p w14:paraId="2F0AA3FC">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_Toc4092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w:t>
      </w:r>
      <w:r>
        <w:rPr>
          <w:rFonts w:hint="eastAsia" w:ascii="宋体" w:hAnsi="宋体" w:eastAsia="宋体" w:cs="宋体"/>
        </w:rPr>
        <w:t>施工总目标</w:t>
      </w:r>
      <w:r>
        <w:tab/>
      </w:r>
      <w:r>
        <w:fldChar w:fldCharType="begin"/>
      </w:r>
      <w:r>
        <w:instrText xml:space="preserve"> PAGEREF _Toc4092 \h </w:instrText>
      </w:r>
      <w:r>
        <w:fldChar w:fldCharType="separate"/>
      </w:r>
      <w:r>
        <w:t>33</w:t>
      </w:r>
      <w:r>
        <w:fldChar w:fldCharType="end"/>
      </w:r>
      <w:r>
        <w:rPr>
          <w:rFonts w:hint="eastAsia" w:ascii="宋体" w:hAnsi="宋体" w:eastAsia="宋体" w:cs="宋体"/>
          <w:bCs/>
          <w:i w:val="0"/>
          <w:iCs w:val="0"/>
          <w:szCs w:val="24"/>
        </w:rPr>
        <w:fldChar w:fldCharType="end"/>
      </w:r>
    </w:p>
    <w:p w14:paraId="3AB5147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_Toc17406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5.3.1.</w:t>
      </w:r>
      <w:r>
        <w:rPr>
          <w:rFonts w:hint="eastAsia" w:ascii="宋体" w:hAnsi="宋体" w:eastAsia="宋体" w:cs="宋体"/>
        </w:rPr>
        <w:t>工期目标</w:t>
      </w:r>
      <w:r>
        <w:tab/>
      </w:r>
      <w:r>
        <w:fldChar w:fldCharType="begin"/>
      </w:r>
      <w:r>
        <w:instrText xml:space="preserve"> PAGEREF _Toc17406 \h </w:instrText>
      </w:r>
      <w:r>
        <w:fldChar w:fldCharType="separate"/>
      </w:r>
      <w:r>
        <w:t>33</w:t>
      </w:r>
      <w:r>
        <w:fldChar w:fldCharType="end"/>
      </w:r>
      <w:r>
        <w:rPr>
          <w:rFonts w:hint="eastAsia" w:ascii="宋体" w:hAnsi="宋体" w:eastAsia="宋体" w:cs="宋体"/>
          <w:bCs/>
          <w:i w:val="0"/>
          <w:iCs w:val="0"/>
          <w:szCs w:val="24"/>
        </w:rPr>
        <w:fldChar w:fldCharType="end"/>
      </w:r>
    </w:p>
    <w:p w14:paraId="35D675CF">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_Toc5370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5.3.2.</w:t>
      </w:r>
      <w:r>
        <w:rPr>
          <w:rFonts w:hint="eastAsia" w:ascii="宋体" w:hAnsi="宋体" w:eastAsia="宋体" w:cs="宋体"/>
          <w:highlight w:val="none"/>
        </w:rPr>
        <w:t>质量目标</w:t>
      </w:r>
      <w:r>
        <w:tab/>
      </w:r>
      <w:r>
        <w:fldChar w:fldCharType="begin"/>
      </w:r>
      <w:r>
        <w:instrText xml:space="preserve"> PAGEREF _Toc5370 \h </w:instrText>
      </w:r>
      <w:r>
        <w:fldChar w:fldCharType="separate"/>
      </w:r>
      <w:r>
        <w:t>33</w:t>
      </w:r>
      <w:r>
        <w:fldChar w:fldCharType="end"/>
      </w:r>
      <w:r>
        <w:rPr>
          <w:rFonts w:hint="eastAsia" w:ascii="宋体" w:hAnsi="宋体" w:eastAsia="宋体" w:cs="宋体"/>
          <w:bCs/>
          <w:i w:val="0"/>
          <w:iCs w:val="0"/>
          <w:szCs w:val="24"/>
        </w:rPr>
        <w:fldChar w:fldCharType="end"/>
      </w:r>
    </w:p>
    <w:p w14:paraId="44AF4E9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_Toc20013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5.3.3.</w:t>
      </w:r>
      <w:r>
        <w:rPr>
          <w:rFonts w:hint="eastAsia" w:ascii="宋体" w:hAnsi="宋体" w:eastAsia="宋体" w:cs="宋体"/>
        </w:rPr>
        <w:t>安全生产目标</w:t>
      </w:r>
      <w:r>
        <w:tab/>
      </w:r>
      <w:r>
        <w:fldChar w:fldCharType="begin"/>
      </w:r>
      <w:r>
        <w:instrText xml:space="preserve"> PAGEREF _Toc20013 \h </w:instrText>
      </w:r>
      <w:r>
        <w:fldChar w:fldCharType="separate"/>
      </w:r>
      <w:r>
        <w:t>34</w:t>
      </w:r>
      <w:r>
        <w:fldChar w:fldCharType="end"/>
      </w:r>
      <w:r>
        <w:rPr>
          <w:rFonts w:hint="eastAsia" w:ascii="宋体" w:hAnsi="宋体" w:eastAsia="宋体" w:cs="宋体"/>
          <w:bCs/>
          <w:i w:val="0"/>
          <w:iCs w:val="0"/>
          <w:szCs w:val="24"/>
        </w:rPr>
        <w:fldChar w:fldCharType="end"/>
      </w:r>
    </w:p>
    <w:p w14:paraId="29C28E9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_Toc1166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5.3.4.</w:t>
      </w:r>
      <w:r>
        <w:rPr>
          <w:rFonts w:hint="eastAsia" w:ascii="宋体" w:hAnsi="宋体" w:eastAsia="宋体" w:cs="宋体"/>
        </w:rPr>
        <w:t>成本控制目标</w:t>
      </w:r>
      <w:r>
        <w:tab/>
      </w:r>
      <w:r>
        <w:fldChar w:fldCharType="begin"/>
      </w:r>
      <w:r>
        <w:instrText xml:space="preserve"> PAGEREF _Toc1166 \h </w:instrText>
      </w:r>
      <w:r>
        <w:fldChar w:fldCharType="separate"/>
      </w:r>
      <w:r>
        <w:t>34</w:t>
      </w:r>
      <w:r>
        <w:fldChar w:fldCharType="end"/>
      </w:r>
      <w:r>
        <w:rPr>
          <w:rFonts w:hint="eastAsia" w:ascii="宋体" w:hAnsi="宋体" w:eastAsia="宋体" w:cs="宋体"/>
          <w:bCs/>
          <w:i w:val="0"/>
          <w:iCs w:val="0"/>
          <w:szCs w:val="24"/>
        </w:rPr>
        <w:fldChar w:fldCharType="end"/>
      </w:r>
    </w:p>
    <w:p w14:paraId="314D8DD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_Toc18474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5.3.5.</w:t>
      </w:r>
      <w:r>
        <w:rPr>
          <w:rFonts w:hint="eastAsia" w:ascii="宋体" w:hAnsi="宋体" w:eastAsia="宋体" w:cs="宋体"/>
        </w:rPr>
        <w:t>文明施工目标</w:t>
      </w:r>
      <w:r>
        <w:tab/>
      </w:r>
      <w:r>
        <w:fldChar w:fldCharType="begin"/>
      </w:r>
      <w:r>
        <w:instrText xml:space="preserve"> PAGEREF _Toc18474 \h </w:instrText>
      </w:r>
      <w:r>
        <w:fldChar w:fldCharType="separate"/>
      </w:r>
      <w:r>
        <w:t>35</w:t>
      </w:r>
      <w:r>
        <w:fldChar w:fldCharType="end"/>
      </w:r>
      <w:r>
        <w:rPr>
          <w:rFonts w:hint="eastAsia" w:ascii="宋体" w:hAnsi="宋体" w:eastAsia="宋体" w:cs="宋体"/>
          <w:bCs/>
          <w:i w:val="0"/>
          <w:iCs w:val="0"/>
          <w:szCs w:val="24"/>
        </w:rPr>
        <w:fldChar w:fldCharType="end"/>
      </w:r>
    </w:p>
    <w:p w14:paraId="23A1FDD9">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_Toc25358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5.3.6.</w:t>
      </w:r>
      <w:r>
        <w:rPr>
          <w:rFonts w:hint="eastAsia" w:ascii="宋体" w:hAnsi="宋体" w:eastAsia="宋体" w:cs="宋体"/>
        </w:rPr>
        <w:t>环境保护目标</w:t>
      </w:r>
      <w:r>
        <w:tab/>
      </w:r>
      <w:r>
        <w:fldChar w:fldCharType="begin"/>
      </w:r>
      <w:r>
        <w:instrText xml:space="preserve"> PAGEREF _Toc25358 \h </w:instrText>
      </w:r>
      <w:r>
        <w:fldChar w:fldCharType="separate"/>
      </w:r>
      <w:r>
        <w:t>35</w:t>
      </w:r>
      <w:r>
        <w:fldChar w:fldCharType="end"/>
      </w:r>
      <w:r>
        <w:rPr>
          <w:rFonts w:hint="eastAsia" w:ascii="宋体" w:hAnsi="宋体" w:eastAsia="宋体" w:cs="宋体"/>
          <w:bCs/>
          <w:i w:val="0"/>
          <w:iCs w:val="0"/>
          <w:szCs w:val="24"/>
        </w:rPr>
        <w:fldChar w:fldCharType="end"/>
      </w:r>
    </w:p>
    <w:p w14:paraId="722F8FB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_Toc21357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5.3.7.</w:t>
      </w:r>
      <w:r>
        <w:rPr>
          <w:rFonts w:hint="eastAsia" w:ascii="宋体" w:hAnsi="宋体" w:eastAsia="宋体" w:cs="宋体"/>
        </w:rPr>
        <w:t>职业健康目标</w:t>
      </w:r>
      <w:r>
        <w:tab/>
      </w:r>
      <w:r>
        <w:fldChar w:fldCharType="begin"/>
      </w:r>
      <w:r>
        <w:instrText xml:space="preserve"> PAGEREF _Toc21357 \h </w:instrText>
      </w:r>
      <w:r>
        <w:fldChar w:fldCharType="separate"/>
      </w:r>
      <w:r>
        <w:t>36</w:t>
      </w:r>
      <w:r>
        <w:fldChar w:fldCharType="end"/>
      </w:r>
      <w:r>
        <w:rPr>
          <w:rFonts w:hint="eastAsia" w:ascii="宋体" w:hAnsi="宋体" w:eastAsia="宋体" w:cs="宋体"/>
          <w:bCs/>
          <w:i w:val="0"/>
          <w:iCs w:val="0"/>
          <w:szCs w:val="24"/>
        </w:rPr>
        <w:fldChar w:fldCharType="end"/>
      </w:r>
    </w:p>
    <w:p w14:paraId="263EAEA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_Toc10397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5.3.8.</w:t>
      </w:r>
      <w:r>
        <w:rPr>
          <w:rFonts w:hint="eastAsia" w:ascii="宋体" w:hAnsi="宋体" w:eastAsia="宋体" w:cs="宋体"/>
        </w:rPr>
        <w:t>廉政目标</w:t>
      </w:r>
      <w:r>
        <w:tab/>
      </w:r>
      <w:r>
        <w:fldChar w:fldCharType="begin"/>
      </w:r>
      <w:r>
        <w:instrText xml:space="preserve"> PAGEREF _Toc10397 \h </w:instrText>
      </w:r>
      <w:r>
        <w:fldChar w:fldCharType="separate"/>
      </w:r>
      <w:r>
        <w:t>36</w:t>
      </w:r>
      <w:r>
        <w:fldChar w:fldCharType="end"/>
      </w:r>
      <w:r>
        <w:rPr>
          <w:rFonts w:hint="eastAsia" w:ascii="宋体" w:hAnsi="宋体" w:eastAsia="宋体" w:cs="宋体"/>
          <w:bCs/>
          <w:i w:val="0"/>
          <w:iCs w:val="0"/>
          <w:szCs w:val="24"/>
        </w:rPr>
        <w:fldChar w:fldCharType="end"/>
      </w:r>
    </w:p>
    <w:p w14:paraId="74BCBD3F">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_Toc14805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5.4.</w:t>
      </w:r>
      <w:r>
        <w:rPr>
          <w:rFonts w:hint="eastAsia" w:ascii="宋体" w:hAnsi="宋体" w:eastAsia="宋体" w:cs="宋体"/>
        </w:rPr>
        <w:t>施工任务划分及进场计划</w:t>
      </w:r>
      <w:r>
        <w:tab/>
      </w:r>
      <w:r>
        <w:fldChar w:fldCharType="begin"/>
      </w:r>
      <w:r>
        <w:instrText xml:space="preserve"> PAGEREF _Toc14805 \h </w:instrText>
      </w:r>
      <w:r>
        <w:fldChar w:fldCharType="separate"/>
      </w:r>
      <w:r>
        <w:t>36</w:t>
      </w:r>
      <w:r>
        <w:fldChar w:fldCharType="end"/>
      </w:r>
      <w:r>
        <w:rPr>
          <w:rFonts w:hint="eastAsia" w:ascii="宋体" w:hAnsi="宋体" w:eastAsia="宋体" w:cs="宋体"/>
          <w:bCs/>
          <w:i w:val="0"/>
          <w:iCs w:val="0"/>
          <w:szCs w:val="24"/>
        </w:rPr>
        <w:fldChar w:fldCharType="end"/>
      </w:r>
    </w:p>
    <w:p w14:paraId="742722F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_Toc2244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5.4.1.</w:t>
      </w:r>
      <w:r>
        <w:rPr>
          <w:rFonts w:hint="eastAsia" w:ascii="宋体" w:hAnsi="宋体" w:eastAsia="宋体" w:cs="宋体"/>
        </w:rPr>
        <w:t>总体施工顺序</w:t>
      </w:r>
      <w:r>
        <w:tab/>
      </w:r>
      <w:r>
        <w:fldChar w:fldCharType="begin"/>
      </w:r>
      <w:r>
        <w:instrText xml:space="preserve"> PAGEREF _Toc2244 \h </w:instrText>
      </w:r>
      <w:r>
        <w:fldChar w:fldCharType="separate"/>
      </w:r>
      <w:r>
        <w:t>36</w:t>
      </w:r>
      <w:r>
        <w:fldChar w:fldCharType="end"/>
      </w:r>
      <w:r>
        <w:rPr>
          <w:rFonts w:hint="eastAsia" w:ascii="宋体" w:hAnsi="宋体" w:eastAsia="宋体" w:cs="宋体"/>
          <w:bCs/>
          <w:i w:val="0"/>
          <w:iCs w:val="0"/>
          <w:szCs w:val="24"/>
        </w:rPr>
        <w:fldChar w:fldCharType="end"/>
      </w:r>
    </w:p>
    <w:p w14:paraId="1F6352D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_Toc13667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5.4.2.</w:t>
      </w:r>
      <w:r>
        <w:rPr>
          <w:rFonts w:hint="eastAsia" w:ascii="宋体" w:hAnsi="宋体" w:eastAsia="宋体" w:cs="宋体"/>
          <w:highlight w:val="none"/>
        </w:rPr>
        <w:t>施工任务划分</w:t>
      </w:r>
      <w:r>
        <w:tab/>
      </w:r>
      <w:r>
        <w:fldChar w:fldCharType="begin"/>
      </w:r>
      <w:r>
        <w:instrText xml:space="preserve"> PAGEREF _Toc13667 \h </w:instrText>
      </w:r>
      <w:r>
        <w:fldChar w:fldCharType="separate"/>
      </w:r>
      <w:r>
        <w:t>36</w:t>
      </w:r>
      <w:r>
        <w:fldChar w:fldCharType="end"/>
      </w:r>
      <w:r>
        <w:rPr>
          <w:rFonts w:hint="eastAsia" w:ascii="宋体" w:hAnsi="宋体" w:eastAsia="宋体" w:cs="宋体"/>
          <w:bCs/>
          <w:i w:val="0"/>
          <w:iCs w:val="0"/>
          <w:szCs w:val="24"/>
        </w:rPr>
        <w:fldChar w:fldCharType="end"/>
      </w:r>
    </w:p>
    <w:p w14:paraId="71D9F06B">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_Toc16306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第六章</w:t>
      </w:r>
      <w:r>
        <w:rPr>
          <w:rFonts w:hint="default" w:ascii="宋体" w:hAnsi="宋体" w:eastAsia="宋体" w:cs="Times New Roman"/>
          <w:bCs/>
          <w:kern w:val="36"/>
          <w:szCs w:val="48"/>
          <w:lang w:val="en-US" w:eastAsia="zh-CN" w:bidi="ar-SA"/>
        </w:rPr>
        <w:t>.</w:t>
      </w:r>
      <w:r>
        <w:rPr>
          <w:rFonts w:hint="eastAsia" w:ascii="宋体" w:hAnsi="宋体" w:eastAsia="宋体" w:cs="宋体"/>
          <w:highlight w:val="none"/>
        </w:rPr>
        <w:t>工程</w:t>
      </w:r>
      <w:r>
        <w:rPr>
          <w:rFonts w:hint="eastAsia" w:cs="宋体"/>
          <w:highlight w:val="none"/>
          <w:lang w:val="en-US" w:eastAsia="zh-CN"/>
        </w:rPr>
        <w:t>重难</w:t>
      </w:r>
      <w:r>
        <w:rPr>
          <w:rFonts w:hint="eastAsia" w:ascii="宋体" w:hAnsi="宋体" w:eastAsia="宋体" w:cs="宋体"/>
          <w:highlight w:val="none"/>
        </w:rPr>
        <w:t>点分析</w:t>
      </w:r>
      <w:r>
        <w:tab/>
      </w:r>
      <w:r>
        <w:fldChar w:fldCharType="begin"/>
      </w:r>
      <w:r>
        <w:instrText xml:space="preserve"> PAGEREF _Toc16306 \h </w:instrText>
      </w:r>
      <w:r>
        <w:fldChar w:fldCharType="separate"/>
      </w:r>
      <w:r>
        <w:t>36</w:t>
      </w:r>
      <w:r>
        <w:fldChar w:fldCharType="end"/>
      </w:r>
      <w:r>
        <w:rPr>
          <w:rFonts w:hint="eastAsia" w:ascii="宋体" w:hAnsi="宋体" w:eastAsia="宋体" w:cs="宋体"/>
          <w:bCs/>
          <w:i w:val="0"/>
          <w:iCs w:val="0"/>
          <w:szCs w:val="24"/>
        </w:rPr>
        <w:fldChar w:fldCharType="end"/>
      </w:r>
    </w:p>
    <w:p w14:paraId="3FC21F2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_Toc6898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6.1.</w:t>
      </w:r>
      <w:r>
        <w:rPr>
          <w:rFonts w:hint="eastAsia" w:ascii="宋体" w:hAnsi="宋体" w:eastAsia="宋体" w:cs="宋体"/>
          <w:highlight w:val="none"/>
        </w:rPr>
        <w:t>施工组织难度大</w:t>
      </w:r>
      <w:r>
        <w:tab/>
      </w:r>
      <w:r>
        <w:fldChar w:fldCharType="begin"/>
      </w:r>
      <w:r>
        <w:instrText xml:space="preserve"> PAGEREF _Toc6898 \h </w:instrText>
      </w:r>
      <w:r>
        <w:fldChar w:fldCharType="separate"/>
      </w:r>
      <w:r>
        <w:t>36</w:t>
      </w:r>
      <w:r>
        <w:fldChar w:fldCharType="end"/>
      </w:r>
      <w:r>
        <w:rPr>
          <w:rFonts w:hint="eastAsia" w:ascii="宋体" w:hAnsi="宋体" w:eastAsia="宋体" w:cs="宋体"/>
          <w:bCs/>
          <w:i w:val="0"/>
          <w:iCs w:val="0"/>
          <w:szCs w:val="24"/>
        </w:rPr>
        <w:fldChar w:fldCharType="end"/>
      </w:r>
    </w:p>
    <w:p w14:paraId="380AFA9F">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_Toc23190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6.2.</w:t>
      </w:r>
      <w:r>
        <w:rPr>
          <w:rFonts w:hint="eastAsia" w:ascii="宋体" w:hAnsi="宋体" w:eastAsia="宋体" w:cs="宋体"/>
          <w:highlight w:val="none"/>
          <w:lang w:val="en-US" w:eastAsia="zh-CN"/>
        </w:rPr>
        <w:t>沿交通组织压力大，施工管理难度大</w:t>
      </w:r>
      <w:r>
        <w:tab/>
      </w:r>
      <w:r>
        <w:fldChar w:fldCharType="begin"/>
      </w:r>
      <w:r>
        <w:instrText xml:space="preserve"> PAGEREF _Toc23190 \h </w:instrText>
      </w:r>
      <w:r>
        <w:fldChar w:fldCharType="separate"/>
      </w:r>
      <w:r>
        <w:t>37</w:t>
      </w:r>
      <w:r>
        <w:fldChar w:fldCharType="end"/>
      </w:r>
      <w:r>
        <w:rPr>
          <w:rFonts w:hint="eastAsia" w:ascii="宋体" w:hAnsi="宋体" w:eastAsia="宋体" w:cs="宋体"/>
          <w:bCs/>
          <w:i w:val="0"/>
          <w:iCs w:val="0"/>
          <w:szCs w:val="24"/>
        </w:rPr>
        <w:fldChar w:fldCharType="end"/>
      </w:r>
    </w:p>
    <w:p w14:paraId="38604AC7">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_Toc10163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6.</w:t>
      </w:r>
      <w:r>
        <w:rPr>
          <w:rFonts w:hint="eastAsia" w:ascii="宋体" w:hAnsi="宋体" w:cs="Times New Roman"/>
          <w:bCs/>
          <w:kern w:val="2"/>
          <w:szCs w:val="32"/>
          <w:lang w:val="en-US" w:eastAsia="zh-CN" w:bidi="ar-SA"/>
        </w:rPr>
        <w:t>3</w:t>
      </w:r>
      <w:r>
        <w:rPr>
          <w:rFonts w:hint="default" w:ascii="宋体" w:hAnsi="宋体" w:eastAsia="宋体" w:cs="Times New Roman"/>
          <w:bCs/>
          <w:kern w:val="2"/>
          <w:szCs w:val="32"/>
          <w:lang w:val="en-US" w:eastAsia="zh-CN" w:bidi="ar-SA"/>
        </w:rPr>
        <w:t>.</w:t>
      </w:r>
      <w:r>
        <w:rPr>
          <w:rFonts w:hint="eastAsia" w:ascii="宋体" w:hAnsi="宋体" w:eastAsia="宋体" w:cs="宋体"/>
          <w:highlight w:val="none"/>
          <w:lang w:val="en-US" w:eastAsia="zh-CN"/>
        </w:rPr>
        <w:t>土石方调配难度大</w:t>
      </w:r>
      <w:r>
        <w:tab/>
      </w:r>
      <w:r>
        <w:fldChar w:fldCharType="begin"/>
      </w:r>
      <w:r>
        <w:instrText xml:space="preserve"> PAGEREF _Toc10163 \h </w:instrText>
      </w:r>
      <w:r>
        <w:fldChar w:fldCharType="separate"/>
      </w:r>
      <w:r>
        <w:t>37</w:t>
      </w:r>
      <w:r>
        <w:fldChar w:fldCharType="end"/>
      </w:r>
      <w:r>
        <w:rPr>
          <w:rFonts w:hint="eastAsia" w:ascii="宋体" w:hAnsi="宋体" w:eastAsia="宋体" w:cs="宋体"/>
          <w:bCs/>
          <w:i w:val="0"/>
          <w:iCs w:val="0"/>
          <w:szCs w:val="24"/>
        </w:rPr>
        <w:fldChar w:fldCharType="end"/>
      </w:r>
    </w:p>
    <w:p w14:paraId="04D870E8">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_Toc23471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第七章</w:t>
      </w:r>
      <w:r>
        <w:rPr>
          <w:rFonts w:hint="default" w:ascii="宋体" w:hAnsi="宋体" w:eastAsia="宋体" w:cs="Times New Roman"/>
          <w:bCs/>
          <w:kern w:val="36"/>
          <w:szCs w:val="48"/>
          <w:lang w:val="en-US" w:eastAsia="zh-CN" w:bidi="ar-SA"/>
        </w:rPr>
        <w:t>.</w:t>
      </w:r>
      <w:r>
        <w:rPr>
          <w:rFonts w:hint="eastAsia" w:ascii="宋体" w:hAnsi="宋体" w:eastAsia="宋体" w:cs="宋体"/>
          <w:highlight w:val="none"/>
        </w:rPr>
        <w:t>施工进度</w:t>
      </w:r>
      <w:r>
        <w:rPr>
          <w:rFonts w:hint="eastAsia" w:cs="宋体"/>
          <w:highlight w:val="none"/>
          <w:lang w:val="en-US" w:eastAsia="zh-CN"/>
        </w:rPr>
        <w:t>计划及保障措施</w:t>
      </w:r>
      <w:r>
        <w:tab/>
      </w:r>
      <w:r>
        <w:fldChar w:fldCharType="begin"/>
      </w:r>
      <w:r>
        <w:instrText xml:space="preserve"> PAGEREF _Toc23471 \h </w:instrText>
      </w:r>
      <w:r>
        <w:fldChar w:fldCharType="separate"/>
      </w:r>
      <w:r>
        <w:t>38</w:t>
      </w:r>
      <w:r>
        <w:fldChar w:fldCharType="end"/>
      </w:r>
      <w:r>
        <w:rPr>
          <w:rFonts w:hint="eastAsia" w:ascii="宋体" w:hAnsi="宋体" w:eastAsia="宋体" w:cs="宋体"/>
          <w:bCs/>
          <w:i w:val="0"/>
          <w:iCs w:val="0"/>
          <w:szCs w:val="24"/>
        </w:rPr>
        <w:fldChar w:fldCharType="end"/>
      </w:r>
    </w:p>
    <w:p w14:paraId="12ABFF1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_Toc28525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7.1.</w:t>
      </w:r>
      <w:r>
        <w:rPr>
          <w:rFonts w:hint="eastAsia" w:ascii="宋体" w:hAnsi="宋体" w:eastAsia="宋体" w:cs="宋体"/>
          <w:highlight w:val="none"/>
        </w:rPr>
        <w:t>总体安排思路</w:t>
      </w:r>
      <w:r>
        <w:tab/>
      </w:r>
      <w:r>
        <w:fldChar w:fldCharType="begin"/>
      </w:r>
      <w:r>
        <w:instrText xml:space="preserve"> PAGEREF _Toc28525 \h </w:instrText>
      </w:r>
      <w:r>
        <w:fldChar w:fldCharType="separate"/>
      </w:r>
      <w:r>
        <w:t>38</w:t>
      </w:r>
      <w:r>
        <w:fldChar w:fldCharType="end"/>
      </w:r>
      <w:r>
        <w:rPr>
          <w:rFonts w:hint="eastAsia" w:ascii="宋体" w:hAnsi="宋体" w:eastAsia="宋体" w:cs="宋体"/>
          <w:bCs/>
          <w:i w:val="0"/>
          <w:iCs w:val="0"/>
          <w:szCs w:val="24"/>
        </w:rPr>
        <w:fldChar w:fldCharType="end"/>
      </w:r>
    </w:p>
    <w:p w14:paraId="795BBB8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_Toc24589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7.2.</w:t>
      </w:r>
      <w:r>
        <w:rPr>
          <w:rFonts w:hint="eastAsia" w:ascii="宋体" w:hAnsi="宋体" w:eastAsia="宋体" w:cs="宋体"/>
        </w:rPr>
        <w:t>工期目标</w:t>
      </w:r>
      <w:r>
        <w:tab/>
      </w:r>
      <w:r>
        <w:fldChar w:fldCharType="begin"/>
      </w:r>
      <w:r>
        <w:instrText xml:space="preserve"> PAGEREF _Toc24589 \h </w:instrText>
      </w:r>
      <w:r>
        <w:fldChar w:fldCharType="separate"/>
      </w:r>
      <w:r>
        <w:t>38</w:t>
      </w:r>
      <w:r>
        <w:fldChar w:fldCharType="end"/>
      </w:r>
      <w:r>
        <w:rPr>
          <w:rFonts w:hint="eastAsia" w:ascii="宋体" w:hAnsi="宋体" w:eastAsia="宋体" w:cs="宋体"/>
          <w:bCs/>
          <w:i w:val="0"/>
          <w:iCs w:val="0"/>
          <w:szCs w:val="24"/>
        </w:rPr>
        <w:fldChar w:fldCharType="end"/>
      </w:r>
    </w:p>
    <w:p w14:paraId="58B25BA3">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_Toc6609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7.3.</w:t>
      </w:r>
      <w:r>
        <w:rPr>
          <w:rFonts w:hint="eastAsia" w:ascii="宋体" w:hAnsi="宋体" w:eastAsia="宋体" w:cs="宋体"/>
          <w:highlight w:val="none"/>
        </w:rPr>
        <w:t>施工进度计划</w:t>
      </w:r>
      <w:r>
        <w:tab/>
      </w:r>
      <w:r>
        <w:fldChar w:fldCharType="begin"/>
      </w:r>
      <w:r>
        <w:instrText xml:space="preserve"> PAGEREF _Toc6609 \h </w:instrText>
      </w:r>
      <w:r>
        <w:fldChar w:fldCharType="separate"/>
      </w:r>
      <w:r>
        <w:t>38</w:t>
      </w:r>
      <w:r>
        <w:fldChar w:fldCharType="end"/>
      </w:r>
      <w:r>
        <w:rPr>
          <w:rFonts w:hint="eastAsia" w:ascii="宋体" w:hAnsi="宋体" w:eastAsia="宋体" w:cs="宋体"/>
          <w:bCs/>
          <w:i w:val="0"/>
          <w:iCs w:val="0"/>
          <w:szCs w:val="24"/>
        </w:rPr>
        <w:fldChar w:fldCharType="end"/>
      </w:r>
    </w:p>
    <w:p w14:paraId="2149A3B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_Toc23568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highlight w:val="none"/>
          <w:lang w:val="en-US" w:eastAsia="zh-CN" w:bidi="ar-SA"/>
        </w:rPr>
        <w:t>7.</w:t>
      </w:r>
      <w:r>
        <w:rPr>
          <w:rFonts w:hint="eastAsia" w:ascii="宋体" w:hAnsi="宋体" w:eastAsia="宋体" w:cs="Times New Roman"/>
          <w:bCs/>
          <w:kern w:val="2"/>
          <w:szCs w:val="32"/>
          <w:highlight w:val="none"/>
          <w:lang w:val="en-US" w:eastAsia="zh-CN" w:bidi="ar-SA"/>
        </w:rPr>
        <w:t>4</w:t>
      </w:r>
      <w:r>
        <w:rPr>
          <w:rFonts w:hint="default" w:ascii="宋体" w:hAnsi="宋体" w:eastAsia="宋体" w:cs="Times New Roman"/>
          <w:bCs/>
          <w:kern w:val="2"/>
          <w:szCs w:val="32"/>
          <w:highlight w:val="none"/>
          <w:lang w:val="en-US" w:eastAsia="zh-CN" w:bidi="ar-SA"/>
        </w:rPr>
        <w:t>.</w:t>
      </w:r>
      <w:r>
        <w:rPr>
          <w:rFonts w:hint="eastAsia" w:ascii="宋体" w:hAnsi="宋体" w:eastAsia="宋体" w:cs="宋体"/>
          <w:highlight w:val="none"/>
          <w:lang w:val="en-US" w:eastAsia="zh-CN"/>
        </w:rPr>
        <w:t>工期保障措施</w:t>
      </w:r>
      <w:r>
        <w:tab/>
      </w:r>
      <w:r>
        <w:fldChar w:fldCharType="begin"/>
      </w:r>
      <w:r>
        <w:instrText xml:space="preserve"> PAGEREF _Toc23568 \h </w:instrText>
      </w:r>
      <w:r>
        <w:fldChar w:fldCharType="separate"/>
      </w:r>
      <w:r>
        <w:t>39</w:t>
      </w:r>
      <w:r>
        <w:fldChar w:fldCharType="end"/>
      </w:r>
      <w:r>
        <w:rPr>
          <w:rFonts w:hint="eastAsia" w:ascii="宋体" w:hAnsi="宋体" w:eastAsia="宋体" w:cs="宋体"/>
          <w:bCs/>
          <w:i w:val="0"/>
          <w:iCs w:val="0"/>
          <w:szCs w:val="24"/>
        </w:rPr>
        <w:fldChar w:fldCharType="end"/>
      </w:r>
    </w:p>
    <w:p w14:paraId="7D40154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_Toc20322 </w:instrText>
      </w:r>
      <w:r>
        <w:rPr>
          <w:rFonts w:hint="eastAsia" w:ascii="宋体" w:hAnsi="宋体" w:eastAsia="宋体" w:cs="宋体"/>
          <w:bCs/>
          <w:i w:val="0"/>
          <w:iCs w:val="0"/>
          <w:szCs w:val="24"/>
        </w:rPr>
        <w:fldChar w:fldCharType="separate"/>
      </w:r>
      <w:r>
        <w:rPr>
          <w:rFonts w:hint="eastAsia"/>
          <w:lang w:val="en-US" w:eastAsia="zh-CN"/>
        </w:rPr>
        <w:t>7.4.1</w:t>
      </w:r>
      <w:r>
        <w:rPr>
          <w:rFonts w:hint="eastAsia"/>
        </w:rPr>
        <w:t>保障工期的基本思路和总体思想</w:t>
      </w:r>
      <w:r>
        <w:tab/>
      </w:r>
      <w:r>
        <w:fldChar w:fldCharType="begin"/>
      </w:r>
      <w:r>
        <w:instrText xml:space="preserve"> PAGEREF _Toc20322 \h </w:instrText>
      </w:r>
      <w:r>
        <w:fldChar w:fldCharType="separate"/>
      </w:r>
      <w:r>
        <w:t>39</w:t>
      </w:r>
      <w:r>
        <w:fldChar w:fldCharType="end"/>
      </w:r>
      <w:r>
        <w:rPr>
          <w:rFonts w:hint="eastAsia" w:ascii="宋体" w:hAnsi="宋体" w:eastAsia="宋体" w:cs="宋体"/>
          <w:bCs/>
          <w:i w:val="0"/>
          <w:iCs w:val="0"/>
          <w:szCs w:val="24"/>
        </w:rPr>
        <w:fldChar w:fldCharType="end"/>
      </w:r>
    </w:p>
    <w:p w14:paraId="3AD4685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_Toc27945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lang w:val="en-US" w:eastAsia="zh-CN"/>
        </w:rPr>
        <w:t>7.4.</w:t>
      </w:r>
      <w:r>
        <w:rPr>
          <w:rFonts w:asciiTheme="minorEastAsia" w:hAnsiTheme="minorEastAsia" w:eastAsiaTheme="minorEastAsia"/>
        </w:rPr>
        <w:t>2</w:t>
      </w:r>
      <w:r>
        <w:rPr>
          <w:rFonts w:hint="eastAsia" w:asciiTheme="minorEastAsia" w:hAnsiTheme="minorEastAsia" w:eastAsiaTheme="minorEastAsia"/>
        </w:rPr>
        <w:t>技术保证措施</w:t>
      </w:r>
      <w:r>
        <w:tab/>
      </w:r>
      <w:r>
        <w:fldChar w:fldCharType="begin"/>
      </w:r>
      <w:r>
        <w:instrText xml:space="preserve"> PAGEREF _Toc27945 \h </w:instrText>
      </w:r>
      <w:r>
        <w:fldChar w:fldCharType="separate"/>
      </w:r>
      <w:r>
        <w:t>40</w:t>
      </w:r>
      <w:r>
        <w:fldChar w:fldCharType="end"/>
      </w:r>
      <w:r>
        <w:rPr>
          <w:rFonts w:hint="eastAsia" w:ascii="宋体" w:hAnsi="宋体" w:eastAsia="宋体" w:cs="宋体"/>
          <w:bCs/>
          <w:i w:val="0"/>
          <w:iCs w:val="0"/>
          <w:szCs w:val="24"/>
        </w:rPr>
        <w:fldChar w:fldCharType="end"/>
      </w:r>
    </w:p>
    <w:p w14:paraId="15AD8C7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_Toc31436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lang w:val="en-US" w:eastAsia="zh-CN"/>
        </w:rPr>
        <w:t>7.4.</w:t>
      </w:r>
      <w:r>
        <w:rPr>
          <w:rFonts w:asciiTheme="minorEastAsia" w:hAnsiTheme="minorEastAsia" w:eastAsiaTheme="minorEastAsia"/>
        </w:rPr>
        <w:t>3</w:t>
      </w:r>
      <w:r>
        <w:rPr>
          <w:rFonts w:hint="eastAsia" w:asciiTheme="minorEastAsia" w:hAnsiTheme="minorEastAsia" w:eastAsiaTheme="minorEastAsia"/>
        </w:rPr>
        <w:t>组织保证措施</w:t>
      </w:r>
      <w:r>
        <w:tab/>
      </w:r>
      <w:r>
        <w:fldChar w:fldCharType="begin"/>
      </w:r>
      <w:r>
        <w:instrText xml:space="preserve"> PAGEREF _Toc31436 \h </w:instrText>
      </w:r>
      <w:r>
        <w:fldChar w:fldCharType="separate"/>
      </w:r>
      <w:r>
        <w:t>41</w:t>
      </w:r>
      <w:r>
        <w:fldChar w:fldCharType="end"/>
      </w:r>
      <w:r>
        <w:rPr>
          <w:rFonts w:hint="eastAsia" w:ascii="宋体" w:hAnsi="宋体" w:eastAsia="宋体" w:cs="宋体"/>
          <w:bCs/>
          <w:i w:val="0"/>
          <w:iCs w:val="0"/>
          <w:szCs w:val="24"/>
        </w:rPr>
        <w:fldChar w:fldCharType="end"/>
      </w:r>
    </w:p>
    <w:p w14:paraId="482665A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_Toc29296 </w:instrText>
      </w:r>
      <w:r>
        <w:rPr>
          <w:rFonts w:hint="eastAsia" w:ascii="宋体" w:hAnsi="宋体" w:eastAsia="宋体" w:cs="宋体"/>
          <w:bCs/>
          <w:i w:val="0"/>
          <w:iCs w:val="0"/>
          <w:szCs w:val="24"/>
        </w:rPr>
        <w:fldChar w:fldCharType="separate"/>
      </w:r>
      <w:r>
        <w:rPr>
          <w:rFonts w:hint="eastAsia"/>
          <w:lang w:val="en-US" w:eastAsia="zh-CN"/>
        </w:rPr>
        <w:t>7.4.</w:t>
      </w:r>
      <w:r>
        <w:rPr>
          <w:rFonts w:hint="eastAsia"/>
        </w:rPr>
        <w:t>4制度保证措施</w:t>
      </w:r>
      <w:r>
        <w:tab/>
      </w:r>
      <w:r>
        <w:fldChar w:fldCharType="begin"/>
      </w:r>
      <w:r>
        <w:instrText xml:space="preserve"> PAGEREF _Toc29296 \h </w:instrText>
      </w:r>
      <w:r>
        <w:fldChar w:fldCharType="separate"/>
      </w:r>
      <w:r>
        <w:t>42</w:t>
      </w:r>
      <w:r>
        <w:fldChar w:fldCharType="end"/>
      </w:r>
      <w:r>
        <w:rPr>
          <w:rFonts w:hint="eastAsia" w:ascii="宋体" w:hAnsi="宋体" w:eastAsia="宋体" w:cs="宋体"/>
          <w:bCs/>
          <w:i w:val="0"/>
          <w:iCs w:val="0"/>
          <w:szCs w:val="24"/>
        </w:rPr>
        <w:fldChar w:fldCharType="end"/>
      </w:r>
    </w:p>
    <w:p w14:paraId="666827B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_Toc27022 </w:instrText>
      </w:r>
      <w:r>
        <w:rPr>
          <w:rFonts w:hint="eastAsia" w:ascii="宋体" w:hAnsi="宋体" w:eastAsia="宋体" w:cs="宋体"/>
          <w:bCs/>
          <w:i w:val="0"/>
          <w:iCs w:val="0"/>
          <w:szCs w:val="24"/>
        </w:rPr>
        <w:fldChar w:fldCharType="separate"/>
      </w:r>
      <w:r>
        <w:rPr>
          <w:rFonts w:hint="eastAsia"/>
          <w:lang w:val="en-US" w:eastAsia="zh-CN"/>
        </w:rPr>
        <w:t>7.4.5</w:t>
      </w:r>
      <w:r>
        <w:rPr>
          <w:rFonts w:hint="eastAsia"/>
        </w:rPr>
        <w:t>经济保证措施</w:t>
      </w:r>
      <w:r>
        <w:tab/>
      </w:r>
      <w:r>
        <w:fldChar w:fldCharType="begin"/>
      </w:r>
      <w:r>
        <w:instrText xml:space="preserve"> PAGEREF _Toc27022 \h </w:instrText>
      </w:r>
      <w:r>
        <w:fldChar w:fldCharType="separate"/>
      </w:r>
      <w:r>
        <w:t>42</w:t>
      </w:r>
      <w:r>
        <w:fldChar w:fldCharType="end"/>
      </w:r>
      <w:r>
        <w:rPr>
          <w:rFonts w:hint="eastAsia" w:ascii="宋体" w:hAnsi="宋体" w:eastAsia="宋体" w:cs="宋体"/>
          <w:bCs/>
          <w:i w:val="0"/>
          <w:iCs w:val="0"/>
          <w:szCs w:val="24"/>
        </w:rPr>
        <w:fldChar w:fldCharType="end"/>
      </w:r>
    </w:p>
    <w:p w14:paraId="29619C9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_Toc27395 </w:instrText>
      </w:r>
      <w:r>
        <w:rPr>
          <w:rFonts w:hint="eastAsia" w:ascii="宋体" w:hAnsi="宋体" w:eastAsia="宋体" w:cs="宋体"/>
          <w:bCs/>
          <w:i w:val="0"/>
          <w:iCs w:val="0"/>
          <w:szCs w:val="24"/>
        </w:rPr>
        <w:fldChar w:fldCharType="separate"/>
      </w:r>
      <w:r>
        <w:rPr>
          <w:rFonts w:hint="eastAsia"/>
          <w:lang w:val="en-US" w:eastAsia="zh-CN"/>
        </w:rPr>
        <w:t>7.4.6</w:t>
      </w:r>
      <w:r>
        <w:rPr>
          <w:rFonts w:hint="eastAsia"/>
        </w:rPr>
        <w:t>施工要素配置保障</w:t>
      </w:r>
      <w:r>
        <w:tab/>
      </w:r>
      <w:r>
        <w:fldChar w:fldCharType="begin"/>
      </w:r>
      <w:r>
        <w:instrText xml:space="preserve"> PAGEREF _Toc27395 \h </w:instrText>
      </w:r>
      <w:r>
        <w:fldChar w:fldCharType="separate"/>
      </w:r>
      <w:r>
        <w:t>43</w:t>
      </w:r>
      <w:r>
        <w:fldChar w:fldCharType="end"/>
      </w:r>
      <w:r>
        <w:rPr>
          <w:rFonts w:hint="eastAsia" w:ascii="宋体" w:hAnsi="宋体" w:eastAsia="宋体" w:cs="宋体"/>
          <w:bCs/>
          <w:i w:val="0"/>
          <w:iCs w:val="0"/>
          <w:szCs w:val="24"/>
        </w:rPr>
        <w:fldChar w:fldCharType="end"/>
      </w:r>
    </w:p>
    <w:p w14:paraId="6BDCD96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_Toc28522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lang w:val="en-US" w:eastAsia="zh-CN"/>
        </w:rPr>
        <w:t>7.4.7</w:t>
      </w:r>
      <w:r>
        <w:rPr>
          <w:rFonts w:hint="eastAsia" w:asciiTheme="minorEastAsia" w:hAnsiTheme="minorEastAsia" w:eastAsiaTheme="minorEastAsia"/>
        </w:rPr>
        <w:t>提高机械设备完好率</w:t>
      </w:r>
      <w:r>
        <w:tab/>
      </w:r>
      <w:r>
        <w:fldChar w:fldCharType="begin"/>
      </w:r>
      <w:r>
        <w:instrText xml:space="preserve"> PAGEREF _Toc28522 \h </w:instrText>
      </w:r>
      <w:r>
        <w:fldChar w:fldCharType="separate"/>
      </w:r>
      <w:r>
        <w:t>43</w:t>
      </w:r>
      <w:r>
        <w:fldChar w:fldCharType="end"/>
      </w:r>
      <w:r>
        <w:rPr>
          <w:rFonts w:hint="eastAsia" w:ascii="宋体" w:hAnsi="宋体" w:eastAsia="宋体" w:cs="宋体"/>
          <w:bCs/>
          <w:i w:val="0"/>
          <w:iCs w:val="0"/>
          <w:szCs w:val="24"/>
        </w:rPr>
        <w:fldChar w:fldCharType="end"/>
      </w:r>
    </w:p>
    <w:p w14:paraId="0717078E">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_Toc20559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第八章</w:t>
      </w:r>
      <w:r>
        <w:rPr>
          <w:rFonts w:hint="default" w:ascii="宋体" w:hAnsi="宋体" w:eastAsia="宋体" w:cs="Times New Roman"/>
          <w:bCs/>
          <w:kern w:val="36"/>
          <w:szCs w:val="48"/>
          <w:lang w:val="en-US" w:eastAsia="zh-CN" w:bidi="ar-SA"/>
        </w:rPr>
        <w:t>.</w:t>
      </w:r>
      <w:r>
        <w:rPr>
          <w:rFonts w:hint="eastAsia" w:ascii="宋体" w:hAnsi="宋体" w:eastAsia="宋体" w:cs="宋体"/>
        </w:rPr>
        <w:t>主要工程施工方案</w:t>
      </w:r>
      <w:r>
        <w:tab/>
      </w:r>
      <w:r>
        <w:fldChar w:fldCharType="begin"/>
      </w:r>
      <w:r>
        <w:instrText xml:space="preserve"> PAGEREF _Toc20559 \h </w:instrText>
      </w:r>
      <w:r>
        <w:fldChar w:fldCharType="separate"/>
      </w:r>
      <w:r>
        <w:t>44</w:t>
      </w:r>
      <w:r>
        <w:fldChar w:fldCharType="end"/>
      </w:r>
      <w:r>
        <w:rPr>
          <w:rFonts w:hint="eastAsia" w:ascii="宋体" w:hAnsi="宋体" w:eastAsia="宋体" w:cs="宋体"/>
          <w:bCs/>
          <w:i w:val="0"/>
          <w:iCs w:val="0"/>
          <w:szCs w:val="24"/>
        </w:rPr>
        <w:fldChar w:fldCharType="end"/>
      </w:r>
    </w:p>
    <w:p w14:paraId="42FC91FD">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_Toc2563 </w:instrText>
      </w:r>
      <w:r>
        <w:rPr>
          <w:rFonts w:hint="eastAsia" w:ascii="宋体" w:hAnsi="宋体" w:eastAsia="宋体" w:cs="宋体"/>
          <w:bCs/>
          <w:i w:val="0"/>
          <w:iCs w:val="0"/>
          <w:szCs w:val="24"/>
        </w:rPr>
        <w:fldChar w:fldCharType="separate"/>
      </w:r>
      <w:r>
        <w:rPr>
          <w:rFonts w:hint="eastAsia"/>
          <w:highlight w:val="none"/>
          <w:lang w:val="en-US" w:eastAsia="zh-CN"/>
        </w:rPr>
        <w:t>8.1</w:t>
      </w:r>
      <w:r>
        <w:rPr>
          <w:rFonts w:hint="eastAsia"/>
          <w:highlight w:val="none"/>
        </w:rPr>
        <w:t>路基工程</w:t>
      </w:r>
      <w:r>
        <w:tab/>
      </w:r>
      <w:r>
        <w:fldChar w:fldCharType="begin"/>
      </w:r>
      <w:r>
        <w:instrText xml:space="preserve"> PAGEREF _Toc2563 \h </w:instrText>
      </w:r>
      <w:r>
        <w:fldChar w:fldCharType="separate"/>
      </w:r>
      <w:r>
        <w:t>44</w:t>
      </w:r>
      <w:r>
        <w:fldChar w:fldCharType="end"/>
      </w:r>
      <w:r>
        <w:rPr>
          <w:rFonts w:hint="eastAsia" w:ascii="宋体" w:hAnsi="宋体" w:eastAsia="宋体" w:cs="宋体"/>
          <w:bCs/>
          <w:i w:val="0"/>
          <w:iCs w:val="0"/>
          <w:szCs w:val="24"/>
        </w:rPr>
        <w:fldChar w:fldCharType="end"/>
      </w:r>
    </w:p>
    <w:p w14:paraId="714E87D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_Toc5041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lang w:val="en-US" w:eastAsia="zh-CN"/>
        </w:rPr>
        <w:t>8.1.1</w:t>
      </w:r>
      <w:r>
        <w:rPr>
          <w:rFonts w:hint="eastAsia" w:asciiTheme="minorEastAsia" w:hAnsiTheme="minorEastAsia" w:eastAsiaTheme="minorEastAsia"/>
        </w:rPr>
        <w:t>挖方路基</w:t>
      </w:r>
      <w:r>
        <w:tab/>
      </w:r>
      <w:r>
        <w:fldChar w:fldCharType="begin"/>
      </w:r>
      <w:r>
        <w:instrText xml:space="preserve"> PAGEREF _Toc5041 \h </w:instrText>
      </w:r>
      <w:r>
        <w:fldChar w:fldCharType="separate"/>
      </w:r>
      <w:r>
        <w:t>46</w:t>
      </w:r>
      <w:r>
        <w:fldChar w:fldCharType="end"/>
      </w:r>
      <w:r>
        <w:rPr>
          <w:rFonts w:hint="eastAsia" w:ascii="宋体" w:hAnsi="宋体" w:eastAsia="宋体" w:cs="宋体"/>
          <w:bCs/>
          <w:i w:val="0"/>
          <w:iCs w:val="0"/>
          <w:szCs w:val="24"/>
        </w:rPr>
        <w:fldChar w:fldCharType="end"/>
      </w:r>
    </w:p>
    <w:p w14:paraId="6A81A03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_Toc11898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highlight w:val="none"/>
          <w:lang w:val="en-US" w:eastAsia="zh-CN"/>
        </w:rPr>
        <w:t>8.1.2</w:t>
      </w:r>
      <w:r>
        <w:rPr>
          <w:rFonts w:hint="eastAsia" w:asciiTheme="minorEastAsia" w:hAnsiTheme="minorEastAsia" w:eastAsiaTheme="minorEastAsia"/>
          <w:highlight w:val="none"/>
        </w:rPr>
        <w:t>填方路基</w:t>
      </w:r>
      <w:r>
        <w:tab/>
      </w:r>
      <w:r>
        <w:fldChar w:fldCharType="begin"/>
      </w:r>
      <w:r>
        <w:instrText xml:space="preserve"> PAGEREF _Toc11898 \h </w:instrText>
      </w:r>
      <w:r>
        <w:fldChar w:fldCharType="separate"/>
      </w:r>
      <w:r>
        <w:t>63</w:t>
      </w:r>
      <w:r>
        <w:fldChar w:fldCharType="end"/>
      </w:r>
      <w:r>
        <w:rPr>
          <w:rFonts w:hint="eastAsia" w:ascii="宋体" w:hAnsi="宋体" w:eastAsia="宋体" w:cs="宋体"/>
          <w:bCs/>
          <w:i w:val="0"/>
          <w:iCs w:val="0"/>
          <w:szCs w:val="24"/>
        </w:rPr>
        <w:fldChar w:fldCharType="end"/>
      </w:r>
    </w:p>
    <w:p w14:paraId="4B58AB2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_Toc25106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highlight w:val="none"/>
          <w:lang w:val="en-US" w:eastAsia="zh-CN"/>
        </w:rPr>
        <w:t>8.1.</w:t>
      </w:r>
      <w:r>
        <w:rPr>
          <w:rFonts w:hint="eastAsia" w:asciiTheme="minorEastAsia" w:hAnsiTheme="minorEastAsia" w:eastAsiaTheme="minorEastAsia"/>
          <w:highlight w:val="none"/>
        </w:rPr>
        <w:t>3结构物台背处的回填</w:t>
      </w:r>
      <w:r>
        <w:tab/>
      </w:r>
      <w:r>
        <w:fldChar w:fldCharType="begin"/>
      </w:r>
      <w:r>
        <w:instrText xml:space="preserve"> PAGEREF _Toc25106 \h </w:instrText>
      </w:r>
      <w:r>
        <w:fldChar w:fldCharType="separate"/>
      </w:r>
      <w:r>
        <w:t>66</w:t>
      </w:r>
      <w:r>
        <w:fldChar w:fldCharType="end"/>
      </w:r>
      <w:r>
        <w:rPr>
          <w:rFonts w:hint="eastAsia" w:ascii="宋体" w:hAnsi="宋体" w:eastAsia="宋体" w:cs="宋体"/>
          <w:bCs/>
          <w:i w:val="0"/>
          <w:iCs w:val="0"/>
          <w:szCs w:val="24"/>
        </w:rPr>
        <w:fldChar w:fldCharType="end"/>
      </w:r>
    </w:p>
    <w:p w14:paraId="36D5C37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_Toc31007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highlight w:val="none"/>
          <w:lang w:val="en-US" w:eastAsia="zh-CN"/>
        </w:rPr>
        <w:t>8.1.</w:t>
      </w:r>
      <w:r>
        <w:rPr>
          <w:rFonts w:hint="eastAsia" w:asciiTheme="minorEastAsia" w:hAnsiTheme="minorEastAsia" w:eastAsiaTheme="minorEastAsia"/>
          <w:highlight w:val="none"/>
        </w:rPr>
        <w:t>4</w:t>
      </w:r>
      <w:r>
        <w:rPr>
          <w:rFonts w:hint="eastAsia" w:asciiTheme="minorEastAsia" w:hAnsiTheme="minorEastAsia" w:eastAsiaTheme="minorEastAsia"/>
          <w:highlight w:val="none"/>
          <w:lang w:val="en-US" w:eastAsia="zh-CN"/>
        </w:rPr>
        <w:t xml:space="preserve"> </w:t>
      </w:r>
      <w:r>
        <w:rPr>
          <w:rFonts w:hint="eastAsia" w:asciiTheme="minorEastAsia" w:hAnsiTheme="minorEastAsia" w:eastAsiaTheme="minorEastAsia"/>
          <w:highlight w:val="none"/>
        </w:rPr>
        <w:t>路基监控</w:t>
      </w:r>
      <w:r>
        <w:tab/>
      </w:r>
      <w:r>
        <w:fldChar w:fldCharType="begin"/>
      </w:r>
      <w:r>
        <w:instrText xml:space="preserve"> PAGEREF _Toc31007 \h </w:instrText>
      </w:r>
      <w:r>
        <w:fldChar w:fldCharType="separate"/>
      </w:r>
      <w:r>
        <w:t>66</w:t>
      </w:r>
      <w:r>
        <w:fldChar w:fldCharType="end"/>
      </w:r>
      <w:r>
        <w:rPr>
          <w:rFonts w:hint="eastAsia" w:ascii="宋体" w:hAnsi="宋体" w:eastAsia="宋体" w:cs="宋体"/>
          <w:bCs/>
          <w:i w:val="0"/>
          <w:iCs w:val="0"/>
          <w:szCs w:val="24"/>
        </w:rPr>
        <w:fldChar w:fldCharType="end"/>
      </w:r>
    </w:p>
    <w:p w14:paraId="468D9B1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_Toc9578 </w:instrText>
      </w:r>
      <w:r>
        <w:rPr>
          <w:rFonts w:hint="eastAsia" w:ascii="宋体" w:hAnsi="宋体" w:eastAsia="宋体" w:cs="宋体"/>
          <w:bCs/>
          <w:i w:val="0"/>
          <w:iCs w:val="0"/>
          <w:szCs w:val="24"/>
        </w:rPr>
        <w:fldChar w:fldCharType="separate"/>
      </w:r>
      <w:r>
        <w:rPr>
          <w:rFonts w:hint="eastAsia"/>
          <w:highlight w:val="none"/>
          <w:lang w:val="en-US" w:eastAsia="zh-CN"/>
        </w:rPr>
        <w:t>8.1.</w:t>
      </w:r>
      <w:r>
        <w:rPr>
          <w:rFonts w:hint="eastAsia"/>
          <w:highlight w:val="none"/>
        </w:rPr>
        <w:t>5路基附属工程</w:t>
      </w:r>
      <w:r>
        <w:tab/>
      </w:r>
      <w:r>
        <w:fldChar w:fldCharType="begin"/>
      </w:r>
      <w:r>
        <w:instrText xml:space="preserve"> PAGEREF _Toc9578 \h </w:instrText>
      </w:r>
      <w:r>
        <w:fldChar w:fldCharType="separate"/>
      </w:r>
      <w:r>
        <w:t>70</w:t>
      </w:r>
      <w:r>
        <w:fldChar w:fldCharType="end"/>
      </w:r>
      <w:r>
        <w:rPr>
          <w:rFonts w:hint="eastAsia" w:ascii="宋体" w:hAnsi="宋体" w:eastAsia="宋体" w:cs="宋体"/>
          <w:bCs/>
          <w:i w:val="0"/>
          <w:iCs w:val="0"/>
          <w:szCs w:val="24"/>
        </w:rPr>
        <w:fldChar w:fldCharType="end"/>
      </w:r>
    </w:p>
    <w:p w14:paraId="08BB644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_Toc30566 </w:instrText>
      </w:r>
      <w:r>
        <w:rPr>
          <w:rFonts w:hint="eastAsia" w:ascii="宋体" w:hAnsi="宋体" w:eastAsia="宋体" w:cs="宋体"/>
          <w:bCs/>
          <w:i w:val="0"/>
          <w:iCs w:val="0"/>
          <w:szCs w:val="24"/>
        </w:rPr>
        <w:fldChar w:fldCharType="separate"/>
      </w:r>
      <w:r>
        <w:rPr>
          <w:rFonts w:hint="eastAsia" w:asciiTheme="minorEastAsia" w:hAnsiTheme="minorEastAsia" w:eastAsiaTheme="minorEastAsia"/>
          <w:lang w:val="en-US" w:eastAsia="zh-CN"/>
        </w:rPr>
        <w:t>8.1.6</w:t>
      </w:r>
      <w:r>
        <w:rPr>
          <w:rFonts w:hint="eastAsia"/>
          <w:bCs/>
          <w:highlight w:val="none"/>
          <w:lang w:val="en-US" w:eastAsia="zh-CN"/>
        </w:rPr>
        <w:t>新旧路基拼接施工方案</w:t>
      </w:r>
      <w:r>
        <w:tab/>
      </w:r>
      <w:r>
        <w:fldChar w:fldCharType="begin"/>
      </w:r>
      <w:r>
        <w:instrText xml:space="preserve"> PAGEREF _Toc30566 \h </w:instrText>
      </w:r>
      <w:r>
        <w:fldChar w:fldCharType="separate"/>
      </w:r>
      <w:r>
        <w:t>85</w:t>
      </w:r>
      <w:r>
        <w:fldChar w:fldCharType="end"/>
      </w:r>
      <w:r>
        <w:rPr>
          <w:rFonts w:hint="eastAsia" w:ascii="宋体" w:hAnsi="宋体" w:eastAsia="宋体" w:cs="宋体"/>
          <w:bCs/>
          <w:i w:val="0"/>
          <w:iCs w:val="0"/>
          <w:szCs w:val="24"/>
        </w:rPr>
        <w:fldChar w:fldCharType="end"/>
      </w:r>
    </w:p>
    <w:p w14:paraId="1CBF081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_Toc15179 </w:instrText>
      </w:r>
      <w:r>
        <w:rPr>
          <w:rFonts w:hint="eastAsia" w:ascii="宋体" w:hAnsi="宋体" w:eastAsia="宋体" w:cs="宋体"/>
          <w:bCs/>
          <w:i w:val="0"/>
          <w:iCs w:val="0"/>
          <w:szCs w:val="24"/>
        </w:rPr>
        <w:fldChar w:fldCharType="separate"/>
      </w:r>
      <w:r>
        <w:rPr>
          <w:rFonts w:hint="eastAsia"/>
          <w:lang w:val="en-US" w:eastAsia="zh-CN"/>
        </w:rPr>
        <w:t>8.1.7软基处理</w:t>
      </w:r>
      <w:r>
        <w:tab/>
      </w:r>
      <w:r>
        <w:fldChar w:fldCharType="begin"/>
      </w:r>
      <w:r>
        <w:instrText xml:space="preserve"> PAGEREF _Toc15179 \h </w:instrText>
      </w:r>
      <w:r>
        <w:fldChar w:fldCharType="separate"/>
      </w:r>
      <w:r>
        <w:t>87</w:t>
      </w:r>
      <w:r>
        <w:fldChar w:fldCharType="end"/>
      </w:r>
      <w:r>
        <w:rPr>
          <w:rFonts w:hint="eastAsia" w:ascii="宋体" w:hAnsi="宋体" w:eastAsia="宋体" w:cs="宋体"/>
          <w:bCs/>
          <w:i w:val="0"/>
          <w:iCs w:val="0"/>
          <w:szCs w:val="24"/>
        </w:rPr>
        <w:fldChar w:fldCharType="end"/>
      </w:r>
    </w:p>
    <w:p w14:paraId="5AB6080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_Toc18110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 xml:space="preserve">8.1.8 </w:t>
      </w:r>
      <w:r>
        <w:rPr>
          <w:rFonts w:hint="eastAsia" w:ascii="宋体" w:hAnsi="宋体" w:eastAsia="宋体" w:cs="宋体"/>
        </w:rPr>
        <w:t>台（墙）背回填</w:t>
      </w:r>
      <w:r>
        <w:tab/>
      </w:r>
      <w:r>
        <w:fldChar w:fldCharType="begin"/>
      </w:r>
      <w:r>
        <w:instrText xml:space="preserve"> PAGEREF _Toc18110 \h </w:instrText>
      </w:r>
      <w:r>
        <w:fldChar w:fldCharType="separate"/>
      </w:r>
      <w:r>
        <w:t>100</w:t>
      </w:r>
      <w:r>
        <w:fldChar w:fldCharType="end"/>
      </w:r>
      <w:r>
        <w:rPr>
          <w:rFonts w:hint="eastAsia" w:ascii="宋体" w:hAnsi="宋体" w:eastAsia="宋体" w:cs="宋体"/>
          <w:bCs/>
          <w:i w:val="0"/>
          <w:iCs w:val="0"/>
          <w:szCs w:val="24"/>
        </w:rPr>
        <w:fldChar w:fldCharType="end"/>
      </w:r>
    </w:p>
    <w:p w14:paraId="7E5DA31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_Toc22280 </w:instrText>
      </w:r>
      <w:r>
        <w:rPr>
          <w:rFonts w:hint="eastAsia" w:ascii="宋体" w:hAnsi="宋体" w:eastAsia="宋体" w:cs="宋体"/>
          <w:bCs/>
          <w:i w:val="0"/>
          <w:iCs w:val="0"/>
          <w:szCs w:val="24"/>
        </w:rPr>
        <w:fldChar w:fldCharType="separate"/>
      </w:r>
      <w:r>
        <w:rPr>
          <w:rFonts w:hint="eastAsia"/>
          <w:lang w:val="en-US" w:eastAsia="zh-CN"/>
        </w:rPr>
        <w:t>8.1.9 挡土墙</w:t>
      </w:r>
      <w:r>
        <w:rPr>
          <w:rFonts w:hint="eastAsia"/>
        </w:rPr>
        <w:t>防护工程</w:t>
      </w:r>
      <w:r>
        <w:tab/>
      </w:r>
      <w:r>
        <w:fldChar w:fldCharType="begin"/>
      </w:r>
      <w:r>
        <w:instrText xml:space="preserve"> PAGEREF _Toc22280 \h </w:instrText>
      </w:r>
      <w:r>
        <w:fldChar w:fldCharType="separate"/>
      </w:r>
      <w:r>
        <w:t>100</w:t>
      </w:r>
      <w:r>
        <w:fldChar w:fldCharType="end"/>
      </w:r>
      <w:r>
        <w:rPr>
          <w:rFonts w:hint="eastAsia" w:ascii="宋体" w:hAnsi="宋体" w:eastAsia="宋体" w:cs="宋体"/>
          <w:bCs/>
          <w:i w:val="0"/>
          <w:iCs w:val="0"/>
          <w:szCs w:val="24"/>
        </w:rPr>
        <w:fldChar w:fldCharType="end"/>
      </w:r>
    </w:p>
    <w:p w14:paraId="35CC099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_Toc6203 </w:instrText>
      </w:r>
      <w:r>
        <w:rPr>
          <w:rFonts w:hint="eastAsia" w:ascii="宋体" w:hAnsi="宋体" w:eastAsia="宋体" w:cs="宋体"/>
          <w:bCs/>
          <w:i w:val="0"/>
          <w:iCs w:val="0"/>
          <w:szCs w:val="24"/>
        </w:rPr>
        <w:fldChar w:fldCharType="separate"/>
      </w:r>
      <w:r>
        <w:rPr>
          <w:rFonts w:hint="eastAsia"/>
          <w:lang w:val="en-US" w:eastAsia="zh-CN"/>
        </w:rPr>
        <w:t>8.1</w:t>
      </w:r>
      <w:r>
        <w:rPr>
          <w:rFonts w:hint="default"/>
          <w:lang w:val="en-US" w:eastAsia="zh-CN"/>
        </w:rPr>
        <w:t>.1</w:t>
      </w:r>
      <w:r>
        <w:rPr>
          <w:rFonts w:hint="eastAsia"/>
          <w:lang w:val="en-US" w:eastAsia="zh-CN"/>
        </w:rPr>
        <w:t xml:space="preserve">0 </w:t>
      </w:r>
      <w:r>
        <w:rPr>
          <w:rFonts w:hint="eastAsia"/>
        </w:rPr>
        <w:t>路基、路面排水工程</w:t>
      </w:r>
      <w:r>
        <w:tab/>
      </w:r>
      <w:r>
        <w:fldChar w:fldCharType="begin"/>
      </w:r>
      <w:r>
        <w:instrText xml:space="preserve"> PAGEREF _Toc6203 \h </w:instrText>
      </w:r>
      <w:r>
        <w:fldChar w:fldCharType="separate"/>
      </w:r>
      <w:r>
        <w:t>103</w:t>
      </w:r>
      <w:r>
        <w:fldChar w:fldCharType="end"/>
      </w:r>
      <w:r>
        <w:rPr>
          <w:rFonts w:hint="eastAsia" w:ascii="宋体" w:hAnsi="宋体" w:eastAsia="宋体" w:cs="宋体"/>
          <w:bCs/>
          <w:i w:val="0"/>
          <w:iCs w:val="0"/>
          <w:szCs w:val="24"/>
        </w:rPr>
        <w:fldChar w:fldCharType="end"/>
      </w:r>
    </w:p>
    <w:p w14:paraId="724F25A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_Toc21935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8</w:t>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.11</w:t>
      </w:r>
      <w:r>
        <w:rPr>
          <w:rFonts w:hint="default" w:ascii="宋体" w:hAnsi="宋体" w:eastAsia="宋体" w:cs="Times New Roman"/>
          <w:bCs/>
          <w:kern w:val="2"/>
          <w:szCs w:val="32"/>
          <w:lang w:val="en-US" w:eastAsia="zh-CN" w:bidi="ar-SA"/>
        </w:rPr>
        <w:t>.</w:t>
      </w:r>
      <w:r>
        <w:rPr>
          <w:rFonts w:hint="eastAsia" w:ascii="宋体" w:hAnsi="宋体" w:eastAsia="宋体" w:cs="宋体"/>
        </w:rPr>
        <w:t>涵洞工程</w:t>
      </w:r>
      <w:r>
        <w:tab/>
      </w:r>
      <w:r>
        <w:fldChar w:fldCharType="begin"/>
      </w:r>
      <w:r>
        <w:instrText xml:space="preserve"> PAGEREF _Toc21935 \h </w:instrText>
      </w:r>
      <w:r>
        <w:fldChar w:fldCharType="separate"/>
      </w:r>
      <w:r>
        <w:t>104</w:t>
      </w:r>
      <w:r>
        <w:fldChar w:fldCharType="end"/>
      </w:r>
      <w:r>
        <w:rPr>
          <w:rFonts w:hint="eastAsia" w:ascii="宋体" w:hAnsi="宋体" w:eastAsia="宋体" w:cs="宋体"/>
          <w:bCs/>
          <w:i w:val="0"/>
          <w:iCs w:val="0"/>
          <w:szCs w:val="24"/>
        </w:rPr>
        <w:fldChar w:fldCharType="end"/>
      </w:r>
    </w:p>
    <w:p w14:paraId="78072B4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_Toc26392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8</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2</w:t>
      </w:r>
      <w:r>
        <w:rPr>
          <w:rFonts w:hint="eastAsia" w:ascii="宋体" w:hAnsi="宋体" w:eastAsia="宋体" w:cs="宋体"/>
        </w:rPr>
        <w:t>桥梁工程</w:t>
      </w:r>
      <w:r>
        <w:tab/>
      </w:r>
      <w:r>
        <w:fldChar w:fldCharType="begin"/>
      </w:r>
      <w:r>
        <w:instrText xml:space="preserve"> PAGEREF _Toc26392 \h </w:instrText>
      </w:r>
      <w:r>
        <w:fldChar w:fldCharType="separate"/>
      </w:r>
      <w:r>
        <w:t>109</w:t>
      </w:r>
      <w:r>
        <w:fldChar w:fldCharType="end"/>
      </w:r>
      <w:r>
        <w:rPr>
          <w:rFonts w:hint="eastAsia" w:ascii="宋体" w:hAnsi="宋体" w:eastAsia="宋体" w:cs="宋体"/>
          <w:bCs/>
          <w:i w:val="0"/>
          <w:iCs w:val="0"/>
          <w:szCs w:val="24"/>
        </w:rPr>
        <w:fldChar w:fldCharType="end"/>
      </w:r>
    </w:p>
    <w:p w14:paraId="31AB5F5F">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_Toc11966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8</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.1</w:t>
      </w:r>
      <w:r>
        <w:rPr>
          <w:rFonts w:hint="eastAsia" w:ascii="宋体" w:hAnsi="宋体" w:eastAsia="宋体" w:cs="宋体"/>
        </w:rPr>
        <w:t>施工准备</w:t>
      </w:r>
      <w:r>
        <w:tab/>
      </w:r>
      <w:r>
        <w:fldChar w:fldCharType="begin"/>
      </w:r>
      <w:r>
        <w:instrText xml:space="preserve"> PAGEREF _Toc11966 \h </w:instrText>
      </w:r>
      <w:r>
        <w:fldChar w:fldCharType="separate"/>
      </w:r>
      <w:r>
        <w:t>109</w:t>
      </w:r>
      <w:r>
        <w:fldChar w:fldCharType="end"/>
      </w:r>
      <w:r>
        <w:rPr>
          <w:rFonts w:hint="eastAsia" w:ascii="宋体" w:hAnsi="宋体" w:eastAsia="宋体" w:cs="宋体"/>
          <w:bCs/>
          <w:i w:val="0"/>
          <w:iCs w:val="0"/>
          <w:szCs w:val="24"/>
        </w:rPr>
        <w:fldChar w:fldCharType="end"/>
      </w:r>
    </w:p>
    <w:p w14:paraId="1DB4E1D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_Toc6294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.2.</w:t>
      </w:r>
      <w:r>
        <w:rPr>
          <w:rFonts w:hint="eastAsia"/>
          <w:lang w:val="en-US" w:eastAsia="zh-CN"/>
        </w:rPr>
        <w:t>2</w:t>
      </w:r>
      <w:r>
        <w:rPr>
          <w:rFonts w:hint="eastAsia"/>
        </w:rPr>
        <w:t>桩基工程</w:t>
      </w:r>
      <w:r>
        <w:tab/>
      </w:r>
      <w:r>
        <w:fldChar w:fldCharType="begin"/>
      </w:r>
      <w:r>
        <w:instrText xml:space="preserve"> PAGEREF _Toc6294 \h </w:instrText>
      </w:r>
      <w:r>
        <w:fldChar w:fldCharType="separate"/>
      </w:r>
      <w:r>
        <w:t>110</w:t>
      </w:r>
      <w:r>
        <w:fldChar w:fldCharType="end"/>
      </w:r>
      <w:r>
        <w:rPr>
          <w:rFonts w:hint="eastAsia" w:ascii="宋体" w:hAnsi="宋体" w:eastAsia="宋体" w:cs="宋体"/>
          <w:bCs/>
          <w:i w:val="0"/>
          <w:iCs w:val="0"/>
          <w:szCs w:val="24"/>
        </w:rPr>
        <w:fldChar w:fldCharType="end"/>
      </w:r>
    </w:p>
    <w:p w14:paraId="65F9C7C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_Toc15205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w:t>
      </w:r>
      <w:r>
        <w:rPr>
          <w:rFonts w:hint="eastAsia"/>
          <w:lang w:val="en-US" w:eastAsia="zh-CN"/>
        </w:rPr>
        <w:t>2.</w:t>
      </w:r>
      <w:r>
        <w:rPr>
          <w:rFonts w:hint="default"/>
          <w:lang w:val="en-US" w:eastAsia="zh-CN"/>
        </w:rPr>
        <w:t>3</w:t>
      </w:r>
      <w:r>
        <w:rPr>
          <w:rFonts w:hint="eastAsia"/>
          <w:lang w:val="en-US" w:eastAsia="zh-CN"/>
        </w:rPr>
        <w:t>钢板桩围堰施工</w:t>
      </w:r>
      <w:r>
        <w:tab/>
      </w:r>
      <w:r>
        <w:fldChar w:fldCharType="begin"/>
      </w:r>
      <w:r>
        <w:instrText xml:space="preserve"> PAGEREF _Toc15205 \h </w:instrText>
      </w:r>
      <w:r>
        <w:fldChar w:fldCharType="separate"/>
      </w:r>
      <w:r>
        <w:t>123</w:t>
      </w:r>
      <w:r>
        <w:fldChar w:fldCharType="end"/>
      </w:r>
      <w:r>
        <w:rPr>
          <w:rFonts w:hint="eastAsia" w:ascii="宋体" w:hAnsi="宋体" w:eastAsia="宋体" w:cs="宋体"/>
          <w:bCs/>
          <w:i w:val="0"/>
          <w:iCs w:val="0"/>
          <w:szCs w:val="24"/>
        </w:rPr>
        <w:fldChar w:fldCharType="end"/>
      </w:r>
    </w:p>
    <w:p w14:paraId="1C0554D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_Toc2535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w:t>
      </w:r>
      <w:r>
        <w:rPr>
          <w:rFonts w:hint="eastAsia"/>
          <w:lang w:val="en-US" w:eastAsia="zh-CN"/>
        </w:rPr>
        <w:t>2.</w:t>
      </w:r>
      <w:r>
        <w:rPr>
          <w:rFonts w:hint="default"/>
          <w:lang w:val="en-US" w:eastAsia="zh-CN"/>
        </w:rPr>
        <w:t>4</w:t>
      </w:r>
      <w:r>
        <w:rPr>
          <w:rFonts w:hint="eastAsia"/>
          <w:lang w:val="en-US" w:eastAsia="zh-CN"/>
        </w:rPr>
        <w:t xml:space="preserve"> </w:t>
      </w:r>
      <w:r>
        <w:rPr>
          <w:rFonts w:hint="eastAsia"/>
        </w:rPr>
        <w:t>承台系梁工程</w:t>
      </w:r>
      <w:r>
        <w:tab/>
      </w:r>
      <w:r>
        <w:fldChar w:fldCharType="begin"/>
      </w:r>
      <w:r>
        <w:instrText xml:space="preserve"> PAGEREF _Toc2535 \h </w:instrText>
      </w:r>
      <w:r>
        <w:fldChar w:fldCharType="separate"/>
      </w:r>
      <w:r>
        <w:t>126</w:t>
      </w:r>
      <w:r>
        <w:fldChar w:fldCharType="end"/>
      </w:r>
      <w:r>
        <w:rPr>
          <w:rFonts w:hint="eastAsia" w:ascii="宋体" w:hAnsi="宋体" w:eastAsia="宋体" w:cs="宋体"/>
          <w:bCs/>
          <w:i w:val="0"/>
          <w:iCs w:val="0"/>
          <w:szCs w:val="24"/>
        </w:rPr>
        <w:fldChar w:fldCharType="end"/>
      </w:r>
    </w:p>
    <w:p w14:paraId="5EC1B0D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_Toc12737 </w:instrText>
      </w:r>
      <w:r>
        <w:rPr>
          <w:rFonts w:hint="eastAsia" w:ascii="宋体" w:hAnsi="宋体" w:eastAsia="宋体" w:cs="宋体"/>
          <w:bCs/>
          <w:i w:val="0"/>
          <w:iCs w:val="0"/>
          <w:szCs w:val="24"/>
        </w:rPr>
        <w:fldChar w:fldCharType="separate"/>
      </w:r>
      <w:r>
        <w:rPr>
          <w:rFonts w:hint="eastAsia"/>
          <w:lang w:val="en-US" w:eastAsia="zh-CN"/>
        </w:rPr>
        <w:t>8.2.</w:t>
      </w:r>
      <w:r>
        <w:rPr>
          <w:rFonts w:hint="default"/>
          <w:lang w:val="en-US" w:eastAsia="zh-CN"/>
        </w:rPr>
        <w:t>5</w:t>
      </w:r>
      <w:r>
        <w:rPr>
          <w:rFonts w:hint="eastAsia"/>
        </w:rPr>
        <w:t>墩台、盖梁工程</w:t>
      </w:r>
      <w:r>
        <w:tab/>
      </w:r>
      <w:r>
        <w:fldChar w:fldCharType="begin"/>
      </w:r>
      <w:r>
        <w:instrText xml:space="preserve"> PAGEREF _Toc12737 \h </w:instrText>
      </w:r>
      <w:r>
        <w:fldChar w:fldCharType="separate"/>
      </w:r>
      <w:r>
        <w:t>127</w:t>
      </w:r>
      <w:r>
        <w:fldChar w:fldCharType="end"/>
      </w:r>
      <w:r>
        <w:rPr>
          <w:rFonts w:hint="eastAsia" w:ascii="宋体" w:hAnsi="宋体" w:eastAsia="宋体" w:cs="宋体"/>
          <w:bCs/>
          <w:i w:val="0"/>
          <w:iCs w:val="0"/>
          <w:szCs w:val="24"/>
        </w:rPr>
        <w:fldChar w:fldCharType="end"/>
      </w:r>
    </w:p>
    <w:p w14:paraId="2B6C8FF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_Toc6021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w:t>
      </w:r>
      <w:r>
        <w:rPr>
          <w:rFonts w:hint="eastAsia"/>
          <w:lang w:val="en-US" w:eastAsia="zh-CN"/>
        </w:rPr>
        <w:t>2.</w:t>
      </w:r>
      <w:r>
        <w:rPr>
          <w:rFonts w:hint="default"/>
          <w:lang w:val="en-US" w:eastAsia="zh-CN"/>
        </w:rPr>
        <w:t>6</w:t>
      </w:r>
      <w:r>
        <w:rPr>
          <w:rFonts w:hint="eastAsia"/>
          <w:lang w:val="en-US" w:eastAsia="zh-CN"/>
        </w:rPr>
        <w:t xml:space="preserve"> 钢箱梁施工</w:t>
      </w:r>
      <w:r>
        <w:tab/>
      </w:r>
      <w:r>
        <w:fldChar w:fldCharType="begin"/>
      </w:r>
      <w:r>
        <w:instrText xml:space="preserve"> PAGEREF _Toc6021 \h </w:instrText>
      </w:r>
      <w:r>
        <w:fldChar w:fldCharType="separate"/>
      </w:r>
      <w:r>
        <w:t>131</w:t>
      </w:r>
      <w:r>
        <w:fldChar w:fldCharType="end"/>
      </w:r>
      <w:r>
        <w:rPr>
          <w:rFonts w:hint="eastAsia" w:ascii="宋体" w:hAnsi="宋体" w:eastAsia="宋体" w:cs="宋体"/>
          <w:bCs/>
          <w:i w:val="0"/>
          <w:iCs w:val="0"/>
          <w:szCs w:val="24"/>
        </w:rPr>
        <w:fldChar w:fldCharType="end"/>
      </w:r>
    </w:p>
    <w:p w14:paraId="5724034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_Toc18415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w:t>
      </w:r>
      <w:r>
        <w:rPr>
          <w:rFonts w:hint="eastAsia"/>
          <w:lang w:val="en-US" w:eastAsia="zh-CN"/>
        </w:rPr>
        <w:t>2.</w:t>
      </w:r>
      <w:r>
        <w:rPr>
          <w:rFonts w:hint="default"/>
          <w:lang w:val="en-US" w:eastAsia="zh-CN"/>
        </w:rPr>
        <w:t>7</w:t>
      </w:r>
      <w:r>
        <w:rPr>
          <w:rFonts w:hint="eastAsia"/>
          <w:lang w:val="en-US" w:eastAsia="zh-CN"/>
        </w:rPr>
        <w:t xml:space="preserve"> 现浇箱梁施工</w:t>
      </w:r>
      <w:r>
        <w:tab/>
      </w:r>
      <w:r>
        <w:fldChar w:fldCharType="begin"/>
      </w:r>
      <w:r>
        <w:instrText xml:space="preserve"> PAGEREF _Toc18415 \h </w:instrText>
      </w:r>
      <w:r>
        <w:fldChar w:fldCharType="separate"/>
      </w:r>
      <w:r>
        <w:t>- 15 -</w:t>
      </w:r>
      <w:r>
        <w:fldChar w:fldCharType="end"/>
      </w:r>
      <w:r>
        <w:rPr>
          <w:rFonts w:hint="eastAsia" w:ascii="宋体" w:hAnsi="宋体" w:eastAsia="宋体" w:cs="宋体"/>
          <w:bCs/>
          <w:i w:val="0"/>
          <w:iCs w:val="0"/>
          <w:szCs w:val="24"/>
        </w:rPr>
        <w:fldChar w:fldCharType="end"/>
      </w:r>
    </w:p>
    <w:p w14:paraId="18B291E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_Toc25722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w:t>
      </w:r>
      <w:r>
        <w:rPr>
          <w:rFonts w:hint="eastAsia"/>
          <w:lang w:val="en-US" w:eastAsia="zh-CN"/>
        </w:rPr>
        <w:t>2.8 桥面系施工</w:t>
      </w:r>
      <w:r>
        <w:tab/>
      </w:r>
      <w:r>
        <w:fldChar w:fldCharType="begin"/>
      </w:r>
      <w:r>
        <w:instrText xml:space="preserve"> PAGEREF _Toc25722 \h </w:instrText>
      </w:r>
      <w:r>
        <w:fldChar w:fldCharType="separate"/>
      </w:r>
      <w:r>
        <w:t>- 23 -</w:t>
      </w:r>
      <w:r>
        <w:fldChar w:fldCharType="end"/>
      </w:r>
      <w:r>
        <w:rPr>
          <w:rFonts w:hint="eastAsia" w:ascii="宋体" w:hAnsi="宋体" w:eastAsia="宋体" w:cs="宋体"/>
          <w:bCs/>
          <w:i w:val="0"/>
          <w:iCs w:val="0"/>
          <w:szCs w:val="24"/>
        </w:rPr>
        <w:fldChar w:fldCharType="end"/>
      </w:r>
    </w:p>
    <w:p w14:paraId="2F3E0F2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_Toc19634 </w:instrText>
      </w:r>
      <w:r>
        <w:rPr>
          <w:rFonts w:hint="eastAsia" w:ascii="宋体" w:hAnsi="宋体" w:eastAsia="宋体" w:cs="宋体"/>
          <w:bCs/>
          <w:i w:val="0"/>
          <w:iCs w:val="0"/>
          <w:szCs w:val="24"/>
        </w:rPr>
        <w:fldChar w:fldCharType="separate"/>
      </w:r>
      <w:r>
        <w:rPr>
          <w:rFonts w:hint="eastAsia"/>
          <w:lang w:val="en-US" w:eastAsia="zh-CN"/>
        </w:rPr>
        <w:t>8</w:t>
      </w:r>
      <w:r>
        <w:rPr>
          <w:rFonts w:hint="default"/>
          <w:lang w:val="en-US" w:eastAsia="zh-CN"/>
        </w:rPr>
        <w:t>.</w:t>
      </w:r>
      <w:r>
        <w:rPr>
          <w:rFonts w:hint="eastAsia"/>
          <w:lang w:val="en-US" w:eastAsia="zh-CN"/>
        </w:rPr>
        <w:t xml:space="preserve">2.9 </w:t>
      </w:r>
      <w:r>
        <w:rPr>
          <w:rFonts w:hint="eastAsia"/>
        </w:rPr>
        <w:t>桥头搭板</w:t>
      </w:r>
      <w:r>
        <w:tab/>
      </w:r>
      <w:r>
        <w:fldChar w:fldCharType="begin"/>
      </w:r>
      <w:r>
        <w:instrText xml:space="preserve"> PAGEREF _Toc19634 \h </w:instrText>
      </w:r>
      <w:r>
        <w:fldChar w:fldCharType="separate"/>
      </w:r>
      <w:r>
        <w:t>- 26 -</w:t>
      </w:r>
      <w:r>
        <w:fldChar w:fldCharType="end"/>
      </w:r>
      <w:r>
        <w:rPr>
          <w:rFonts w:hint="eastAsia" w:ascii="宋体" w:hAnsi="宋体" w:eastAsia="宋体" w:cs="宋体"/>
          <w:bCs/>
          <w:i w:val="0"/>
          <w:iCs w:val="0"/>
          <w:szCs w:val="24"/>
        </w:rPr>
        <w:fldChar w:fldCharType="end"/>
      </w:r>
    </w:p>
    <w:p w14:paraId="404F72F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_Toc17649 </w:instrText>
      </w:r>
      <w:r>
        <w:rPr>
          <w:rFonts w:hint="eastAsia" w:ascii="宋体" w:hAnsi="宋体" w:eastAsia="宋体" w:cs="宋体"/>
          <w:bCs/>
          <w:i w:val="0"/>
          <w:iCs w:val="0"/>
          <w:szCs w:val="24"/>
        </w:rPr>
        <w:fldChar w:fldCharType="separate"/>
      </w:r>
      <w:r>
        <w:rPr>
          <w:rFonts w:hint="eastAsia"/>
          <w:lang w:val="en-US" w:eastAsia="zh-CN"/>
        </w:rPr>
        <w:t xml:space="preserve">8.3 </w:t>
      </w:r>
      <w:r>
        <w:rPr>
          <w:rFonts w:hint="eastAsia"/>
        </w:rPr>
        <w:t>路面工程</w:t>
      </w:r>
      <w:r>
        <w:tab/>
      </w:r>
      <w:r>
        <w:fldChar w:fldCharType="begin"/>
      </w:r>
      <w:r>
        <w:instrText xml:space="preserve"> PAGEREF _Toc17649 \h </w:instrText>
      </w:r>
      <w:r>
        <w:fldChar w:fldCharType="separate"/>
      </w:r>
      <w:r>
        <w:t>- 26 -</w:t>
      </w:r>
      <w:r>
        <w:fldChar w:fldCharType="end"/>
      </w:r>
      <w:r>
        <w:rPr>
          <w:rFonts w:hint="eastAsia" w:ascii="宋体" w:hAnsi="宋体" w:eastAsia="宋体" w:cs="宋体"/>
          <w:bCs/>
          <w:i w:val="0"/>
          <w:iCs w:val="0"/>
          <w:szCs w:val="24"/>
        </w:rPr>
        <w:fldChar w:fldCharType="end"/>
      </w:r>
    </w:p>
    <w:p w14:paraId="6752200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_Toc18987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8</w:t>
      </w:r>
      <w:r>
        <w:rPr>
          <w:rFonts w:hint="default" w:ascii="宋体" w:hAnsi="宋体" w:eastAsia="宋体" w:cs="Times New Roman"/>
          <w:bCs/>
          <w:kern w:val="2"/>
          <w:szCs w:val="32"/>
          <w:lang w:val="en-US" w:eastAsia="zh-CN" w:bidi="ar-SA"/>
        </w:rPr>
        <w:t>.</w:t>
      </w:r>
      <w:r>
        <w:rPr>
          <w:rFonts w:hint="eastAsia" w:ascii="宋体" w:hAnsi="宋体" w:cs="Times New Roman"/>
          <w:bCs/>
          <w:kern w:val="2"/>
          <w:szCs w:val="32"/>
          <w:lang w:val="en-US" w:eastAsia="zh-CN" w:bidi="ar-SA"/>
        </w:rPr>
        <w:t>4</w:t>
      </w:r>
      <w:r>
        <w:rPr>
          <w:rFonts w:hint="default" w:ascii="宋体" w:hAnsi="宋体" w:eastAsia="宋体" w:cs="Times New Roman"/>
          <w:bCs/>
          <w:kern w:val="2"/>
          <w:szCs w:val="32"/>
          <w:lang w:val="en-US" w:eastAsia="zh-CN" w:bidi="ar-SA"/>
        </w:rPr>
        <w:t>.</w:t>
      </w:r>
      <w:r>
        <w:rPr>
          <w:rFonts w:hint="eastAsia" w:ascii="宋体" w:hAnsi="宋体" w:eastAsia="宋体" w:cs="宋体"/>
        </w:rPr>
        <w:t>交安设施工程</w:t>
      </w:r>
      <w:r>
        <w:tab/>
      </w:r>
      <w:r>
        <w:fldChar w:fldCharType="begin"/>
      </w:r>
      <w:r>
        <w:instrText xml:space="preserve"> PAGEREF _Toc18987 \h </w:instrText>
      </w:r>
      <w:r>
        <w:fldChar w:fldCharType="separate"/>
      </w:r>
      <w:r>
        <w:t>- 36 -</w:t>
      </w:r>
      <w:r>
        <w:fldChar w:fldCharType="end"/>
      </w:r>
      <w:r>
        <w:rPr>
          <w:rFonts w:hint="eastAsia" w:ascii="宋体" w:hAnsi="宋体" w:eastAsia="宋体" w:cs="宋体"/>
          <w:bCs/>
          <w:i w:val="0"/>
          <w:iCs w:val="0"/>
          <w:szCs w:val="24"/>
        </w:rPr>
        <w:fldChar w:fldCharType="end"/>
      </w:r>
    </w:p>
    <w:p w14:paraId="500D26F3">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_Toc11915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8.5</w:t>
      </w:r>
      <w:r>
        <w:rPr>
          <w:rFonts w:hint="default" w:ascii="宋体" w:hAnsi="宋体" w:eastAsia="宋体" w:cs="Times New Roman"/>
          <w:bCs/>
          <w:kern w:val="2"/>
          <w:szCs w:val="32"/>
          <w:lang w:val="en-US" w:eastAsia="zh-CN" w:bidi="ar-SA"/>
        </w:rPr>
        <w:t>.</w:t>
      </w:r>
      <w:r>
        <w:rPr>
          <w:rFonts w:hint="eastAsia" w:ascii="宋体" w:hAnsi="宋体" w:eastAsia="宋体" w:cs="宋体"/>
        </w:rPr>
        <w:t>绿化工程</w:t>
      </w:r>
      <w:r>
        <w:tab/>
      </w:r>
      <w:r>
        <w:fldChar w:fldCharType="begin"/>
      </w:r>
      <w:r>
        <w:instrText xml:space="preserve"> PAGEREF _Toc11915 \h </w:instrText>
      </w:r>
      <w:r>
        <w:fldChar w:fldCharType="separate"/>
      </w:r>
      <w:r>
        <w:t>- 44 -</w:t>
      </w:r>
      <w:r>
        <w:fldChar w:fldCharType="end"/>
      </w:r>
      <w:r>
        <w:rPr>
          <w:rFonts w:hint="eastAsia" w:ascii="宋体" w:hAnsi="宋体" w:eastAsia="宋体" w:cs="宋体"/>
          <w:bCs/>
          <w:i w:val="0"/>
          <w:iCs w:val="0"/>
          <w:szCs w:val="24"/>
        </w:rPr>
        <w:fldChar w:fldCharType="end"/>
      </w:r>
    </w:p>
    <w:p w14:paraId="45BC60CF">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_Toc11126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第九章 </w:t>
      </w:r>
      <w:r>
        <w:rPr>
          <w:rFonts w:hint="eastAsia" w:ascii="宋体" w:hAnsi="宋体" w:eastAsia="宋体" w:cs="宋体"/>
        </w:rPr>
        <w:t>工期保证体系及保证措施</w:t>
      </w:r>
      <w:r>
        <w:tab/>
      </w:r>
      <w:r>
        <w:fldChar w:fldCharType="begin"/>
      </w:r>
      <w:r>
        <w:instrText xml:space="preserve"> PAGEREF _Toc11126 \h </w:instrText>
      </w:r>
      <w:r>
        <w:fldChar w:fldCharType="separate"/>
      </w:r>
      <w:r>
        <w:t>- 47 -</w:t>
      </w:r>
      <w:r>
        <w:fldChar w:fldCharType="end"/>
      </w:r>
      <w:r>
        <w:rPr>
          <w:rFonts w:hint="eastAsia" w:ascii="宋体" w:hAnsi="宋体" w:eastAsia="宋体" w:cs="宋体"/>
          <w:bCs/>
          <w:i w:val="0"/>
          <w:iCs w:val="0"/>
          <w:szCs w:val="24"/>
        </w:rPr>
        <w:fldChar w:fldCharType="end"/>
      </w:r>
    </w:p>
    <w:p w14:paraId="626EABDA">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_Toc25599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 xml:space="preserve"> </w:t>
      </w:r>
      <w:r>
        <w:rPr>
          <w:rFonts w:hint="eastAsia" w:ascii="宋体" w:hAnsi="宋体" w:eastAsia="宋体" w:cs="宋体"/>
        </w:rPr>
        <w:t>保证工期的组织机构</w:t>
      </w:r>
      <w:r>
        <w:tab/>
      </w:r>
      <w:r>
        <w:fldChar w:fldCharType="begin"/>
      </w:r>
      <w:r>
        <w:instrText xml:space="preserve"> PAGEREF _Toc25599 \h </w:instrText>
      </w:r>
      <w:r>
        <w:fldChar w:fldCharType="separate"/>
      </w:r>
      <w:r>
        <w:t>- 48 -</w:t>
      </w:r>
      <w:r>
        <w:fldChar w:fldCharType="end"/>
      </w:r>
      <w:r>
        <w:rPr>
          <w:rFonts w:hint="eastAsia" w:ascii="宋体" w:hAnsi="宋体" w:eastAsia="宋体" w:cs="宋体"/>
          <w:bCs/>
          <w:i w:val="0"/>
          <w:iCs w:val="0"/>
          <w:szCs w:val="24"/>
        </w:rPr>
        <w:fldChar w:fldCharType="end"/>
      </w:r>
    </w:p>
    <w:p w14:paraId="7499FD0B">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_Toc25654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.2.</w:t>
      </w:r>
      <w:r>
        <w:rPr>
          <w:rFonts w:hint="eastAsia" w:ascii="宋体" w:hAnsi="宋体" w:eastAsia="宋体" w:cs="宋体"/>
        </w:rPr>
        <w:t>工期保证体系</w:t>
      </w:r>
      <w:r>
        <w:tab/>
      </w:r>
      <w:r>
        <w:fldChar w:fldCharType="begin"/>
      </w:r>
      <w:r>
        <w:instrText xml:space="preserve"> PAGEREF _Toc25654 \h </w:instrText>
      </w:r>
      <w:r>
        <w:fldChar w:fldCharType="separate"/>
      </w:r>
      <w:r>
        <w:t>- 48 -</w:t>
      </w:r>
      <w:r>
        <w:fldChar w:fldCharType="end"/>
      </w:r>
      <w:r>
        <w:rPr>
          <w:rFonts w:hint="eastAsia" w:ascii="宋体" w:hAnsi="宋体" w:eastAsia="宋体" w:cs="宋体"/>
          <w:bCs/>
          <w:i w:val="0"/>
          <w:iCs w:val="0"/>
          <w:szCs w:val="24"/>
        </w:rPr>
        <w:fldChar w:fldCharType="end"/>
      </w:r>
    </w:p>
    <w:p w14:paraId="3E1B3562">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_Toc32525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.3.</w:t>
      </w:r>
      <w:r>
        <w:rPr>
          <w:rFonts w:hint="eastAsia" w:ascii="宋体" w:hAnsi="宋体" w:eastAsia="宋体" w:cs="宋体"/>
        </w:rPr>
        <w:t>保证工期的一般措施</w:t>
      </w:r>
      <w:r>
        <w:tab/>
      </w:r>
      <w:r>
        <w:fldChar w:fldCharType="begin"/>
      </w:r>
      <w:r>
        <w:instrText xml:space="preserve"> PAGEREF _Toc32525 \h </w:instrText>
      </w:r>
      <w:r>
        <w:fldChar w:fldCharType="separate"/>
      </w:r>
      <w:r>
        <w:t>- 48 -</w:t>
      </w:r>
      <w:r>
        <w:fldChar w:fldCharType="end"/>
      </w:r>
      <w:r>
        <w:rPr>
          <w:rFonts w:hint="eastAsia" w:ascii="宋体" w:hAnsi="宋体" w:eastAsia="宋体" w:cs="宋体"/>
          <w:bCs/>
          <w:i w:val="0"/>
          <w:iCs w:val="0"/>
          <w:szCs w:val="24"/>
        </w:rPr>
        <w:fldChar w:fldCharType="end"/>
      </w:r>
    </w:p>
    <w:p w14:paraId="0CF5615F">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_Toc20804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9</w:t>
      </w:r>
      <w:r>
        <w:rPr>
          <w:rFonts w:hint="default" w:ascii="Arial" w:hAnsi="Arial" w:eastAsia="宋体" w:cs="Times New Roman"/>
          <w:bCs/>
          <w:kern w:val="2"/>
          <w:szCs w:val="32"/>
          <w:lang w:val="en-US" w:eastAsia="zh-CN" w:bidi="ar-SA"/>
        </w:rPr>
        <w:t>.4.</w:t>
      </w:r>
      <w:r>
        <w:rPr>
          <w:rFonts w:hint="eastAsia"/>
        </w:rPr>
        <w:t>控制项目工期的具体措施</w:t>
      </w:r>
      <w:r>
        <w:tab/>
      </w:r>
      <w:r>
        <w:fldChar w:fldCharType="begin"/>
      </w:r>
      <w:r>
        <w:instrText xml:space="preserve"> PAGEREF _Toc20804 \h </w:instrText>
      </w:r>
      <w:r>
        <w:fldChar w:fldCharType="separate"/>
      </w:r>
      <w:r>
        <w:t>- 51 -</w:t>
      </w:r>
      <w:r>
        <w:fldChar w:fldCharType="end"/>
      </w:r>
      <w:r>
        <w:rPr>
          <w:rFonts w:hint="eastAsia" w:ascii="宋体" w:hAnsi="宋体" w:eastAsia="宋体" w:cs="宋体"/>
          <w:bCs/>
          <w:i w:val="0"/>
          <w:iCs w:val="0"/>
          <w:szCs w:val="24"/>
        </w:rPr>
        <w:fldChar w:fldCharType="end"/>
      </w:r>
    </w:p>
    <w:p w14:paraId="78F4CD4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_Toc21207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9</w:t>
      </w:r>
      <w:r>
        <w:rPr>
          <w:rFonts w:hint="default" w:ascii="Times New Roman" w:hAnsi="Times New Roman" w:eastAsia="宋体" w:cs="Times New Roman"/>
          <w:bCs/>
          <w:kern w:val="2"/>
          <w:szCs w:val="32"/>
          <w:lang w:val="en-US" w:eastAsia="zh-CN" w:bidi="ar-SA"/>
        </w:rPr>
        <w:t>.4.1.</w:t>
      </w:r>
      <w:r>
        <w:rPr>
          <w:rFonts w:hint="eastAsia"/>
        </w:rPr>
        <w:t>组织措施</w:t>
      </w:r>
      <w:r>
        <w:tab/>
      </w:r>
      <w:r>
        <w:fldChar w:fldCharType="begin"/>
      </w:r>
      <w:r>
        <w:instrText xml:space="preserve"> PAGEREF _Toc21207 \h </w:instrText>
      </w:r>
      <w:r>
        <w:fldChar w:fldCharType="separate"/>
      </w:r>
      <w:r>
        <w:t>- 51 -</w:t>
      </w:r>
      <w:r>
        <w:fldChar w:fldCharType="end"/>
      </w:r>
      <w:r>
        <w:rPr>
          <w:rFonts w:hint="eastAsia" w:ascii="宋体" w:hAnsi="宋体" w:eastAsia="宋体" w:cs="宋体"/>
          <w:bCs/>
          <w:i w:val="0"/>
          <w:iCs w:val="0"/>
          <w:szCs w:val="24"/>
        </w:rPr>
        <w:fldChar w:fldCharType="end"/>
      </w:r>
    </w:p>
    <w:p w14:paraId="173D520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_Toc1062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9</w:t>
      </w:r>
      <w:r>
        <w:rPr>
          <w:rFonts w:hint="default" w:ascii="Times New Roman" w:hAnsi="Times New Roman" w:eastAsia="宋体" w:cs="Times New Roman"/>
          <w:bCs/>
          <w:kern w:val="2"/>
          <w:szCs w:val="32"/>
          <w:lang w:val="en-US" w:eastAsia="zh-CN" w:bidi="ar-SA"/>
        </w:rPr>
        <w:t>.4.2.</w:t>
      </w:r>
      <w:r>
        <w:rPr>
          <w:rFonts w:hint="eastAsia"/>
        </w:rPr>
        <w:t>管理措施</w:t>
      </w:r>
      <w:r>
        <w:tab/>
      </w:r>
      <w:r>
        <w:fldChar w:fldCharType="begin"/>
      </w:r>
      <w:r>
        <w:instrText xml:space="preserve"> PAGEREF _Toc1062 \h </w:instrText>
      </w:r>
      <w:r>
        <w:fldChar w:fldCharType="separate"/>
      </w:r>
      <w:r>
        <w:t>- 52 -</w:t>
      </w:r>
      <w:r>
        <w:fldChar w:fldCharType="end"/>
      </w:r>
      <w:r>
        <w:rPr>
          <w:rFonts w:hint="eastAsia" w:ascii="宋体" w:hAnsi="宋体" w:eastAsia="宋体" w:cs="宋体"/>
          <w:bCs/>
          <w:i w:val="0"/>
          <w:iCs w:val="0"/>
          <w:szCs w:val="24"/>
        </w:rPr>
        <w:fldChar w:fldCharType="end"/>
      </w:r>
    </w:p>
    <w:p w14:paraId="0052A63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_Toc12816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9</w:t>
      </w:r>
      <w:r>
        <w:rPr>
          <w:rFonts w:hint="default" w:ascii="Times New Roman" w:hAnsi="Times New Roman" w:eastAsia="宋体" w:cs="Times New Roman"/>
          <w:bCs/>
          <w:kern w:val="2"/>
          <w:szCs w:val="32"/>
          <w:lang w:val="en-US" w:eastAsia="zh-CN" w:bidi="ar-SA"/>
        </w:rPr>
        <w:t>.4.3.</w:t>
      </w:r>
      <w:r>
        <w:rPr>
          <w:rFonts w:hint="eastAsia"/>
        </w:rPr>
        <w:t>技术措施</w:t>
      </w:r>
      <w:r>
        <w:tab/>
      </w:r>
      <w:r>
        <w:fldChar w:fldCharType="begin"/>
      </w:r>
      <w:r>
        <w:instrText xml:space="preserve"> PAGEREF _Toc12816 \h </w:instrText>
      </w:r>
      <w:r>
        <w:fldChar w:fldCharType="separate"/>
      </w:r>
      <w:r>
        <w:t>- 53 -</w:t>
      </w:r>
      <w:r>
        <w:fldChar w:fldCharType="end"/>
      </w:r>
      <w:r>
        <w:rPr>
          <w:rFonts w:hint="eastAsia" w:ascii="宋体" w:hAnsi="宋体" w:eastAsia="宋体" w:cs="宋体"/>
          <w:bCs/>
          <w:i w:val="0"/>
          <w:iCs w:val="0"/>
          <w:szCs w:val="24"/>
        </w:rPr>
        <w:fldChar w:fldCharType="end"/>
      </w:r>
    </w:p>
    <w:p w14:paraId="2D9B64D7">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_Toc30460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.4.4.</w:t>
      </w:r>
      <w:r>
        <w:rPr>
          <w:rFonts w:hint="eastAsia" w:ascii="宋体" w:hAnsi="宋体" w:eastAsia="宋体" w:cs="宋体"/>
        </w:rPr>
        <w:t>并行工序协调措施</w:t>
      </w:r>
      <w:r>
        <w:tab/>
      </w:r>
      <w:r>
        <w:fldChar w:fldCharType="begin"/>
      </w:r>
      <w:r>
        <w:instrText xml:space="preserve"> PAGEREF _Toc30460 \h </w:instrText>
      </w:r>
      <w:r>
        <w:fldChar w:fldCharType="separate"/>
      </w:r>
      <w:r>
        <w:t>- 54 -</w:t>
      </w:r>
      <w:r>
        <w:fldChar w:fldCharType="end"/>
      </w:r>
      <w:r>
        <w:rPr>
          <w:rFonts w:hint="eastAsia" w:ascii="宋体" w:hAnsi="宋体" w:eastAsia="宋体" w:cs="宋体"/>
          <w:bCs/>
          <w:i w:val="0"/>
          <w:iCs w:val="0"/>
          <w:szCs w:val="24"/>
        </w:rPr>
        <w:fldChar w:fldCharType="end"/>
      </w:r>
    </w:p>
    <w:p w14:paraId="4222E05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_Toc16298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.4.5.</w:t>
      </w:r>
      <w:r>
        <w:rPr>
          <w:rFonts w:hint="eastAsia" w:ascii="宋体" w:hAnsi="宋体" w:eastAsia="宋体" w:cs="宋体"/>
        </w:rPr>
        <w:t>材料选用措施</w:t>
      </w:r>
      <w:r>
        <w:tab/>
      </w:r>
      <w:r>
        <w:fldChar w:fldCharType="begin"/>
      </w:r>
      <w:r>
        <w:instrText xml:space="preserve"> PAGEREF _Toc16298 \h </w:instrText>
      </w:r>
      <w:r>
        <w:fldChar w:fldCharType="separate"/>
      </w:r>
      <w:r>
        <w:t>- 54 -</w:t>
      </w:r>
      <w:r>
        <w:fldChar w:fldCharType="end"/>
      </w:r>
      <w:r>
        <w:rPr>
          <w:rFonts w:hint="eastAsia" w:ascii="宋体" w:hAnsi="宋体" w:eastAsia="宋体" w:cs="宋体"/>
          <w:bCs/>
          <w:i w:val="0"/>
          <w:iCs w:val="0"/>
          <w:szCs w:val="24"/>
        </w:rPr>
        <w:fldChar w:fldCharType="end"/>
      </w:r>
    </w:p>
    <w:p w14:paraId="0B8C945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_Toc26086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.4.6.</w:t>
      </w:r>
      <w:r>
        <w:rPr>
          <w:rFonts w:hint="eastAsia" w:ascii="宋体" w:hAnsi="宋体" w:eastAsia="宋体" w:cs="宋体"/>
        </w:rPr>
        <w:t>劳动力安排</w:t>
      </w:r>
      <w:r>
        <w:tab/>
      </w:r>
      <w:r>
        <w:fldChar w:fldCharType="begin"/>
      </w:r>
      <w:r>
        <w:instrText xml:space="preserve"> PAGEREF _Toc26086 \h </w:instrText>
      </w:r>
      <w:r>
        <w:fldChar w:fldCharType="separate"/>
      </w:r>
      <w:r>
        <w:t>- 55 -</w:t>
      </w:r>
      <w:r>
        <w:fldChar w:fldCharType="end"/>
      </w:r>
      <w:r>
        <w:rPr>
          <w:rFonts w:hint="eastAsia" w:ascii="宋体" w:hAnsi="宋体" w:eastAsia="宋体" w:cs="宋体"/>
          <w:bCs/>
          <w:i w:val="0"/>
          <w:iCs w:val="0"/>
          <w:szCs w:val="24"/>
        </w:rPr>
        <w:fldChar w:fldCharType="end"/>
      </w:r>
    </w:p>
    <w:p w14:paraId="081D865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_Toc9147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.4.7.</w:t>
      </w:r>
      <w:r>
        <w:rPr>
          <w:rFonts w:hint="eastAsia" w:ascii="宋体" w:hAnsi="宋体" w:eastAsia="宋体" w:cs="宋体"/>
        </w:rPr>
        <w:t>机械安排</w:t>
      </w:r>
      <w:r>
        <w:tab/>
      </w:r>
      <w:r>
        <w:fldChar w:fldCharType="begin"/>
      </w:r>
      <w:r>
        <w:instrText xml:space="preserve"> PAGEREF _Toc9147 \h </w:instrText>
      </w:r>
      <w:r>
        <w:fldChar w:fldCharType="separate"/>
      </w:r>
      <w:r>
        <w:t>- 55 -</w:t>
      </w:r>
      <w:r>
        <w:fldChar w:fldCharType="end"/>
      </w:r>
      <w:r>
        <w:rPr>
          <w:rFonts w:hint="eastAsia" w:ascii="宋体" w:hAnsi="宋体" w:eastAsia="宋体" w:cs="宋体"/>
          <w:bCs/>
          <w:i w:val="0"/>
          <w:iCs w:val="0"/>
          <w:szCs w:val="24"/>
        </w:rPr>
        <w:fldChar w:fldCharType="end"/>
      </w:r>
    </w:p>
    <w:p w14:paraId="75C2F5C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_Toc12019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.4.8.</w:t>
      </w:r>
      <w:r>
        <w:rPr>
          <w:rFonts w:hint="eastAsia" w:ascii="宋体" w:hAnsi="宋体" w:eastAsia="宋体" w:cs="宋体"/>
        </w:rPr>
        <w:t>经济措施</w:t>
      </w:r>
      <w:r>
        <w:tab/>
      </w:r>
      <w:r>
        <w:fldChar w:fldCharType="begin"/>
      </w:r>
      <w:r>
        <w:instrText xml:space="preserve"> PAGEREF _Toc12019 \h </w:instrText>
      </w:r>
      <w:r>
        <w:fldChar w:fldCharType="separate"/>
      </w:r>
      <w:r>
        <w:t>- 56 -</w:t>
      </w:r>
      <w:r>
        <w:fldChar w:fldCharType="end"/>
      </w:r>
      <w:r>
        <w:rPr>
          <w:rFonts w:hint="eastAsia" w:ascii="宋体" w:hAnsi="宋体" w:eastAsia="宋体" w:cs="宋体"/>
          <w:bCs/>
          <w:i w:val="0"/>
          <w:iCs w:val="0"/>
          <w:szCs w:val="24"/>
        </w:rPr>
        <w:fldChar w:fldCharType="end"/>
      </w:r>
    </w:p>
    <w:p w14:paraId="724F9E6F">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_Toc15316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.5.</w:t>
      </w:r>
      <w:r>
        <w:rPr>
          <w:rFonts w:hint="eastAsia" w:ascii="宋体" w:hAnsi="宋体" w:eastAsia="宋体" w:cs="宋体"/>
        </w:rPr>
        <w:t>特殊天气保证措施</w:t>
      </w:r>
      <w:r>
        <w:tab/>
      </w:r>
      <w:r>
        <w:fldChar w:fldCharType="begin"/>
      </w:r>
      <w:r>
        <w:instrText xml:space="preserve"> PAGEREF _Toc15316 \h </w:instrText>
      </w:r>
      <w:r>
        <w:fldChar w:fldCharType="separate"/>
      </w:r>
      <w:r>
        <w:t>- 56 -</w:t>
      </w:r>
      <w:r>
        <w:fldChar w:fldCharType="end"/>
      </w:r>
      <w:r>
        <w:rPr>
          <w:rFonts w:hint="eastAsia" w:ascii="宋体" w:hAnsi="宋体" w:eastAsia="宋体" w:cs="宋体"/>
          <w:bCs/>
          <w:i w:val="0"/>
          <w:iCs w:val="0"/>
          <w:szCs w:val="24"/>
        </w:rPr>
        <w:fldChar w:fldCharType="end"/>
      </w:r>
    </w:p>
    <w:p w14:paraId="7166C67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_Toc21380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.5.1.</w:t>
      </w:r>
      <w:r>
        <w:rPr>
          <w:rFonts w:hint="eastAsia" w:ascii="宋体" w:hAnsi="宋体" w:eastAsia="宋体" w:cs="宋体"/>
        </w:rPr>
        <w:t>雨季施工</w:t>
      </w:r>
      <w:r>
        <w:tab/>
      </w:r>
      <w:r>
        <w:fldChar w:fldCharType="begin"/>
      </w:r>
      <w:r>
        <w:instrText xml:space="preserve"> PAGEREF _Toc21380 \h </w:instrText>
      </w:r>
      <w:r>
        <w:fldChar w:fldCharType="separate"/>
      </w:r>
      <w:r>
        <w:t>- 56 -</w:t>
      </w:r>
      <w:r>
        <w:fldChar w:fldCharType="end"/>
      </w:r>
      <w:r>
        <w:rPr>
          <w:rFonts w:hint="eastAsia" w:ascii="宋体" w:hAnsi="宋体" w:eastAsia="宋体" w:cs="宋体"/>
          <w:bCs/>
          <w:i w:val="0"/>
          <w:iCs w:val="0"/>
          <w:szCs w:val="24"/>
        </w:rPr>
        <w:fldChar w:fldCharType="end"/>
      </w:r>
    </w:p>
    <w:p w14:paraId="2ABD183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_Toc13228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.5.2.</w:t>
      </w:r>
      <w:r>
        <w:rPr>
          <w:rFonts w:hint="eastAsia" w:ascii="宋体" w:hAnsi="宋体" w:eastAsia="宋体" w:cs="宋体"/>
        </w:rPr>
        <w:t>夏季施工</w:t>
      </w:r>
      <w:r>
        <w:tab/>
      </w:r>
      <w:r>
        <w:fldChar w:fldCharType="begin"/>
      </w:r>
      <w:r>
        <w:instrText xml:space="preserve"> PAGEREF _Toc13228 \h </w:instrText>
      </w:r>
      <w:r>
        <w:fldChar w:fldCharType="separate"/>
      </w:r>
      <w:r>
        <w:t>- 57 -</w:t>
      </w:r>
      <w:r>
        <w:fldChar w:fldCharType="end"/>
      </w:r>
      <w:r>
        <w:rPr>
          <w:rFonts w:hint="eastAsia" w:ascii="宋体" w:hAnsi="宋体" w:eastAsia="宋体" w:cs="宋体"/>
          <w:bCs/>
          <w:i w:val="0"/>
          <w:iCs w:val="0"/>
          <w:szCs w:val="24"/>
        </w:rPr>
        <w:fldChar w:fldCharType="end"/>
      </w:r>
    </w:p>
    <w:p w14:paraId="4ABB56D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_Toc14077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.5.3.</w:t>
      </w:r>
      <w:r>
        <w:rPr>
          <w:rFonts w:hint="eastAsia" w:ascii="宋体" w:hAnsi="宋体" w:eastAsia="宋体" w:cs="宋体"/>
        </w:rPr>
        <w:t>台风天气施工</w:t>
      </w:r>
      <w:r>
        <w:tab/>
      </w:r>
      <w:r>
        <w:fldChar w:fldCharType="begin"/>
      </w:r>
      <w:r>
        <w:instrText xml:space="preserve"> PAGEREF _Toc14077 \h </w:instrText>
      </w:r>
      <w:r>
        <w:fldChar w:fldCharType="separate"/>
      </w:r>
      <w:r>
        <w:t>- 58 -</w:t>
      </w:r>
      <w:r>
        <w:fldChar w:fldCharType="end"/>
      </w:r>
      <w:r>
        <w:rPr>
          <w:rFonts w:hint="eastAsia" w:ascii="宋体" w:hAnsi="宋体" w:eastAsia="宋体" w:cs="宋体"/>
          <w:bCs/>
          <w:i w:val="0"/>
          <w:iCs w:val="0"/>
          <w:szCs w:val="24"/>
        </w:rPr>
        <w:fldChar w:fldCharType="end"/>
      </w:r>
    </w:p>
    <w:p w14:paraId="6435638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_Toc13663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.5.4.</w:t>
      </w:r>
      <w:r>
        <w:rPr>
          <w:rFonts w:hint="eastAsia" w:ascii="宋体" w:hAnsi="宋体" w:eastAsia="宋体" w:cs="宋体"/>
        </w:rPr>
        <w:t>汛期施工</w:t>
      </w:r>
      <w:r>
        <w:tab/>
      </w:r>
      <w:r>
        <w:fldChar w:fldCharType="begin"/>
      </w:r>
      <w:r>
        <w:instrText xml:space="preserve"> PAGEREF _Toc13663 \h </w:instrText>
      </w:r>
      <w:r>
        <w:fldChar w:fldCharType="separate"/>
      </w:r>
      <w:r>
        <w:t>- 59 -</w:t>
      </w:r>
      <w:r>
        <w:fldChar w:fldCharType="end"/>
      </w:r>
      <w:r>
        <w:rPr>
          <w:rFonts w:hint="eastAsia" w:ascii="宋体" w:hAnsi="宋体" w:eastAsia="宋体" w:cs="宋体"/>
          <w:bCs/>
          <w:i w:val="0"/>
          <w:iCs w:val="0"/>
          <w:szCs w:val="24"/>
        </w:rPr>
        <w:fldChar w:fldCharType="end"/>
      </w:r>
    </w:p>
    <w:p w14:paraId="47166980">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_Toc1578 </w:instrText>
      </w:r>
      <w:r>
        <w:rPr>
          <w:rFonts w:hint="eastAsia" w:ascii="宋体" w:hAnsi="宋体" w:eastAsia="宋体" w:cs="宋体"/>
          <w:bCs/>
          <w:i w:val="0"/>
          <w:iCs w:val="0"/>
          <w:szCs w:val="24"/>
        </w:rPr>
        <w:fldChar w:fldCharType="separate"/>
      </w:r>
      <w:r>
        <w:rPr>
          <w:rFonts w:hint="eastAsia" w:ascii="宋体" w:hAnsi="宋体" w:cs="Times New Roman"/>
          <w:bCs/>
          <w:kern w:val="2"/>
          <w:szCs w:val="32"/>
          <w:lang w:val="en-US" w:eastAsia="zh-CN" w:bidi="ar-SA"/>
        </w:rPr>
        <w:t>9</w:t>
      </w:r>
      <w:r>
        <w:rPr>
          <w:rFonts w:hint="default" w:ascii="宋体" w:hAnsi="宋体" w:eastAsia="宋体" w:cs="Times New Roman"/>
          <w:bCs/>
          <w:kern w:val="2"/>
          <w:szCs w:val="32"/>
          <w:lang w:val="en-US" w:eastAsia="zh-CN" w:bidi="ar-SA"/>
        </w:rPr>
        <w:t>.6.</w:t>
      </w:r>
      <w:r>
        <w:rPr>
          <w:rFonts w:hint="eastAsia" w:ascii="宋体" w:hAnsi="宋体" w:eastAsia="宋体" w:cs="宋体"/>
        </w:rPr>
        <w:t>夜间施工</w:t>
      </w:r>
      <w:r>
        <w:tab/>
      </w:r>
      <w:r>
        <w:fldChar w:fldCharType="begin"/>
      </w:r>
      <w:r>
        <w:instrText xml:space="preserve"> PAGEREF _Toc1578 \h </w:instrText>
      </w:r>
      <w:r>
        <w:fldChar w:fldCharType="separate"/>
      </w:r>
      <w:r>
        <w:t>- 60 -</w:t>
      </w:r>
      <w:r>
        <w:fldChar w:fldCharType="end"/>
      </w:r>
      <w:r>
        <w:rPr>
          <w:rFonts w:hint="eastAsia" w:ascii="宋体" w:hAnsi="宋体" w:eastAsia="宋体" w:cs="宋体"/>
          <w:bCs/>
          <w:i w:val="0"/>
          <w:iCs w:val="0"/>
          <w:szCs w:val="24"/>
        </w:rPr>
        <w:fldChar w:fldCharType="end"/>
      </w:r>
    </w:p>
    <w:p w14:paraId="61721968">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_Toc16673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第十章</w:t>
      </w:r>
      <w:r>
        <w:rPr>
          <w:rFonts w:hint="default" w:ascii="宋体" w:hAnsi="宋体" w:eastAsia="宋体" w:cs="Times New Roman"/>
          <w:bCs/>
          <w:kern w:val="36"/>
          <w:szCs w:val="48"/>
          <w:lang w:val="en-US" w:eastAsia="zh-CN" w:bidi="ar-SA"/>
        </w:rPr>
        <w:t>.</w:t>
      </w:r>
      <w:r>
        <w:rPr>
          <w:rFonts w:hint="eastAsia" w:ascii="宋体" w:hAnsi="宋体" w:eastAsia="宋体" w:cs="宋体"/>
        </w:rPr>
        <w:t>各项资源需要量及进场计划</w:t>
      </w:r>
      <w:r>
        <w:tab/>
      </w:r>
      <w:r>
        <w:fldChar w:fldCharType="begin"/>
      </w:r>
      <w:r>
        <w:instrText xml:space="preserve"> PAGEREF _Toc16673 \h </w:instrText>
      </w:r>
      <w:r>
        <w:fldChar w:fldCharType="separate"/>
      </w:r>
      <w:r>
        <w:t>- 61 -</w:t>
      </w:r>
      <w:r>
        <w:fldChar w:fldCharType="end"/>
      </w:r>
      <w:r>
        <w:rPr>
          <w:rFonts w:hint="eastAsia" w:ascii="宋体" w:hAnsi="宋体" w:eastAsia="宋体" w:cs="宋体"/>
          <w:bCs/>
          <w:i w:val="0"/>
          <w:iCs w:val="0"/>
          <w:szCs w:val="24"/>
        </w:rPr>
        <w:fldChar w:fldCharType="end"/>
      </w:r>
    </w:p>
    <w:p w14:paraId="0992603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_Toc5285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0</w:t>
      </w:r>
      <w:r>
        <w:rPr>
          <w:rFonts w:hint="default" w:ascii="宋体" w:hAnsi="宋体" w:eastAsia="宋体" w:cs="Times New Roman"/>
          <w:bCs/>
          <w:kern w:val="2"/>
          <w:szCs w:val="32"/>
          <w:lang w:val="en-US" w:eastAsia="zh-CN" w:bidi="ar-SA"/>
        </w:rPr>
        <w:t>.1.1.</w:t>
      </w:r>
      <w:r>
        <w:rPr>
          <w:rFonts w:hint="eastAsia" w:ascii="宋体" w:hAnsi="宋体" w:eastAsia="宋体" w:cs="宋体"/>
        </w:rPr>
        <w:t>人员进场计划</w:t>
      </w:r>
      <w:r>
        <w:tab/>
      </w:r>
      <w:r>
        <w:fldChar w:fldCharType="begin"/>
      </w:r>
      <w:r>
        <w:instrText xml:space="preserve"> PAGEREF _Toc5285 \h </w:instrText>
      </w:r>
      <w:r>
        <w:fldChar w:fldCharType="separate"/>
      </w:r>
      <w:r>
        <w:t>- 61 -</w:t>
      </w:r>
      <w:r>
        <w:fldChar w:fldCharType="end"/>
      </w:r>
      <w:r>
        <w:rPr>
          <w:rFonts w:hint="eastAsia" w:ascii="宋体" w:hAnsi="宋体" w:eastAsia="宋体" w:cs="宋体"/>
          <w:bCs/>
          <w:i w:val="0"/>
          <w:iCs w:val="0"/>
          <w:szCs w:val="24"/>
        </w:rPr>
        <w:fldChar w:fldCharType="end"/>
      </w:r>
    </w:p>
    <w:p w14:paraId="552C78BF">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_Toc10131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0</w:t>
      </w:r>
      <w:r>
        <w:rPr>
          <w:rFonts w:hint="default" w:ascii="宋体" w:hAnsi="宋体" w:eastAsia="宋体" w:cs="Times New Roman"/>
          <w:bCs/>
          <w:kern w:val="2"/>
          <w:szCs w:val="32"/>
          <w:lang w:val="en-US" w:eastAsia="zh-CN" w:bidi="ar-SA"/>
        </w:rPr>
        <w:t>.1.2.</w:t>
      </w:r>
      <w:r>
        <w:rPr>
          <w:rFonts w:hint="eastAsia" w:ascii="宋体" w:hAnsi="宋体" w:eastAsia="宋体" w:cs="宋体"/>
        </w:rPr>
        <w:t>材料供应计划</w:t>
      </w:r>
      <w:r>
        <w:tab/>
      </w:r>
      <w:r>
        <w:fldChar w:fldCharType="begin"/>
      </w:r>
      <w:r>
        <w:instrText xml:space="preserve"> PAGEREF _Toc10131 \h </w:instrText>
      </w:r>
      <w:r>
        <w:fldChar w:fldCharType="separate"/>
      </w:r>
      <w:r>
        <w:t>- 62 -</w:t>
      </w:r>
      <w:r>
        <w:fldChar w:fldCharType="end"/>
      </w:r>
      <w:r>
        <w:rPr>
          <w:rFonts w:hint="eastAsia" w:ascii="宋体" w:hAnsi="宋体" w:eastAsia="宋体" w:cs="宋体"/>
          <w:bCs/>
          <w:i w:val="0"/>
          <w:iCs w:val="0"/>
          <w:szCs w:val="24"/>
        </w:rPr>
        <w:fldChar w:fldCharType="end"/>
      </w:r>
    </w:p>
    <w:p w14:paraId="6F8C06E9">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_Toc13895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0</w:t>
      </w:r>
      <w:r>
        <w:rPr>
          <w:rFonts w:hint="default" w:ascii="宋体" w:hAnsi="宋体" w:eastAsia="宋体" w:cs="Times New Roman"/>
          <w:bCs/>
          <w:kern w:val="2"/>
          <w:szCs w:val="32"/>
          <w:lang w:val="en-US" w:eastAsia="zh-CN" w:bidi="ar-SA"/>
        </w:rPr>
        <w:t>.1.3.</w:t>
      </w:r>
      <w:r>
        <w:rPr>
          <w:rFonts w:hint="eastAsia" w:ascii="宋体" w:hAnsi="宋体" w:eastAsia="宋体" w:cs="宋体"/>
        </w:rPr>
        <w:t>机械设备及试验仪器计划</w:t>
      </w:r>
      <w:r>
        <w:tab/>
      </w:r>
      <w:r>
        <w:fldChar w:fldCharType="begin"/>
      </w:r>
      <w:r>
        <w:instrText xml:space="preserve"> PAGEREF _Toc13895 \h </w:instrText>
      </w:r>
      <w:r>
        <w:fldChar w:fldCharType="separate"/>
      </w:r>
      <w:r>
        <w:t>- 62 -</w:t>
      </w:r>
      <w:r>
        <w:fldChar w:fldCharType="end"/>
      </w:r>
      <w:r>
        <w:rPr>
          <w:rFonts w:hint="eastAsia" w:ascii="宋体" w:hAnsi="宋体" w:eastAsia="宋体" w:cs="宋体"/>
          <w:bCs/>
          <w:i w:val="0"/>
          <w:iCs w:val="0"/>
          <w:szCs w:val="24"/>
        </w:rPr>
        <w:fldChar w:fldCharType="end"/>
      </w:r>
    </w:p>
    <w:p w14:paraId="295FA98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_Toc9186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0</w:t>
      </w:r>
      <w:r>
        <w:rPr>
          <w:rFonts w:hint="default" w:ascii="宋体" w:hAnsi="宋体" w:eastAsia="宋体" w:cs="Times New Roman"/>
          <w:bCs/>
          <w:kern w:val="2"/>
          <w:szCs w:val="32"/>
          <w:lang w:val="en-US" w:eastAsia="zh-CN" w:bidi="ar-SA"/>
        </w:rPr>
        <w:t>.1.4.</w:t>
      </w:r>
      <w:r>
        <w:rPr>
          <w:rFonts w:hint="eastAsia" w:ascii="宋体" w:hAnsi="宋体" w:eastAsia="宋体" w:cs="宋体"/>
        </w:rPr>
        <w:t>资金供应计划</w:t>
      </w:r>
      <w:r>
        <w:tab/>
      </w:r>
      <w:r>
        <w:fldChar w:fldCharType="begin"/>
      </w:r>
      <w:r>
        <w:instrText xml:space="preserve"> PAGEREF _Toc9186 \h </w:instrText>
      </w:r>
      <w:r>
        <w:fldChar w:fldCharType="separate"/>
      </w:r>
      <w:r>
        <w:t>- 62 -</w:t>
      </w:r>
      <w:r>
        <w:fldChar w:fldCharType="end"/>
      </w:r>
      <w:r>
        <w:rPr>
          <w:rFonts w:hint="eastAsia" w:ascii="宋体" w:hAnsi="宋体" w:eastAsia="宋体" w:cs="宋体"/>
          <w:bCs/>
          <w:i w:val="0"/>
          <w:iCs w:val="0"/>
          <w:szCs w:val="24"/>
        </w:rPr>
        <w:fldChar w:fldCharType="end"/>
      </w:r>
    </w:p>
    <w:p w14:paraId="58DF0C1D">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_Toc32097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第十一章 </w:t>
      </w:r>
      <w:r>
        <w:rPr>
          <w:rFonts w:hint="eastAsia" w:ascii="宋体" w:hAnsi="宋体" w:eastAsia="宋体" w:cs="宋体"/>
        </w:rPr>
        <w:t>工程质量管理体系及保证措施</w:t>
      </w:r>
      <w:r>
        <w:tab/>
      </w:r>
      <w:r>
        <w:fldChar w:fldCharType="begin"/>
      </w:r>
      <w:r>
        <w:instrText xml:space="preserve"> PAGEREF _Toc32097 \h </w:instrText>
      </w:r>
      <w:r>
        <w:fldChar w:fldCharType="separate"/>
      </w:r>
      <w:r>
        <w:t>- 63 -</w:t>
      </w:r>
      <w:r>
        <w:fldChar w:fldCharType="end"/>
      </w:r>
      <w:r>
        <w:rPr>
          <w:rFonts w:hint="eastAsia" w:ascii="宋体" w:hAnsi="宋体" w:eastAsia="宋体" w:cs="宋体"/>
          <w:bCs/>
          <w:i w:val="0"/>
          <w:iCs w:val="0"/>
          <w:szCs w:val="24"/>
        </w:rPr>
        <w:fldChar w:fldCharType="end"/>
      </w:r>
    </w:p>
    <w:p w14:paraId="0CDB9C90">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_Toc31649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.1.</w:t>
      </w:r>
      <w:r>
        <w:rPr>
          <w:rFonts w:hint="eastAsia" w:ascii="宋体" w:hAnsi="宋体" w:eastAsia="宋体" w:cs="宋体"/>
        </w:rPr>
        <w:t>质量目标</w:t>
      </w:r>
      <w:r>
        <w:tab/>
      </w:r>
      <w:r>
        <w:fldChar w:fldCharType="begin"/>
      </w:r>
      <w:r>
        <w:instrText xml:space="preserve"> PAGEREF _Toc31649 \h </w:instrText>
      </w:r>
      <w:r>
        <w:fldChar w:fldCharType="separate"/>
      </w:r>
      <w:r>
        <w:t>- 63 -</w:t>
      </w:r>
      <w:r>
        <w:fldChar w:fldCharType="end"/>
      </w:r>
      <w:r>
        <w:rPr>
          <w:rFonts w:hint="eastAsia" w:ascii="宋体" w:hAnsi="宋体" w:eastAsia="宋体" w:cs="宋体"/>
          <w:bCs/>
          <w:i w:val="0"/>
          <w:iCs w:val="0"/>
          <w:szCs w:val="24"/>
        </w:rPr>
        <w:fldChar w:fldCharType="end"/>
      </w:r>
    </w:p>
    <w:p w14:paraId="27C60CF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_Toc19351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.2.</w:t>
      </w:r>
      <w:r>
        <w:rPr>
          <w:rFonts w:hint="eastAsia" w:ascii="宋体" w:hAnsi="宋体" w:eastAsia="宋体" w:cs="宋体"/>
        </w:rPr>
        <w:t>质量保证体系</w:t>
      </w:r>
      <w:r>
        <w:tab/>
      </w:r>
      <w:r>
        <w:fldChar w:fldCharType="begin"/>
      </w:r>
      <w:r>
        <w:instrText xml:space="preserve"> PAGEREF _Toc19351 \h </w:instrText>
      </w:r>
      <w:r>
        <w:fldChar w:fldCharType="separate"/>
      </w:r>
      <w:r>
        <w:t>- 63 -</w:t>
      </w:r>
      <w:r>
        <w:fldChar w:fldCharType="end"/>
      </w:r>
      <w:r>
        <w:rPr>
          <w:rFonts w:hint="eastAsia" w:ascii="宋体" w:hAnsi="宋体" w:eastAsia="宋体" w:cs="宋体"/>
          <w:bCs/>
          <w:i w:val="0"/>
          <w:iCs w:val="0"/>
          <w:szCs w:val="24"/>
        </w:rPr>
        <w:fldChar w:fldCharType="end"/>
      </w:r>
    </w:p>
    <w:p w14:paraId="119188F2">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_Toc31428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.3.</w:t>
      </w:r>
      <w:r>
        <w:rPr>
          <w:rFonts w:hint="eastAsia" w:ascii="宋体" w:hAnsi="宋体" w:eastAsia="宋体" w:cs="宋体"/>
        </w:rPr>
        <w:t>工程质量保证措施</w:t>
      </w:r>
      <w:r>
        <w:tab/>
      </w:r>
      <w:r>
        <w:fldChar w:fldCharType="begin"/>
      </w:r>
      <w:r>
        <w:instrText xml:space="preserve"> PAGEREF _Toc31428 \h </w:instrText>
      </w:r>
      <w:r>
        <w:fldChar w:fldCharType="separate"/>
      </w:r>
      <w:r>
        <w:t>- 65 -</w:t>
      </w:r>
      <w:r>
        <w:fldChar w:fldCharType="end"/>
      </w:r>
      <w:r>
        <w:rPr>
          <w:rFonts w:hint="eastAsia" w:ascii="宋体" w:hAnsi="宋体" w:eastAsia="宋体" w:cs="宋体"/>
          <w:bCs/>
          <w:i w:val="0"/>
          <w:iCs w:val="0"/>
          <w:szCs w:val="24"/>
        </w:rPr>
        <w:fldChar w:fldCharType="end"/>
      </w:r>
    </w:p>
    <w:p w14:paraId="765A3B9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_Toc21121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.3.1.</w:t>
      </w:r>
      <w:r>
        <w:rPr>
          <w:rFonts w:hint="eastAsia" w:ascii="宋体" w:hAnsi="宋体" w:eastAsia="宋体" w:cs="宋体"/>
        </w:rPr>
        <w:t>组织保证措施</w:t>
      </w:r>
      <w:r>
        <w:tab/>
      </w:r>
      <w:r>
        <w:fldChar w:fldCharType="begin"/>
      </w:r>
      <w:r>
        <w:instrText xml:space="preserve"> PAGEREF _Toc21121 \h </w:instrText>
      </w:r>
      <w:r>
        <w:fldChar w:fldCharType="separate"/>
      </w:r>
      <w:r>
        <w:t>- 65 -</w:t>
      </w:r>
      <w:r>
        <w:fldChar w:fldCharType="end"/>
      </w:r>
      <w:r>
        <w:rPr>
          <w:rFonts w:hint="eastAsia" w:ascii="宋体" w:hAnsi="宋体" w:eastAsia="宋体" w:cs="宋体"/>
          <w:bCs/>
          <w:i w:val="0"/>
          <w:iCs w:val="0"/>
          <w:szCs w:val="24"/>
        </w:rPr>
        <w:fldChar w:fldCharType="end"/>
      </w:r>
    </w:p>
    <w:p w14:paraId="354F8CD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_Toc5160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.3.2.</w:t>
      </w:r>
      <w:r>
        <w:rPr>
          <w:rFonts w:hint="eastAsia" w:ascii="宋体" w:hAnsi="宋体" w:eastAsia="宋体" w:cs="宋体"/>
        </w:rPr>
        <w:t>思想保证措施</w:t>
      </w:r>
      <w:r>
        <w:tab/>
      </w:r>
      <w:r>
        <w:fldChar w:fldCharType="begin"/>
      </w:r>
      <w:r>
        <w:instrText xml:space="preserve"> PAGEREF _Toc5160 \h </w:instrText>
      </w:r>
      <w:r>
        <w:fldChar w:fldCharType="separate"/>
      </w:r>
      <w:r>
        <w:t>- 66 -</w:t>
      </w:r>
      <w:r>
        <w:fldChar w:fldCharType="end"/>
      </w:r>
      <w:r>
        <w:rPr>
          <w:rFonts w:hint="eastAsia" w:ascii="宋体" w:hAnsi="宋体" w:eastAsia="宋体" w:cs="宋体"/>
          <w:bCs/>
          <w:i w:val="0"/>
          <w:iCs w:val="0"/>
          <w:szCs w:val="24"/>
        </w:rPr>
        <w:fldChar w:fldCharType="end"/>
      </w:r>
    </w:p>
    <w:p w14:paraId="4FD99A49">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_Toc19086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.4.</w:t>
      </w:r>
      <w:r>
        <w:rPr>
          <w:rFonts w:hint="eastAsia" w:ascii="宋体" w:hAnsi="宋体" w:eastAsia="宋体" w:cs="宋体"/>
        </w:rPr>
        <w:t>技术保证</w:t>
      </w:r>
      <w:r>
        <w:tab/>
      </w:r>
      <w:r>
        <w:fldChar w:fldCharType="begin"/>
      </w:r>
      <w:r>
        <w:instrText xml:space="preserve"> PAGEREF _Toc19086 \h </w:instrText>
      </w:r>
      <w:r>
        <w:fldChar w:fldCharType="separate"/>
      </w:r>
      <w:r>
        <w:t>- 66 -</w:t>
      </w:r>
      <w:r>
        <w:fldChar w:fldCharType="end"/>
      </w:r>
      <w:r>
        <w:rPr>
          <w:rFonts w:hint="eastAsia" w:ascii="宋体" w:hAnsi="宋体" w:eastAsia="宋体" w:cs="宋体"/>
          <w:bCs/>
          <w:i w:val="0"/>
          <w:iCs w:val="0"/>
          <w:szCs w:val="24"/>
        </w:rPr>
        <w:fldChar w:fldCharType="end"/>
      </w:r>
    </w:p>
    <w:p w14:paraId="28BEF47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_Toc29566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1</w:t>
      </w:r>
      <w:r>
        <w:rPr>
          <w:rFonts w:hint="default" w:ascii="宋体" w:hAnsi="宋体" w:eastAsia="宋体" w:cs="Times New Roman"/>
          <w:bCs/>
          <w:kern w:val="2"/>
          <w:szCs w:val="32"/>
          <w:lang w:val="en-US" w:eastAsia="zh-CN" w:bidi="ar-SA"/>
        </w:rPr>
        <w:t>.5.</w:t>
      </w:r>
      <w:r>
        <w:rPr>
          <w:rFonts w:hint="eastAsia" w:ascii="宋体" w:hAnsi="宋体" w:eastAsia="宋体" w:cs="宋体"/>
        </w:rPr>
        <w:t>对供货商的管理控制措施</w:t>
      </w:r>
      <w:r>
        <w:tab/>
      </w:r>
      <w:r>
        <w:fldChar w:fldCharType="begin"/>
      </w:r>
      <w:r>
        <w:instrText xml:space="preserve"> PAGEREF _Toc29566 \h </w:instrText>
      </w:r>
      <w:r>
        <w:fldChar w:fldCharType="separate"/>
      </w:r>
      <w:r>
        <w:t>- 67 -</w:t>
      </w:r>
      <w:r>
        <w:fldChar w:fldCharType="end"/>
      </w:r>
      <w:r>
        <w:rPr>
          <w:rFonts w:hint="eastAsia" w:ascii="宋体" w:hAnsi="宋体" w:eastAsia="宋体" w:cs="宋体"/>
          <w:bCs/>
          <w:i w:val="0"/>
          <w:iCs w:val="0"/>
          <w:szCs w:val="24"/>
        </w:rPr>
        <w:fldChar w:fldCharType="end"/>
      </w:r>
    </w:p>
    <w:p w14:paraId="24B63A83">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_Toc6581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1</w:t>
      </w:r>
      <w:r>
        <w:rPr>
          <w:rFonts w:hint="default" w:ascii="Arial" w:hAnsi="Arial" w:eastAsia="宋体" w:cs="Times New Roman"/>
          <w:bCs/>
          <w:kern w:val="2"/>
          <w:szCs w:val="32"/>
          <w:lang w:val="en-US" w:eastAsia="zh-CN" w:bidi="ar-SA"/>
        </w:rPr>
        <w:t>.6.</w:t>
      </w:r>
      <w:r>
        <w:rPr>
          <w:rFonts w:hint="eastAsia"/>
        </w:rPr>
        <w:t>工作保证措施</w:t>
      </w:r>
      <w:r>
        <w:tab/>
      </w:r>
      <w:r>
        <w:fldChar w:fldCharType="begin"/>
      </w:r>
      <w:r>
        <w:instrText xml:space="preserve"> PAGEREF _Toc6581 \h </w:instrText>
      </w:r>
      <w:r>
        <w:fldChar w:fldCharType="separate"/>
      </w:r>
      <w:r>
        <w:t>- 67 -</w:t>
      </w:r>
      <w:r>
        <w:fldChar w:fldCharType="end"/>
      </w:r>
      <w:r>
        <w:rPr>
          <w:rFonts w:hint="eastAsia" w:ascii="宋体" w:hAnsi="宋体" w:eastAsia="宋体" w:cs="宋体"/>
          <w:bCs/>
          <w:i w:val="0"/>
          <w:iCs w:val="0"/>
          <w:szCs w:val="24"/>
        </w:rPr>
        <w:fldChar w:fldCharType="end"/>
      </w:r>
    </w:p>
    <w:p w14:paraId="43F40EF9">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_Toc29608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1</w:t>
      </w:r>
      <w:r>
        <w:rPr>
          <w:rFonts w:hint="default" w:ascii="Arial" w:hAnsi="Arial" w:eastAsia="宋体" w:cs="Times New Roman"/>
          <w:bCs/>
          <w:kern w:val="2"/>
          <w:szCs w:val="32"/>
          <w:lang w:val="en-US" w:eastAsia="zh-CN" w:bidi="ar-SA"/>
        </w:rPr>
        <w:t>.7.</w:t>
      </w:r>
      <w:r>
        <w:rPr>
          <w:rFonts w:hint="eastAsia"/>
        </w:rPr>
        <w:t>质量管理制度</w:t>
      </w:r>
      <w:r>
        <w:tab/>
      </w:r>
      <w:r>
        <w:fldChar w:fldCharType="begin"/>
      </w:r>
      <w:r>
        <w:instrText xml:space="preserve"> PAGEREF _Toc29608 \h </w:instrText>
      </w:r>
      <w:r>
        <w:fldChar w:fldCharType="separate"/>
      </w:r>
      <w:r>
        <w:t>- 67 -</w:t>
      </w:r>
      <w:r>
        <w:fldChar w:fldCharType="end"/>
      </w:r>
      <w:r>
        <w:rPr>
          <w:rFonts w:hint="eastAsia" w:ascii="宋体" w:hAnsi="宋体" w:eastAsia="宋体" w:cs="宋体"/>
          <w:bCs/>
          <w:i w:val="0"/>
          <w:iCs w:val="0"/>
          <w:szCs w:val="24"/>
        </w:rPr>
        <w:fldChar w:fldCharType="end"/>
      </w:r>
    </w:p>
    <w:p w14:paraId="3BD21BF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_Toc12537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1</w:t>
      </w:r>
      <w:r>
        <w:rPr>
          <w:rFonts w:hint="default" w:ascii="Arial" w:hAnsi="Arial" w:eastAsia="宋体" w:cs="Times New Roman"/>
          <w:bCs/>
          <w:kern w:val="2"/>
          <w:szCs w:val="32"/>
          <w:lang w:val="en-US" w:eastAsia="zh-CN" w:bidi="ar-SA"/>
        </w:rPr>
        <w:t>.8.</w:t>
      </w:r>
      <w:r>
        <w:rPr>
          <w:rFonts w:hint="eastAsia"/>
        </w:rPr>
        <w:t>加强过程控制、完善报验程序</w:t>
      </w:r>
      <w:r>
        <w:tab/>
      </w:r>
      <w:r>
        <w:fldChar w:fldCharType="begin"/>
      </w:r>
      <w:r>
        <w:instrText xml:space="preserve"> PAGEREF _Toc12537 \h </w:instrText>
      </w:r>
      <w:r>
        <w:fldChar w:fldCharType="separate"/>
      </w:r>
      <w:r>
        <w:t>- 67 -</w:t>
      </w:r>
      <w:r>
        <w:fldChar w:fldCharType="end"/>
      </w:r>
      <w:r>
        <w:rPr>
          <w:rFonts w:hint="eastAsia" w:ascii="宋体" w:hAnsi="宋体" w:eastAsia="宋体" w:cs="宋体"/>
          <w:bCs/>
          <w:i w:val="0"/>
          <w:iCs w:val="0"/>
          <w:szCs w:val="24"/>
        </w:rPr>
        <w:fldChar w:fldCharType="end"/>
      </w:r>
    </w:p>
    <w:p w14:paraId="12DE976B">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_Toc17593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第十二章 </w:t>
      </w:r>
      <w:r>
        <w:rPr>
          <w:rFonts w:hint="eastAsia"/>
        </w:rPr>
        <w:t>质量通病防治措施</w:t>
      </w:r>
      <w:r>
        <w:tab/>
      </w:r>
      <w:r>
        <w:fldChar w:fldCharType="begin"/>
      </w:r>
      <w:r>
        <w:instrText xml:space="preserve"> PAGEREF _Toc17593 \h </w:instrText>
      </w:r>
      <w:r>
        <w:fldChar w:fldCharType="separate"/>
      </w:r>
      <w:r>
        <w:t>- 67 -</w:t>
      </w:r>
      <w:r>
        <w:fldChar w:fldCharType="end"/>
      </w:r>
      <w:r>
        <w:rPr>
          <w:rFonts w:hint="eastAsia" w:ascii="宋体" w:hAnsi="宋体" w:eastAsia="宋体" w:cs="宋体"/>
          <w:bCs/>
          <w:i w:val="0"/>
          <w:iCs w:val="0"/>
          <w:szCs w:val="24"/>
        </w:rPr>
        <w:fldChar w:fldCharType="end"/>
      </w:r>
    </w:p>
    <w:p w14:paraId="2A07CB42">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_Toc24272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.1.</w:t>
      </w:r>
      <w:r>
        <w:rPr>
          <w:rFonts w:hint="eastAsia" w:ascii="宋体" w:hAnsi="宋体" w:eastAsia="宋体" w:cs="宋体"/>
        </w:rPr>
        <w:t>路基施工质量通病</w:t>
      </w:r>
      <w:r>
        <w:tab/>
      </w:r>
      <w:r>
        <w:fldChar w:fldCharType="begin"/>
      </w:r>
      <w:r>
        <w:instrText xml:space="preserve"> PAGEREF _Toc24272 \h </w:instrText>
      </w:r>
      <w:r>
        <w:fldChar w:fldCharType="separate"/>
      </w:r>
      <w:r>
        <w:t>- 68 -</w:t>
      </w:r>
      <w:r>
        <w:fldChar w:fldCharType="end"/>
      </w:r>
      <w:r>
        <w:rPr>
          <w:rFonts w:hint="eastAsia" w:ascii="宋体" w:hAnsi="宋体" w:eastAsia="宋体" w:cs="宋体"/>
          <w:bCs/>
          <w:i w:val="0"/>
          <w:iCs w:val="0"/>
          <w:szCs w:val="24"/>
        </w:rPr>
        <w:fldChar w:fldCharType="end"/>
      </w:r>
    </w:p>
    <w:p w14:paraId="769491E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_Toc10041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.1.1.</w:t>
      </w:r>
      <w:r>
        <w:rPr>
          <w:rFonts w:hint="eastAsia" w:ascii="宋体" w:hAnsi="宋体" w:eastAsia="宋体" w:cs="宋体"/>
        </w:rPr>
        <w:t>路基弹簧土质量通病</w:t>
      </w:r>
      <w:r>
        <w:tab/>
      </w:r>
      <w:r>
        <w:fldChar w:fldCharType="begin"/>
      </w:r>
      <w:r>
        <w:instrText xml:space="preserve"> PAGEREF _Toc10041 \h </w:instrText>
      </w:r>
      <w:r>
        <w:fldChar w:fldCharType="separate"/>
      </w:r>
      <w:r>
        <w:t>- 68 -</w:t>
      </w:r>
      <w:r>
        <w:fldChar w:fldCharType="end"/>
      </w:r>
      <w:r>
        <w:rPr>
          <w:rFonts w:hint="eastAsia" w:ascii="宋体" w:hAnsi="宋体" w:eastAsia="宋体" w:cs="宋体"/>
          <w:bCs/>
          <w:i w:val="0"/>
          <w:iCs w:val="0"/>
          <w:szCs w:val="24"/>
        </w:rPr>
        <w:fldChar w:fldCharType="end"/>
      </w:r>
    </w:p>
    <w:p w14:paraId="392006F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_Toc1507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.1.2.</w:t>
      </w:r>
      <w:r>
        <w:rPr>
          <w:rFonts w:hint="eastAsia" w:ascii="宋体" w:hAnsi="宋体" w:eastAsia="宋体" w:cs="宋体"/>
        </w:rPr>
        <w:t>路基起皮质量通病</w:t>
      </w:r>
      <w:r>
        <w:tab/>
      </w:r>
      <w:r>
        <w:fldChar w:fldCharType="begin"/>
      </w:r>
      <w:r>
        <w:instrText xml:space="preserve"> PAGEREF _Toc1507 \h </w:instrText>
      </w:r>
      <w:r>
        <w:fldChar w:fldCharType="separate"/>
      </w:r>
      <w:r>
        <w:t>- 68 -</w:t>
      </w:r>
      <w:r>
        <w:fldChar w:fldCharType="end"/>
      </w:r>
      <w:r>
        <w:rPr>
          <w:rFonts w:hint="eastAsia" w:ascii="宋体" w:hAnsi="宋体" w:eastAsia="宋体" w:cs="宋体"/>
          <w:bCs/>
          <w:i w:val="0"/>
          <w:iCs w:val="0"/>
          <w:szCs w:val="24"/>
        </w:rPr>
        <w:fldChar w:fldCharType="end"/>
      </w:r>
    </w:p>
    <w:p w14:paraId="09DA710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_Toc25291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.1.3.</w:t>
      </w:r>
      <w:r>
        <w:rPr>
          <w:rFonts w:hint="eastAsia" w:ascii="宋体" w:hAnsi="宋体" w:eastAsia="宋体" w:cs="宋体"/>
        </w:rPr>
        <w:t>填方路堤沉降迅速或不均匀沉降</w:t>
      </w:r>
      <w:r>
        <w:tab/>
      </w:r>
      <w:r>
        <w:fldChar w:fldCharType="begin"/>
      </w:r>
      <w:r>
        <w:instrText xml:space="preserve"> PAGEREF _Toc25291 \h </w:instrText>
      </w:r>
      <w:r>
        <w:fldChar w:fldCharType="separate"/>
      </w:r>
      <w:r>
        <w:t>- 68 -</w:t>
      </w:r>
      <w:r>
        <w:fldChar w:fldCharType="end"/>
      </w:r>
      <w:r>
        <w:rPr>
          <w:rFonts w:hint="eastAsia" w:ascii="宋体" w:hAnsi="宋体" w:eastAsia="宋体" w:cs="宋体"/>
          <w:bCs/>
          <w:i w:val="0"/>
          <w:iCs w:val="0"/>
          <w:szCs w:val="24"/>
        </w:rPr>
        <w:fldChar w:fldCharType="end"/>
      </w:r>
    </w:p>
    <w:p w14:paraId="0853880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_Toc18813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.1.4.</w:t>
      </w:r>
      <w:r>
        <w:rPr>
          <w:rFonts w:hint="eastAsia" w:ascii="宋体" w:hAnsi="宋体" w:eastAsia="宋体" w:cs="宋体"/>
        </w:rPr>
        <w:t>路基填筑质量通病</w:t>
      </w:r>
      <w:r>
        <w:tab/>
      </w:r>
      <w:r>
        <w:fldChar w:fldCharType="begin"/>
      </w:r>
      <w:r>
        <w:instrText xml:space="preserve"> PAGEREF _Toc18813 \h </w:instrText>
      </w:r>
      <w:r>
        <w:fldChar w:fldCharType="separate"/>
      </w:r>
      <w:r>
        <w:t>- 69 -</w:t>
      </w:r>
      <w:r>
        <w:fldChar w:fldCharType="end"/>
      </w:r>
      <w:r>
        <w:rPr>
          <w:rFonts w:hint="eastAsia" w:ascii="宋体" w:hAnsi="宋体" w:eastAsia="宋体" w:cs="宋体"/>
          <w:bCs/>
          <w:i w:val="0"/>
          <w:iCs w:val="0"/>
          <w:szCs w:val="24"/>
        </w:rPr>
        <w:fldChar w:fldCharType="end"/>
      </w:r>
    </w:p>
    <w:p w14:paraId="6F32A129">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_Toc8373 </w:instrText>
      </w:r>
      <w:r>
        <w:rPr>
          <w:rFonts w:hint="eastAsia" w:ascii="宋体" w:hAnsi="宋体" w:eastAsia="宋体" w:cs="宋体"/>
          <w:bCs/>
          <w:i w:val="0"/>
          <w:iCs w:val="0"/>
          <w:szCs w:val="24"/>
        </w:rPr>
        <w:fldChar w:fldCharType="separate"/>
      </w:r>
      <w:r>
        <w:rPr>
          <w:rFonts w:hint="default" w:ascii="宋体" w:hAnsi="宋体" w:eastAsia="宋体" w:cs="Times New Roman"/>
          <w:bCs/>
          <w:kern w:val="2"/>
          <w:szCs w:val="32"/>
          <w:lang w:val="en-US" w:eastAsia="zh-CN" w:bidi="ar-SA"/>
        </w:rPr>
        <w:t>1</w:t>
      </w:r>
      <w:r>
        <w:rPr>
          <w:rFonts w:hint="eastAsia" w:ascii="宋体" w:hAnsi="宋体" w:cs="Times New Roman"/>
          <w:bCs/>
          <w:kern w:val="2"/>
          <w:szCs w:val="32"/>
          <w:lang w:val="en-US" w:eastAsia="zh-CN" w:bidi="ar-SA"/>
        </w:rPr>
        <w:t>2</w:t>
      </w:r>
      <w:r>
        <w:rPr>
          <w:rFonts w:hint="default" w:ascii="宋体" w:hAnsi="宋体" w:eastAsia="宋体" w:cs="Times New Roman"/>
          <w:bCs/>
          <w:kern w:val="2"/>
          <w:szCs w:val="32"/>
          <w:lang w:val="en-US" w:eastAsia="zh-CN" w:bidi="ar-SA"/>
        </w:rPr>
        <w:t>.2.</w:t>
      </w:r>
      <w:r>
        <w:rPr>
          <w:rFonts w:hint="eastAsia" w:ascii="宋体" w:hAnsi="宋体" w:eastAsia="宋体" w:cs="宋体"/>
        </w:rPr>
        <w:t>桥梁桩基质量通病</w:t>
      </w:r>
      <w:r>
        <w:tab/>
      </w:r>
      <w:r>
        <w:fldChar w:fldCharType="begin"/>
      </w:r>
      <w:r>
        <w:instrText xml:space="preserve"> PAGEREF _Toc8373 \h </w:instrText>
      </w:r>
      <w:r>
        <w:fldChar w:fldCharType="separate"/>
      </w:r>
      <w:r>
        <w:t>- 70 -</w:t>
      </w:r>
      <w:r>
        <w:fldChar w:fldCharType="end"/>
      </w:r>
      <w:r>
        <w:rPr>
          <w:rFonts w:hint="eastAsia" w:ascii="宋体" w:hAnsi="宋体" w:eastAsia="宋体" w:cs="宋体"/>
          <w:bCs/>
          <w:i w:val="0"/>
          <w:iCs w:val="0"/>
          <w:szCs w:val="24"/>
        </w:rPr>
        <w:fldChar w:fldCharType="end"/>
      </w:r>
    </w:p>
    <w:p w14:paraId="529EF3EC">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_Toc5204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Arial" w:hAnsi="Arial" w:eastAsia="宋体" w:cs="Times New Roman"/>
          <w:bCs/>
          <w:kern w:val="2"/>
          <w:szCs w:val="32"/>
          <w:lang w:val="en-US" w:eastAsia="zh-CN" w:bidi="ar-SA"/>
        </w:rPr>
        <w:t>.3.</w:t>
      </w:r>
      <w:r>
        <w:rPr>
          <w:rFonts w:hint="eastAsia"/>
        </w:rPr>
        <w:t>混凝土质量通病</w:t>
      </w:r>
      <w:r>
        <w:tab/>
      </w:r>
      <w:r>
        <w:fldChar w:fldCharType="begin"/>
      </w:r>
      <w:r>
        <w:instrText xml:space="preserve"> PAGEREF _Toc5204 \h </w:instrText>
      </w:r>
      <w:r>
        <w:fldChar w:fldCharType="separate"/>
      </w:r>
      <w:r>
        <w:t>- 71 -</w:t>
      </w:r>
      <w:r>
        <w:fldChar w:fldCharType="end"/>
      </w:r>
      <w:r>
        <w:rPr>
          <w:rFonts w:hint="eastAsia" w:ascii="宋体" w:hAnsi="宋体" w:eastAsia="宋体" w:cs="宋体"/>
          <w:bCs/>
          <w:i w:val="0"/>
          <w:iCs w:val="0"/>
          <w:szCs w:val="24"/>
        </w:rPr>
        <w:fldChar w:fldCharType="end"/>
      </w:r>
    </w:p>
    <w:p w14:paraId="4525E2D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_Toc15373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.3.1.</w:t>
      </w:r>
      <w:r>
        <w:rPr>
          <w:rFonts w:hint="eastAsia"/>
        </w:rPr>
        <w:t>和易性不良预防措施</w:t>
      </w:r>
      <w:r>
        <w:tab/>
      </w:r>
      <w:r>
        <w:fldChar w:fldCharType="begin"/>
      </w:r>
      <w:r>
        <w:instrText xml:space="preserve"> PAGEREF _Toc15373 \h </w:instrText>
      </w:r>
      <w:r>
        <w:fldChar w:fldCharType="separate"/>
      </w:r>
      <w:r>
        <w:t>- 71 -</w:t>
      </w:r>
      <w:r>
        <w:fldChar w:fldCharType="end"/>
      </w:r>
      <w:r>
        <w:rPr>
          <w:rFonts w:hint="eastAsia" w:ascii="宋体" w:hAnsi="宋体" w:eastAsia="宋体" w:cs="宋体"/>
          <w:bCs/>
          <w:i w:val="0"/>
          <w:iCs w:val="0"/>
          <w:szCs w:val="24"/>
        </w:rPr>
        <w:fldChar w:fldCharType="end"/>
      </w:r>
    </w:p>
    <w:p w14:paraId="08E50B1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_Toc12755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.3.2.</w:t>
      </w:r>
      <w:r>
        <w:rPr>
          <w:rFonts w:hint="eastAsia"/>
        </w:rPr>
        <w:t>麻面</w:t>
      </w:r>
      <w:r>
        <w:tab/>
      </w:r>
      <w:r>
        <w:fldChar w:fldCharType="begin"/>
      </w:r>
      <w:r>
        <w:instrText xml:space="preserve"> PAGEREF _Toc12755 \h </w:instrText>
      </w:r>
      <w:r>
        <w:fldChar w:fldCharType="separate"/>
      </w:r>
      <w:r>
        <w:t>- 71 -</w:t>
      </w:r>
      <w:r>
        <w:fldChar w:fldCharType="end"/>
      </w:r>
      <w:r>
        <w:rPr>
          <w:rFonts w:hint="eastAsia" w:ascii="宋体" w:hAnsi="宋体" w:eastAsia="宋体" w:cs="宋体"/>
          <w:bCs/>
          <w:i w:val="0"/>
          <w:iCs w:val="0"/>
          <w:szCs w:val="24"/>
        </w:rPr>
        <w:fldChar w:fldCharType="end"/>
      </w:r>
    </w:p>
    <w:p w14:paraId="6B9C834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_Toc27554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.3.3.</w:t>
      </w:r>
      <w:r>
        <w:rPr>
          <w:rFonts w:hint="eastAsia"/>
        </w:rPr>
        <w:t>空洞</w:t>
      </w:r>
      <w:r>
        <w:tab/>
      </w:r>
      <w:r>
        <w:fldChar w:fldCharType="begin"/>
      </w:r>
      <w:r>
        <w:instrText xml:space="preserve"> PAGEREF _Toc27554 \h </w:instrText>
      </w:r>
      <w:r>
        <w:fldChar w:fldCharType="separate"/>
      </w:r>
      <w:r>
        <w:t>- 72 -</w:t>
      </w:r>
      <w:r>
        <w:fldChar w:fldCharType="end"/>
      </w:r>
      <w:r>
        <w:rPr>
          <w:rFonts w:hint="eastAsia" w:ascii="宋体" w:hAnsi="宋体" w:eastAsia="宋体" w:cs="宋体"/>
          <w:bCs/>
          <w:i w:val="0"/>
          <w:iCs w:val="0"/>
          <w:szCs w:val="24"/>
        </w:rPr>
        <w:fldChar w:fldCharType="end"/>
      </w:r>
    </w:p>
    <w:p w14:paraId="6857040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_Toc1794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.3.4.</w:t>
      </w:r>
      <w:r>
        <w:rPr>
          <w:rFonts w:hint="eastAsia"/>
        </w:rPr>
        <w:t>蜂窝</w:t>
      </w:r>
      <w:r>
        <w:tab/>
      </w:r>
      <w:r>
        <w:fldChar w:fldCharType="begin"/>
      </w:r>
      <w:r>
        <w:instrText xml:space="preserve"> PAGEREF _Toc1794 \h </w:instrText>
      </w:r>
      <w:r>
        <w:fldChar w:fldCharType="separate"/>
      </w:r>
      <w:r>
        <w:t>- 72 -</w:t>
      </w:r>
      <w:r>
        <w:fldChar w:fldCharType="end"/>
      </w:r>
      <w:r>
        <w:rPr>
          <w:rFonts w:hint="eastAsia" w:ascii="宋体" w:hAnsi="宋体" w:eastAsia="宋体" w:cs="宋体"/>
          <w:bCs/>
          <w:i w:val="0"/>
          <w:iCs w:val="0"/>
          <w:szCs w:val="24"/>
        </w:rPr>
        <w:fldChar w:fldCharType="end"/>
      </w:r>
    </w:p>
    <w:p w14:paraId="73FCAA4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_Toc9165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.3.5.</w:t>
      </w:r>
      <w:r>
        <w:rPr>
          <w:rFonts w:hint="eastAsia"/>
        </w:rPr>
        <w:t>露筋</w:t>
      </w:r>
      <w:r>
        <w:tab/>
      </w:r>
      <w:r>
        <w:fldChar w:fldCharType="begin"/>
      </w:r>
      <w:r>
        <w:instrText xml:space="preserve"> PAGEREF _Toc9165 \h </w:instrText>
      </w:r>
      <w:r>
        <w:fldChar w:fldCharType="separate"/>
      </w:r>
      <w:r>
        <w:t>- 73 -</w:t>
      </w:r>
      <w:r>
        <w:fldChar w:fldCharType="end"/>
      </w:r>
      <w:r>
        <w:rPr>
          <w:rFonts w:hint="eastAsia" w:ascii="宋体" w:hAnsi="宋体" w:eastAsia="宋体" w:cs="宋体"/>
          <w:bCs/>
          <w:i w:val="0"/>
          <w:iCs w:val="0"/>
          <w:szCs w:val="24"/>
        </w:rPr>
        <w:fldChar w:fldCharType="end"/>
      </w:r>
    </w:p>
    <w:p w14:paraId="747CBF4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_Toc9538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.3.6.</w:t>
      </w:r>
      <w:r>
        <w:rPr>
          <w:rFonts w:hint="eastAsia"/>
        </w:rPr>
        <w:t>缺边掉角</w:t>
      </w:r>
      <w:r>
        <w:tab/>
      </w:r>
      <w:r>
        <w:fldChar w:fldCharType="begin"/>
      </w:r>
      <w:r>
        <w:instrText xml:space="preserve"> PAGEREF _Toc9538 \h </w:instrText>
      </w:r>
      <w:r>
        <w:fldChar w:fldCharType="separate"/>
      </w:r>
      <w:r>
        <w:t>- 73 -</w:t>
      </w:r>
      <w:r>
        <w:fldChar w:fldCharType="end"/>
      </w:r>
      <w:r>
        <w:rPr>
          <w:rFonts w:hint="eastAsia" w:ascii="宋体" w:hAnsi="宋体" w:eastAsia="宋体" w:cs="宋体"/>
          <w:bCs/>
          <w:i w:val="0"/>
          <w:iCs w:val="0"/>
          <w:szCs w:val="24"/>
        </w:rPr>
        <w:fldChar w:fldCharType="end"/>
      </w:r>
    </w:p>
    <w:p w14:paraId="62594EA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_Toc20146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.3.7.</w:t>
      </w:r>
      <w:r>
        <w:rPr>
          <w:rFonts w:hint="eastAsia"/>
        </w:rPr>
        <w:t>表面裂缝</w:t>
      </w:r>
      <w:r>
        <w:tab/>
      </w:r>
      <w:r>
        <w:fldChar w:fldCharType="begin"/>
      </w:r>
      <w:r>
        <w:instrText xml:space="preserve"> PAGEREF _Toc20146 \h </w:instrText>
      </w:r>
      <w:r>
        <w:fldChar w:fldCharType="separate"/>
      </w:r>
      <w:r>
        <w:t>- 74 -</w:t>
      </w:r>
      <w:r>
        <w:fldChar w:fldCharType="end"/>
      </w:r>
      <w:r>
        <w:rPr>
          <w:rFonts w:hint="eastAsia" w:ascii="宋体" w:hAnsi="宋体" w:eastAsia="宋体" w:cs="宋体"/>
          <w:bCs/>
          <w:i w:val="0"/>
          <w:iCs w:val="0"/>
          <w:szCs w:val="24"/>
        </w:rPr>
        <w:fldChar w:fldCharType="end"/>
      </w:r>
    </w:p>
    <w:p w14:paraId="45C05DB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_Toc11625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Times New Roman" w:hAnsi="Times New Roman" w:eastAsia="宋体" w:cs="Times New Roman"/>
          <w:bCs/>
          <w:kern w:val="2"/>
          <w:szCs w:val="32"/>
          <w:lang w:val="en-US" w:eastAsia="zh-CN" w:bidi="ar-SA"/>
        </w:rPr>
        <w:t>.3.8.</w:t>
      </w:r>
      <w:r>
        <w:rPr>
          <w:rFonts w:hint="eastAsia"/>
        </w:rPr>
        <w:t>颜色不一</w:t>
      </w:r>
      <w:r>
        <w:tab/>
      </w:r>
      <w:r>
        <w:fldChar w:fldCharType="begin"/>
      </w:r>
      <w:r>
        <w:instrText xml:space="preserve"> PAGEREF _Toc11625 \h </w:instrText>
      </w:r>
      <w:r>
        <w:fldChar w:fldCharType="separate"/>
      </w:r>
      <w:r>
        <w:t>- 74 -</w:t>
      </w:r>
      <w:r>
        <w:fldChar w:fldCharType="end"/>
      </w:r>
      <w:r>
        <w:rPr>
          <w:rFonts w:hint="eastAsia" w:ascii="宋体" w:hAnsi="宋体" w:eastAsia="宋体" w:cs="宋体"/>
          <w:bCs/>
          <w:i w:val="0"/>
          <w:iCs w:val="0"/>
          <w:szCs w:val="24"/>
        </w:rPr>
        <w:fldChar w:fldCharType="end"/>
      </w:r>
    </w:p>
    <w:p w14:paraId="2A3DEDF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_Toc4837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2</w:t>
      </w:r>
      <w:r>
        <w:rPr>
          <w:rFonts w:hint="default" w:ascii="Arial" w:hAnsi="Arial" w:eastAsia="宋体" w:cs="Times New Roman"/>
          <w:bCs/>
          <w:kern w:val="2"/>
          <w:szCs w:val="32"/>
          <w:lang w:val="en-US" w:eastAsia="zh-CN" w:bidi="ar-SA"/>
        </w:rPr>
        <w:t>.4.</w:t>
      </w:r>
      <w:r>
        <w:rPr>
          <w:rFonts w:hint="eastAsia"/>
        </w:rPr>
        <w:t>钢筋工程质量通病</w:t>
      </w:r>
      <w:r>
        <w:tab/>
      </w:r>
      <w:r>
        <w:fldChar w:fldCharType="begin"/>
      </w:r>
      <w:r>
        <w:instrText xml:space="preserve"> PAGEREF _Toc4837 \h </w:instrText>
      </w:r>
      <w:r>
        <w:fldChar w:fldCharType="separate"/>
      </w:r>
      <w:r>
        <w:t>- 74 -</w:t>
      </w:r>
      <w:r>
        <w:fldChar w:fldCharType="end"/>
      </w:r>
      <w:r>
        <w:rPr>
          <w:rFonts w:hint="eastAsia" w:ascii="宋体" w:hAnsi="宋体" w:eastAsia="宋体" w:cs="宋体"/>
          <w:bCs/>
          <w:i w:val="0"/>
          <w:iCs w:val="0"/>
          <w:szCs w:val="24"/>
        </w:rPr>
        <w:fldChar w:fldCharType="end"/>
      </w:r>
    </w:p>
    <w:p w14:paraId="487A98CC">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_Toc25981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第十三章  </w:t>
      </w:r>
      <w:r>
        <w:rPr>
          <w:rFonts w:hint="eastAsia"/>
        </w:rPr>
        <w:t>安全生产组织体系及保证体系</w:t>
      </w:r>
      <w:r>
        <w:tab/>
      </w:r>
      <w:r>
        <w:fldChar w:fldCharType="begin"/>
      </w:r>
      <w:r>
        <w:instrText xml:space="preserve"> PAGEREF _Toc25981 \h </w:instrText>
      </w:r>
      <w:r>
        <w:fldChar w:fldCharType="separate"/>
      </w:r>
      <w:r>
        <w:t>- 75 -</w:t>
      </w:r>
      <w:r>
        <w:fldChar w:fldCharType="end"/>
      </w:r>
      <w:r>
        <w:rPr>
          <w:rFonts w:hint="eastAsia" w:ascii="宋体" w:hAnsi="宋体" w:eastAsia="宋体" w:cs="宋体"/>
          <w:bCs/>
          <w:i w:val="0"/>
          <w:iCs w:val="0"/>
          <w:szCs w:val="24"/>
        </w:rPr>
        <w:fldChar w:fldCharType="end"/>
      </w:r>
    </w:p>
    <w:p w14:paraId="58246D57">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_Toc3262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Arial" w:hAnsi="Arial" w:eastAsia="宋体" w:cs="Times New Roman"/>
          <w:bCs/>
          <w:kern w:val="2"/>
          <w:szCs w:val="32"/>
          <w:lang w:val="en-US" w:eastAsia="zh-CN" w:bidi="ar-SA"/>
        </w:rPr>
        <w:t>.1.</w:t>
      </w:r>
      <w:r>
        <w:rPr>
          <w:rFonts w:hint="eastAsia"/>
        </w:rPr>
        <w:t>安全生产组织机构</w:t>
      </w:r>
      <w:r>
        <w:tab/>
      </w:r>
      <w:r>
        <w:fldChar w:fldCharType="begin"/>
      </w:r>
      <w:r>
        <w:instrText xml:space="preserve"> PAGEREF _Toc3262 \h </w:instrText>
      </w:r>
      <w:r>
        <w:fldChar w:fldCharType="separate"/>
      </w:r>
      <w:r>
        <w:t>- 75 -</w:t>
      </w:r>
      <w:r>
        <w:fldChar w:fldCharType="end"/>
      </w:r>
      <w:r>
        <w:rPr>
          <w:rFonts w:hint="eastAsia" w:ascii="宋体" w:hAnsi="宋体" w:eastAsia="宋体" w:cs="宋体"/>
          <w:bCs/>
          <w:i w:val="0"/>
          <w:iCs w:val="0"/>
          <w:szCs w:val="24"/>
        </w:rPr>
        <w:fldChar w:fldCharType="end"/>
      </w:r>
    </w:p>
    <w:p w14:paraId="554A495B">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_Toc330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Arial" w:hAnsi="Arial" w:eastAsia="宋体" w:cs="Times New Roman"/>
          <w:bCs/>
          <w:kern w:val="2"/>
          <w:szCs w:val="32"/>
          <w:lang w:val="en-US" w:eastAsia="zh-CN" w:bidi="ar-SA"/>
        </w:rPr>
        <w:t>.2.</w:t>
      </w:r>
      <w:r>
        <w:rPr>
          <w:rFonts w:hint="eastAsia"/>
        </w:rPr>
        <w:t>安全生产保证体系</w:t>
      </w:r>
      <w:r>
        <w:tab/>
      </w:r>
      <w:r>
        <w:fldChar w:fldCharType="begin"/>
      </w:r>
      <w:r>
        <w:instrText xml:space="preserve"> PAGEREF _Toc330 \h </w:instrText>
      </w:r>
      <w:r>
        <w:fldChar w:fldCharType="separate"/>
      </w:r>
      <w:r>
        <w:t>- 76 -</w:t>
      </w:r>
      <w:r>
        <w:fldChar w:fldCharType="end"/>
      </w:r>
      <w:r>
        <w:rPr>
          <w:rFonts w:hint="eastAsia" w:ascii="宋体" w:hAnsi="宋体" w:eastAsia="宋体" w:cs="宋体"/>
          <w:bCs/>
          <w:i w:val="0"/>
          <w:iCs w:val="0"/>
          <w:szCs w:val="24"/>
        </w:rPr>
        <w:fldChar w:fldCharType="end"/>
      </w:r>
    </w:p>
    <w:p w14:paraId="6AD725E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_Toc20075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Arial" w:hAnsi="Arial" w:eastAsia="宋体" w:cs="Times New Roman"/>
          <w:bCs/>
          <w:kern w:val="2"/>
          <w:szCs w:val="32"/>
          <w:lang w:val="en-US" w:eastAsia="zh-CN" w:bidi="ar-SA"/>
        </w:rPr>
        <w:t>.3.</w:t>
      </w:r>
      <w:r>
        <w:rPr>
          <w:rFonts w:hint="eastAsia"/>
        </w:rPr>
        <w:t>安全生产保证措施</w:t>
      </w:r>
      <w:r>
        <w:tab/>
      </w:r>
      <w:r>
        <w:fldChar w:fldCharType="begin"/>
      </w:r>
      <w:r>
        <w:instrText xml:space="preserve"> PAGEREF _Toc20075 \h </w:instrText>
      </w:r>
      <w:r>
        <w:fldChar w:fldCharType="separate"/>
      </w:r>
      <w:r>
        <w:t>- 80 -</w:t>
      </w:r>
      <w:r>
        <w:fldChar w:fldCharType="end"/>
      </w:r>
      <w:r>
        <w:rPr>
          <w:rFonts w:hint="eastAsia" w:ascii="宋体" w:hAnsi="宋体" w:eastAsia="宋体" w:cs="宋体"/>
          <w:bCs/>
          <w:i w:val="0"/>
          <w:iCs w:val="0"/>
          <w:szCs w:val="24"/>
        </w:rPr>
        <w:fldChar w:fldCharType="end"/>
      </w:r>
    </w:p>
    <w:p w14:paraId="06F1B58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_Toc27051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w:t>
      </w:r>
      <w:r>
        <w:rPr>
          <w:rFonts w:hint="eastAsia"/>
        </w:rPr>
        <w:t>一般性安全生产措施</w:t>
      </w:r>
      <w:r>
        <w:tab/>
      </w:r>
      <w:r>
        <w:fldChar w:fldCharType="begin"/>
      </w:r>
      <w:r>
        <w:instrText xml:space="preserve"> PAGEREF _Toc27051 \h </w:instrText>
      </w:r>
      <w:r>
        <w:fldChar w:fldCharType="separate"/>
      </w:r>
      <w:r>
        <w:t>- 80 -</w:t>
      </w:r>
      <w:r>
        <w:fldChar w:fldCharType="end"/>
      </w:r>
      <w:r>
        <w:rPr>
          <w:rFonts w:hint="eastAsia" w:ascii="宋体" w:hAnsi="宋体" w:eastAsia="宋体" w:cs="宋体"/>
          <w:bCs/>
          <w:i w:val="0"/>
          <w:iCs w:val="0"/>
          <w:szCs w:val="24"/>
        </w:rPr>
        <w:fldChar w:fldCharType="end"/>
      </w:r>
    </w:p>
    <w:p w14:paraId="38BF28A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_Toc18223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.3.2.</w:t>
      </w:r>
      <w:r>
        <w:rPr>
          <w:rFonts w:hint="eastAsia"/>
        </w:rPr>
        <w:t>施工准备安全保证措施</w:t>
      </w:r>
      <w:r>
        <w:tab/>
      </w:r>
      <w:r>
        <w:fldChar w:fldCharType="begin"/>
      </w:r>
      <w:r>
        <w:instrText xml:space="preserve"> PAGEREF _Toc18223 \h </w:instrText>
      </w:r>
      <w:r>
        <w:fldChar w:fldCharType="separate"/>
      </w:r>
      <w:r>
        <w:t>- 81 -</w:t>
      </w:r>
      <w:r>
        <w:fldChar w:fldCharType="end"/>
      </w:r>
      <w:r>
        <w:rPr>
          <w:rFonts w:hint="eastAsia" w:ascii="宋体" w:hAnsi="宋体" w:eastAsia="宋体" w:cs="宋体"/>
          <w:bCs/>
          <w:i w:val="0"/>
          <w:iCs w:val="0"/>
          <w:szCs w:val="24"/>
        </w:rPr>
        <w:fldChar w:fldCharType="end"/>
      </w:r>
    </w:p>
    <w:p w14:paraId="13989BD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_Toc10690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.3.3.</w:t>
      </w:r>
      <w:r>
        <w:rPr>
          <w:rFonts w:hint="eastAsia"/>
        </w:rPr>
        <w:t>施工用电安全措施</w:t>
      </w:r>
      <w:r>
        <w:tab/>
      </w:r>
      <w:r>
        <w:fldChar w:fldCharType="begin"/>
      </w:r>
      <w:r>
        <w:instrText xml:space="preserve"> PAGEREF _Toc10690 \h </w:instrText>
      </w:r>
      <w:r>
        <w:fldChar w:fldCharType="separate"/>
      </w:r>
      <w:r>
        <w:t>- 81 -</w:t>
      </w:r>
      <w:r>
        <w:fldChar w:fldCharType="end"/>
      </w:r>
      <w:r>
        <w:rPr>
          <w:rFonts w:hint="eastAsia" w:ascii="宋体" w:hAnsi="宋体" w:eastAsia="宋体" w:cs="宋体"/>
          <w:bCs/>
          <w:i w:val="0"/>
          <w:iCs w:val="0"/>
          <w:szCs w:val="24"/>
        </w:rPr>
        <w:fldChar w:fldCharType="end"/>
      </w:r>
    </w:p>
    <w:p w14:paraId="3AECE7A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_Toc27641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.3.4.</w:t>
      </w:r>
      <w:r>
        <w:rPr>
          <w:rFonts w:hint="eastAsia"/>
        </w:rPr>
        <w:t>水上作业保护措施</w:t>
      </w:r>
      <w:r>
        <w:tab/>
      </w:r>
      <w:r>
        <w:fldChar w:fldCharType="begin"/>
      </w:r>
      <w:r>
        <w:instrText xml:space="preserve"> PAGEREF _Toc27641 \h </w:instrText>
      </w:r>
      <w:r>
        <w:fldChar w:fldCharType="separate"/>
      </w:r>
      <w:r>
        <w:t>- 82 -</w:t>
      </w:r>
      <w:r>
        <w:fldChar w:fldCharType="end"/>
      </w:r>
      <w:r>
        <w:rPr>
          <w:rFonts w:hint="eastAsia" w:ascii="宋体" w:hAnsi="宋体" w:eastAsia="宋体" w:cs="宋体"/>
          <w:bCs/>
          <w:i w:val="0"/>
          <w:iCs w:val="0"/>
          <w:szCs w:val="24"/>
        </w:rPr>
        <w:fldChar w:fldCharType="end"/>
      </w:r>
    </w:p>
    <w:p w14:paraId="08B9CA3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_Toc29324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.3.5.</w:t>
      </w:r>
      <w:r>
        <w:rPr>
          <w:rFonts w:hint="eastAsia"/>
        </w:rPr>
        <w:t>车辆安全保证措施</w:t>
      </w:r>
      <w:r>
        <w:tab/>
      </w:r>
      <w:r>
        <w:fldChar w:fldCharType="begin"/>
      </w:r>
      <w:r>
        <w:instrText xml:space="preserve"> PAGEREF _Toc29324 \h </w:instrText>
      </w:r>
      <w:r>
        <w:fldChar w:fldCharType="separate"/>
      </w:r>
      <w:r>
        <w:t>- 82 -</w:t>
      </w:r>
      <w:r>
        <w:fldChar w:fldCharType="end"/>
      </w:r>
      <w:r>
        <w:rPr>
          <w:rFonts w:hint="eastAsia" w:ascii="宋体" w:hAnsi="宋体" w:eastAsia="宋体" w:cs="宋体"/>
          <w:bCs/>
          <w:i w:val="0"/>
          <w:iCs w:val="0"/>
          <w:szCs w:val="24"/>
        </w:rPr>
        <w:fldChar w:fldCharType="end"/>
      </w:r>
    </w:p>
    <w:p w14:paraId="433F457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_Toc21659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.3.6.</w:t>
      </w:r>
      <w:r>
        <w:rPr>
          <w:rFonts w:hint="eastAsia"/>
        </w:rPr>
        <w:t>机械安全保证措施</w:t>
      </w:r>
      <w:r>
        <w:tab/>
      </w:r>
      <w:r>
        <w:fldChar w:fldCharType="begin"/>
      </w:r>
      <w:r>
        <w:instrText xml:space="preserve"> PAGEREF _Toc21659 \h </w:instrText>
      </w:r>
      <w:r>
        <w:fldChar w:fldCharType="separate"/>
      </w:r>
      <w:r>
        <w:t>- 82 -</w:t>
      </w:r>
      <w:r>
        <w:fldChar w:fldCharType="end"/>
      </w:r>
      <w:r>
        <w:rPr>
          <w:rFonts w:hint="eastAsia" w:ascii="宋体" w:hAnsi="宋体" w:eastAsia="宋体" w:cs="宋体"/>
          <w:bCs/>
          <w:i w:val="0"/>
          <w:iCs w:val="0"/>
          <w:szCs w:val="24"/>
        </w:rPr>
        <w:fldChar w:fldCharType="end"/>
      </w:r>
    </w:p>
    <w:p w14:paraId="7F84CD8F">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_Toc29900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.3.7.</w:t>
      </w:r>
      <w:r>
        <w:rPr>
          <w:rFonts w:hint="eastAsia"/>
        </w:rPr>
        <w:t>高温烫伤保证措施</w:t>
      </w:r>
      <w:r>
        <w:tab/>
      </w:r>
      <w:r>
        <w:fldChar w:fldCharType="begin"/>
      </w:r>
      <w:r>
        <w:instrText xml:space="preserve"> PAGEREF _Toc29900 \h </w:instrText>
      </w:r>
      <w:r>
        <w:fldChar w:fldCharType="separate"/>
      </w:r>
      <w:r>
        <w:t>- 82 -</w:t>
      </w:r>
      <w:r>
        <w:fldChar w:fldCharType="end"/>
      </w:r>
      <w:r>
        <w:rPr>
          <w:rFonts w:hint="eastAsia" w:ascii="宋体" w:hAnsi="宋体" w:eastAsia="宋体" w:cs="宋体"/>
          <w:bCs/>
          <w:i w:val="0"/>
          <w:iCs w:val="0"/>
          <w:szCs w:val="24"/>
        </w:rPr>
        <w:fldChar w:fldCharType="end"/>
      </w:r>
    </w:p>
    <w:p w14:paraId="7DDB6B8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_Toc2575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.3.8.</w:t>
      </w:r>
      <w:r>
        <w:rPr>
          <w:rFonts w:hint="eastAsia"/>
        </w:rPr>
        <w:t>消防、治安保证措施</w:t>
      </w:r>
      <w:r>
        <w:tab/>
      </w:r>
      <w:r>
        <w:fldChar w:fldCharType="begin"/>
      </w:r>
      <w:r>
        <w:instrText xml:space="preserve"> PAGEREF _Toc2575 \h </w:instrText>
      </w:r>
      <w:r>
        <w:fldChar w:fldCharType="separate"/>
      </w:r>
      <w:r>
        <w:t>- 82 -</w:t>
      </w:r>
      <w:r>
        <w:fldChar w:fldCharType="end"/>
      </w:r>
      <w:r>
        <w:rPr>
          <w:rFonts w:hint="eastAsia" w:ascii="宋体" w:hAnsi="宋体" w:eastAsia="宋体" w:cs="宋体"/>
          <w:bCs/>
          <w:i w:val="0"/>
          <w:iCs w:val="0"/>
          <w:szCs w:val="24"/>
        </w:rPr>
        <w:fldChar w:fldCharType="end"/>
      </w:r>
    </w:p>
    <w:p w14:paraId="2F449D0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_Toc19952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.3.9.</w:t>
      </w:r>
      <w:r>
        <w:rPr>
          <w:rFonts w:hint="eastAsia"/>
        </w:rPr>
        <w:t>防止高处坠落事故安全措施</w:t>
      </w:r>
      <w:r>
        <w:tab/>
      </w:r>
      <w:r>
        <w:fldChar w:fldCharType="begin"/>
      </w:r>
      <w:r>
        <w:instrText xml:space="preserve"> PAGEREF _Toc19952 \h </w:instrText>
      </w:r>
      <w:r>
        <w:fldChar w:fldCharType="separate"/>
      </w:r>
      <w:r>
        <w:t>- 83 -</w:t>
      </w:r>
      <w:r>
        <w:fldChar w:fldCharType="end"/>
      </w:r>
      <w:r>
        <w:rPr>
          <w:rFonts w:hint="eastAsia" w:ascii="宋体" w:hAnsi="宋体" w:eastAsia="宋体" w:cs="宋体"/>
          <w:bCs/>
          <w:i w:val="0"/>
          <w:iCs w:val="0"/>
          <w:szCs w:val="24"/>
        </w:rPr>
        <w:fldChar w:fldCharType="end"/>
      </w:r>
    </w:p>
    <w:p w14:paraId="68E0218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_Toc1985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.3.10.</w:t>
      </w:r>
      <w:r>
        <w:rPr>
          <w:rFonts w:hint="eastAsia"/>
        </w:rPr>
        <w:t>物体打击保证措施</w:t>
      </w:r>
      <w:r>
        <w:tab/>
      </w:r>
      <w:r>
        <w:fldChar w:fldCharType="begin"/>
      </w:r>
      <w:r>
        <w:instrText xml:space="preserve"> PAGEREF _Toc1985 \h </w:instrText>
      </w:r>
      <w:r>
        <w:fldChar w:fldCharType="separate"/>
      </w:r>
      <w:r>
        <w:t>- 83 -</w:t>
      </w:r>
      <w:r>
        <w:fldChar w:fldCharType="end"/>
      </w:r>
      <w:r>
        <w:rPr>
          <w:rFonts w:hint="eastAsia" w:ascii="宋体" w:hAnsi="宋体" w:eastAsia="宋体" w:cs="宋体"/>
          <w:bCs/>
          <w:i w:val="0"/>
          <w:iCs w:val="0"/>
          <w:szCs w:val="24"/>
        </w:rPr>
        <w:fldChar w:fldCharType="end"/>
      </w:r>
    </w:p>
    <w:p w14:paraId="0531FE7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_Toc22691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.3.11.</w:t>
      </w:r>
      <w:r>
        <w:rPr>
          <w:rFonts w:hint="eastAsia"/>
        </w:rPr>
        <w:t>起重伤害防范措施</w:t>
      </w:r>
      <w:r>
        <w:tab/>
      </w:r>
      <w:r>
        <w:fldChar w:fldCharType="begin"/>
      </w:r>
      <w:r>
        <w:instrText xml:space="preserve"> PAGEREF _Toc22691 \h </w:instrText>
      </w:r>
      <w:r>
        <w:fldChar w:fldCharType="separate"/>
      </w:r>
      <w:r>
        <w:t>- 83 -</w:t>
      </w:r>
      <w:r>
        <w:fldChar w:fldCharType="end"/>
      </w:r>
      <w:r>
        <w:rPr>
          <w:rFonts w:hint="eastAsia" w:ascii="宋体" w:hAnsi="宋体" w:eastAsia="宋体" w:cs="宋体"/>
          <w:bCs/>
          <w:i w:val="0"/>
          <w:iCs w:val="0"/>
          <w:szCs w:val="24"/>
        </w:rPr>
        <w:fldChar w:fldCharType="end"/>
      </w:r>
    </w:p>
    <w:p w14:paraId="0561A9E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_Toc32496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.3.12.</w:t>
      </w:r>
      <w:r>
        <w:rPr>
          <w:rFonts w:hint="eastAsia"/>
        </w:rPr>
        <w:t>坍塌事故防范措施</w:t>
      </w:r>
      <w:r>
        <w:tab/>
      </w:r>
      <w:r>
        <w:fldChar w:fldCharType="begin"/>
      </w:r>
      <w:r>
        <w:instrText xml:space="preserve"> PAGEREF _Toc32496 \h </w:instrText>
      </w:r>
      <w:r>
        <w:fldChar w:fldCharType="separate"/>
      </w:r>
      <w:r>
        <w:t>- 84 -</w:t>
      </w:r>
      <w:r>
        <w:fldChar w:fldCharType="end"/>
      </w:r>
      <w:r>
        <w:rPr>
          <w:rFonts w:hint="eastAsia" w:ascii="宋体" w:hAnsi="宋体" w:eastAsia="宋体" w:cs="宋体"/>
          <w:bCs/>
          <w:i w:val="0"/>
          <w:iCs w:val="0"/>
          <w:szCs w:val="24"/>
        </w:rPr>
        <w:fldChar w:fldCharType="end"/>
      </w:r>
    </w:p>
    <w:p w14:paraId="29283D27">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_Toc27786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.3.13.</w:t>
      </w:r>
      <w:r>
        <w:rPr>
          <w:rFonts w:hint="eastAsia"/>
        </w:rPr>
        <w:t>淹溺事故安全防范措施</w:t>
      </w:r>
      <w:r>
        <w:tab/>
      </w:r>
      <w:r>
        <w:fldChar w:fldCharType="begin"/>
      </w:r>
      <w:r>
        <w:instrText xml:space="preserve"> PAGEREF _Toc27786 \h </w:instrText>
      </w:r>
      <w:r>
        <w:fldChar w:fldCharType="separate"/>
      </w:r>
      <w:r>
        <w:t>- 85 -</w:t>
      </w:r>
      <w:r>
        <w:fldChar w:fldCharType="end"/>
      </w:r>
      <w:r>
        <w:rPr>
          <w:rFonts w:hint="eastAsia" w:ascii="宋体" w:hAnsi="宋体" w:eastAsia="宋体" w:cs="宋体"/>
          <w:bCs/>
          <w:i w:val="0"/>
          <w:iCs w:val="0"/>
          <w:szCs w:val="24"/>
        </w:rPr>
        <w:fldChar w:fldCharType="end"/>
      </w:r>
    </w:p>
    <w:p w14:paraId="483C298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_Toc13345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.3.14.</w:t>
      </w:r>
      <w:r>
        <w:rPr>
          <w:rFonts w:hint="eastAsia"/>
        </w:rPr>
        <w:t>高温施工防范措施</w:t>
      </w:r>
      <w:r>
        <w:tab/>
      </w:r>
      <w:r>
        <w:fldChar w:fldCharType="begin"/>
      </w:r>
      <w:r>
        <w:instrText xml:space="preserve"> PAGEREF _Toc13345 \h </w:instrText>
      </w:r>
      <w:r>
        <w:fldChar w:fldCharType="separate"/>
      </w:r>
      <w:r>
        <w:t>- 85 -</w:t>
      </w:r>
      <w:r>
        <w:fldChar w:fldCharType="end"/>
      </w:r>
      <w:r>
        <w:rPr>
          <w:rFonts w:hint="eastAsia" w:ascii="宋体" w:hAnsi="宋体" w:eastAsia="宋体" w:cs="宋体"/>
          <w:bCs/>
          <w:i w:val="0"/>
          <w:iCs w:val="0"/>
          <w:szCs w:val="24"/>
        </w:rPr>
        <w:fldChar w:fldCharType="end"/>
      </w:r>
    </w:p>
    <w:p w14:paraId="640197D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_Toc20058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.3.15.</w:t>
      </w:r>
      <w:r>
        <w:rPr>
          <w:rFonts w:hint="eastAsia"/>
        </w:rPr>
        <w:t>交通事故防范措施：</w:t>
      </w:r>
      <w:r>
        <w:tab/>
      </w:r>
      <w:r>
        <w:fldChar w:fldCharType="begin"/>
      </w:r>
      <w:r>
        <w:instrText xml:space="preserve"> PAGEREF _Toc20058 \h </w:instrText>
      </w:r>
      <w:r>
        <w:fldChar w:fldCharType="separate"/>
      </w:r>
      <w:r>
        <w:t>- 85 -</w:t>
      </w:r>
      <w:r>
        <w:fldChar w:fldCharType="end"/>
      </w:r>
      <w:r>
        <w:rPr>
          <w:rFonts w:hint="eastAsia" w:ascii="宋体" w:hAnsi="宋体" w:eastAsia="宋体" w:cs="宋体"/>
          <w:bCs/>
          <w:i w:val="0"/>
          <w:iCs w:val="0"/>
          <w:szCs w:val="24"/>
        </w:rPr>
        <w:fldChar w:fldCharType="end"/>
      </w:r>
    </w:p>
    <w:p w14:paraId="5B8E967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_Toc29473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.3.16.</w:t>
      </w:r>
      <w:r>
        <w:rPr>
          <w:rFonts w:hint="eastAsia"/>
        </w:rPr>
        <w:t>高处作业安全保证措施</w:t>
      </w:r>
      <w:r>
        <w:tab/>
      </w:r>
      <w:r>
        <w:fldChar w:fldCharType="begin"/>
      </w:r>
      <w:r>
        <w:instrText xml:space="preserve"> PAGEREF _Toc29473 \h </w:instrText>
      </w:r>
      <w:r>
        <w:fldChar w:fldCharType="separate"/>
      </w:r>
      <w:r>
        <w:t>- 86 -</w:t>
      </w:r>
      <w:r>
        <w:fldChar w:fldCharType="end"/>
      </w:r>
      <w:r>
        <w:rPr>
          <w:rFonts w:hint="eastAsia" w:ascii="宋体" w:hAnsi="宋体" w:eastAsia="宋体" w:cs="宋体"/>
          <w:bCs/>
          <w:i w:val="0"/>
          <w:iCs w:val="0"/>
          <w:szCs w:val="24"/>
        </w:rPr>
        <w:fldChar w:fldCharType="end"/>
      </w:r>
    </w:p>
    <w:p w14:paraId="4C64755F">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_Toc5923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.3.17.</w:t>
      </w:r>
      <w:r>
        <w:rPr>
          <w:rFonts w:hint="eastAsia"/>
        </w:rPr>
        <w:t>自然灾害防范措施：</w:t>
      </w:r>
      <w:r>
        <w:tab/>
      </w:r>
      <w:r>
        <w:fldChar w:fldCharType="begin"/>
      </w:r>
      <w:r>
        <w:instrText xml:space="preserve"> PAGEREF _Toc5923 \h </w:instrText>
      </w:r>
      <w:r>
        <w:fldChar w:fldCharType="separate"/>
      </w:r>
      <w:r>
        <w:t>- 86 -</w:t>
      </w:r>
      <w:r>
        <w:fldChar w:fldCharType="end"/>
      </w:r>
      <w:r>
        <w:rPr>
          <w:rFonts w:hint="eastAsia" w:ascii="宋体" w:hAnsi="宋体" w:eastAsia="宋体" w:cs="宋体"/>
          <w:bCs/>
          <w:i w:val="0"/>
          <w:iCs w:val="0"/>
          <w:szCs w:val="24"/>
        </w:rPr>
        <w:fldChar w:fldCharType="end"/>
      </w:r>
    </w:p>
    <w:p w14:paraId="25903DD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_Toc28173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Arial" w:hAnsi="Arial" w:eastAsia="宋体" w:cs="Times New Roman"/>
          <w:bCs/>
          <w:kern w:val="2"/>
          <w:szCs w:val="32"/>
          <w:lang w:val="en-US" w:eastAsia="zh-CN" w:bidi="ar-SA"/>
        </w:rPr>
        <w:t>.4.</w:t>
      </w:r>
      <w:r>
        <w:rPr>
          <w:rFonts w:hint="eastAsia"/>
        </w:rPr>
        <w:t>专项安全生产措施</w:t>
      </w:r>
      <w:r>
        <w:tab/>
      </w:r>
      <w:r>
        <w:fldChar w:fldCharType="begin"/>
      </w:r>
      <w:r>
        <w:instrText xml:space="preserve"> PAGEREF _Toc28173 \h </w:instrText>
      </w:r>
      <w:r>
        <w:fldChar w:fldCharType="separate"/>
      </w:r>
      <w:r>
        <w:t>- 86 -</w:t>
      </w:r>
      <w:r>
        <w:fldChar w:fldCharType="end"/>
      </w:r>
      <w:r>
        <w:rPr>
          <w:rFonts w:hint="eastAsia" w:ascii="宋体" w:hAnsi="宋体" w:eastAsia="宋体" w:cs="宋体"/>
          <w:bCs/>
          <w:i w:val="0"/>
          <w:iCs w:val="0"/>
          <w:szCs w:val="24"/>
        </w:rPr>
        <w:fldChar w:fldCharType="end"/>
      </w:r>
    </w:p>
    <w:p w14:paraId="555D2C0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_Toc29361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.4.1.</w:t>
      </w:r>
      <w:r>
        <w:rPr>
          <w:rFonts w:hint="eastAsia"/>
        </w:rPr>
        <w:t>施工现场安全生产技术措施</w:t>
      </w:r>
      <w:r>
        <w:tab/>
      </w:r>
      <w:r>
        <w:fldChar w:fldCharType="begin"/>
      </w:r>
      <w:r>
        <w:instrText xml:space="preserve"> PAGEREF _Toc29361 \h </w:instrText>
      </w:r>
      <w:r>
        <w:fldChar w:fldCharType="separate"/>
      </w:r>
      <w:r>
        <w:t>- 86 -</w:t>
      </w:r>
      <w:r>
        <w:fldChar w:fldCharType="end"/>
      </w:r>
      <w:r>
        <w:rPr>
          <w:rFonts w:hint="eastAsia" w:ascii="宋体" w:hAnsi="宋体" w:eastAsia="宋体" w:cs="宋体"/>
          <w:bCs/>
          <w:i w:val="0"/>
          <w:iCs w:val="0"/>
          <w:szCs w:val="24"/>
        </w:rPr>
        <w:fldChar w:fldCharType="end"/>
      </w:r>
    </w:p>
    <w:p w14:paraId="0D79680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_Toc4618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.4.2.</w:t>
      </w:r>
      <w:r>
        <w:rPr>
          <w:rFonts w:hint="eastAsia"/>
        </w:rPr>
        <w:t>路基施工安全生产措施</w:t>
      </w:r>
      <w:r>
        <w:tab/>
      </w:r>
      <w:r>
        <w:fldChar w:fldCharType="begin"/>
      </w:r>
      <w:r>
        <w:instrText xml:space="preserve"> PAGEREF _Toc4618 \h </w:instrText>
      </w:r>
      <w:r>
        <w:fldChar w:fldCharType="separate"/>
      </w:r>
      <w:r>
        <w:t>- 87 -</w:t>
      </w:r>
      <w:r>
        <w:fldChar w:fldCharType="end"/>
      </w:r>
      <w:r>
        <w:rPr>
          <w:rFonts w:hint="eastAsia" w:ascii="宋体" w:hAnsi="宋体" w:eastAsia="宋体" w:cs="宋体"/>
          <w:bCs/>
          <w:i w:val="0"/>
          <w:iCs w:val="0"/>
          <w:szCs w:val="24"/>
        </w:rPr>
        <w:fldChar w:fldCharType="end"/>
      </w:r>
    </w:p>
    <w:p w14:paraId="24347F4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_Toc4066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Times New Roman" w:hAnsi="Times New Roman" w:eastAsia="宋体" w:cs="Times New Roman"/>
          <w:bCs/>
          <w:kern w:val="2"/>
          <w:szCs w:val="32"/>
          <w:lang w:val="en-US" w:eastAsia="zh-CN" w:bidi="ar-SA"/>
        </w:rPr>
        <w:t>.4.3.</w:t>
      </w:r>
      <w:r>
        <w:rPr>
          <w:rFonts w:hint="eastAsia"/>
        </w:rPr>
        <w:t>桥梁施工安全措施</w:t>
      </w:r>
      <w:r>
        <w:tab/>
      </w:r>
      <w:r>
        <w:fldChar w:fldCharType="begin"/>
      </w:r>
      <w:r>
        <w:instrText xml:space="preserve"> PAGEREF _Toc4066 \h </w:instrText>
      </w:r>
      <w:r>
        <w:fldChar w:fldCharType="separate"/>
      </w:r>
      <w:r>
        <w:t>- 87 -</w:t>
      </w:r>
      <w:r>
        <w:fldChar w:fldCharType="end"/>
      </w:r>
      <w:r>
        <w:rPr>
          <w:rFonts w:hint="eastAsia" w:ascii="宋体" w:hAnsi="宋体" w:eastAsia="宋体" w:cs="宋体"/>
          <w:bCs/>
          <w:i w:val="0"/>
          <w:iCs w:val="0"/>
          <w:szCs w:val="24"/>
        </w:rPr>
        <w:fldChar w:fldCharType="end"/>
      </w:r>
    </w:p>
    <w:p w14:paraId="17952DA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_Toc6056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3</w:t>
      </w:r>
      <w:r>
        <w:rPr>
          <w:rFonts w:hint="default" w:ascii="Arial" w:hAnsi="Arial" w:eastAsia="宋体" w:cs="Times New Roman"/>
          <w:bCs/>
          <w:kern w:val="2"/>
          <w:szCs w:val="32"/>
          <w:lang w:val="en-US" w:eastAsia="zh-CN" w:bidi="ar-SA"/>
        </w:rPr>
        <w:t>.5.</w:t>
      </w:r>
      <w:r>
        <w:rPr>
          <w:rFonts w:hint="eastAsia"/>
        </w:rPr>
        <w:t>编制专项安全施工方案</w:t>
      </w:r>
      <w:r>
        <w:tab/>
      </w:r>
      <w:r>
        <w:fldChar w:fldCharType="begin"/>
      </w:r>
      <w:r>
        <w:instrText xml:space="preserve"> PAGEREF _Toc6056 \h </w:instrText>
      </w:r>
      <w:r>
        <w:fldChar w:fldCharType="separate"/>
      </w:r>
      <w:r>
        <w:t>- 87 -</w:t>
      </w:r>
      <w:r>
        <w:fldChar w:fldCharType="end"/>
      </w:r>
      <w:r>
        <w:rPr>
          <w:rFonts w:hint="eastAsia" w:ascii="宋体" w:hAnsi="宋体" w:eastAsia="宋体" w:cs="宋体"/>
          <w:bCs/>
          <w:i w:val="0"/>
          <w:iCs w:val="0"/>
          <w:szCs w:val="24"/>
        </w:rPr>
        <w:fldChar w:fldCharType="end"/>
      </w:r>
    </w:p>
    <w:p w14:paraId="4354536F">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_Toc32153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第十四章 </w:t>
      </w:r>
      <w:r>
        <w:rPr>
          <w:rFonts w:hint="eastAsia"/>
        </w:rPr>
        <w:t>技术管理体系及组织措施</w:t>
      </w:r>
      <w:r>
        <w:tab/>
      </w:r>
      <w:r>
        <w:fldChar w:fldCharType="begin"/>
      </w:r>
      <w:r>
        <w:instrText xml:space="preserve"> PAGEREF _Toc32153 \h </w:instrText>
      </w:r>
      <w:r>
        <w:fldChar w:fldCharType="separate"/>
      </w:r>
      <w:r>
        <w:t>- 87 -</w:t>
      </w:r>
      <w:r>
        <w:fldChar w:fldCharType="end"/>
      </w:r>
      <w:r>
        <w:rPr>
          <w:rFonts w:hint="eastAsia" w:ascii="宋体" w:hAnsi="宋体" w:eastAsia="宋体" w:cs="宋体"/>
          <w:bCs/>
          <w:i w:val="0"/>
          <w:iCs w:val="0"/>
          <w:szCs w:val="24"/>
        </w:rPr>
        <w:fldChar w:fldCharType="end"/>
      </w:r>
    </w:p>
    <w:p w14:paraId="3B4A7C37">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_Toc4201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Arial" w:hAnsi="Arial" w:eastAsia="宋体" w:cs="Times New Roman"/>
          <w:bCs/>
          <w:kern w:val="2"/>
          <w:szCs w:val="32"/>
          <w:lang w:val="en-US" w:eastAsia="zh-CN" w:bidi="ar-SA"/>
        </w:rPr>
        <w:t>.1.</w:t>
      </w:r>
      <w:r>
        <w:rPr>
          <w:rFonts w:hint="eastAsia"/>
        </w:rPr>
        <w:t>管理目标</w:t>
      </w:r>
      <w:r>
        <w:tab/>
      </w:r>
      <w:r>
        <w:fldChar w:fldCharType="begin"/>
      </w:r>
      <w:r>
        <w:instrText xml:space="preserve"> PAGEREF _Toc4201 \h </w:instrText>
      </w:r>
      <w:r>
        <w:fldChar w:fldCharType="separate"/>
      </w:r>
      <w:r>
        <w:t>- 87 -</w:t>
      </w:r>
      <w:r>
        <w:fldChar w:fldCharType="end"/>
      </w:r>
      <w:r>
        <w:rPr>
          <w:rFonts w:hint="eastAsia" w:ascii="宋体" w:hAnsi="宋体" w:eastAsia="宋体" w:cs="宋体"/>
          <w:bCs/>
          <w:i w:val="0"/>
          <w:iCs w:val="0"/>
          <w:szCs w:val="24"/>
        </w:rPr>
        <w:fldChar w:fldCharType="end"/>
      </w:r>
    </w:p>
    <w:p w14:paraId="3E695CDA">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_Toc5313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Arial" w:hAnsi="Arial" w:eastAsia="宋体" w:cs="Times New Roman"/>
          <w:bCs/>
          <w:kern w:val="2"/>
          <w:szCs w:val="32"/>
          <w:lang w:val="en-US" w:eastAsia="zh-CN" w:bidi="ar-SA"/>
        </w:rPr>
        <w:t>.2.</w:t>
      </w:r>
      <w:r>
        <w:rPr>
          <w:rFonts w:hint="eastAsia"/>
        </w:rPr>
        <w:t>管理体系</w:t>
      </w:r>
      <w:r>
        <w:tab/>
      </w:r>
      <w:r>
        <w:fldChar w:fldCharType="begin"/>
      </w:r>
      <w:r>
        <w:instrText xml:space="preserve"> PAGEREF _Toc5313 \h </w:instrText>
      </w:r>
      <w:r>
        <w:fldChar w:fldCharType="separate"/>
      </w:r>
      <w:r>
        <w:t>- 88 -</w:t>
      </w:r>
      <w:r>
        <w:fldChar w:fldCharType="end"/>
      </w:r>
      <w:r>
        <w:rPr>
          <w:rFonts w:hint="eastAsia" w:ascii="宋体" w:hAnsi="宋体" w:eastAsia="宋体" w:cs="宋体"/>
          <w:bCs/>
          <w:i w:val="0"/>
          <w:iCs w:val="0"/>
          <w:szCs w:val="24"/>
        </w:rPr>
        <w:fldChar w:fldCharType="end"/>
      </w:r>
    </w:p>
    <w:p w14:paraId="409FD0F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_Toc29011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Arial" w:hAnsi="Arial" w:eastAsia="宋体" w:cs="Times New Roman"/>
          <w:bCs/>
          <w:kern w:val="2"/>
          <w:szCs w:val="32"/>
          <w:lang w:val="en-US" w:eastAsia="zh-CN" w:bidi="ar-SA"/>
        </w:rPr>
        <w:t>.3.</w:t>
      </w:r>
      <w:r>
        <w:rPr>
          <w:rFonts w:hint="eastAsia"/>
        </w:rPr>
        <w:t>施工技术组织措施</w:t>
      </w:r>
      <w:r>
        <w:tab/>
      </w:r>
      <w:r>
        <w:fldChar w:fldCharType="begin"/>
      </w:r>
      <w:r>
        <w:instrText xml:space="preserve"> PAGEREF _Toc29011 \h </w:instrText>
      </w:r>
      <w:r>
        <w:fldChar w:fldCharType="separate"/>
      </w:r>
      <w:r>
        <w:t>- 88 -</w:t>
      </w:r>
      <w:r>
        <w:fldChar w:fldCharType="end"/>
      </w:r>
      <w:r>
        <w:rPr>
          <w:rFonts w:hint="eastAsia" w:ascii="宋体" w:hAnsi="宋体" w:eastAsia="宋体" w:cs="宋体"/>
          <w:bCs/>
          <w:i w:val="0"/>
          <w:iCs w:val="0"/>
          <w:szCs w:val="24"/>
        </w:rPr>
        <w:fldChar w:fldCharType="end"/>
      </w:r>
    </w:p>
    <w:p w14:paraId="33B4C9D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_Toc32510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Arial" w:hAnsi="Arial" w:eastAsia="宋体" w:cs="Times New Roman"/>
          <w:bCs/>
          <w:kern w:val="2"/>
          <w:szCs w:val="32"/>
          <w:lang w:val="en-US" w:eastAsia="zh-CN" w:bidi="ar-SA"/>
        </w:rPr>
        <w:t>.4.</w:t>
      </w:r>
      <w:r>
        <w:rPr>
          <w:rFonts w:hint="eastAsia"/>
        </w:rPr>
        <w:t>施工技术管理措施</w:t>
      </w:r>
      <w:r>
        <w:tab/>
      </w:r>
      <w:r>
        <w:fldChar w:fldCharType="begin"/>
      </w:r>
      <w:r>
        <w:instrText xml:space="preserve"> PAGEREF _Toc32510 \h </w:instrText>
      </w:r>
      <w:r>
        <w:fldChar w:fldCharType="separate"/>
      </w:r>
      <w:r>
        <w:t>- 89 -</w:t>
      </w:r>
      <w:r>
        <w:fldChar w:fldCharType="end"/>
      </w:r>
      <w:r>
        <w:rPr>
          <w:rFonts w:hint="eastAsia" w:ascii="宋体" w:hAnsi="宋体" w:eastAsia="宋体" w:cs="宋体"/>
          <w:bCs/>
          <w:i w:val="0"/>
          <w:iCs w:val="0"/>
          <w:szCs w:val="24"/>
        </w:rPr>
        <w:fldChar w:fldCharType="end"/>
      </w:r>
    </w:p>
    <w:p w14:paraId="0FBEC7A2">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_Toc2888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Arial" w:hAnsi="Arial" w:eastAsia="宋体" w:cs="Times New Roman"/>
          <w:bCs/>
          <w:kern w:val="2"/>
          <w:szCs w:val="32"/>
          <w:lang w:val="en-US" w:eastAsia="zh-CN" w:bidi="ar-SA"/>
        </w:rPr>
        <w:t>.5.</w:t>
      </w:r>
      <w:r>
        <w:rPr>
          <w:rFonts w:hint="eastAsia"/>
        </w:rPr>
        <w:t>施工技术保障措施</w:t>
      </w:r>
      <w:r>
        <w:tab/>
      </w:r>
      <w:r>
        <w:fldChar w:fldCharType="begin"/>
      </w:r>
      <w:r>
        <w:instrText xml:space="preserve"> PAGEREF _Toc2888 \h </w:instrText>
      </w:r>
      <w:r>
        <w:fldChar w:fldCharType="separate"/>
      </w:r>
      <w:r>
        <w:t>- 90 -</w:t>
      </w:r>
      <w:r>
        <w:fldChar w:fldCharType="end"/>
      </w:r>
      <w:r>
        <w:rPr>
          <w:rFonts w:hint="eastAsia" w:ascii="宋体" w:hAnsi="宋体" w:eastAsia="宋体" w:cs="宋体"/>
          <w:bCs/>
          <w:i w:val="0"/>
          <w:iCs w:val="0"/>
          <w:szCs w:val="24"/>
        </w:rPr>
        <w:fldChar w:fldCharType="end"/>
      </w:r>
    </w:p>
    <w:p w14:paraId="7B4F9FB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_Toc10293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.5.1.</w:t>
      </w:r>
      <w:r>
        <w:rPr>
          <w:rFonts w:hint="eastAsia"/>
        </w:rPr>
        <w:t>对供货商的管理措施</w:t>
      </w:r>
      <w:r>
        <w:tab/>
      </w:r>
      <w:r>
        <w:fldChar w:fldCharType="begin"/>
      </w:r>
      <w:r>
        <w:instrText xml:space="preserve"> PAGEREF _Toc10293 \h </w:instrText>
      </w:r>
      <w:r>
        <w:fldChar w:fldCharType="separate"/>
      </w:r>
      <w:r>
        <w:t>- 90 -</w:t>
      </w:r>
      <w:r>
        <w:fldChar w:fldCharType="end"/>
      </w:r>
      <w:r>
        <w:rPr>
          <w:rFonts w:hint="eastAsia" w:ascii="宋体" w:hAnsi="宋体" w:eastAsia="宋体" w:cs="宋体"/>
          <w:bCs/>
          <w:i w:val="0"/>
          <w:iCs w:val="0"/>
          <w:szCs w:val="24"/>
        </w:rPr>
        <w:fldChar w:fldCharType="end"/>
      </w:r>
    </w:p>
    <w:p w14:paraId="210DA23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_Toc9984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.5.2.</w:t>
      </w:r>
      <w:r>
        <w:rPr>
          <w:rFonts w:hint="eastAsia"/>
        </w:rPr>
        <w:t>路基施工</w:t>
      </w:r>
      <w:r>
        <w:tab/>
      </w:r>
      <w:r>
        <w:fldChar w:fldCharType="begin"/>
      </w:r>
      <w:r>
        <w:instrText xml:space="preserve"> PAGEREF _Toc9984 \h </w:instrText>
      </w:r>
      <w:r>
        <w:fldChar w:fldCharType="separate"/>
      </w:r>
      <w:r>
        <w:t>- 91 -</w:t>
      </w:r>
      <w:r>
        <w:fldChar w:fldCharType="end"/>
      </w:r>
      <w:r>
        <w:rPr>
          <w:rFonts w:hint="eastAsia" w:ascii="宋体" w:hAnsi="宋体" w:eastAsia="宋体" w:cs="宋体"/>
          <w:bCs/>
          <w:i w:val="0"/>
          <w:iCs w:val="0"/>
          <w:szCs w:val="24"/>
        </w:rPr>
        <w:fldChar w:fldCharType="end"/>
      </w:r>
    </w:p>
    <w:p w14:paraId="283E3CA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_Toc27084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.5.3.</w:t>
      </w:r>
      <w:r>
        <w:rPr>
          <w:rFonts w:hint="eastAsia"/>
        </w:rPr>
        <w:t>桥涵施工</w:t>
      </w:r>
      <w:r>
        <w:tab/>
      </w:r>
      <w:r>
        <w:fldChar w:fldCharType="begin"/>
      </w:r>
      <w:r>
        <w:instrText xml:space="preserve"> PAGEREF _Toc27084 \h </w:instrText>
      </w:r>
      <w:r>
        <w:fldChar w:fldCharType="separate"/>
      </w:r>
      <w:r>
        <w:t>- 91 -</w:t>
      </w:r>
      <w:r>
        <w:fldChar w:fldCharType="end"/>
      </w:r>
      <w:r>
        <w:rPr>
          <w:rFonts w:hint="eastAsia" w:ascii="宋体" w:hAnsi="宋体" w:eastAsia="宋体" w:cs="宋体"/>
          <w:bCs/>
          <w:i w:val="0"/>
          <w:iCs w:val="0"/>
          <w:szCs w:val="24"/>
        </w:rPr>
        <w:fldChar w:fldCharType="end"/>
      </w:r>
    </w:p>
    <w:p w14:paraId="2CA3A2E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_Toc27489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.5.4.</w:t>
      </w:r>
      <w:r>
        <w:rPr>
          <w:rFonts w:hint="eastAsia"/>
        </w:rPr>
        <w:t>水稳层施工</w:t>
      </w:r>
      <w:r>
        <w:tab/>
      </w:r>
      <w:r>
        <w:fldChar w:fldCharType="begin"/>
      </w:r>
      <w:r>
        <w:instrText xml:space="preserve"> PAGEREF _Toc27489 \h </w:instrText>
      </w:r>
      <w:r>
        <w:fldChar w:fldCharType="separate"/>
      </w:r>
      <w:r>
        <w:t>- 92 -</w:t>
      </w:r>
      <w:r>
        <w:fldChar w:fldCharType="end"/>
      </w:r>
      <w:r>
        <w:rPr>
          <w:rFonts w:hint="eastAsia" w:ascii="宋体" w:hAnsi="宋体" w:eastAsia="宋体" w:cs="宋体"/>
          <w:bCs/>
          <w:i w:val="0"/>
          <w:iCs w:val="0"/>
          <w:szCs w:val="24"/>
        </w:rPr>
        <w:fldChar w:fldCharType="end"/>
      </w:r>
    </w:p>
    <w:p w14:paraId="0A1568C3">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_Toc4502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.5.5.</w:t>
      </w:r>
      <w:r>
        <w:rPr>
          <w:rFonts w:hint="eastAsia"/>
        </w:rPr>
        <w:t>沥青砼施工</w:t>
      </w:r>
      <w:r>
        <w:tab/>
      </w:r>
      <w:r>
        <w:fldChar w:fldCharType="begin"/>
      </w:r>
      <w:r>
        <w:instrText xml:space="preserve"> PAGEREF _Toc4502 \h </w:instrText>
      </w:r>
      <w:r>
        <w:fldChar w:fldCharType="separate"/>
      </w:r>
      <w:r>
        <w:t>- 92 -</w:t>
      </w:r>
      <w:r>
        <w:fldChar w:fldCharType="end"/>
      </w:r>
      <w:r>
        <w:rPr>
          <w:rFonts w:hint="eastAsia" w:ascii="宋体" w:hAnsi="宋体" w:eastAsia="宋体" w:cs="宋体"/>
          <w:bCs/>
          <w:i w:val="0"/>
          <w:iCs w:val="0"/>
          <w:szCs w:val="24"/>
        </w:rPr>
        <w:fldChar w:fldCharType="end"/>
      </w:r>
    </w:p>
    <w:p w14:paraId="77D725CD">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_Toc19527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.5.6.</w:t>
      </w:r>
      <w:r>
        <w:rPr>
          <w:rFonts w:hint="eastAsia"/>
        </w:rPr>
        <w:t>管道施工</w:t>
      </w:r>
      <w:r>
        <w:tab/>
      </w:r>
      <w:r>
        <w:fldChar w:fldCharType="begin"/>
      </w:r>
      <w:r>
        <w:instrText xml:space="preserve"> PAGEREF _Toc19527 \h </w:instrText>
      </w:r>
      <w:r>
        <w:fldChar w:fldCharType="separate"/>
      </w:r>
      <w:r>
        <w:t>- 93 -</w:t>
      </w:r>
      <w:r>
        <w:fldChar w:fldCharType="end"/>
      </w:r>
      <w:r>
        <w:rPr>
          <w:rFonts w:hint="eastAsia" w:ascii="宋体" w:hAnsi="宋体" w:eastAsia="宋体" w:cs="宋体"/>
          <w:bCs/>
          <w:i w:val="0"/>
          <w:iCs w:val="0"/>
          <w:szCs w:val="24"/>
        </w:rPr>
        <w:fldChar w:fldCharType="end"/>
      </w:r>
    </w:p>
    <w:p w14:paraId="5A4CB79C">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_Toc26762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4</w:t>
      </w:r>
      <w:r>
        <w:rPr>
          <w:rFonts w:hint="default" w:ascii="Times New Roman" w:hAnsi="Times New Roman" w:eastAsia="宋体" w:cs="Times New Roman"/>
          <w:bCs/>
          <w:kern w:val="2"/>
          <w:szCs w:val="32"/>
          <w:lang w:val="en-US" w:eastAsia="zh-CN" w:bidi="ar-SA"/>
        </w:rPr>
        <w:t>.5.7.</w:t>
      </w:r>
      <w:r>
        <w:rPr>
          <w:rFonts w:hint="eastAsia"/>
        </w:rPr>
        <w:t>绿化施工</w:t>
      </w:r>
      <w:r>
        <w:tab/>
      </w:r>
      <w:r>
        <w:fldChar w:fldCharType="begin"/>
      </w:r>
      <w:r>
        <w:instrText xml:space="preserve"> PAGEREF _Toc26762 \h </w:instrText>
      </w:r>
      <w:r>
        <w:fldChar w:fldCharType="separate"/>
      </w:r>
      <w:r>
        <w:t>- 93 -</w:t>
      </w:r>
      <w:r>
        <w:fldChar w:fldCharType="end"/>
      </w:r>
      <w:r>
        <w:rPr>
          <w:rFonts w:hint="eastAsia" w:ascii="宋体" w:hAnsi="宋体" w:eastAsia="宋体" w:cs="宋体"/>
          <w:bCs/>
          <w:i w:val="0"/>
          <w:iCs w:val="0"/>
          <w:szCs w:val="24"/>
        </w:rPr>
        <w:fldChar w:fldCharType="end"/>
      </w:r>
    </w:p>
    <w:p w14:paraId="6080FA9F">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_Toc10135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第十五章 </w:t>
      </w:r>
      <w:r>
        <w:rPr>
          <w:rFonts w:hint="eastAsia"/>
          <w:highlight w:val="none"/>
        </w:rPr>
        <w:t>环境保护、水土保持保证体系及保证措施</w:t>
      </w:r>
      <w:r>
        <w:tab/>
      </w:r>
      <w:r>
        <w:fldChar w:fldCharType="begin"/>
      </w:r>
      <w:r>
        <w:instrText xml:space="preserve"> PAGEREF _Toc10135 \h </w:instrText>
      </w:r>
      <w:r>
        <w:fldChar w:fldCharType="separate"/>
      </w:r>
      <w:r>
        <w:t>- 94 -</w:t>
      </w:r>
      <w:r>
        <w:fldChar w:fldCharType="end"/>
      </w:r>
      <w:r>
        <w:rPr>
          <w:rFonts w:hint="eastAsia" w:ascii="宋体" w:hAnsi="宋体" w:eastAsia="宋体" w:cs="宋体"/>
          <w:bCs/>
          <w:i w:val="0"/>
          <w:iCs w:val="0"/>
          <w:szCs w:val="24"/>
        </w:rPr>
        <w:fldChar w:fldCharType="end"/>
      </w:r>
    </w:p>
    <w:p w14:paraId="4DD0A021">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_Toc13586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Arial" w:hAnsi="Arial" w:eastAsia="宋体" w:cs="Times New Roman"/>
          <w:bCs/>
          <w:kern w:val="2"/>
          <w:szCs w:val="32"/>
          <w:lang w:val="en-US" w:eastAsia="zh-CN" w:bidi="ar-SA"/>
        </w:rPr>
        <w:t>.1.</w:t>
      </w:r>
      <w:r>
        <w:rPr>
          <w:rFonts w:hint="eastAsia"/>
          <w:highlight w:val="none"/>
        </w:rPr>
        <w:t>施工环保、水土保持管理体系</w:t>
      </w:r>
      <w:r>
        <w:tab/>
      </w:r>
      <w:r>
        <w:fldChar w:fldCharType="begin"/>
      </w:r>
      <w:r>
        <w:instrText xml:space="preserve"> PAGEREF _Toc13586 \h </w:instrText>
      </w:r>
      <w:r>
        <w:fldChar w:fldCharType="separate"/>
      </w:r>
      <w:r>
        <w:t>- 94 -</w:t>
      </w:r>
      <w:r>
        <w:fldChar w:fldCharType="end"/>
      </w:r>
      <w:r>
        <w:rPr>
          <w:rFonts w:hint="eastAsia" w:ascii="宋体" w:hAnsi="宋体" w:eastAsia="宋体" w:cs="宋体"/>
          <w:bCs/>
          <w:i w:val="0"/>
          <w:iCs w:val="0"/>
          <w:szCs w:val="24"/>
        </w:rPr>
        <w:fldChar w:fldCharType="end"/>
      </w:r>
    </w:p>
    <w:p w14:paraId="03F9ECAE">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_Toc5426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Times New Roman" w:hAnsi="Times New Roman" w:eastAsia="宋体" w:cs="Times New Roman"/>
          <w:bCs/>
          <w:kern w:val="2"/>
          <w:szCs w:val="32"/>
          <w:lang w:val="en-US" w:eastAsia="zh-CN" w:bidi="ar-SA"/>
        </w:rPr>
        <w:t>.1.1.</w:t>
      </w:r>
      <w:r>
        <w:rPr>
          <w:rFonts w:hint="eastAsia"/>
          <w:highlight w:val="none"/>
        </w:rPr>
        <w:t>领导小组</w:t>
      </w:r>
      <w:r>
        <w:tab/>
      </w:r>
      <w:r>
        <w:fldChar w:fldCharType="begin"/>
      </w:r>
      <w:r>
        <w:instrText xml:space="preserve"> PAGEREF _Toc5426 \h </w:instrText>
      </w:r>
      <w:r>
        <w:fldChar w:fldCharType="separate"/>
      </w:r>
      <w:r>
        <w:t>- 94 -</w:t>
      </w:r>
      <w:r>
        <w:fldChar w:fldCharType="end"/>
      </w:r>
      <w:r>
        <w:rPr>
          <w:rFonts w:hint="eastAsia" w:ascii="宋体" w:hAnsi="宋体" w:eastAsia="宋体" w:cs="宋体"/>
          <w:bCs/>
          <w:i w:val="0"/>
          <w:iCs w:val="0"/>
          <w:szCs w:val="24"/>
        </w:rPr>
        <w:fldChar w:fldCharType="end"/>
      </w:r>
    </w:p>
    <w:p w14:paraId="79A1EB42">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_Toc25036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Times New Roman" w:hAnsi="Times New Roman" w:eastAsia="宋体" w:cs="Times New Roman"/>
          <w:bCs/>
          <w:kern w:val="2"/>
          <w:szCs w:val="32"/>
          <w:lang w:val="en-US" w:eastAsia="zh-CN" w:bidi="ar-SA"/>
        </w:rPr>
        <w:t>.1.2.</w:t>
      </w:r>
      <w:r>
        <w:rPr>
          <w:rFonts w:hint="eastAsia"/>
          <w:highlight w:val="none"/>
        </w:rPr>
        <w:t>人员配置</w:t>
      </w:r>
      <w:r>
        <w:tab/>
      </w:r>
      <w:r>
        <w:fldChar w:fldCharType="begin"/>
      </w:r>
      <w:r>
        <w:instrText xml:space="preserve"> PAGEREF _Toc25036 \h </w:instrText>
      </w:r>
      <w:r>
        <w:fldChar w:fldCharType="separate"/>
      </w:r>
      <w:r>
        <w:t>- 94 -</w:t>
      </w:r>
      <w:r>
        <w:fldChar w:fldCharType="end"/>
      </w:r>
      <w:r>
        <w:rPr>
          <w:rFonts w:hint="eastAsia" w:ascii="宋体" w:hAnsi="宋体" w:eastAsia="宋体" w:cs="宋体"/>
          <w:bCs/>
          <w:i w:val="0"/>
          <w:iCs w:val="0"/>
          <w:szCs w:val="24"/>
        </w:rPr>
        <w:fldChar w:fldCharType="end"/>
      </w:r>
    </w:p>
    <w:p w14:paraId="710FAE1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_Toc24832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Times New Roman" w:hAnsi="Times New Roman" w:eastAsia="宋体" w:cs="Times New Roman"/>
          <w:bCs/>
          <w:kern w:val="2"/>
          <w:szCs w:val="32"/>
          <w:lang w:val="en-US" w:eastAsia="zh-CN" w:bidi="ar-SA"/>
        </w:rPr>
        <w:t>.1.3.</w:t>
      </w:r>
      <w:r>
        <w:rPr>
          <w:rFonts w:hint="eastAsia"/>
          <w:highlight w:val="none"/>
        </w:rPr>
        <w:t>实行环境保护工作责任制</w:t>
      </w:r>
      <w:r>
        <w:tab/>
      </w:r>
      <w:r>
        <w:fldChar w:fldCharType="begin"/>
      </w:r>
      <w:r>
        <w:instrText xml:space="preserve"> PAGEREF _Toc24832 \h </w:instrText>
      </w:r>
      <w:r>
        <w:fldChar w:fldCharType="separate"/>
      </w:r>
      <w:r>
        <w:t>- 94 -</w:t>
      </w:r>
      <w:r>
        <w:fldChar w:fldCharType="end"/>
      </w:r>
      <w:r>
        <w:rPr>
          <w:rFonts w:hint="eastAsia" w:ascii="宋体" w:hAnsi="宋体" w:eastAsia="宋体" w:cs="宋体"/>
          <w:bCs/>
          <w:i w:val="0"/>
          <w:iCs w:val="0"/>
          <w:szCs w:val="24"/>
        </w:rPr>
        <w:fldChar w:fldCharType="end"/>
      </w:r>
    </w:p>
    <w:p w14:paraId="23ECB47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_Toc28816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Arial" w:hAnsi="Arial" w:eastAsia="宋体" w:cs="Times New Roman"/>
          <w:bCs/>
          <w:kern w:val="2"/>
          <w:szCs w:val="32"/>
          <w:lang w:val="en-US" w:eastAsia="zh-CN" w:bidi="ar-SA"/>
        </w:rPr>
        <w:t>.2.</w:t>
      </w:r>
      <w:r>
        <w:rPr>
          <w:rFonts w:hint="eastAsia"/>
        </w:rPr>
        <w:t>施工环保、水土保持保证措施</w:t>
      </w:r>
      <w:r>
        <w:tab/>
      </w:r>
      <w:r>
        <w:fldChar w:fldCharType="begin"/>
      </w:r>
      <w:r>
        <w:instrText xml:space="preserve"> PAGEREF _Toc28816 \h </w:instrText>
      </w:r>
      <w:r>
        <w:fldChar w:fldCharType="separate"/>
      </w:r>
      <w:r>
        <w:t>- 95 -</w:t>
      </w:r>
      <w:r>
        <w:fldChar w:fldCharType="end"/>
      </w:r>
      <w:r>
        <w:rPr>
          <w:rFonts w:hint="eastAsia" w:ascii="宋体" w:hAnsi="宋体" w:eastAsia="宋体" w:cs="宋体"/>
          <w:bCs/>
          <w:i w:val="0"/>
          <w:iCs w:val="0"/>
          <w:szCs w:val="24"/>
        </w:rPr>
        <w:fldChar w:fldCharType="end"/>
      </w:r>
    </w:p>
    <w:p w14:paraId="7AE6573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_Toc9674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Times New Roman" w:hAnsi="Times New Roman" w:eastAsia="宋体" w:cs="Times New Roman"/>
          <w:bCs/>
          <w:kern w:val="2"/>
          <w:szCs w:val="32"/>
          <w:lang w:val="en-US" w:eastAsia="zh-CN" w:bidi="ar-SA"/>
        </w:rPr>
        <w:t>.2.1.</w:t>
      </w:r>
      <w:r>
        <w:rPr>
          <w:rFonts w:hint="eastAsia"/>
        </w:rPr>
        <w:t>目标责任制</w:t>
      </w:r>
      <w:r>
        <w:tab/>
      </w:r>
      <w:r>
        <w:fldChar w:fldCharType="begin"/>
      </w:r>
      <w:r>
        <w:instrText xml:space="preserve"> PAGEREF _Toc9674 \h </w:instrText>
      </w:r>
      <w:r>
        <w:fldChar w:fldCharType="separate"/>
      </w:r>
      <w:r>
        <w:t>- 95 -</w:t>
      </w:r>
      <w:r>
        <w:fldChar w:fldCharType="end"/>
      </w:r>
      <w:r>
        <w:rPr>
          <w:rFonts w:hint="eastAsia" w:ascii="宋体" w:hAnsi="宋体" w:eastAsia="宋体" w:cs="宋体"/>
          <w:bCs/>
          <w:i w:val="0"/>
          <w:iCs w:val="0"/>
          <w:szCs w:val="24"/>
        </w:rPr>
        <w:fldChar w:fldCharType="end"/>
      </w:r>
    </w:p>
    <w:p w14:paraId="3183A9C0">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_Toc30731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Times New Roman" w:hAnsi="Times New Roman" w:eastAsia="宋体" w:cs="Times New Roman"/>
          <w:bCs/>
          <w:kern w:val="2"/>
          <w:szCs w:val="32"/>
          <w:lang w:val="en-US" w:eastAsia="zh-CN" w:bidi="ar-SA"/>
        </w:rPr>
        <w:t>.2.2.</w:t>
      </w:r>
      <w:r>
        <w:rPr>
          <w:rFonts w:hint="eastAsia"/>
        </w:rPr>
        <w:t>环境保护措施</w:t>
      </w:r>
      <w:r>
        <w:tab/>
      </w:r>
      <w:r>
        <w:fldChar w:fldCharType="begin"/>
      </w:r>
      <w:r>
        <w:instrText xml:space="preserve"> PAGEREF _Toc30731 \h </w:instrText>
      </w:r>
      <w:r>
        <w:fldChar w:fldCharType="separate"/>
      </w:r>
      <w:r>
        <w:t>- 95 -</w:t>
      </w:r>
      <w:r>
        <w:fldChar w:fldCharType="end"/>
      </w:r>
      <w:r>
        <w:rPr>
          <w:rFonts w:hint="eastAsia" w:ascii="宋体" w:hAnsi="宋体" w:eastAsia="宋体" w:cs="宋体"/>
          <w:bCs/>
          <w:i w:val="0"/>
          <w:iCs w:val="0"/>
          <w:szCs w:val="24"/>
        </w:rPr>
        <w:fldChar w:fldCharType="end"/>
      </w:r>
    </w:p>
    <w:p w14:paraId="1513246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_Toc4720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5</w:t>
      </w:r>
      <w:r>
        <w:rPr>
          <w:rFonts w:hint="default" w:ascii="Times New Roman" w:hAnsi="Times New Roman" w:eastAsia="宋体" w:cs="Times New Roman"/>
          <w:bCs/>
          <w:kern w:val="2"/>
          <w:szCs w:val="32"/>
          <w:lang w:val="en-US" w:eastAsia="zh-CN" w:bidi="ar-SA"/>
        </w:rPr>
        <w:t>.2.3.</w:t>
      </w:r>
      <w:r>
        <w:rPr>
          <w:rFonts w:hint="eastAsia"/>
        </w:rPr>
        <w:t>水土保持措施</w:t>
      </w:r>
      <w:r>
        <w:tab/>
      </w:r>
      <w:r>
        <w:fldChar w:fldCharType="begin"/>
      </w:r>
      <w:r>
        <w:instrText xml:space="preserve"> PAGEREF _Toc4720 \h </w:instrText>
      </w:r>
      <w:r>
        <w:fldChar w:fldCharType="separate"/>
      </w:r>
      <w:r>
        <w:t>- 96 -</w:t>
      </w:r>
      <w:r>
        <w:fldChar w:fldCharType="end"/>
      </w:r>
      <w:r>
        <w:rPr>
          <w:rFonts w:hint="eastAsia" w:ascii="宋体" w:hAnsi="宋体" w:eastAsia="宋体" w:cs="宋体"/>
          <w:bCs/>
          <w:i w:val="0"/>
          <w:iCs w:val="0"/>
          <w:szCs w:val="24"/>
        </w:rPr>
        <w:fldChar w:fldCharType="end"/>
      </w:r>
    </w:p>
    <w:p w14:paraId="43D24F2E">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_Toc6901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第十六章 </w:t>
      </w:r>
      <w:r>
        <w:rPr>
          <w:rFonts w:hint="eastAsia"/>
        </w:rPr>
        <w:t>文明施工、文物保护保证体系及保证措施</w:t>
      </w:r>
      <w:r>
        <w:tab/>
      </w:r>
      <w:r>
        <w:fldChar w:fldCharType="begin"/>
      </w:r>
      <w:r>
        <w:instrText xml:space="preserve"> PAGEREF _Toc6901 \h </w:instrText>
      </w:r>
      <w:r>
        <w:fldChar w:fldCharType="separate"/>
      </w:r>
      <w:r>
        <w:t>- 98 -</w:t>
      </w:r>
      <w:r>
        <w:fldChar w:fldCharType="end"/>
      </w:r>
      <w:r>
        <w:rPr>
          <w:rFonts w:hint="eastAsia" w:ascii="宋体" w:hAnsi="宋体" w:eastAsia="宋体" w:cs="宋体"/>
          <w:bCs/>
          <w:i w:val="0"/>
          <w:iCs w:val="0"/>
          <w:szCs w:val="24"/>
        </w:rPr>
        <w:fldChar w:fldCharType="end"/>
      </w:r>
    </w:p>
    <w:p w14:paraId="0B81B8C0">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_Toc6328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6</w:t>
      </w:r>
      <w:r>
        <w:rPr>
          <w:rFonts w:hint="default" w:ascii="Arial" w:hAnsi="Arial" w:eastAsia="宋体" w:cs="Times New Roman"/>
          <w:bCs/>
          <w:kern w:val="2"/>
          <w:szCs w:val="32"/>
          <w:lang w:val="en-US" w:eastAsia="zh-CN" w:bidi="ar-SA"/>
        </w:rPr>
        <w:t>.1.</w:t>
      </w:r>
      <w:r>
        <w:rPr>
          <w:rFonts w:hint="eastAsia"/>
        </w:rPr>
        <w:t>文明施工、文物保护保证体系</w:t>
      </w:r>
      <w:r>
        <w:tab/>
      </w:r>
      <w:r>
        <w:fldChar w:fldCharType="begin"/>
      </w:r>
      <w:r>
        <w:instrText xml:space="preserve"> PAGEREF _Toc6328 \h </w:instrText>
      </w:r>
      <w:r>
        <w:fldChar w:fldCharType="separate"/>
      </w:r>
      <w:r>
        <w:t>- 98 -</w:t>
      </w:r>
      <w:r>
        <w:fldChar w:fldCharType="end"/>
      </w:r>
      <w:r>
        <w:rPr>
          <w:rFonts w:hint="eastAsia" w:ascii="宋体" w:hAnsi="宋体" w:eastAsia="宋体" w:cs="宋体"/>
          <w:bCs/>
          <w:i w:val="0"/>
          <w:iCs w:val="0"/>
          <w:szCs w:val="24"/>
        </w:rPr>
        <w:fldChar w:fldCharType="end"/>
      </w:r>
    </w:p>
    <w:p w14:paraId="531647CD">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_Toc15916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6</w:t>
      </w:r>
      <w:r>
        <w:rPr>
          <w:rFonts w:hint="default" w:ascii="Arial" w:hAnsi="Arial" w:eastAsia="宋体" w:cs="Times New Roman"/>
          <w:bCs/>
          <w:kern w:val="2"/>
          <w:szCs w:val="32"/>
          <w:lang w:val="en-US" w:eastAsia="zh-CN" w:bidi="ar-SA"/>
        </w:rPr>
        <w:t>.2.</w:t>
      </w:r>
      <w:r>
        <w:rPr>
          <w:rFonts w:hint="eastAsia"/>
        </w:rPr>
        <w:t>文明施工措施</w:t>
      </w:r>
      <w:r>
        <w:tab/>
      </w:r>
      <w:r>
        <w:fldChar w:fldCharType="begin"/>
      </w:r>
      <w:r>
        <w:instrText xml:space="preserve"> PAGEREF _Toc15916 \h </w:instrText>
      </w:r>
      <w:r>
        <w:fldChar w:fldCharType="separate"/>
      </w:r>
      <w:r>
        <w:t>- 98 -</w:t>
      </w:r>
      <w:r>
        <w:fldChar w:fldCharType="end"/>
      </w:r>
      <w:r>
        <w:rPr>
          <w:rFonts w:hint="eastAsia" w:ascii="宋体" w:hAnsi="宋体" w:eastAsia="宋体" w:cs="宋体"/>
          <w:bCs/>
          <w:i w:val="0"/>
          <w:iCs w:val="0"/>
          <w:szCs w:val="24"/>
        </w:rPr>
        <w:fldChar w:fldCharType="end"/>
      </w:r>
    </w:p>
    <w:p w14:paraId="70834085">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_Toc909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6</w:t>
      </w:r>
      <w:r>
        <w:rPr>
          <w:rFonts w:hint="default" w:ascii="Arial" w:hAnsi="Arial" w:eastAsia="宋体" w:cs="Times New Roman"/>
          <w:bCs/>
          <w:kern w:val="2"/>
          <w:szCs w:val="32"/>
          <w:lang w:val="en-US" w:eastAsia="zh-CN" w:bidi="ar-SA"/>
        </w:rPr>
        <w:t>.3.</w:t>
      </w:r>
      <w:r>
        <w:rPr>
          <w:rFonts w:hint="eastAsia"/>
        </w:rPr>
        <w:t>文明施工技术措施</w:t>
      </w:r>
      <w:r>
        <w:tab/>
      </w:r>
      <w:r>
        <w:fldChar w:fldCharType="begin"/>
      </w:r>
      <w:r>
        <w:instrText xml:space="preserve"> PAGEREF _Toc909 \h </w:instrText>
      </w:r>
      <w:r>
        <w:fldChar w:fldCharType="separate"/>
      </w:r>
      <w:r>
        <w:t>- 99 -</w:t>
      </w:r>
      <w:r>
        <w:fldChar w:fldCharType="end"/>
      </w:r>
      <w:r>
        <w:rPr>
          <w:rFonts w:hint="eastAsia" w:ascii="宋体" w:hAnsi="宋体" w:eastAsia="宋体" w:cs="宋体"/>
          <w:bCs/>
          <w:i w:val="0"/>
          <w:iCs w:val="0"/>
          <w:szCs w:val="24"/>
        </w:rPr>
        <w:fldChar w:fldCharType="end"/>
      </w:r>
    </w:p>
    <w:p w14:paraId="033D18DB">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_Toc7266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zh-CN" w:eastAsia="zh-CN" w:bidi="ar-SA"/>
        </w:rPr>
        <w:t>1</w:t>
      </w:r>
      <w:r>
        <w:rPr>
          <w:rFonts w:hint="eastAsia" w:cs="Times New Roman"/>
          <w:bCs/>
          <w:kern w:val="2"/>
          <w:szCs w:val="32"/>
          <w:lang w:val="en-US" w:eastAsia="zh-CN" w:bidi="ar-SA"/>
        </w:rPr>
        <w:t>6</w:t>
      </w:r>
      <w:r>
        <w:rPr>
          <w:rFonts w:hint="default" w:ascii="Arial" w:hAnsi="Arial" w:eastAsia="宋体" w:cs="Times New Roman"/>
          <w:bCs/>
          <w:kern w:val="2"/>
          <w:szCs w:val="32"/>
          <w:lang w:val="zh-CN" w:eastAsia="zh-CN" w:bidi="ar-SA"/>
        </w:rPr>
        <w:t>.4.</w:t>
      </w:r>
      <w:r>
        <w:rPr>
          <w:rFonts w:hint="eastAsia"/>
        </w:rPr>
        <w:t>文物、</w:t>
      </w:r>
      <w:r>
        <w:rPr>
          <w:rFonts w:hint="eastAsia"/>
          <w:lang w:val="zh-CN"/>
        </w:rPr>
        <w:t>既有结构物保护措施</w:t>
      </w:r>
      <w:r>
        <w:tab/>
      </w:r>
      <w:r>
        <w:fldChar w:fldCharType="begin"/>
      </w:r>
      <w:r>
        <w:instrText xml:space="preserve"> PAGEREF _Toc7266 \h </w:instrText>
      </w:r>
      <w:r>
        <w:fldChar w:fldCharType="separate"/>
      </w:r>
      <w:r>
        <w:t>- 101 -</w:t>
      </w:r>
      <w:r>
        <w:fldChar w:fldCharType="end"/>
      </w:r>
      <w:r>
        <w:rPr>
          <w:rFonts w:hint="eastAsia" w:ascii="宋体" w:hAnsi="宋体" w:eastAsia="宋体" w:cs="宋体"/>
          <w:bCs/>
          <w:i w:val="0"/>
          <w:iCs w:val="0"/>
          <w:szCs w:val="24"/>
        </w:rPr>
        <w:fldChar w:fldCharType="end"/>
      </w:r>
    </w:p>
    <w:p w14:paraId="5EFEDE60">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_Toc14437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第十七章</w:t>
      </w:r>
      <w:r>
        <w:rPr>
          <w:rFonts w:hint="default" w:ascii="宋体" w:hAnsi="宋体" w:eastAsia="宋体" w:cs="Times New Roman"/>
          <w:bCs/>
          <w:kern w:val="36"/>
          <w:szCs w:val="48"/>
          <w:lang w:val="en-US" w:eastAsia="zh-CN" w:bidi="ar-SA"/>
        </w:rPr>
        <w:t>.</w:t>
      </w:r>
      <w:r>
        <w:rPr>
          <w:rFonts w:hint="eastAsia"/>
        </w:rPr>
        <w:t>项目风险预测与防范、事故应急预案</w:t>
      </w:r>
      <w:r>
        <w:tab/>
      </w:r>
      <w:r>
        <w:fldChar w:fldCharType="begin"/>
      </w:r>
      <w:r>
        <w:instrText xml:space="preserve"> PAGEREF _Toc14437 \h </w:instrText>
      </w:r>
      <w:r>
        <w:fldChar w:fldCharType="separate"/>
      </w:r>
      <w:r>
        <w:t>- 101 -</w:t>
      </w:r>
      <w:r>
        <w:fldChar w:fldCharType="end"/>
      </w:r>
      <w:r>
        <w:rPr>
          <w:rFonts w:hint="eastAsia" w:ascii="宋体" w:hAnsi="宋体" w:eastAsia="宋体" w:cs="宋体"/>
          <w:bCs/>
          <w:i w:val="0"/>
          <w:iCs w:val="0"/>
          <w:szCs w:val="24"/>
        </w:rPr>
        <w:fldChar w:fldCharType="end"/>
      </w:r>
    </w:p>
    <w:p w14:paraId="74A215A9">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_Toc17571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Arial" w:hAnsi="Arial" w:eastAsia="宋体" w:cs="Times New Roman"/>
          <w:bCs/>
          <w:kern w:val="2"/>
          <w:szCs w:val="32"/>
          <w:lang w:val="en-US" w:eastAsia="zh-CN" w:bidi="ar-SA"/>
        </w:rPr>
        <w:t>.1.</w:t>
      </w:r>
      <w:r>
        <w:rPr>
          <w:rFonts w:hint="eastAsia"/>
        </w:rPr>
        <w:t>项目风险预测与防范</w:t>
      </w:r>
      <w:r>
        <w:tab/>
      </w:r>
      <w:r>
        <w:fldChar w:fldCharType="begin"/>
      </w:r>
      <w:r>
        <w:instrText xml:space="preserve"> PAGEREF _Toc17571 \h </w:instrText>
      </w:r>
      <w:r>
        <w:fldChar w:fldCharType="separate"/>
      </w:r>
      <w:r>
        <w:t>- 101 -</w:t>
      </w:r>
      <w:r>
        <w:fldChar w:fldCharType="end"/>
      </w:r>
      <w:r>
        <w:rPr>
          <w:rFonts w:hint="eastAsia" w:ascii="宋体" w:hAnsi="宋体" w:eastAsia="宋体" w:cs="宋体"/>
          <w:bCs/>
          <w:i w:val="0"/>
          <w:iCs w:val="0"/>
          <w:szCs w:val="24"/>
        </w:rPr>
        <w:fldChar w:fldCharType="end"/>
      </w:r>
    </w:p>
    <w:p w14:paraId="54FFF0F6">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_Toc14335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Times New Roman" w:hAnsi="Times New Roman" w:eastAsia="宋体" w:cs="Times New Roman"/>
          <w:bCs/>
          <w:kern w:val="2"/>
          <w:szCs w:val="32"/>
          <w:lang w:val="en-US" w:eastAsia="zh-CN" w:bidi="ar-SA"/>
        </w:rPr>
        <w:t>.1.1.</w:t>
      </w:r>
      <w:r>
        <w:rPr>
          <w:rFonts w:hint="eastAsia"/>
        </w:rPr>
        <w:t>风险评估的主要内容</w:t>
      </w:r>
      <w:r>
        <w:tab/>
      </w:r>
      <w:r>
        <w:fldChar w:fldCharType="begin"/>
      </w:r>
      <w:r>
        <w:instrText xml:space="preserve"> PAGEREF _Toc14335 \h </w:instrText>
      </w:r>
      <w:r>
        <w:fldChar w:fldCharType="separate"/>
      </w:r>
      <w:r>
        <w:t>- 101 -</w:t>
      </w:r>
      <w:r>
        <w:fldChar w:fldCharType="end"/>
      </w:r>
      <w:r>
        <w:rPr>
          <w:rFonts w:hint="eastAsia" w:ascii="宋体" w:hAnsi="宋体" w:eastAsia="宋体" w:cs="宋体"/>
          <w:bCs/>
          <w:i w:val="0"/>
          <w:iCs w:val="0"/>
          <w:szCs w:val="24"/>
        </w:rPr>
        <w:fldChar w:fldCharType="end"/>
      </w:r>
    </w:p>
    <w:p w14:paraId="3010835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_Toc7981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Times New Roman" w:hAnsi="Times New Roman" w:eastAsia="宋体" w:cs="Times New Roman"/>
          <w:bCs/>
          <w:kern w:val="2"/>
          <w:szCs w:val="32"/>
          <w:lang w:val="en-US" w:eastAsia="zh-CN" w:bidi="ar-SA"/>
        </w:rPr>
        <w:t>.1.2.</w:t>
      </w:r>
      <w:r>
        <w:rPr>
          <w:rFonts w:hint="eastAsia"/>
        </w:rPr>
        <w:t>项目风险防范措施</w:t>
      </w:r>
      <w:r>
        <w:tab/>
      </w:r>
      <w:r>
        <w:fldChar w:fldCharType="begin"/>
      </w:r>
      <w:r>
        <w:instrText xml:space="preserve"> PAGEREF _Toc7981 \h </w:instrText>
      </w:r>
      <w:r>
        <w:fldChar w:fldCharType="separate"/>
      </w:r>
      <w:r>
        <w:t>- 102 -</w:t>
      </w:r>
      <w:r>
        <w:fldChar w:fldCharType="end"/>
      </w:r>
      <w:r>
        <w:rPr>
          <w:rFonts w:hint="eastAsia" w:ascii="宋体" w:hAnsi="宋体" w:eastAsia="宋体" w:cs="宋体"/>
          <w:bCs/>
          <w:i w:val="0"/>
          <w:iCs w:val="0"/>
          <w:szCs w:val="24"/>
        </w:rPr>
        <w:fldChar w:fldCharType="end"/>
      </w:r>
    </w:p>
    <w:p w14:paraId="3BDD2A7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_Toc10384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Arial" w:hAnsi="Arial" w:eastAsia="宋体" w:cs="Times New Roman"/>
          <w:bCs/>
          <w:kern w:val="2"/>
          <w:szCs w:val="32"/>
          <w:lang w:val="en-US" w:eastAsia="zh-CN" w:bidi="ar-SA"/>
        </w:rPr>
        <w:t>.2.</w:t>
      </w:r>
      <w:r>
        <w:rPr>
          <w:rFonts w:hint="eastAsia"/>
        </w:rPr>
        <w:t>事故应急预案</w:t>
      </w:r>
      <w:r>
        <w:tab/>
      </w:r>
      <w:r>
        <w:fldChar w:fldCharType="begin"/>
      </w:r>
      <w:r>
        <w:instrText xml:space="preserve"> PAGEREF _Toc10384 \h </w:instrText>
      </w:r>
      <w:r>
        <w:fldChar w:fldCharType="separate"/>
      </w:r>
      <w:r>
        <w:t>- 102 -</w:t>
      </w:r>
      <w:r>
        <w:fldChar w:fldCharType="end"/>
      </w:r>
      <w:r>
        <w:rPr>
          <w:rFonts w:hint="eastAsia" w:ascii="宋体" w:hAnsi="宋体" w:eastAsia="宋体" w:cs="宋体"/>
          <w:bCs/>
          <w:i w:val="0"/>
          <w:iCs w:val="0"/>
          <w:szCs w:val="24"/>
        </w:rPr>
        <w:fldChar w:fldCharType="end"/>
      </w:r>
    </w:p>
    <w:p w14:paraId="77AD7A5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_Toc1935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Times New Roman" w:hAnsi="Times New Roman" w:eastAsia="宋体" w:cs="Times New Roman"/>
          <w:bCs/>
          <w:kern w:val="2"/>
          <w:szCs w:val="32"/>
          <w:lang w:val="en-US" w:eastAsia="zh-CN" w:bidi="ar-SA"/>
        </w:rPr>
        <w:t>.2.1.</w:t>
      </w:r>
      <w:r>
        <w:rPr>
          <w:rFonts w:hint="eastAsia"/>
        </w:rPr>
        <w:t>编制目的</w:t>
      </w:r>
      <w:r>
        <w:tab/>
      </w:r>
      <w:r>
        <w:fldChar w:fldCharType="begin"/>
      </w:r>
      <w:r>
        <w:instrText xml:space="preserve"> PAGEREF _Toc1935 \h </w:instrText>
      </w:r>
      <w:r>
        <w:fldChar w:fldCharType="separate"/>
      </w:r>
      <w:r>
        <w:t>- 102 -</w:t>
      </w:r>
      <w:r>
        <w:fldChar w:fldCharType="end"/>
      </w:r>
      <w:r>
        <w:rPr>
          <w:rFonts w:hint="eastAsia" w:ascii="宋体" w:hAnsi="宋体" w:eastAsia="宋体" w:cs="宋体"/>
          <w:bCs/>
          <w:i w:val="0"/>
          <w:iCs w:val="0"/>
          <w:szCs w:val="24"/>
        </w:rPr>
        <w:fldChar w:fldCharType="end"/>
      </w:r>
    </w:p>
    <w:p w14:paraId="653B482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_Toc4426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Times New Roman" w:hAnsi="Times New Roman" w:eastAsia="宋体" w:cs="Times New Roman"/>
          <w:bCs/>
          <w:kern w:val="2"/>
          <w:szCs w:val="32"/>
          <w:lang w:val="en-US" w:eastAsia="zh-CN" w:bidi="ar-SA"/>
        </w:rPr>
        <w:t>.2.2.</w:t>
      </w:r>
      <w:r>
        <w:rPr>
          <w:rFonts w:hint="eastAsia"/>
        </w:rPr>
        <w:t>应急预案</w:t>
      </w:r>
      <w:r>
        <w:tab/>
      </w:r>
      <w:r>
        <w:fldChar w:fldCharType="begin"/>
      </w:r>
      <w:r>
        <w:instrText xml:space="preserve"> PAGEREF _Toc4426 \h </w:instrText>
      </w:r>
      <w:r>
        <w:fldChar w:fldCharType="separate"/>
      </w:r>
      <w:r>
        <w:t>- 102 -</w:t>
      </w:r>
      <w:r>
        <w:fldChar w:fldCharType="end"/>
      </w:r>
      <w:r>
        <w:rPr>
          <w:rFonts w:hint="eastAsia" w:ascii="宋体" w:hAnsi="宋体" w:eastAsia="宋体" w:cs="宋体"/>
          <w:bCs/>
          <w:i w:val="0"/>
          <w:iCs w:val="0"/>
          <w:szCs w:val="24"/>
        </w:rPr>
        <w:fldChar w:fldCharType="end"/>
      </w:r>
    </w:p>
    <w:p w14:paraId="44AD0DF8">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_Toc5351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Times New Roman" w:hAnsi="Times New Roman" w:eastAsia="宋体" w:cs="Times New Roman"/>
          <w:bCs/>
          <w:kern w:val="2"/>
          <w:szCs w:val="32"/>
          <w:lang w:val="en-US" w:eastAsia="zh-CN" w:bidi="ar-SA"/>
        </w:rPr>
        <w:t>.2.3.</w:t>
      </w:r>
      <w:r>
        <w:rPr>
          <w:rFonts w:hint="eastAsia"/>
        </w:rPr>
        <w:t>预案的启动和实施</w:t>
      </w:r>
      <w:r>
        <w:tab/>
      </w:r>
      <w:r>
        <w:fldChar w:fldCharType="begin"/>
      </w:r>
      <w:r>
        <w:instrText xml:space="preserve"> PAGEREF _Toc5351 \h </w:instrText>
      </w:r>
      <w:r>
        <w:fldChar w:fldCharType="separate"/>
      </w:r>
      <w:r>
        <w:t>- 103 -</w:t>
      </w:r>
      <w:r>
        <w:fldChar w:fldCharType="end"/>
      </w:r>
      <w:r>
        <w:rPr>
          <w:rFonts w:hint="eastAsia" w:ascii="宋体" w:hAnsi="宋体" w:eastAsia="宋体" w:cs="宋体"/>
          <w:bCs/>
          <w:i w:val="0"/>
          <w:iCs w:val="0"/>
          <w:szCs w:val="24"/>
        </w:rPr>
        <w:fldChar w:fldCharType="end"/>
      </w:r>
    </w:p>
    <w:p w14:paraId="3D1698C7">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_Toc32732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7</w:t>
      </w:r>
      <w:r>
        <w:rPr>
          <w:rFonts w:hint="default" w:ascii="Arial" w:hAnsi="Arial" w:eastAsia="宋体" w:cs="Times New Roman"/>
          <w:bCs/>
          <w:kern w:val="2"/>
          <w:szCs w:val="32"/>
          <w:lang w:val="en-US" w:eastAsia="zh-CN" w:bidi="ar-SA"/>
        </w:rPr>
        <w:t>.3.</w:t>
      </w:r>
      <w:r>
        <w:rPr>
          <w:rFonts w:hint="eastAsia"/>
        </w:rPr>
        <w:t>项目疫情防控措施</w:t>
      </w:r>
      <w:r>
        <w:tab/>
      </w:r>
      <w:r>
        <w:fldChar w:fldCharType="begin"/>
      </w:r>
      <w:r>
        <w:instrText xml:space="preserve"> PAGEREF _Toc32732 \h </w:instrText>
      </w:r>
      <w:r>
        <w:fldChar w:fldCharType="separate"/>
      </w:r>
      <w:r>
        <w:t>- 108 -</w:t>
      </w:r>
      <w:r>
        <w:fldChar w:fldCharType="end"/>
      </w:r>
      <w:r>
        <w:rPr>
          <w:rFonts w:hint="eastAsia" w:ascii="宋体" w:hAnsi="宋体" w:eastAsia="宋体" w:cs="宋体"/>
          <w:bCs/>
          <w:i w:val="0"/>
          <w:iCs w:val="0"/>
          <w:szCs w:val="24"/>
        </w:rPr>
        <w:fldChar w:fldCharType="end"/>
      </w:r>
    </w:p>
    <w:p w14:paraId="3BDBF293">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_Toc31894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 xml:space="preserve">第十八章 </w:t>
      </w:r>
      <w:r>
        <w:rPr>
          <w:rFonts w:hint="eastAsia"/>
        </w:rPr>
        <w:t>平安工地、品质工程建设</w:t>
      </w:r>
      <w:r>
        <w:tab/>
      </w:r>
      <w:r>
        <w:fldChar w:fldCharType="begin"/>
      </w:r>
      <w:r>
        <w:instrText xml:space="preserve"> PAGEREF _Toc31894 \h </w:instrText>
      </w:r>
      <w:r>
        <w:fldChar w:fldCharType="separate"/>
      </w:r>
      <w:r>
        <w:t>- 109 -</w:t>
      </w:r>
      <w:r>
        <w:fldChar w:fldCharType="end"/>
      </w:r>
      <w:r>
        <w:rPr>
          <w:rFonts w:hint="eastAsia" w:ascii="宋体" w:hAnsi="宋体" w:eastAsia="宋体" w:cs="宋体"/>
          <w:bCs/>
          <w:i w:val="0"/>
          <w:iCs w:val="0"/>
          <w:szCs w:val="24"/>
        </w:rPr>
        <w:fldChar w:fldCharType="end"/>
      </w:r>
    </w:p>
    <w:p w14:paraId="691D4A9A">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_Toc7534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Arial" w:hAnsi="Arial" w:eastAsia="宋体" w:cs="Times New Roman"/>
          <w:bCs/>
          <w:kern w:val="2"/>
          <w:szCs w:val="32"/>
          <w:lang w:val="en-US" w:eastAsia="zh-CN" w:bidi="ar-SA"/>
        </w:rPr>
        <w:t>.1.</w:t>
      </w:r>
      <w:r>
        <w:rPr>
          <w:rFonts w:hint="eastAsia"/>
        </w:rPr>
        <w:t>平安工地建设</w:t>
      </w:r>
      <w:r>
        <w:tab/>
      </w:r>
      <w:r>
        <w:fldChar w:fldCharType="begin"/>
      </w:r>
      <w:r>
        <w:instrText xml:space="preserve"> PAGEREF _Toc7534 \h </w:instrText>
      </w:r>
      <w:r>
        <w:fldChar w:fldCharType="separate"/>
      </w:r>
      <w:r>
        <w:t>- 109 -</w:t>
      </w:r>
      <w:r>
        <w:fldChar w:fldCharType="end"/>
      </w:r>
      <w:r>
        <w:rPr>
          <w:rFonts w:hint="eastAsia" w:ascii="宋体" w:hAnsi="宋体" w:eastAsia="宋体" w:cs="宋体"/>
          <w:bCs/>
          <w:i w:val="0"/>
          <w:iCs w:val="0"/>
          <w:szCs w:val="24"/>
        </w:rPr>
        <w:fldChar w:fldCharType="end"/>
      </w:r>
    </w:p>
    <w:p w14:paraId="5BB87FC5">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_Toc3627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.1.1.</w:t>
      </w:r>
      <w:r>
        <w:rPr>
          <w:rFonts w:hint="eastAsia"/>
        </w:rPr>
        <w:t>指导思想</w:t>
      </w:r>
      <w:r>
        <w:tab/>
      </w:r>
      <w:r>
        <w:fldChar w:fldCharType="begin"/>
      </w:r>
      <w:r>
        <w:instrText xml:space="preserve"> PAGEREF _Toc3627 \h </w:instrText>
      </w:r>
      <w:r>
        <w:fldChar w:fldCharType="separate"/>
      </w:r>
      <w:r>
        <w:t>- 109 -</w:t>
      </w:r>
      <w:r>
        <w:fldChar w:fldCharType="end"/>
      </w:r>
      <w:r>
        <w:rPr>
          <w:rFonts w:hint="eastAsia" w:ascii="宋体" w:hAnsi="宋体" w:eastAsia="宋体" w:cs="宋体"/>
          <w:bCs/>
          <w:i w:val="0"/>
          <w:iCs w:val="0"/>
          <w:szCs w:val="24"/>
        </w:rPr>
        <w:fldChar w:fldCharType="end"/>
      </w:r>
    </w:p>
    <w:p w14:paraId="372A5DEB">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_Toc10328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.1.2.</w:t>
      </w:r>
      <w:r>
        <w:rPr>
          <w:rFonts w:hint="eastAsia"/>
        </w:rPr>
        <w:t>工作目标</w:t>
      </w:r>
      <w:r>
        <w:tab/>
      </w:r>
      <w:r>
        <w:fldChar w:fldCharType="begin"/>
      </w:r>
      <w:r>
        <w:instrText xml:space="preserve"> PAGEREF _Toc10328 \h </w:instrText>
      </w:r>
      <w:r>
        <w:fldChar w:fldCharType="separate"/>
      </w:r>
      <w:r>
        <w:t>- 109 -</w:t>
      </w:r>
      <w:r>
        <w:fldChar w:fldCharType="end"/>
      </w:r>
      <w:r>
        <w:rPr>
          <w:rFonts w:hint="eastAsia" w:ascii="宋体" w:hAnsi="宋体" w:eastAsia="宋体" w:cs="宋体"/>
          <w:bCs/>
          <w:i w:val="0"/>
          <w:iCs w:val="0"/>
          <w:szCs w:val="24"/>
        </w:rPr>
        <w:fldChar w:fldCharType="end"/>
      </w:r>
    </w:p>
    <w:p w14:paraId="5B7AE591">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_Toc8723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.1.3.</w:t>
      </w:r>
      <w:r>
        <w:rPr>
          <w:rFonts w:hint="eastAsia"/>
        </w:rPr>
        <w:t>组织机构</w:t>
      </w:r>
      <w:r>
        <w:tab/>
      </w:r>
      <w:r>
        <w:fldChar w:fldCharType="begin"/>
      </w:r>
      <w:r>
        <w:instrText xml:space="preserve"> PAGEREF _Toc8723 \h </w:instrText>
      </w:r>
      <w:r>
        <w:fldChar w:fldCharType="separate"/>
      </w:r>
      <w:r>
        <w:t>- 110 -</w:t>
      </w:r>
      <w:r>
        <w:fldChar w:fldCharType="end"/>
      </w:r>
      <w:r>
        <w:rPr>
          <w:rFonts w:hint="eastAsia" w:ascii="宋体" w:hAnsi="宋体" w:eastAsia="宋体" w:cs="宋体"/>
          <w:bCs/>
          <w:i w:val="0"/>
          <w:iCs w:val="0"/>
          <w:szCs w:val="24"/>
        </w:rPr>
        <w:fldChar w:fldCharType="end"/>
      </w:r>
    </w:p>
    <w:p w14:paraId="6A455D7A">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_Toc29643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.1.4.</w:t>
      </w:r>
      <w:r>
        <w:rPr>
          <w:rFonts w:hint="eastAsia"/>
        </w:rPr>
        <w:t>活动的具体要求和措施</w:t>
      </w:r>
      <w:r>
        <w:tab/>
      </w:r>
      <w:r>
        <w:fldChar w:fldCharType="begin"/>
      </w:r>
      <w:r>
        <w:instrText xml:space="preserve"> PAGEREF _Toc29643 \h </w:instrText>
      </w:r>
      <w:r>
        <w:fldChar w:fldCharType="separate"/>
      </w:r>
      <w:r>
        <w:t>- 110 -</w:t>
      </w:r>
      <w:r>
        <w:fldChar w:fldCharType="end"/>
      </w:r>
      <w:r>
        <w:rPr>
          <w:rFonts w:hint="eastAsia" w:ascii="宋体" w:hAnsi="宋体" w:eastAsia="宋体" w:cs="宋体"/>
          <w:bCs/>
          <w:i w:val="0"/>
          <w:iCs w:val="0"/>
          <w:szCs w:val="24"/>
        </w:rPr>
        <w:fldChar w:fldCharType="end"/>
      </w:r>
    </w:p>
    <w:p w14:paraId="314D2681">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_Toc15064 </w:instrText>
      </w:r>
      <w:r>
        <w:rPr>
          <w:rFonts w:hint="eastAsia" w:ascii="宋体" w:hAnsi="宋体" w:eastAsia="宋体" w:cs="宋体"/>
          <w:bCs/>
          <w:i w:val="0"/>
          <w:iCs w:val="0"/>
          <w:szCs w:val="24"/>
        </w:rPr>
        <w:fldChar w:fldCharType="separate"/>
      </w:r>
      <w:r>
        <w:rPr>
          <w:rFonts w:hint="default" w:ascii="Arial" w:hAnsi="Arial"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Arial" w:hAnsi="Arial" w:eastAsia="宋体" w:cs="Times New Roman"/>
          <w:bCs/>
          <w:kern w:val="2"/>
          <w:szCs w:val="32"/>
          <w:lang w:val="en-US" w:eastAsia="zh-CN" w:bidi="ar-SA"/>
        </w:rPr>
        <w:t>.2.</w:t>
      </w:r>
      <w:r>
        <w:rPr>
          <w:rFonts w:hint="eastAsia"/>
        </w:rPr>
        <w:t>品质工程建设</w:t>
      </w:r>
      <w:r>
        <w:tab/>
      </w:r>
      <w:r>
        <w:fldChar w:fldCharType="begin"/>
      </w:r>
      <w:r>
        <w:instrText xml:space="preserve"> PAGEREF _Toc15064 \h </w:instrText>
      </w:r>
      <w:r>
        <w:fldChar w:fldCharType="separate"/>
      </w:r>
      <w:r>
        <w:t>- 110 -</w:t>
      </w:r>
      <w:r>
        <w:fldChar w:fldCharType="end"/>
      </w:r>
      <w:r>
        <w:rPr>
          <w:rFonts w:hint="eastAsia" w:ascii="宋体" w:hAnsi="宋体" w:eastAsia="宋体" w:cs="宋体"/>
          <w:bCs/>
          <w:i w:val="0"/>
          <w:iCs w:val="0"/>
          <w:szCs w:val="24"/>
        </w:rPr>
        <w:fldChar w:fldCharType="end"/>
      </w:r>
    </w:p>
    <w:p w14:paraId="7F62B21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_Toc1606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.2.1.</w:t>
      </w:r>
      <w:r>
        <w:rPr>
          <w:rFonts w:hint="eastAsia"/>
        </w:rPr>
        <w:t>标准化管理</w:t>
      </w:r>
      <w:r>
        <w:tab/>
      </w:r>
      <w:r>
        <w:fldChar w:fldCharType="begin"/>
      </w:r>
      <w:r>
        <w:instrText xml:space="preserve"> PAGEREF _Toc1606 \h </w:instrText>
      </w:r>
      <w:r>
        <w:fldChar w:fldCharType="separate"/>
      </w:r>
      <w:r>
        <w:t>- 111 -</w:t>
      </w:r>
      <w:r>
        <w:fldChar w:fldCharType="end"/>
      </w:r>
      <w:r>
        <w:rPr>
          <w:rFonts w:hint="eastAsia" w:ascii="宋体" w:hAnsi="宋体" w:eastAsia="宋体" w:cs="宋体"/>
          <w:bCs/>
          <w:i w:val="0"/>
          <w:iCs w:val="0"/>
          <w:szCs w:val="24"/>
        </w:rPr>
        <w:fldChar w:fldCharType="end"/>
      </w:r>
    </w:p>
    <w:p w14:paraId="035F1504">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_Toc683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.2.2.</w:t>
      </w:r>
      <w:r>
        <w:rPr>
          <w:rFonts w:hint="eastAsia"/>
        </w:rPr>
        <w:t>安全文明标准化</w:t>
      </w:r>
      <w:r>
        <w:tab/>
      </w:r>
      <w:r>
        <w:fldChar w:fldCharType="begin"/>
      </w:r>
      <w:r>
        <w:instrText xml:space="preserve"> PAGEREF _Toc683 \h </w:instrText>
      </w:r>
      <w:r>
        <w:fldChar w:fldCharType="separate"/>
      </w:r>
      <w:r>
        <w:t>- 111 -</w:t>
      </w:r>
      <w:r>
        <w:fldChar w:fldCharType="end"/>
      </w:r>
      <w:r>
        <w:rPr>
          <w:rFonts w:hint="eastAsia" w:ascii="宋体" w:hAnsi="宋体" w:eastAsia="宋体" w:cs="宋体"/>
          <w:bCs/>
          <w:i w:val="0"/>
          <w:iCs w:val="0"/>
          <w:szCs w:val="24"/>
        </w:rPr>
        <w:fldChar w:fldCharType="end"/>
      </w:r>
    </w:p>
    <w:p w14:paraId="7474BE19">
      <w:pPr>
        <w:pStyle w:val="25"/>
        <w:tabs>
          <w:tab w:val="right" w:leader="dot" w:pos="9525"/>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_Toc28700 </w:instrText>
      </w:r>
      <w:r>
        <w:rPr>
          <w:rFonts w:hint="eastAsia" w:ascii="宋体" w:hAnsi="宋体" w:eastAsia="宋体" w:cs="宋体"/>
          <w:bCs/>
          <w:i w:val="0"/>
          <w:iCs w:val="0"/>
          <w:szCs w:val="24"/>
        </w:rPr>
        <w:fldChar w:fldCharType="separate"/>
      </w:r>
      <w:r>
        <w:rPr>
          <w:rFonts w:hint="default" w:ascii="Times New Roman" w:hAnsi="Times New Roman" w:eastAsia="宋体" w:cs="Times New Roman"/>
          <w:bCs/>
          <w:kern w:val="2"/>
          <w:szCs w:val="32"/>
          <w:lang w:val="en-US" w:eastAsia="zh-CN" w:bidi="ar-SA"/>
        </w:rPr>
        <w:t>1</w:t>
      </w:r>
      <w:r>
        <w:rPr>
          <w:rFonts w:hint="eastAsia" w:cs="Times New Roman"/>
          <w:bCs/>
          <w:kern w:val="2"/>
          <w:szCs w:val="32"/>
          <w:lang w:val="en-US" w:eastAsia="zh-CN" w:bidi="ar-SA"/>
        </w:rPr>
        <w:t>8</w:t>
      </w:r>
      <w:r>
        <w:rPr>
          <w:rFonts w:hint="default" w:ascii="Times New Roman" w:hAnsi="Times New Roman" w:eastAsia="宋体" w:cs="Times New Roman"/>
          <w:bCs/>
          <w:kern w:val="2"/>
          <w:szCs w:val="32"/>
          <w:lang w:val="en-US" w:eastAsia="zh-CN" w:bidi="ar-SA"/>
        </w:rPr>
        <w:t>.2.3.</w:t>
      </w:r>
      <w:r>
        <w:rPr>
          <w:rFonts w:hint="eastAsia"/>
        </w:rPr>
        <w:t>信息化管理水平</w:t>
      </w:r>
      <w:r>
        <w:tab/>
      </w:r>
      <w:r>
        <w:fldChar w:fldCharType="begin"/>
      </w:r>
      <w:r>
        <w:instrText xml:space="preserve"> PAGEREF _Toc28700 \h </w:instrText>
      </w:r>
      <w:r>
        <w:fldChar w:fldCharType="separate"/>
      </w:r>
      <w:r>
        <w:t>- 111 -</w:t>
      </w:r>
      <w:r>
        <w:fldChar w:fldCharType="end"/>
      </w:r>
      <w:r>
        <w:rPr>
          <w:rFonts w:hint="eastAsia" w:ascii="宋体" w:hAnsi="宋体" w:eastAsia="宋体" w:cs="宋体"/>
          <w:bCs/>
          <w:i w:val="0"/>
          <w:iCs w:val="0"/>
          <w:szCs w:val="24"/>
        </w:rPr>
        <w:fldChar w:fldCharType="end"/>
      </w:r>
    </w:p>
    <w:p w14:paraId="5FD44B59">
      <w:pPr>
        <w:pStyle w:val="34"/>
        <w:tabs>
          <w:tab w:val="right" w:leader="dot" w:pos="9525"/>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_Toc17370 </w:instrText>
      </w:r>
      <w:r>
        <w:rPr>
          <w:rFonts w:hint="eastAsia" w:ascii="宋体" w:hAnsi="宋体" w:eastAsia="宋体" w:cs="宋体"/>
          <w:bCs/>
          <w:i w:val="0"/>
          <w:iCs w:val="0"/>
          <w:szCs w:val="24"/>
        </w:rPr>
        <w:fldChar w:fldCharType="separate"/>
      </w:r>
      <w:r>
        <w:rPr>
          <w:rFonts w:hint="eastAsia" w:cs="Times New Roman"/>
          <w:bCs/>
          <w:kern w:val="36"/>
          <w:szCs w:val="48"/>
          <w:lang w:val="en-US" w:eastAsia="zh-CN" w:bidi="ar-SA"/>
        </w:rPr>
        <w:t>第十九章</w:t>
      </w:r>
      <w:r>
        <w:rPr>
          <w:rFonts w:hint="default" w:ascii="宋体" w:hAnsi="宋体" w:eastAsia="宋体" w:cs="Times New Roman"/>
          <w:bCs/>
          <w:kern w:val="36"/>
          <w:szCs w:val="48"/>
          <w:lang w:val="en-US" w:eastAsia="zh-CN" w:bidi="ar-SA"/>
        </w:rPr>
        <w:t>.</w:t>
      </w:r>
      <w:r>
        <w:rPr>
          <w:rFonts w:hint="eastAsia"/>
        </w:rPr>
        <w:t>其他</w:t>
      </w:r>
      <w:r>
        <w:tab/>
      </w:r>
      <w:r>
        <w:fldChar w:fldCharType="begin"/>
      </w:r>
      <w:r>
        <w:instrText xml:space="preserve"> PAGEREF _Toc17370 \h </w:instrText>
      </w:r>
      <w:r>
        <w:fldChar w:fldCharType="separate"/>
      </w:r>
      <w:r>
        <w:t>- 112 -</w:t>
      </w:r>
      <w:r>
        <w:fldChar w:fldCharType="end"/>
      </w:r>
      <w:r>
        <w:rPr>
          <w:rFonts w:hint="eastAsia" w:ascii="宋体" w:hAnsi="宋体" w:eastAsia="宋体" w:cs="宋体"/>
          <w:bCs/>
          <w:i w:val="0"/>
          <w:iCs w:val="0"/>
          <w:szCs w:val="24"/>
        </w:rPr>
        <w:fldChar w:fldCharType="end"/>
      </w:r>
    </w:p>
    <w:p w14:paraId="71E160D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_Toc26785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19</w:t>
      </w:r>
      <w:r>
        <w:rPr>
          <w:rFonts w:hint="default" w:ascii="Arial" w:hAnsi="Arial" w:eastAsia="宋体" w:cs="Times New Roman"/>
          <w:bCs/>
          <w:kern w:val="2"/>
          <w:szCs w:val="32"/>
          <w:lang w:val="en-US" w:eastAsia="zh-CN" w:bidi="ar-SA"/>
        </w:rPr>
        <w:t>.1.</w:t>
      </w:r>
      <w:r>
        <w:rPr>
          <w:rFonts w:hint="eastAsia"/>
        </w:rPr>
        <w:t>廉政建设保证体系</w:t>
      </w:r>
      <w:r>
        <w:tab/>
      </w:r>
      <w:r>
        <w:fldChar w:fldCharType="begin"/>
      </w:r>
      <w:r>
        <w:instrText xml:space="preserve"> PAGEREF _Toc26785 \h </w:instrText>
      </w:r>
      <w:r>
        <w:fldChar w:fldCharType="separate"/>
      </w:r>
      <w:r>
        <w:t>- 112 -</w:t>
      </w:r>
      <w:r>
        <w:fldChar w:fldCharType="end"/>
      </w:r>
      <w:r>
        <w:rPr>
          <w:rFonts w:hint="eastAsia" w:ascii="宋体" w:hAnsi="宋体" w:eastAsia="宋体" w:cs="宋体"/>
          <w:bCs/>
          <w:i w:val="0"/>
          <w:iCs w:val="0"/>
          <w:szCs w:val="24"/>
        </w:rPr>
        <w:fldChar w:fldCharType="end"/>
      </w:r>
    </w:p>
    <w:p w14:paraId="4012496C">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_Toc32183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19</w:t>
      </w:r>
      <w:r>
        <w:rPr>
          <w:rFonts w:hint="default" w:ascii="Arial" w:hAnsi="Arial" w:eastAsia="宋体" w:cs="Times New Roman"/>
          <w:bCs/>
          <w:kern w:val="2"/>
          <w:szCs w:val="32"/>
          <w:lang w:val="en-US" w:eastAsia="zh-CN" w:bidi="ar-SA"/>
        </w:rPr>
        <w:t>.2.</w:t>
      </w:r>
      <w:r>
        <w:rPr>
          <w:rFonts w:hint="eastAsia"/>
        </w:rPr>
        <w:t>廉政建设保证措施</w:t>
      </w:r>
      <w:r>
        <w:tab/>
      </w:r>
      <w:r>
        <w:fldChar w:fldCharType="begin"/>
      </w:r>
      <w:r>
        <w:instrText xml:space="preserve"> PAGEREF _Toc32183 \h </w:instrText>
      </w:r>
      <w:r>
        <w:fldChar w:fldCharType="separate"/>
      </w:r>
      <w:r>
        <w:t>- 112 -</w:t>
      </w:r>
      <w:r>
        <w:fldChar w:fldCharType="end"/>
      </w:r>
      <w:r>
        <w:rPr>
          <w:rFonts w:hint="eastAsia" w:ascii="宋体" w:hAnsi="宋体" w:eastAsia="宋体" w:cs="宋体"/>
          <w:bCs/>
          <w:i w:val="0"/>
          <w:iCs w:val="0"/>
          <w:szCs w:val="24"/>
        </w:rPr>
        <w:fldChar w:fldCharType="end"/>
      </w:r>
    </w:p>
    <w:p w14:paraId="708A2CA6">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_Toc16875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19</w:t>
      </w:r>
      <w:r>
        <w:rPr>
          <w:rFonts w:hint="default" w:ascii="Arial" w:hAnsi="Arial" w:eastAsia="宋体" w:cs="Times New Roman"/>
          <w:bCs/>
          <w:kern w:val="2"/>
          <w:szCs w:val="32"/>
          <w:lang w:val="en-US" w:eastAsia="zh-CN" w:bidi="ar-SA"/>
        </w:rPr>
        <w:t>.3.</w:t>
      </w:r>
      <w:r>
        <w:rPr>
          <w:rFonts w:hint="eastAsia"/>
        </w:rPr>
        <w:t>施工后期场地恢复措施</w:t>
      </w:r>
      <w:r>
        <w:tab/>
      </w:r>
      <w:r>
        <w:fldChar w:fldCharType="begin"/>
      </w:r>
      <w:r>
        <w:instrText xml:space="preserve"> PAGEREF _Toc16875 \h </w:instrText>
      </w:r>
      <w:r>
        <w:fldChar w:fldCharType="separate"/>
      </w:r>
      <w:r>
        <w:t>- 112 -</w:t>
      </w:r>
      <w:r>
        <w:fldChar w:fldCharType="end"/>
      </w:r>
      <w:r>
        <w:rPr>
          <w:rFonts w:hint="eastAsia" w:ascii="宋体" w:hAnsi="宋体" w:eastAsia="宋体" w:cs="宋体"/>
          <w:bCs/>
          <w:i w:val="0"/>
          <w:iCs w:val="0"/>
          <w:szCs w:val="24"/>
        </w:rPr>
        <w:fldChar w:fldCharType="end"/>
      </w:r>
    </w:p>
    <w:p w14:paraId="6EF21D72">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_Toc1868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19</w:t>
      </w:r>
      <w:r>
        <w:rPr>
          <w:rFonts w:hint="default" w:ascii="Arial" w:hAnsi="Arial" w:eastAsia="宋体" w:cs="Times New Roman"/>
          <w:bCs/>
          <w:kern w:val="2"/>
          <w:szCs w:val="32"/>
          <w:lang w:val="en-US" w:eastAsia="zh-CN" w:bidi="ar-SA"/>
        </w:rPr>
        <w:t>.4.</w:t>
      </w:r>
      <w:r>
        <w:rPr>
          <w:rFonts w:hint="eastAsia"/>
        </w:rPr>
        <w:t>农民工工资管理</w:t>
      </w:r>
      <w:r>
        <w:tab/>
      </w:r>
      <w:r>
        <w:fldChar w:fldCharType="begin"/>
      </w:r>
      <w:r>
        <w:instrText xml:space="preserve"> PAGEREF _Toc1868 \h </w:instrText>
      </w:r>
      <w:r>
        <w:fldChar w:fldCharType="separate"/>
      </w:r>
      <w:r>
        <w:t>- 113 -</w:t>
      </w:r>
      <w:r>
        <w:fldChar w:fldCharType="end"/>
      </w:r>
      <w:r>
        <w:rPr>
          <w:rFonts w:hint="eastAsia" w:ascii="宋体" w:hAnsi="宋体" w:eastAsia="宋体" w:cs="宋体"/>
          <w:bCs/>
          <w:i w:val="0"/>
          <w:iCs w:val="0"/>
          <w:szCs w:val="24"/>
        </w:rPr>
        <w:fldChar w:fldCharType="end"/>
      </w:r>
    </w:p>
    <w:p w14:paraId="257F52C7">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_Toc9561 </w:instrText>
      </w:r>
      <w:r>
        <w:rPr>
          <w:rFonts w:hint="eastAsia" w:ascii="宋体" w:hAnsi="宋体" w:eastAsia="宋体" w:cs="宋体"/>
          <w:bCs/>
          <w:i w:val="0"/>
          <w:iCs w:val="0"/>
          <w:szCs w:val="24"/>
        </w:rPr>
        <w:fldChar w:fldCharType="separate"/>
      </w:r>
      <w:r>
        <w:rPr>
          <w:rFonts w:hint="eastAsia" w:cs="Times New Roman"/>
          <w:bCs/>
          <w:kern w:val="2"/>
          <w:szCs w:val="32"/>
          <w:lang w:val="en-US" w:eastAsia="zh-CN" w:bidi="ar-SA"/>
        </w:rPr>
        <w:t>19</w:t>
      </w:r>
      <w:r>
        <w:rPr>
          <w:rFonts w:hint="default" w:ascii="Arial" w:hAnsi="Arial" w:eastAsia="宋体" w:cs="Times New Roman"/>
          <w:bCs/>
          <w:kern w:val="2"/>
          <w:szCs w:val="32"/>
          <w:lang w:val="en-US" w:eastAsia="zh-CN" w:bidi="ar-SA"/>
        </w:rPr>
        <w:t>.5.</w:t>
      </w:r>
      <w:r>
        <w:rPr>
          <w:rFonts w:hint="eastAsia"/>
        </w:rPr>
        <w:t>地上地下管线保护措施</w:t>
      </w:r>
      <w:r>
        <w:tab/>
      </w:r>
      <w:r>
        <w:fldChar w:fldCharType="begin"/>
      </w:r>
      <w:r>
        <w:instrText xml:space="preserve"> PAGEREF _Toc9561 \h </w:instrText>
      </w:r>
      <w:r>
        <w:fldChar w:fldCharType="separate"/>
      </w:r>
      <w:r>
        <w:t>- 113 -</w:t>
      </w:r>
      <w:r>
        <w:fldChar w:fldCharType="end"/>
      </w:r>
      <w:r>
        <w:rPr>
          <w:rFonts w:hint="eastAsia" w:ascii="宋体" w:hAnsi="宋体" w:eastAsia="宋体" w:cs="宋体"/>
          <w:bCs/>
          <w:i w:val="0"/>
          <w:iCs w:val="0"/>
          <w:szCs w:val="24"/>
        </w:rPr>
        <w:fldChar w:fldCharType="end"/>
      </w:r>
    </w:p>
    <w:p w14:paraId="4CF93023">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_Toc23893 </w:instrText>
      </w:r>
      <w:r>
        <w:rPr>
          <w:rFonts w:hint="eastAsia" w:ascii="宋体" w:hAnsi="宋体" w:eastAsia="宋体" w:cs="宋体"/>
          <w:bCs/>
          <w:i w:val="0"/>
          <w:iCs w:val="0"/>
          <w:szCs w:val="24"/>
        </w:rPr>
        <w:fldChar w:fldCharType="separate"/>
      </w:r>
      <w:r>
        <w:rPr>
          <w:rFonts w:hint="eastAsia"/>
          <w:highlight w:val="none"/>
          <w:lang w:val="en-US" w:eastAsia="zh-CN"/>
        </w:rPr>
        <w:t>附件一：施工总体进度计划横道图</w:t>
      </w:r>
      <w:r>
        <w:tab/>
      </w:r>
      <w:r>
        <w:fldChar w:fldCharType="begin"/>
      </w:r>
      <w:r>
        <w:instrText xml:space="preserve"> PAGEREF _Toc23893 \h </w:instrText>
      </w:r>
      <w:r>
        <w:fldChar w:fldCharType="separate"/>
      </w:r>
      <w:r>
        <w:t>- 117 -</w:t>
      </w:r>
      <w:r>
        <w:fldChar w:fldCharType="end"/>
      </w:r>
      <w:r>
        <w:rPr>
          <w:rFonts w:hint="eastAsia" w:ascii="宋体" w:hAnsi="宋体" w:eastAsia="宋体" w:cs="宋体"/>
          <w:bCs/>
          <w:i w:val="0"/>
          <w:iCs w:val="0"/>
          <w:szCs w:val="24"/>
        </w:rPr>
        <w:fldChar w:fldCharType="end"/>
      </w:r>
    </w:p>
    <w:p w14:paraId="69D67BCB">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_Toc10474 </w:instrText>
      </w:r>
      <w:r>
        <w:rPr>
          <w:rFonts w:hint="eastAsia" w:ascii="宋体" w:hAnsi="宋体" w:eastAsia="宋体" w:cs="宋体"/>
          <w:bCs/>
          <w:i w:val="0"/>
          <w:iCs w:val="0"/>
          <w:szCs w:val="24"/>
        </w:rPr>
        <w:fldChar w:fldCharType="separate"/>
      </w:r>
      <w:r>
        <w:rPr>
          <w:rFonts w:hint="eastAsia"/>
          <w:highlight w:val="none"/>
          <w:lang w:val="en-US" w:eastAsia="zh-CN"/>
        </w:rPr>
        <w:t>附件二：施工总平面图</w:t>
      </w:r>
      <w:r>
        <w:tab/>
      </w:r>
      <w:r>
        <w:fldChar w:fldCharType="begin"/>
      </w:r>
      <w:r>
        <w:instrText xml:space="preserve"> PAGEREF _Toc10474 \h </w:instrText>
      </w:r>
      <w:r>
        <w:fldChar w:fldCharType="separate"/>
      </w:r>
      <w:r>
        <w:t>- 118 -</w:t>
      </w:r>
      <w:r>
        <w:fldChar w:fldCharType="end"/>
      </w:r>
      <w:r>
        <w:rPr>
          <w:rFonts w:hint="eastAsia" w:ascii="宋体" w:hAnsi="宋体" w:eastAsia="宋体" w:cs="宋体"/>
          <w:bCs/>
          <w:i w:val="0"/>
          <w:iCs w:val="0"/>
          <w:szCs w:val="24"/>
        </w:rPr>
        <w:fldChar w:fldCharType="end"/>
      </w:r>
    </w:p>
    <w:p w14:paraId="6F3F3578">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_Toc11709 </w:instrText>
      </w:r>
      <w:r>
        <w:rPr>
          <w:rFonts w:hint="eastAsia" w:ascii="宋体" w:hAnsi="宋体" w:eastAsia="宋体" w:cs="宋体"/>
          <w:bCs/>
          <w:i w:val="0"/>
          <w:iCs w:val="0"/>
          <w:szCs w:val="24"/>
        </w:rPr>
        <w:fldChar w:fldCharType="separate"/>
      </w:r>
      <w:r>
        <w:rPr>
          <w:rFonts w:hint="eastAsia"/>
        </w:rPr>
        <w:t>附件</w:t>
      </w:r>
      <w:r>
        <w:rPr>
          <w:rFonts w:hint="eastAsia"/>
          <w:lang w:val="en-US" w:eastAsia="zh-CN"/>
        </w:rPr>
        <w:t>三</w:t>
      </w:r>
      <w:r>
        <w:rPr>
          <w:rFonts w:hint="eastAsia"/>
        </w:rPr>
        <w:t>：</w:t>
      </w:r>
      <w:r>
        <w:rPr>
          <w:rFonts w:hint="eastAsia"/>
          <w:lang w:val="en-US" w:eastAsia="zh-CN"/>
        </w:rPr>
        <w:t>四集中平面布置图</w:t>
      </w:r>
      <w:r>
        <w:tab/>
      </w:r>
      <w:r>
        <w:fldChar w:fldCharType="begin"/>
      </w:r>
      <w:r>
        <w:instrText xml:space="preserve"> PAGEREF _Toc11709 \h </w:instrText>
      </w:r>
      <w:r>
        <w:fldChar w:fldCharType="separate"/>
      </w:r>
      <w:r>
        <w:t>- 119 -</w:t>
      </w:r>
      <w:r>
        <w:fldChar w:fldCharType="end"/>
      </w:r>
      <w:r>
        <w:rPr>
          <w:rFonts w:hint="eastAsia" w:ascii="宋体" w:hAnsi="宋体" w:eastAsia="宋体" w:cs="宋体"/>
          <w:bCs/>
          <w:i w:val="0"/>
          <w:iCs w:val="0"/>
          <w:szCs w:val="24"/>
        </w:rPr>
        <w:fldChar w:fldCharType="end"/>
      </w:r>
    </w:p>
    <w:p w14:paraId="7A321DC9">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_Toc25092 </w:instrText>
      </w:r>
      <w:r>
        <w:rPr>
          <w:rFonts w:hint="eastAsia" w:ascii="宋体" w:hAnsi="宋体" w:eastAsia="宋体" w:cs="宋体"/>
          <w:bCs/>
          <w:i w:val="0"/>
          <w:iCs w:val="0"/>
          <w:szCs w:val="24"/>
        </w:rPr>
        <w:fldChar w:fldCharType="separate"/>
      </w:r>
      <w:r>
        <w:rPr>
          <w:rFonts w:hint="eastAsia"/>
        </w:rPr>
        <w:t>附件</w:t>
      </w:r>
      <w:r>
        <w:rPr>
          <w:rFonts w:hint="eastAsia"/>
          <w:lang w:val="en-US" w:eastAsia="zh-CN"/>
        </w:rPr>
        <w:t>四</w:t>
      </w:r>
      <w:r>
        <w:rPr>
          <w:rFonts w:hint="eastAsia"/>
        </w:rPr>
        <w:t>：主要施工机械配置及进场计划表</w:t>
      </w:r>
      <w:r>
        <w:tab/>
      </w:r>
      <w:r>
        <w:fldChar w:fldCharType="begin"/>
      </w:r>
      <w:r>
        <w:instrText xml:space="preserve"> PAGEREF _Toc25092 \h </w:instrText>
      </w:r>
      <w:r>
        <w:fldChar w:fldCharType="separate"/>
      </w:r>
      <w:r>
        <w:t>- 120 -</w:t>
      </w:r>
      <w:r>
        <w:fldChar w:fldCharType="end"/>
      </w:r>
      <w:r>
        <w:rPr>
          <w:rFonts w:hint="eastAsia" w:ascii="宋体" w:hAnsi="宋体" w:eastAsia="宋体" w:cs="宋体"/>
          <w:bCs/>
          <w:i w:val="0"/>
          <w:iCs w:val="0"/>
          <w:szCs w:val="24"/>
        </w:rPr>
        <w:fldChar w:fldCharType="end"/>
      </w:r>
    </w:p>
    <w:p w14:paraId="030E8594">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_Toc20636 </w:instrText>
      </w:r>
      <w:r>
        <w:rPr>
          <w:rFonts w:hint="eastAsia" w:ascii="宋体" w:hAnsi="宋体" w:eastAsia="宋体" w:cs="宋体"/>
          <w:bCs/>
          <w:i w:val="0"/>
          <w:iCs w:val="0"/>
          <w:szCs w:val="24"/>
        </w:rPr>
        <w:fldChar w:fldCharType="separate"/>
      </w:r>
      <w:r>
        <w:rPr>
          <w:rFonts w:hint="eastAsia"/>
        </w:rPr>
        <w:t>附件</w:t>
      </w:r>
      <w:r>
        <w:rPr>
          <w:rFonts w:hint="eastAsia"/>
          <w:lang w:val="en-US" w:eastAsia="zh-CN"/>
        </w:rPr>
        <w:t>五</w:t>
      </w:r>
      <w:r>
        <w:rPr>
          <w:rFonts w:hint="eastAsia"/>
        </w:rPr>
        <w:t>：</w:t>
      </w:r>
      <w:r>
        <w:rPr>
          <w:rFonts w:hint="eastAsia" w:ascii="宋体" w:cs="Arial"/>
          <w:kern w:val="0"/>
          <w:szCs w:val="28"/>
        </w:rPr>
        <w:t>主要试验仪器配置表</w:t>
      </w:r>
      <w:r>
        <w:tab/>
      </w:r>
      <w:r>
        <w:fldChar w:fldCharType="begin"/>
      </w:r>
      <w:r>
        <w:instrText xml:space="preserve"> PAGEREF _Toc20636 \h </w:instrText>
      </w:r>
      <w:r>
        <w:fldChar w:fldCharType="separate"/>
      </w:r>
      <w:r>
        <w:t>- 121 -</w:t>
      </w:r>
      <w:r>
        <w:fldChar w:fldCharType="end"/>
      </w:r>
      <w:r>
        <w:rPr>
          <w:rFonts w:hint="eastAsia" w:ascii="宋体" w:hAnsi="宋体" w:eastAsia="宋体" w:cs="宋体"/>
          <w:bCs/>
          <w:i w:val="0"/>
          <w:iCs w:val="0"/>
          <w:szCs w:val="24"/>
        </w:rPr>
        <w:fldChar w:fldCharType="end"/>
      </w:r>
    </w:p>
    <w:p w14:paraId="0E6C929E">
      <w:pPr>
        <w:pStyle w:val="40"/>
        <w:tabs>
          <w:tab w:val="right" w:leader="dot" w:pos="9525"/>
          <w:tab w:val="clear" w:pos="1330"/>
          <w:tab w:val="clear" w:pos="8930"/>
        </w:tabs>
      </w:pPr>
      <w:r>
        <w:rPr>
          <w:rFonts w:hint="eastAsia" w:ascii="宋体" w:hAnsi="宋体" w:eastAsia="宋体" w:cs="宋体"/>
          <w:bCs/>
          <w:i w:val="0"/>
          <w:iCs w:val="0"/>
          <w:szCs w:val="24"/>
        </w:rPr>
        <w:fldChar w:fldCharType="begin"/>
      </w:r>
      <w:r>
        <w:rPr>
          <w:rFonts w:hint="eastAsia" w:ascii="宋体" w:hAnsi="宋体" w:eastAsia="宋体" w:cs="宋体"/>
          <w:bCs/>
          <w:i w:val="0"/>
          <w:iCs w:val="0"/>
          <w:szCs w:val="24"/>
        </w:rPr>
        <w:instrText xml:space="preserve"> HYPERLINK \l _Toc10109 </w:instrText>
      </w:r>
      <w:r>
        <w:rPr>
          <w:rFonts w:hint="eastAsia" w:ascii="宋体" w:hAnsi="宋体" w:eastAsia="宋体" w:cs="宋体"/>
          <w:bCs/>
          <w:i w:val="0"/>
          <w:iCs w:val="0"/>
          <w:szCs w:val="24"/>
        </w:rPr>
        <w:fldChar w:fldCharType="separate"/>
      </w:r>
      <w:r>
        <w:rPr>
          <w:rFonts w:hint="eastAsia"/>
          <w:lang w:val="en-US" w:eastAsia="zh-CN"/>
        </w:rPr>
        <w:t>附件六、进场主要人员表</w:t>
      </w:r>
      <w:r>
        <w:tab/>
      </w:r>
      <w:r>
        <w:fldChar w:fldCharType="begin"/>
      </w:r>
      <w:r>
        <w:instrText xml:space="preserve"> PAGEREF _Toc10109 \h </w:instrText>
      </w:r>
      <w:r>
        <w:fldChar w:fldCharType="separate"/>
      </w:r>
      <w:r>
        <w:t>- 123 -</w:t>
      </w:r>
      <w:r>
        <w:fldChar w:fldCharType="end"/>
      </w:r>
      <w:r>
        <w:rPr>
          <w:rFonts w:hint="eastAsia" w:ascii="宋体" w:hAnsi="宋体" w:eastAsia="宋体" w:cs="宋体"/>
          <w:bCs/>
          <w:i w:val="0"/>
          <w:iCs w:val="0"/>
          <w:szCs w:val="24"/>
        </w:rPr>
        <w:fldChar w:fldCharType="end"/>
      </w:r>
    </w:p>
    <w:p w14:paraId="5CF01395">
      <w:pPr>
        <w:pStyle w:val="34"/>
        <w:ind w:firstLine="420"/>
        <w:jc w:val="center"/>
        <w:rPr>
          <w:rFonts w:hint="eastAsia" w:ascii="宋体" w:hAnsi="宋体" w:eastAsia="宋体" w:cs="宋体"/>
          <w:i w:val="0"/>
          <w:iCs w:val="0"/>
          <w:sz w:val="24"/>
          <w:szCs w:val="24"/>
        </w:rPr>
        <w:sectPr>
          <w:footerReference r:id="rId7" w:type="default"/>
          <w:pgSz w:w="11906" w:h="16838"/>
          <w:pgMar w:top="1440" w:right="1134" w:bottom="1440" w:left="1247" w:header="850" w:footer="992" w:gutter="0"/>
          <w:pgNumType w:fmt="numberInDash" w:start="1"/>
          <w:cols w:space="720" w:num="1"/>
          <w:docGrid w:linePitch="326" w:charSpace="0"/>
        </w:sectPr>
      </w:pPr>
      <w:r>
        <w:rPr>
          <w:rFonts w:hint="eastAsia" w:ascii="宋体" w:hAnsi="宋体" w:eastAsia="宋体" w:cs="宋体"/>
          <w:bCs/>
          <w:i w:val="0"/>
          <w:iCs w:val="0"/>
          <w:szCs w:val="24"/>
        </w:rPr>
        <w:fldChar w:fldCharType="end"/>
      </w:r>
      <w:bookmarkStart w:id="12" w:name="_Toc32173"/>
      <w:bookmarkStart w:id="13" w:name="_Toc30624"/>
      <w:bookmarkStart w:id="14" w:name="_Toc50213074"/>
      <w:bookmarkStart w:id="15" w:name="_Toc27014"/>
      <w:bookmarkStart w:id="16" w:name="_Toc11393"/>
      <w:bookmarkStart w:id="17" w:name="_Toc148"/>
    </w:p>
    <w:p w14:paraId="5AFBDED1">
      <w:pPr>
        <w:pStyle w:val="34"/>
        <w:ind w:left="0" w:leftChars="0" w:firstLine="0" w:firstLineChars="0"/>
        <w:jc w:val="both"/>
        <w:rPr>
          <w:rFonts w:hint="eastAsia" w:ascii="宋体" w:hAnsi="宋体" w:eastAsia="宋体" w:cs="宋体"/>
          <w:bCs/>
          <w:i w:val="0"/>
          <w:iCs w:val="0"/>
          <w:szCs w:val="21"/>
        </w:rPr>
      </w:pPr>
    </w:p>
    <w:bookmarkEnd w:id="12"/>
    <w:bookmarkEnd w:id="13"/>
    <w:bookmarkEnd w:id="14"/>
    <w:bookmarkEnd w:id="15"/>
    <w:bookmarkEnd w:id="16"/>
    <w:bookmarkEnd w:id="17"/>
    <w:p w14:paraId="5E39F2E0">
      <w:pPr>
        <w:pStyle w:val="2"/>
        <w:numPr>
          <w:ilvl w:val="0"/>
          <w:numId w:val="0"/>
        </w:numPr>
        <w:bidi w:val="0"/>
        <w:ind w:leftChars="0"/>
        <w:jc w:val="center"/>
        <w:rPr>
          <w:rFonts w:hint="eastAsia" w:eastAsia="宋体"/>
          <w:color w:val="auto"/>
          <w:lang w:val="en-US" w:eastAsia="zh-CN"/>
        </w:rPr>
      </w:pPr>
      <w:bookmarkStart w:id="18" w:name="_Toc22640"/>
      <w:bookmarkStart w:id="19" w:name="_Toc22003"/>
      <w:bookmarkStart w:id="20" w:name="_Toc29911"/>
      <w:bookmarkStart w:id="21" w:name="_Toc9845"/>
      <w:bookmarkStart w:id="22" w:name="_Toc7346"/>
      <w:bookmarkStart w:id="23" w:name="_Toc23120"/>
      <w:bookmarkStart w:id="24" w:name="_Toc30559"/>
      <w:bookmarkStart w:id="25" w:name="_Toc23809"/>
      <w:bookmarkStart w:id="26" w:name="_Toc29235"/>
      <w:bookmarkStart w:id="27" w:name="_Toc15728"/>
      <w:bookmarkStart w:id="28" w:name="_Toc14015"/>
      <w:bookmarkStart w:id="29" w:name="_Toc13547"/>
      <w:bookmarkStart w:id="30" w:name="_Toc30560"/>
      <w:bookmarkStart w:id="31" w:name="_Toc4473"/>
      <w:bookmarkStart w:id="32" w:name="_Toc10724"/>
      <w:bookmarkStart w:id="33" w:name="_Toc24215"/>
      <w:bookmarkStart w:id="34" w:name="_Toc3006"/>
      <w:bookmarkStart w:id="35" w:name="_Toc477254855"/>
      <w:bookmarkStart w:id="36" w:name="_Toc8099"/>
      <w:bookmarkStart w:id="37" w:name="_Toc13824"/>
      <w:bookmarkStart w:id="38" w:name="_Toc477253494"/>
      <w:bookmarkStart w:id="39" w:name="_Toc25143"/>
      <w:bookmarkStart w:id="40" w:name="_Toc17963"/>
      <w:bookmarkStart w:id="41" w:name="_Toc32053"/>
      <w:bookmarkStart w:id="42" w:name="_Toc14754"/>
      <w:bookmarkStart w:id="43" w:name="_Toc18847"/>
      <w:bookmarkStart w:id="44" w:name="_Toc30675"/>
      <w:bookmarkStart w:id="45" w:name="_Toc9542"/>
      <w:bookmarkStart w:id="46" w:name="_Toc24323"/>
      <w:bookmarkStart w:id="47" w:name="_Toc477253489"/>
      <w:bookmarkStart w:id="48" w:name="_Toc18144"/>
      <w:bookmarkStart w:id="49" w:name="_Toc31200"/>
      <w:bookmarkStart w:id="50" w:name="_Toc477254850"/>
      <w:bookmarkStart w:id="51" w:name="_Toc18769"/>
      <w:r>
        <w:rPr>
          <w:rFonts w:hint="eastAsia"/>
          <w:color w:val="auto"/>
        </w:rPr>
        <w:t>第一章  编制依据及</w:t>
      </w:r>
      <w:bookmarkEnd w:id="18"/>
      <w:r>
        <w:rPr>
          <w:rFonts w:hint="eastAsia"/>
          <w:color w:val="auto"/>
          <w:lang w:val="en-US" w:eastAsia="zh-CN"/>
        </w:rPr>
        <w:t>范围</w:t>
      </w:r>
      <w:bookmarkEnd w:id="19"/>
    </w:p>
    <w:p w14:paraId="5216FE50">
      <w:pPr>
        <w:pStyle w:val="4"/>
        <w:bidi w:val="0"/>
        <w:rPr>
          <w:rFonts w:hint="eastAsia"/>
          <w:color w:val="auto"/>
        </w:rPr>
      </w:pPr>
      <w:bookmarkStart w:id="52" w:name="_Toc29786"/>
      <w:r>
        <w:rPr>
          <w:rFonts w:hint="default"/>
          <w:color w:val="auto"/>
          <w:lang w:val="en-US" w:eastAsia="zh-CN"/>
        </w:rPr>
        <w:t>1.1.</w:t>
      </w:r>
      <w:r>
        <w:rPr>
          <w:rFonts w:hint="eastAsia"/>
          <w:color w:val="auto"/>
        </w:rPr>
        <w:t>文件依据</w:t>
      </w:r>
      <w:bookmarkEnd w:id="20"/>
      <w:bookmarkEnd w:id="21"/>
      <w:bookmarkEnd w:id="22"/>
      <w:bookmarkEnd w:id="23"/>
      <w:bookmarkEnd w:id="24"/>
      <w:bookmarkEnd w:id="25"/>
      <w:bookmarkEnd w:id="26"/>
      <w:bookmarkEnd w:id="27"/>
      <w:bookmarkEnd w:id="28"/>
      <w:bookmarkEnd w:id="29"/>
      <w:bookmarkEnd w:id="52"/>
    </w:p>
    <w:p w14:paraId="48B108C8">
      <w:pPr>
        <w:keepNext/>
        <w:keepLines/>
        <w:spacing w:line="360" w:lineRule="auto"/>
        <w:ind w:firstLine="482" w:firstLineChars="200"/>
        <w:jc w:val="left"/>
        <w:outlineLvl w:val="2"/>
        <w:rPr>
          <w:rFonts w:hint="default" w:ascii="Times New Roman" w:hAnsi="Times New Roman" w:eastAsia="宋体" w:cs="Times New Roman"/>
          <w:b/>
          <w:kern w:val="0"/>
          <w:sz w:val="24"/>
          <w:szCs w:val="20"/>
          <w:lang w:val="en-US" w:eastAsia="zh-CN"/>
        </w:rPr>
      </w:pPr>
      <w:bookmarkStart w:id="53" w:name="_Toc4642"/>
      <w:r>
        <w:rPr>
          <w:rFonts w:hint="eastAsia" w:ascii="Times New Roman" w:hAnsi="Times New Roman" w:eastAsia="宋体" w:cs="Times New Roman"/>
          <w:b/>
          <w:kern w:val="0"/>
          <w:sz w:val="24"/>
          <w:szCs w:val="20"/>
          <w:lang w:val="en-US" w:eastAsia="zh-CN"/>
        </w:rPr>
        <w:t>1.1.1相关法律法规</w:t>
      </w:r>
      <w:bookmarkEnd w:id="53"/>
    </w:p>
    <w:p w14:paraId="66DF05E8">
      <w:pPr>
        <w:spacing w:line="360" w:lineRule="auto"/>
        <w:ind w:firstLine="480" w:firstLineChars="200"/>
        <w:jc w:val="left"/>
        <w:rPr>
          <w:rFonts w:hint="eastAsia"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rPr>
        <w:t>1、《</w:t>
      </w:r>
      <w:r>
        <w:rPr>
          <w:rFonts w:hint="eastAsia" w:ascii="Times New Roman" w:hAnsi="Times New Roman" w:cs="Times New Roman"/>
          <w:sz w:val="24"/>
          <w:szCs w:val="24"/>
          <w:highlight w:val="none"/>
          <w:lang w:eastAsia="zh-CN"/>
        </w:rPr>
        <w:t>中华人民共和国安全生产法</w:t>
      </w:r>
      <w:r>
        <w:rPr>
          <w:rFonts w:hint="eastAsia" w:ascii="Times New Roman" w:hAnsi="Times New Roman" w:eastAsia="宋体" w:cs="Times New Roman"/>
          <w:sz w:val="24"/>
          <w:szCs w:val="24"/>
          <w:highlight w:val="none"/>
        </w:rPr>
        <w:t>》2021修订版；</w:t>
      </w:r>
    </w:p>
    <w:p w14:paraId="155EA027">
      <w:pPr>
        <w:spacing w:line="360" w:lineRule="auto"/>
        <w:ind w:firstLine="480" w:firstLineChars="200"/>
        <w:jc w:val="left"/>
        <w:rPr>
          <w:rFonts w:hint="eastAsia"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rPr>
        <w:t>2、《建设工程安全生产管理条例》国务院第 393 号令；</w:t>
      </w:r>
    </w:p>
    <w:p w14:paraId="3D23A32F">
      <w:pPr>
        <w:spacing w:line="360" w:lineRule="auto"/>
        <w:ind w:firstLine="480" w:firstLineChars="200"/>
        <w:jc w:val="left"/>
        <w:rPr>
          <w:rFonts w:hint="eastAsia"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rPr>
        <w:t>3、《特种设备安全监察条例》（国务院令第 549 号）；</w:t>
      </w:r>
    </w:p>
    <w:p w14:paraId="6BEDE582">
      <w:pPr>
        <w:spacing w:line="360" w:lineRule="auto"/>
        <w:ind w:firstLine="480" w:firstLineChars="200"/>
        <w:jc w:val="left"/>
        <w:rPr>
          <w:rFonts w:hint="eastAsia"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rPr>
        <w:t>4、《中华人民共和国特种设备安全法》主席令第 4 号；</w:t>
      </w:r>
    </w:p>
    <w:p w14:paraId="1ECAAFE6">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5、《特种设备质量监督与安全监察规定》（质检总局令第 13 号）；</w:t>
      </w:r>
    </w:p>
    <w:p w14:paraId="65641AF9">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6、</w:t>
      </w:r>
      <w:r>
        <w:rPr>
          <w:rFonts w:hint="eastAsia" w:ascii="Times New Roman" w:hAnsi="Times New Roman"/>
          <w:sz w:val="24"/>
          <w:szCs w:val="24"/>
        </w:rPr>
        <w:t>《中华人民共和国环境保护法》；</w:t>
      </w:r>
    </w:p>
    <w:p w14:paraId="3255DBAD">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7、</w:t>
      </w:r>
      <w:r>
        <w:rPr>
          <w:rFonts w:hint="eastAsia" w:ascii="Times New Roman" w:hAnsi="Times New Roman"/>
          <w:sz w:val="24"/>
          <w:szCs w:val="24"/>
        </w:rPr>
        <w:t>《中华人民共和国环境噪声污染防治法》；</w:t>
      </w:r>
    </w:p>
    <w:p w14:paraId="690CC40B">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8、</w:t>
      </w:r>
      <w:r>
        <w:rPr>
          <w:rFonts w:hint="eastAsia" w:ascii="Times New Roman" w:hAnsi="Times New Roman"/>
          <w:sz w:val="24"/>
          <w:szCs w:val="24"/>
        </w:rPr>
        <w:t>《中华人民共和国水土保持法》；</w:t>
      </w:r>
    </w:p>
    <w:p w14:paraId="5319BF25">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9、</w:t>
      </w:r>
      <w:r>
        <w:rPr>
          <w:rFonts w:hint="eastAsia" w:ascii="Times New Roman" w:hAnsi="Times New Roman"/>
          <w:sz w:val="24"/>
          <w:szCs w:val="24"/>
        </w:rPr>
        <w:t>《建设项目环境保护管理条例》；</w:t>
      </w:r>
    </w:p>
    <w:p w14:paraId="4755BBC3">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10、</w:t>
      </w:r>
      <w:r>
        <w:rPr>
          <w:rFonts w:hint="eastAsia" w:ascii="Times New Roman" w:hAnsi="Times New Roman"/>
          <w:sz w:val="24"/>
          <w:szCs w:val="24"/>
        </w:rPr>
        <w:t>《中华人民共和国水土保持法实施条例》；</w:t>
      </w:r>
    </w:p>
    <w:p w14:paraId="6DD66877">
      <w:pPr>
        <w:spacing w:line="360" w:lineRule="auto"/>
        <w:ind w:firstLine="480" w:firstLineChars="200"/>
        <w:jc w:val="left"/>
        <w:rPr>
          <w:rFonts w:hint="eastAsia"/>
        </w:rPr>
      </w:pPr>
      <w:r>
        <w:rPr>
          <w:rFonts w:hint="eastAsia" w:ascii="Times New Roman" w:hAnsi="Times New Roman"/>
          <w:sz w:val="24"/>
          <w:szCs w:val="24"/>
          <w:lang w:val="en-US" w:eastAsia="zh-CN"/>
        </w:rPr>
        <w:t>11、</w:t>
      </w:r>
      <w:r>
        <w:rPr>
          <w:rFonts w:hint="eastAsia" w:ascii="Times New Roman" w:hAnsi="Times New Roman"/>
          <w:sz w:val="24"/>
          <w:szCs w:val="24"/>
        </w:rPr>
        <w:t>《建设工程质量管理条例》</w:t>
      </w:r>
      <w:r>
        <w:rPr>
          <w:rFonts w:hint="eastAsia" w:ascii="Times New Roman" w:hAnsi="Times New Roman"/>
          <w:sz w:val="24"/>
          <w:szCs w:val="24"/>
          <w:lang w:eastAsia="zh-CN"/>
        </w:rPr>
        <w:t>。</w:t>
      </w:r>
    </w:p>
    <w:p w14:paraId="27DD0327">
      <w:pPr>
        <w:keepNext/>
        <w:keepLines/>
        <w:spacing w:line="360" w:lineRule="auto"/>
        <w:ind w:firstLine="482" w:firstLineChars="200"/>
        <w:jc w:val="left"/>
        <w:outlineLvl w:val="2"/>
        <w:rPr>
          <w:rFonts w:hint="eastAsia" w:ascii="Times New Roman" w:hAnsi="Times New Roman" w:eastAsia="宋体" w:cs="Times New Roman"/>
          <w:b/>
          <w:kern w:val="0"/>
          <w:sz w:val="24"/>
          <w:szCs w:val="20"/>
          <w:lang w:val="en-US" w:eastAsia="zh-CN"/>
        </w:rPr>
      </w:pPr>
      <w:bookmarkStart w:id="54" w:name="_Toc25459"/>
      <w:bookmarkStart w:id="55" w:name="_Toc26820"/>
      <w:bookmarkStart w:id="56" w:name="_Toc27903"/>
      <w:r>
        <w:rPr>
          <w:rFonts w:hint="eastAsia" w:ascii="Times New Roman" w:hAnsi="Times New Roman" w:eastAsia="宋体" w:cs="Times New Roman"/>
          <w:b/>
          <w:kern w:val="0"/>
          <w:sz w:val="24"/>
          <w:szCs w:val="20"/>
          <w:lang w:val="en-US" w:eastAsia="zh-CN"/>
        </w:rPr>
        <w:t>1.1.2 相关标准、规范、规程、指南</w:t>
      </w:r>
      <w:bookmarkEnd w:id="54"/>
      <w:bookmarkEnd w:id="55"/>
      <w:bookmarkEnd w:id="56"/>
    </w:p>
    <w:p w14:paraId="49B0DD88">
      <w:pPr>
        <w:spacing w:line="360" w:lineRule="auto"/>
        <w:ind w:firstLine="480" w:firstLineChars="200"/>
        <w:jc w:val="left"/>
        <w:rPr>
          <w:rFonts w:hint="eastAsia" w:ascii="Times New Roman" w:hAnsi="Times New Roman" w:eastAsia="宋体" w:cs="Times New Roman"/>
          <w:sz w:val="24"/>
          <w:szCs w:val="24"/>
        </w:rPr>
      </w:pPr>
      <w:bookmarkStart w:id="57" w:name="_Toc18103"/>
      <w:r>
        <w:rPr>
          <w:rFonts w:hint="eastAsia" w:ascii="Times New Roman" w:hAnsi="Times New Roman" w:eastAsia="宋体" w:cs="Times New Roman"/>
          <w:sz w:val="24"/>
          <w:szCs w:val="24"/>
        </w:rPr>
        <w:t>1、《工程建设标准强制性条文》；</w:t>
      </w:r>
    </w:p>
    <w:p w14:paraId="0DCB84CF">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rPr>
        <w:t>《公路工程技术标准》(JTGB01-2014)</w:t>
      </w:r>
    </w:p>
    <w:p w14:paraId="3F88AA01">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3</w:t>
      </w:r>
      <w:r>
        <w:rPr>
          <w:rFonts w:hint="eastAsia" w:ascii="Times New Roman" w:hAnsi="Times New Roman" w:eastAsia="宋体" w:cs="Times New Roman"/>
          <w:sz w:val="24"/>
          <w:szCs w:val="24"/>
        </w:rPr>
        <w:t>、《</w:t>
      </w:r>
      <w:r>
        <w:rPr>
          <w:rFonts w:hint="eastAsia" w:ascii="Times New Roman" w:hAnsi="Times New Roman" w:cs="Times New Roman"/>
          <w:sz w:val="24"/>
          <w:szCs w:val="24"/>
          <w:lang w:eastAsia="zh-CN"/>
        </w:rPr>
        <w:t>公路工程质量检验评定标准 第一册 土建工程</w:t>
      </w:r>
      <w:r>
        <w:rPr>
          <w:rFonts w:hint="eastAsia" w:ascii="Times New Roman" w:hAnsi="Times New Roman" w:eastAsia="宋体" w:cs="Times New Roman"/>
          <w:sz w:val="24"/>
          <w:szCs w:val="24"/>
        </w:rPr>
        <w:t>》</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JTG F80/1-2017</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w:t>
      </w:r>
    </w:p>
    <w:p w14:paraId="022E3CB0">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4</w:t>
      </w:r>
      <w:r>
        <w:rPr>
          <w:rFonts w:hint="eastAsia" w:ascii="Times New Roman" w:hAnsi="Times New Roman" w:eastAsia="宋体" w:cs="Times New Roman"/>
          <w:sz w:val="24"/>
          <w:szCs w:val="24"/>
        </w:rPr>
        <w:t>、《公路工程技术标准》</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9</w:t>
      </w:r>
      <w:r>
        <w:rPr>
          <w:rFonts w:hint="eastAsia" w:ascii="Times New Roman" w:hAnsi="Times New Roman" w:eastAsia="宋体" w:cs="Times New Roman"/>
          <w:sz w:val="24"/>
          <w:szCs w:val="24"/>
        </w:rPr>
        <w:t>JTG B01－2014</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w:t>
      </w:r>
    </w:p>
    <w:p w14:paraId="7798BB72">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5、《公路路基施工技术规范》</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JTG/T 3610-2019</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w:t>
      </w:r>
    </w:p>
    <w:p w14:paraId="6154D978">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6、《公路桥涵施工技术规范》</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JTG/T 3650-2020</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rPr>
        <w:t>；</w:t>
      </w:r>
    </w:p>
    <w:p w14:paraId="5DF6D0AA">
      <w:pPr>
        <w:spacing w:line="360" w:lineRule="auto"/>
        <w:ind w:firstLine="480" w:firstLineChars="200"/>
        <w:jc w:val="left"/>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val="en-US" w:eastAsia="zh-CN"/>
        </w:rPr>
        <w:t>7</w:t>
      </w:r>
      <w:r>
        <w:rPr>
          <w:rFonts w:hint="eastAsia" w:ascii="Times New Roman" w:hAnsi="Times New Roman" w:eastAsia="宋体" w:cs="Times New Roman"/>
          <w:sz w:val="24"/>
          <w:szCs w:val="24"/>
        </w:rPr>
        <w:t>、《涉路工程安全评价规范》（DB34/T 2395-2015）</w:t>
      </w:r>
      <w:r>
        <w:rPr>
          <w:rFonts w:hint="eastAsia" w:ascii="Times New Roman" w:hAnsi="Times New Roman" w:eastAsia="宋体" w:cs="Times New Roman"/>
          <w:sz w:val="24"/>
          <w:szCs w:val="24"/>
          <w:lang w:eastAsia="zh-CN"/>
        </w:rPr>
        <w:t>；</w:t>
      </w:r>
    </w:p>
    <w:p w14:paraId="5E90CD1A">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8</w:t>
      </w:r>
      <w:r>
        <w:rPr>
          <w:rFonts w:hint="eastAsia" w:ascii="Times New Roman" w:hAnsi="Times New Roman" w:eastAsia="宋体" w:cs="Times New Roman"/>
          <w:sz w:val="24"/>
          <w:szCs w:val="24"/>
        </w:rPr>
        <w:t>、《工程测量标准》（GB50026-2020）；</w:t>
      </w:r>
    </w:p>
    <w:p w14:paraId="706EED73">
      <w:pPr>
        <w:spacing w:line="360" w:lineRule="auto"/>
        <w:ind w:firstLine="480" w:firstLineChars="200"/>
        <w:jc w:val="left"/>
        <w:rPr>
          <w:rFonts w:hint="eastAsia"/>
        </w:rPr>
      </w:pPr>
      <w:r>
        <w:rPr>
          <w:rFonts w:hint="eastAsia" w:ascii="Times New Roman" w:hAnsi="Times New Roman"/>
          <w:sz w:val="24"/>
          <w:szCs w:val="24"/>
          <w:lang w:val="en-US" w:eastAsia="zh-CN"/>
        </w:rPr>
        <w:t>9、</w:t>
      </w:r>
      <w:r>
        <w:rPr>
          <w:rFonts w:hint="eastAsia" w:ascii="Times New Roman" w:hAnsi="Times New Roman"/>
          <w:sz w:val="24"/>
          <w:szCs w:val="24"/>
        </w:rPr>
        <w:t>《</w:t>
      </w:r>
      <w:r>
        <w:rPr>
          <w:rFonts w:hint="eastAsia" w:ascii="Times New Roman" w:hAnsi="Times New Roman"/>
          <w:sz w:val="24"/>
          <w:szCs w:val="24"/>
          <w:lang w:eastAsia="zh-CN"/>
        </w:rPr>
        <w:t>公路勘测细则</w:t>
      </w:r>
      <w:r>
        <w:rPr>
          <w:rFonts w:hint="eastAsia" w:ascii="Times New Roman" w:hAnsi="Times New Roman"/>
          <w:sz w:val="24"/>
          <w:szCs w:val="24"/>
        </w:rPr>
        <w:t>》（</w:t>
      </w:r>
      <w:r>
        <w:rPr>
          <w:rFonts w:hint="eastAsia" w:ascii="Times New Roman" w:hAnsi="Times New Roman"/>
          <w:sz w:val="24"/>
          <w:szCs w:val="24"/>
          <w:lang w:eastAsia="zh-CN"/>
        </w:rPr>
        <w:t>JTG/T C10-2007</w:t>
      </w:r>
      <w:r>
        <w:rPr>
          <w:rFonts w:hint="eastAsia" w:ascii="Times New Roman" w:hAnsi="Times New Roman"/>
          <w:sz w:val="24"/>
          <w:szCs w:val="24"/>
        </w:rPr>
        <w:t>）</w:t>
      </w:r>
      <w:r>
        <w:rPr>
          <w:rFonts w:hint="eastAsia" w:ascii="Times New Roman" w:hAnsi="Times New Roman"/>
          <w:sz w:val="24"/>
          <w:szCs w:val="24"/>
          <w:lang w:eastAsia="zh-CN"/>
        </w:rPr>
        <w:t>；</w:t>
      </w:r>
    </w:p>
    <w:p w14:paraId="75170367">
      <w:pPr>
        <w:spacing w:line="360" w:lineRule="auto"/>
        <w:ind w:firstLine="480" w:firstLineChars="200"/>
        <w:jc w:val="left"/>
        <w:rPr>
          <w:rFonts w:hint="eastAsia"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10</w:t>
      </w:r>
      <w:r>
        <w:rPr>
          <w:rFonts w:hint="eastAsia" w:ascii="Times New Roman" w:hAnsi="Times New Roman" w:eastAsia="宋体" w:cs="Times New Roman"/>
          <w:sz w:val="24"/>
          <w:szCs w:val="24"/>
          <w:lang w:val="en-US" w:eastAsia="zh-CN"/>
        </w:rPr>
        <w:t>、《公路钢结构桥梁制造和安装施工规范》</w:t>
      </w:r>
      <w:r>
        <w:rPr>
          <w:rFonts w:hint="eastAsia" w:ascii="Times New Roman" w:hAnsi="Times New Roman"/>
          <w:sz w:val="24"/>
          <w:szCs w:val="24"/>
        </w:rPr>
        <w:t>（</w:t>
      </w:r>
      <w:r>
        <w:rPr>
          <w:rFonts w:hint="eastAsia" w:ascii="Times New Roman" w:hAnsi="Times New Roman" w:eastAsia="宋体" w:cs="Times New Roman"/>
          <w:sz w:val="24"/>
          <w:szCs w:val="24"/>
          <w:lang w:val="en-US" w:eastAsia="zh-CN"/>
        </w:rPr>
        <w:t>JTG/T 3651-2022</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w:t>
      </w:r>
    </w:p>
    <w:p w14:paraId="7C65D562">
      <w:pPr>
        <w:spacing w:line="360" w:lineRule="auto"/>
        <w:ind w:firstLine="480" w:firstLineChars="200"/>
        <w:jc w:val="lef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w:t>
      </w:r>
      <w:r>
        <w:rPr>
          <w:rFonts w:hint="eastAsia" w:ascii="Times New Roman" w:hAnsi="Times New Roman" w:cs="Times New Roman"/>
          <w:sz w:val="24"/>
          <w:szCs w:val="24"/>
          <w:lang w:val="en-US" w:eastAsia="zh-CN"/>
        </w:rPr>
        <w:t>1</w:t>
      </w:r>
      <w:r>
        <w:rPr>
          <w:rFonts w:hint="eastAsia" w:ascii="Times New Roman" w:hAnsi="Times New Roman" w:eastAsia="宋体" w:cs="Times New Roman"/>
          <w:sz w:val="24"/>
          <w:szCs w:val="24"/>
          <w:lang w:val="en-US" w:eastAsia="zh-CN"/>
        </w:rPr>
        <w:t>、《公路钢结构桥梁设计规范》</w:t>
      </w:r>
      <w:r>
        <w:rPr>
          <w:rFonts w:hint="eastAsia" w:ascii="Times New Roman" w:hAnsi="Times New Roman"/>
          <w:sz w:val="24"/>
          <w:szCs w:val="24"/>
        </w:rPr>
        <w:t>（</w:t>
      </w:r>
      <w:r>
        <w:rPr>
          <w:rFonts w:hint="eastAsia" w:ascii="Times New Roman" w:hAnsi="Times New Roman" w:eastAsia="宋体" w:cs="Times New Roman"/>
          <w:sz w:val="24"/>
          <w:szCs w:val="24"/>
          <w:lang w:val="en-US" w:eastAsia="zh-CN"/>
        </w:rPr>
        <w:t>JTG D64-2015</w:t>
      </w:r>
      <w:r>
        <w:rPr>
          <w:rFonts w:hint="eastAsia" w:ascii="Times New Roman" w:hAnsi="Times New Roman" w:eastAsia="宋体" w:cs="Times New Roman"/>
          <w:sz w:val="24"/>
          <w:szCs w:val="24"/>
        </w:rPr>
        <w:t>）</w:t>
      </w:r>
      <w:r>
        <w:rPr>
          <w:rFonts w:hint="eastAsia" w:ascii="Times New Roman" w:hAnsi="Times New Roman" w:cs="Times New Roman"/>
          <w:sz w:val="24"/>
          <w:szCs w:val="24"/>
          <w:lang w:eastAsia="zh-CN"/>
        </w:rPr>
        <w:t>；</w:t>
      </w:r>
    </w:p>
    <w:p w14:paraId="3C5724CE">
      <w:pPr>
        <w:spacing w:line="360" w:lineRule="auto"/>
        <w:ind w:firstLine="480" w:firstLineChars="200"/>
        <w:jc w:val="left"/>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1</w:t>
      </w:r>
      <w:r>
        <w:rPr>
          <w:rFonts w:hint="eastAsia" w:ascii="Times New Roman" w:hAnsi="Times New Roman" w:cs="Times New Roman"/>
          <w:sz w:val="24"/>
          <w:szCs w:val="24"/>
          <w:lang w:val="en-US" w:eastAsia="zh-CN"/>
        </w:rPr>
        <w:t>2</w:t>
      </w:r>
      <w:r>
        <w:rPr>
          <w:rFonts w:hint="eastAsia" w:ascii="Times New Roman" w:hAnsi="Times New Roman" w:eastAsia="宋体" w:cs="Times New Roman"/>
          <w:sz w:val="24"/>
          <w:szCs w:val="24"/>
          <w:lang w:val="en-US" w:eastAsia="zh-CN"/>
        </w:rPr>
        <w:t>、《公路桥梁钢结构防腐涂装技术条件》</w:t>
      </w:r>
      <w:r>
        <w:rPr>
          <w:rFonts w:hint="eastAsia" w:ascii="Times New Roman" w:hAnsi="Times New Roman"/>
          <w:sz w:val="24"/>
          <w:szCs w:val="24"/>
        </w:rPr>
        <w:t>（</w:t>
      </w:r>
      <w:r>
        <w:rPr>
          <w:rFonts w:hint="eastAsia" w:ascii="Times New Roman" w:hAnsi="Times New Roman" w:eastAsia="宋体" w:cs="Times New Roman"/>
          <w:sz w:val="24"/>
          <w:szCs w:val="24"/>
          <w:lang w:val="en-US" w:eastAsia="zh-CN"/>
        </w:rPr>
        <w:t>JT/T 722-2023</w:t>
      </w:r>
      <w:r>
        <w:rPr>
          <w:rFonts w:hint="eastAsia" w:ascii="Times New Roman" w:hAnsi="Times New Roman" w:eastAsia="宋体" w:cs="Times New Roman"/>
          <w:sz w:val="24"/>
          <w:szCs w:val="24"/>
        </w:rPr>
        <w:t>）</w:t>
      </w:r>
      <w:r>
        <w:rPr>
          <w:rFonts w:hint="eastAsia" w:ascii="Times New Roman" w:hAnsi="Times New Roman" w:cs="Times New Roman"/>
          <w:sz w:val="24"/>
          <w:szCs w:val="24"/>
          <w:lang w:eastAsia="zh-CN"/>
        </w:rPr>
        <w:t>；</w:t>
      </w:r>
    </w:p>
    <w:p w14:paraId="033D8073">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13、</w:t>
      </w:r>
      <w:r>
        <w:rPr>
          <w:rFonts w:hint="eastAsia" w:ascii="Times New Roman" w:hAnsi="Times New Roman"/>
          <w:sz w:val="24"/>
          <w:szCs w:val="24"/>
        </w:rPr>
        <w:t>《钢结构工程施工规范》（GB50755-2012）；</w:t>
      </w:r>
    </w:p>
    <w:p w14:paraId="17576E69">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14、</w:t>
      </w:r>
      <w:r>
        <w:rPr>
          <w:rFonts w:hint="eastAsia" w:ascii="Times New Roman" w:hAnsi="Times New Roman"/>
          <w:sz w:val="24"/>
          <w:szCs w:val="24"/>
        </w:rPr>
        <w:t>《钢结构焊接规范》(GB50661-2011)；</w:t>
      </w:r>
    </w:p>
    <w:p w14:paraId="56BDBBC6">
      <w:pPr>
        <w:spacing w:line="360" w:lineRule="auto"/>
        <w:ind w:firstLine="480" w:firstLineChars="200"/>
        <w:jc w:val="left"/>
        <w:rPr>
          <w:rFonts w:hint="eastAsia"/>
          <w:lang w:val="en-US" w:eastAsia="zh-CN"/>
        </w:rPr>
      </w:pPr>
      <w:r>
        <w:rPr>
          <w:rFonts w:hint="eastAsia" w:ascii="Times New Roman" w:hAnsi="Times New Roman"/>
          <w:sz w:val="24"/>
          <w:szCs w:val="24"/>
          <w:lang w:val="en-US" w:eastAsia="zh-CN"/>
        </w:rPr>
        <w:t>15、</w:t>
      </w:r>
      <w:r>
        <w:rPr>
          <w:rFonts w:hint="eastAsia" w:ascii="Times New Roman" w:hAnsi="Times New Roman"/>
          <w:sz w:val="24"/>
          <w:szCs w:val="24"/>
        </w:rPr>
        <w:t>《钢结构工程施工质量验收</w:t>
      </w:r>
      <w:r>
        <w:rPr>
          <w:rFonts w:hint="eastAsia" w:ascii="Times New Roman" w:hAnsi="Times New Roman"/>
          <w:sz w:val="24"/>
          <w:szCs w:val="24"/>
          <w:lang w:eastAsia="zh-CN"/>
        </w:rPr>
        <w:t>标准</w:t>
      </w:r>
      <w:r>
        <w:rPr>
          <w:rFonts w:hint="eastAsia" w:ascii="Times New Roman" w:hAnsi="Times New Roman"/>
          <w:sz w:val="24"/>
          <w:szCs w:val="24"/>
        </w:rPr>
        <w:t>》（GB50205-2020）</w:t>
      </w:r>
      <w:r>
        <w:rPr>
          <w:rFonts w:hint="eastAsia" w:ascii="Times New Roman" w:hAnsi="Times New Roman"/>
          <w:sz w:val="24"/>
          <w:szCs w:val="24"/>
          <w:lang w:eastAsia="zh-CN"/>
        </w:rPr>
        <w:t>；</w:t>
      </w:r>
    </w:p>
    <w:p w14:paraId="012852F7">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16</w:t>
      </w:r>
      <w:r>
        <w:rPr>
          <w:rFonts w:hint="eastAsia" w:ascii="Times New Roman" w:hAnsi="Times New Roman" w:eastAsia="宋体" w:cs="Times New Roman"/>
          <w:sz w:val="24"/>
          <w:szCs w:val="24"/>
        </w:rPr>
        <w:t>、《公路工程施工安全技术规范》</w:t>
      </w:r>
      <w:r>
        <w:rPr>
          <w:rFonts w:hint="eastAsia" w:ascii="Times New Roman" w:hAnsi="Times New Roman"/>
          <w:sz w:val="24"/>
          <w:szCs w:val="24"/>
        </w:rPr>
        <w:t>（</w:t>
      </w:r>
      <w:r>
        <w:rPr>
          <w:rFonts w:hint="eastAsia" w:ascii="Times New Roman" w:hAnsi="Times New Roman" w:eastAsia="宋体" w:cs="Times New Roman"/>
          <w:sz w:val="24"/>
          <w:szCs w:val="24"/>
        </w:rPr>
        <w:t>JTGF90-2015</w:t>
      </w:r>
      <w:r>
        <w:rPr>
          <w:rFonts w:hint="eastAsia" w:ascii="Times New Roman" w:hAnsi="Times New Roman"/>
          <w:sz w:val="24"/>
          <w:szCs w:val="24"/>
        </w:rPr>
        <w:t>）</w:t>
      </w:r>
      <w:r>
        <w:rPr>
          <w:rFonts w:hint="eastAsia" w:ascii="Times New Roman" w:hAnsi="Times New Roman" w:eastAsia="宋体" w:cs="Times New Roman"/>
          <w:sz w:val="24"/>
          <w:szCs w:val="24"/>
        </w:rPr>
        <w:t>；</w:t>
      </w:r>
    </w:p>
    <w:p w14:paraId="2181034E">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17</w:t>
      </w:r>
      <w:r>
        <w:rPr>
          <w:rFonts w:hint="eastAsia" w:ascii="Times New Roman" w:hAnsi="Times New Roman" w:eastAsia="宋体" w:cs="Times New Roman"/>
          <w:sz w:val="24"/>
          <w:szCs w:val="24"/>
        </w:rPr>
        <w:t>、《公路交通安全设施施工技术规范》（</w:t>
      </w:r>
      <w:r>
        <w:rPr>
          <w:rFonts w:hint="eastAsia" w:ascii="Times New Roman" w:hAnsi="Times New Roman" w:cs="Times New Roman"/>
          <w:sz w:val="24"/>
          <w:szCs w:val="24"/>
          <w:lang w:eastAsia="zh-CN"/>
        </w:rPr>
        <w:t>JTG/T 3671-2021</w:t>
      </w:r>
      <w:r>
        <w:rPr>
          <w:rFonts w:hint="eastAsia" w:ascii="Times New Roman" w:hAnsi="Times New Roman" w:eastAsia="宋体" w:cs="Times New Roman"/>
          <w:sz w:val="24"/>
          <w:szCs w:val="24"/>
        </w:rPr>
        <w:t>）；</w:t>
      </w:r>
    </w:p>
    <w:p w14:paraId="7A1FA9EF">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18</w:t>
      </w:r>
      <w:r>
        <w:rPr>
          <w:rFonts w:hint="eastAsia" w:ascii="Times New Roman" w:hAnsi="Times New Roman" w:eastAsia="宋体" w:cs="Times New Roman"/>
          <w:sz w:val="24"/>
          <w:szCs w:val="24"/>
        </w:rPr>
        <w:t>、</w:t>
      </w:r>
      <w:r>
        <w:rPr>
          <w:rFonts w:hint="eastAsia" w:ascii="宋体" w:hAnsi="宋体" w:eastAsia="宋体" w:cs="宋体"/>
        </w:rPr>
        <w:t>《福建省高速公路施工标准化管理指南》</w:t>
      </w:r>
      <w:r>
        <w:rPr>
          <w:rFonts w:hint="eastAsia" w:ascii="Times New Roman" w:hAnsi="Times New Roman" w:eastAsia="宋体" w:cs="Times New Roman"/>
          <w:sz w:val="24"/>
          <w:szCs w:val="24"/>
        </w:rPr>
        <w:t>；</w:t>
      </w:r>
    </w:p>
    <w:p w14:paraId="63735F3B">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19</w:t>
      </w:r>
      <w:r>
        <w:rPr>
          <w:rFonts w:hint="eastAsia" w:ascii="Times New Roman" w:hAnsi="Times New Roman" w:eastAsia="宋体" w:cs="Times New Roman"/>
          <w:sz w:val="24"/>
          <w:szCs w:val="24"/>
        </w:rPr>
        <w:t>、交通部《关于公路水运品质工程的指导意见》；</w:t>
      </w:r>
    </w:p>
    <w:p w14:paraId="14E54BA6">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21</w:t>
      </w:r>
      <w:r>
        <w:rPr>
          <w:rFonts w:hint="eastAsia" w:ascii="Times New Roman" w:hAnsi="Times New Roman" w:eastAsia="宋体" w:cs="Times New Roman"/>
          <w:sz w:val="24"/>
          <w:szCs w:val="24"/>
        </w:rPr>
        <w:t>、《施工现场临时用电安全技术规范》（JGJ 46-20</w:t>
      </w:r>
      <w:r>
        <w:rPr>
          <w:rFonts w:hint="eastAsia" w:ascii="Times New Roman" w:hAnsi="Times New Roman" w:cs="Times New Roman"/>
          <w:sz w:val="24"/>
          <w:szCs w:val="24"/>
          <w:lang w:val="en-US" w:eastAsia="zh-CN"/>
        </w:rPr>
        <w:t>05</w:t>
      </w:r>
      <w:r>
        <w:rPr>
          <w:rFonts w:hint="eastAsia" w:ascii="Times New Roman" w:hAnsi="Times New Roman" w:eastAsia="宋体" w:cs="Times New Roman"/>
          <w:sz w:val="24"/>
          <w:szCs w:val="24"/>
        </w:rPr>
        <w:t>）；</w:t>
      </w:r>
    </w:p>
    <w:p w14:paraId="4C024D89">
      <w:pPr>
        <w:spacing w:line="360" w:lineRule="auto"/>
        <w:ind w:firstLine="480" w:firstLineChars="200"/>
        <w:jc w:val="left"/>
        <w:rPr>
          <w:rFonts w:ascii="Times New Roman" w:hAnsi="Times New Roman"/>
          <w:sz w:val="24"/>
          <w:szCs w:val="24"/>
          <w:highlight w:val="none"/>
        </w:rPr>
      </w:pPr>
      <w:r>
        <w:rPr>
          <w:rFonts w:hint="eastAsia" w:ascii="Times New Roman" w:hAnsi="Times New Roman"/>
          <w:sz w:val="24"/>
          <w:szCs w:val="24"/>
          <w:lang w:val="en-US" w:eastAsia="zh-CN"/>
        </w:rPr>
        <w:t>22、</w:t>
      </w:r>
      <w:r>
        <w:rPr>
          <w:rFonts w:hint="eastAsia" w:ascii="Times New Roman" w:hAnsi="Times New Roman"/>
          <w:sz w:val="24"/>
          <w:szCs w:val="24"/>
          <w:highlight w:val="none"/>
        </w:rPr>
        <w:t>《</w:t>
      </w:r>
      <w:r>
        <w:rPr>
          <w:rFonts w:hint="eastAsia" w:ascii="Times New Roman" w:hAnsi="Times New Roman"/>
          <w:sz w:val="24"/>
          <w:szCs w:val="24"/>
          <w:highlight w:val="none"/>
          <w:lang w:eastAsia="zh-CN"/>
        </w:rPr>
        <w:t>生产经营单位生产安全事故应急预案编制导则</w:t>
      </w:r>
      <w:r>
        <w:rPr>
          <w:rFonts w:hint="eastAsia" w:ascii="Times New Roman" w:hAnsi="Times New Roman"/>
          <w:sz w:val="24"/>
          <w:szCs w:val="24"/>
          <w:highlight w:val="none"/>
        </w:rPr>
        <w:t>》</w:t>
      </w:r>
      <w:r>
        <w:rPr>
          <w:rFonts w:hint="eastAsia" w:ascii="Times New Roman" w:hAnsi="Times New Roman" w:eastAsia="宋体" w:cs="Times New Roman"/>
          <w:sz w:val="24"/>
          <w:szCs w:val="24"/>
        </w:rPr>
        <w:t>（</w:t>
      </w:r>
      <w:r>
        <w:rPr>
          <w:rFonts w:hint="eastAsia" w:ascii="Times New Roman" w:hAnsi="Times New Roman"/>
          <w:sz w:val="24"/>
          <w:szCs w:val="24"/>
          <w:highlight w:val="none"/>
        </w:rPr>
        <w:t>GB/T29639-2020</w:t>
      </w:r>
      <w:r>
        <w:rPr>
          <w:rFonts w:hint="eastAsia" w:ascii="Times New Roman" w:hAnsi="Times New Roman" w:eastAsia="宋体" w:cs="Times New Roman"/>
          <w:sz w:val="24"/>
          <w:szCs w:val="24"/>
        </w:rPr>
        <w:t>）</w:t>
      </w:r>
      <w:r>
        <w:rPr>
          <w:rFonts w:hint="eastAsia" w:ascii="Times New Roman" w:hAnsi="Times New Roman"/>
          <w:sz w:val="24"/>
          <w:szCs w:val="24"/>
          <w:highlight w:val="none"/>
        </w:rPr>
        <w:t>；</w:t>
      </w:r>
    </w:p>
    <w:p w14:paraId="7FEC3D68">
      <w:pPr>
        <w:spacing w:line="360" w:lineRule="auto"/>
        <w:ind w:firstLine="480" w:firstLineChars="200"/>
        <w:jc w:val="left"/>
        <w:rPr>
          <w:rFonts w:hint="eastAsia" w:ascii="Times New Roman" w:hAnsi="Times New Roman" w:eastAsia="宋体"/>
          <w:sz w:val="24"/>
          <w:szCs w:val="24"/>
          <w:lang w:eastAsia="zh-CN"/>
        </w:rPr>
      </w:pPr>
      <w:r>
        <w:rPr>
          <w:rFonts w:hint="eastAsia" w:ascii="Times New Roman" w:hAnsi="Times New Roman"/>
          <w:sz w:val="24"/>
          <w:szCs w:val="24"/>
          <w:lang w:val="en-US" w:eastAsia="zh-CN"/>
        </w:rPr>
        <w:t>24、</w:t>
      </w:r>
      <w:r>
        <w:rPr>
          <w:rFonts w:hint="eastAsia" w:ascii="Times New Roman" w:hAnsi="Times New Roman"/>
          <w:sz w:val="24"/>
          <w:szCs w:val="24"/>
        </w:rPr>
        <w:t>《桥梁预应力张拉和孔道压浆施工指南》</w:t>
      </w:r>
      <w:r>
        <w:rPr>
          <w:rFonts w:hint="eastAsia" w:ascii="Times New Roman" w:hAnsi="Times New Roman" w:eastAsia="宋体" w:cs="Times New Roman"/>
          <w:sz w:val="24"/>
          <w:szCs w:val="24"/>
        </w:rPr>
        <w:t>（</w:t>
      </w:r>
      <w:r>
        <w:rPr>
          <w:rFonts w:hint="eastAsia" w:ascii="Times New Roman" w:hAnsi="Times New Roman"/>
          <w:sz w:val="24"/>
          <w:szCs w:val="24"/>
        </w:rPr>
        <w:t>DB34/T 3585-2020</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70E471F1">
      <w:pPr>
        <w:spacing w:line="360" w:lineRule="auto"/>
        <w:ind w:firstLine="480" w:firstLineChars="200"/>
        <w:jc w:val="left"/>
        <w:rPr>
          <w:rFonts w:hint="eastAsia" w:ascii="Times New Roman" w:hAnsi="Times New Roman" w:eastAsia="宋体"/>
          <w:sz w:val="24"/>
          <w:szCs w:val="24"/>
          <w:lang w:eastAsia="zh-CN"/>
        </w:rPr>
      </w:pPr>
      <w:r>
        <w:rPr>
          <w:rFonts w:hint="eastAsia" w:ascii="Times New Roman" w:hAnsi="Times New Roman"/>
          <w:sz w:val="24"/>
          <w:szCs w:val="24"/>
          <w:lang w:val="en-US" w:eastAsia="zh-CN"/>
        </w:rPr>
        <w:t>25、</w:t>
      </w:r>
      <w:r>
        <w:rPr>
          <w:rFonts w:hint="eastAsia" w:ascii="Times New Roman" w:hAnsi="Times New Roman"/>
          <w:sz w:val="24"/>
          <w:szCs w:val="24"/>
        </w:rPr>
        <w:t>《</w:t>
      </w:r>
      <w:r>
        <w:rPr>
          <w:rFonts w:hint="eastAsia" w:ascii="Times New Roman" w:hAnsi="Times New Roman"/>
          <w:sz w:val="24"/>
          <w:szCs w:val="24"/>
          <w:lang w:eastAsia="zh-CN"/>
        </w:rPr>
        <w:t>公路桥梁盆式支座</w:t>
      </w:r>
      <w:r>
        <w:rPr>
          <w:rFonts w:hint="eastAsia" w:ascii="Times New Roman" w:hAnsi="Times New Roman"/>
          <w:sz w:val="24"/>
          <w:szCs w:val="24"/>
        </w:rPr>
        <w:t>》</w:t>
      </w:r>
      <w:r>
        <w:rPr>
          <w:rFonts w:hint="eastAsia" w:ascii="Times New Roman" w:hAnsi="Times New Roman" w:eastAsia="宋体" w:cs="Times New Roman"/>
          <w:sz w:val="24"/>
          <w:szCs w:val="24"/>
        </w:rPr>
        <w:t>（</w:t>
      </w:r>
      <w:r>
        <w:rPr>
          <w:rFonts w:hint="eastAsia" w:ascii="Times New Roman" w:hAnsi="Times New Roman"/>
          <w:sz w:val="24"/>
          <w:szCs w:val="24"/>
          <w:lang w:eastAsia="zh-CN"/>
        </w:rPr>
        <w:t>JT/T 391-2019</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619E1797">
      <w:pPr>
        <w:spacing w:line="360" w:lineRule="auto"/>
        <w:ind w:firstLine="480" w:firstLineChars="200"/>
        <w:jc w:val="left"/>
        <w:rPr>
          <w:rFonts w:hint="eastAsia" w:ascii="Times New Roman" w:hAnsi="Times New Roman" w:eastAsia="宋体"/>
          <w:sz w:val="24"/>
          <w:szCs w:val="24"/>
          <w:lang w:eastAsia="zh-CN"/>
        </w:rPr>
      </w:pPr>
      <w:r>
        <w:rPr>
          <w:rFonts w:hint="eastAsia" w:ascii="Times New Roman" w:hAnsi="Times New Roman"/>
          <w:sz w:val="24"/>
          <w:szCs w:val="24"/>
          <w:lang w:val="en-US" w:eastAsia="zh-CN"/>
        </w:rPr>
        <w:t>26、</w:t>
      </w:r>
      <w:r>
        <w:rPr>
          <w:rFonts w:hint="eastAsia" w:ascii="Times New Roman" w:hAnsi="Times New Roman"/>
          <w:sz w:val="24"/>
          <w:szCs w:val="24"/>
        </w:rPr>
        <w:t>《</w:t>
      </w:r>
      <w:r>
        <w:rPr>
          <w:rFonts w:hint="eastAsia" w:ascii="Times New Roman" w:hAnsi="Times New Roman"/>
          <w:sz w:val="24"/>
          <w:szCs w:val="24"/>
          <w:lang w:eastAsia="zh-CN"/>
        </w:rPr>
        <w:t>公路桥梁预应力钢绞线用锚具、夹具和连接器</w:t>
      </w:r>
      <w:r>
        <w:rPr>
          <w:rFonts w:hint="eastAsia" w:ascii="Times New Roman" w:hAnsi="Times New Roman"/>
          <w:sz w:val="24"/>
          <w:szCs w:val="24"/>
        </w:rPr>
        <w:t>》</w:t>
      </w:r>
      <w:r>
        <w:rPr>
          <w:rFonts w:hint="eastAsia" w:ascii="Times New Roman" w:hAnsi="Times New Roman" w:eastAsia="宋体" w:cs="Times New Roman"/>
          <w:sz w:val="24"/>
          <w:szCs w:val="24"/>
        </w:rPr>
        <w:t>（</w:t>
      </w:r>
      <w:r>
        <w:rPr>
          <w:rFonts w:hint="eastAsia" w:ascii="Times New Roman" w:hAnsi="Times New Roman"/>
          <w:sz w:val="24"/>
          <w:szCs w:val="24"/>
          <w:lang w:eastAsia="zh-CN"/>
        </w:rPr>
        <w:t>JT/T 329-2010</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544BCE0A">
      <w:pPr>
        <w:spacing w:line="360" w:lineRule="auto"/>
        <w:ind w:firstLine="480" w:firstLineChars="200"/>
        <w:jc w:val="left"/>
        <w:rPr>
          <w:rFonts w:hint="eastAsia" w:ascii="Times New Roman" w:hAnsi="Times New Roman" w:eastAsia="宋体"/>
          <w:sz w:val="24"/>
          <w:szCs w:val="24"/>
          <w:lang w:eastAsia="zh-CN"/>
        </w:rPr>
      </w:pPr>
      <w:r>
        <w:rPr>
          <w:rFonts w:hint="eastAsia" w:ascii="Times New Roman" w:hAnsi="Times New Roman"/>
          <w:sz w:val="24"/>
          <w:szCs w:val="24"/>
          <w:lang w:val="en-US" w:eastAsia="zh-CN"/>
        </w:rPr>
        <w:t>27、</w:t>
      </w:r>
      <w:r>
        <w:rPr>
          <w:rFonts w:hint="eastAsia" w:ascii="Times New Roman" w:hAnsi="Times New Roman"/>
          <w:sz w:val="24"/>
          <w:szCs w:val="24"/>
        </w:rPr>
        <w:t>《桥梁悬臂浇筑施工技术标准》</w:t>
      </w:r>
      <w:r>
        <w:rPr>
          <w:rFonts w:hint="eastAsia" w:ascii="Times New Roman" w:hAnsi="Times New Roman" w:eastAsia="宋体" w:cs="Times New Roman"/>
          <w:sz w:val="24"/>
          <w:szCs w:val="24"/>
        </w:rPr>
        <w:t>（</w:t>
      </w:r>
      <w:r>
        <w:rPr>
          <w:rFonts w:hint="eastAsia" w:ascii="Times New Roman" w:hAnsi="Times New Roman"/>
          <w:sz w:val="24"/>
          <w:szCs w:val="24"/>
        </w:rPr>
        <w:t>CJJ/T 281-2018</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7B8DF67F">
      <w:pPr>
        <w:spacing w:line="360" w:lineRule="auto"/>
        <w:ind w:firstLine="480" w:firstLineChars="200"/>
        <w:jc w:val="left"/>
        <w:rPr>
          <w:rFonts w:ascii="Times New Roman" w:hAnsi="Times New Roman"/>
          <w:sz w:val="24"/>
          <w:szCs w:val="24"/>
        </w:rPr>
      </w:pPr>
      <w:r>
        <w:rPr>
          <w:rFonts w:hint="eastAsia" w:ascii="Times New Roman" w:hAnsi="Times New Roman"/>
          <w:sz w:val="24"/>
          <w:szCs w:val="24"/>
          <w:lang w:val="en-US" w:eastAsia="zh-CN"/>
        </w:rPr>
        <w:t>28、</w:t>
      </w:r>
      <w:r>
        <w:rPr>
          <w:rFonts w:hint="eastAsia" w:ascii="Times New Roman" w:hAnsi="Times New Roman"/>
          <w:sz w:val="24"/>
          <w:szCs w:val="24"/>
        </w:rPr>
        <w:t>《公路钢筋混凝土及预应力混凝土桥涵设计规范》</w:t>
      </w:r>
      <w:r>
        <w:rPr>
          <w:rFonts w:hint="eastAsia" w:ascii="Times New Roman" w:hAnsi="Times New Roman" w:eastAsia="宋体" w:cs="Times New Roman"/>
          <w:sz w:val="24"/>
          <w:szCs w:val="24"/>
        </w:rPr>
        <w:t>（</w:t>
      </w:r>
      <w:r>
        <w:rPr>
          <w:rFonts w:hint="eastAsia" w:ascii="Times New Roman" w:hAnsi="Times New Roman"/>
          <w:sz w:val="24"/>
          <w:szCs w:val="24"/>
        </w:rPr>
        <w:t>JTG 3362-2018</w:t>
      </w:r>
      <w:r>
        <w:rPr>
          <w:rFonts w:hint="eastAsia" w:ascii="Times New Roman" w:hAnsi="Times New Roman" w:eastAsia="宋体" w:cs="Times New Roman"/>
          <w:sz w:val="24"/>
          <w:szCs w:val="24"/>
        </w:rPr>
        <w:t>）</w:t>
      </w:r>
      <w:r>
        <w:rPr>
          <w:rFonts w:hint="eastAsia" w:ascii="Times New Roman" w:hAnsi="Times New Roman"/>
          <w:sz w:val="24"/>
          <w:szCs w:val="24"/>
        </w:rPr>
        <w:t>；</w:t>
      </w:r>
    </w:p>
    <w:p w14:paraId="6AC49193">
      <w:pPr>
        <w:spacing w:line="360" w:lineRule="auto"/>
        <w:ind w:firstLine="480" w:firstLineChars="200"/>
        <w:jc w:val="left"/>
        <w:rPr>
          <w:rFonts w:hint="eastAsia" w:ascii="Times New Roman" w:hAnsi="Times New Roman"/>
          <w:sz w:val="24"/>
          <w:szCs w:val="24"/>
        </w:rPr>
      </w:pPr>
      <w:r>
        <w:rPr>
          <w:rFonts w:hint="eastAsia" w:ascii="Times New Roman" w:hAnsi="Times New Roman"/>
          <w:sz w:val="24"/>
          <w:szCs w:val="24"/>
          <w:lang w:val="en-US" w:eastAsia="zh-CN"/>
        </w:rPr>
        <w:t>29、</w:t>
      </w:r>
      <w:r>
        <w:rPr>
          <w:rFonts w:hint="eastAsia" w:ascii="Times New Roman" w:hAnsi="Times New Roman"/>
          <w:sz w:val="24"/>
          <w:szCs w:val="24"/>
        </w:rPr>
        <w:t>《公路路基路面现场测试规程》</w:t>
      </w:r>
      <w:r>
        <w:rPr>
          <w:rFonts w:hint="eastAsia" w:ascii="Times New Roman" w:hAnsi="Times New Roman" w:eastAsia="宋体" w:cs="Times New Roman"/>
          <w:sz w:val="24"/>
          <w:szCs w:val="24"/>
        </w:rPr>
        <w:t>（</w:t>
      </w:r>
      <w:r>
        <w:rPr>
          <w:rFonts w:hint="eastAsia" w:ascii="Times New Roman" w:hAnsi="Times New Roman"/>
          <w:sz w:val="24"/>
          <w:szCs w:val="24"/>
        </w:rPr>
        <w:t>JTG 3450-2019</w:t>
      </w:r>
      <w:r>
        <w:rPr>
          <w:rFonts w:hint="eastAsia" w:ascii="Times New Roman" w:hAnsi="Times New Roman" w:eastAsia="宋体" w:cs="Times New Roman"/>
          <w:sz w:val="24"/>
          <w:szCs w:val="24"/>
        </w:rPr>
        <w:t>）</w:t>
      </w:r>
      <w:r>
        <w:rPr>
          <w:rFonts w:hint="eastAsia" w:ascii="Times New Roman" w:hAnsi="Times New Roman"/>
          <w:sz w:val="24"/>
          <w:szCs w:val="24"/>
        </w:rPr>
        <w:t>；</w:t>
      </w:r>
    </w:p>
    <w:p w14:paraId="6239CDD2">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cs="Times New Roman"/>
          <w:sz w:val="24"/>
          <w:szCs w:val="24"/>
          <w:lang w:val="en-US" w:eastAsia="zh-CN"/>
        </w:rPr>
        <w:t>30、</w:t>
      </w:r>
      <w:r>
        <w:rPr>
          <w:rFonts w:hint="eastAsia" w:ascii="Times New Roman" w:hAnsi="Times New Roman" w:eastAsia="宋体" w:cs="Times New Roman"/>
          <w:sz w:val="24"/>
          <w:szCs w:val="24"/>
        </w:rPr>
        <w:t>《公路土工试验规程》（JTG 3430-2020）；</w:t>
      </w:r>
    </w:p>
    <w:p w14:paraId="439E91D5">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sz w:val="24"/>
          <w:szCs w:val="24"/>
          <w:lang w:val="en-US" w:eastAsia="zh-CN"/>
        </w:rPr>
        <w:t>31、</w:t>
      </w:r>
      <w:r>
        <w:rPr>
          <w:rFonts w:hint="eastAsia" w:ascii="Times New Roman" w:hAnsi="Times New Roman"/>
          <w:sz w:val="24"/>
          <w:szCs w:val="24"/>
        </w:rPr>
        <w:t>《预应力筋用锚具、夹具和连接器应用技术规程》</w:t>
      </w:r>
      <w:r>
        <w:rPr>
          <w:rFonts w:hint="eastAsia" w:ascii="Times New Roman" w:hAnsi="Times New Roman" w:eastAsia="宋体" w:cs="Times New Roman"/>
          <w:sz w:val="24"/>
          <w:szCs w:val="24"/>
        </w:rPr>
        <w:t>（</w:t>
      </w:r>
      <w:r>
        <w:rPr>
          <w:rFonts w:hint="eastAsia" w:ascii="Times New Roman" w:hAnsi="Times New Roman"/>
          <w:sz w:val="24"/>
          <w:szCs w:val="24"/>
        </w:rPr>
        <w:t>JGJ85-2010</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4084752F">
      <w:pPr>
        <w:spacing w:line="360" w:lineRule="auto"/>
        <w:ind w:firstLine="480" w:firstLineChars="200"/>
        <w:jc w:val="left"/>
        <w:rPr>
          <w:rFonts w:hint="eastAsia" w:ascii="Times New Roman" w:hAnsi="Times New Roman" w:eastAsia="宋体"/>
          <w:sz w:val="24"/>
          <w:szCs w:val="24"/>
          <w:lang w:eastAsia="zh-CN"/>
        </w:rPr>
      </w:pPr>
      <w:r>
        <w:rPr>
          <w:rFonts w:hint="eastAsia" w:ascii="Times New Roman" w:hAnsi="Times New Roman"/>
          <w:sz w:val="24"/>
          <w:szCs w:val="24"/>
          <w:lang w:val="en-US" w:eastAsia="zh-CN"/>
        </w:rPr>
        <w:t>32、</w:t>
      </w:r>
      <w:r>
        <w:rPr>
          <w:rFonts w:hint="eastAsia" w:ascii="Times New Roman" w:hAnsi="Times New Roman"/>
          <w:sz w:val="24"/>
          <w:szCs w:val="24"/>
        </w:rPr>
        <w:t>《公路工程土工合成材料试验规程》</w:t>
      </w:r>
      <w:r>
        <w:rPr>
          <w:rFonts w:hint="eastAsia" w:ascii="Times New Roman" w:hAnsi="Times New Roman" w:eastAsia="宋体" w:cs="Times New Roman"/>
          <w:sz w:val="24"/>
          <w:szCs w:val="24"/>
        </w:rPr>
        <w:t>（</w:t>
      </w:r>
      <w:r>
        <w:rPr>
          <w:rFonts w:hint="eastAsia" w:ascii="Times New Roman" w:hAnsi="Times New Roman"/>
          <w:sz w:val="24"/>
          <w:szCs w:val="24"/>
        </w:rPr>
        <w:t>JTGE50－2006</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76C30FD5">
      <w:pPr>
        <w:spacing w:line="360" w:lineRule="auto"/>
        <w:ind w:firstLine="480" w:firstLineChars="200"/>
        <w:jc w:val="left"/>
        <w:rPr>
          <w:rFonts w:hint="eastAsia" w:ascii="Times New Roman" w:hAnsi="Times New Roman" w:eastAsia="宋体" w:cs="Times New Roman"/>
          <w:sz w:val="24"/>
          <w:szCs w:val="24"/>
        </w:rPr>
      </w:pPr>
      <w:r>
        <w:rPr>
          <w:rFonts w:hint="eastAsia" w:ascii="Times New Roman" w:hAnsi="Times New Roman"/>
          <w:sz w:val="24"/>
          <w:szCs w:val="24"/>
          <w:lang w:val="en-US" w:eastAsia="zh-CN"/>
        </w:rPr>
        <w:t>33、</w:t>
      </w:r>
      <w:r>
        <w:rPr>
          <w:rFonts w:hint="eastAsia" w:ascii="Times New Roman" w:hAnsi="Times New Roman"/>
          <w:sz w:val="24"/>
          <w:szCs w:val="24"/>
        </w:rPr>
        <w:t>《钢筋焊接及验收规程》（JGJ18-2012）</w:t>
      </w:r>
      <w:r>
        <w:rPr>
          <w:rFonts w:hint="eastAsia" w:ascii="Times New Roman" w:hAnsi="Times New Roman"/>
          <w:sz w:val="24"/>
          <w:szCs w:val="24"/>
          <w:lang w:eastAsia="zh-CN"/>
        </w:rPr>
        <w:t>；</w:t>
      </w:r>
    </w:p>
    <w:p w14:paraId="579663AF">
      <w:pPr>
        <w:spacing w:line="360" w:lineRule="auto"/>
        <w:ind w:firstLine="480" w:firstLineChars="200"/>
        <w:jc w:val="left"/>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34、</w:t>
      </w:r>
      <w:r>
        <w:rPr>
          <w:rFonts w:hint="eastAsia" w:ascii="Times New Roman" w:hAnsi="Times New Roman" w:eastAsia="宋体" w:cs="Times New Roman"/>
          <w:sz w:val="24"/>
          <w:szCs w:val="24"/>
        </w:rPr>
        <w:t>《</w:t>
      </w:r>
      <w:r>
        <w:rPr>
          <w:rFonts w:hint="eastAsia" w:ascii="Times New Roman" w:hAnsi="Times New Roman" w:cs="Times New Roman"/>
          <w:sz w:val="24"/>
          <w:szCs w:val="24"/>
          <w:lang w:eastAsia="zh-CN"/>
        </w:rPr>
        <w:t>公路工程集料</w:t>
      </w:r>
      <w:r>
        <w:rPr>
          <w:rFonts w:hint="eastAsia" w:ascii="Times New Roman" w:hAnsi="Times New Roman" w:eastAsia="宋体" w:cs="Times New Roman"/>
          <w:sz w:val="24"/>
          <w:szCs w:val="24"/>
        </w:rPr>
        <w:t>试验规程》（JTG 343</w:t>
      </w:r>
      <w:r>
        <w:rPr>
          <w:rFonts w:hint="eastAsia" w:ascii="Times New Roman" w:hAnsi="Times New Roman" w:cs="Times New Roman"/>
          <w:sz w:val="24"/>
          <w:szCs w:val="24"/>
          <w:lang w:val="en-US" w:eastAsia="zh-CN"/>
        </w:rPr>
        <w:t>2</w:t>
      </w:r>
      <w:r>
        <w:rPr>
          <w:rFonts w:hint="eastAsia" w:ascii="Times New Roman" w:hAnsi="Times New Roman" w:eastAsia="宋体" w:cs="Times New Roman"/>
          <w:sz w:val="24"/>
          <w:szCs w:val="24"/>
        </w:rPr>
        <w:t>-202</w:t>
      </w:r>
      <w:r>
        <w:rPr>
          <w:rFonts w:hint="eastAsia" w:ascii="Times New Roman" w:hAnsi="Times New Roman" w:cs="Times New Roman"/>
          <w:sz w:val="24"/>
          <w:szCs w:val="24"/>
          <w:lang w:val="en-US" w:eastAsia="zh-CN"/>
        </w:rPr>
        <w:t>4</w:t>
      </w:r>
      <w:r>
        <w:rPr>
          <w:rFonts w:hint="eastAsia" w:ascii="Times New Roman" w:hAnsi="Times New Roman" w:eastAsia="宋体" w:cs="Times New Roman"/>
          <w:sz w:val="24"/>
          <w:szCs w:val="24"/>
        </w:rPr>
        <w:t>）</w:t>
      </w:r>
      <w:r>
        <w:rPr>
          <w:rFonts w:hint="eastAsia" w:ascii="Times New Roman" w:hAnsi="Times New Roman" w:cs="Times New Roman"/>
          <w:sz w:val="24"/>
          <w:szCs w:val="24"/>
          <w:lang w:val="en-US" w:eastAsia="zh-CN"/>
        </w:rPr>
        <w:t>；</w:t>
      </w:r>
    </w:p>
    <w:p w14:paraId="7C854478">
      <w:pPr>
        <w:spacing w:line="360" w:lineRule="auto"/>
        <w:ind w:firstLine="480" w:firstLineChars="200"/>
        <w:jc w:val="left"/>
        <w:rPr>
          <w:rFonts w:hint="eastAsia"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35、</w:t>
      </w:r>
      <w:r>
        <w:rPr>
          <w:rFonts w:hint="eastAsia" w:ascii="Times New Roman" w:hAnsi="Times New Roman" w:eastAsia="宋体" w:cs="Times New Roman"/>
          <w:sz w:val="24"/>
          <w:szCs w:val="24"/>
          <w:lang w:val="en-US" w:eastAsia="zh-CN"/>
        </w:rPr>
        <w:t>《公路工程无机结合料稳定材料试验规程》</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JTG 3441—2024</w:t>
      </w:r>
      <w:r>
        <w:rPr>
          <w:rFonts w:hint="eastAsia" w:ascii="Times New Roman" w:hAnsi="Times New Roman" w:eastAsia="宋体" w:cs="Times New Roman"/>
          <w:sz w:val="24"/>
          <w:szCs w:val="24"/>
        </w:rPr>
        <w:t>）</w:t>
      </w:r>
      <w:r>
        <w:rPr>
          <w:rFonts w:hint="eastAsia" w:ascii="Times New Roman" w:hAnsi="Times New Roman" w:cs="Times New Roman"/>
          <w:sz w:val="24"/>
          <w:szCs w:val="24"/>
          <w:lang w:val="en-US" w:eastAsia="zh-CN"/>
        </w:rPr>
        <w:t>；</w:t>
      </w:r>
    </w:p>
    <w:p w14:paraId="6BA2452E">
      <w:pPr>
        <w:spacing w:line="360" w:lineRule="auto"/>
        <w:ind w:firstLine="480" w:firstLineChars="200"/>
        <w:jc w:val="left"/>
        <w:rPr>
          <w:rFonts w:hint="eastAsia" w:ascii="Times New Roman" w:hAnsi="Times New Roman"/>
          <w:sz w:val="24"/>
          <w:szCs w:val="24"/>
        </w:rPr>
      </w:pPr>
      <w:r>
        <w:rPr>
          <w:rFonts w:hint="eastAsia" w:ascii="Times New Roman" w:hAnsi="Times New Roman" w:cs="Times New Roman"/>
          <w:sz w:val="24"/>
          <w:szCs w:val="24"/>
          <w:lang w:val="en-US" w:eastAsia="zh-CN"/>
        </w:rPr>
        <w:t>36、</w:t>
      </w:r>
      <w:r>
        <w:rPr>
          <w:rFonts w:hint="eastAsia" w:ascii="Times New Roman" w:hAnsi="Times New Roman" w:eastAsia="宋体" w:cs="Times New Roman"/>
          <w:sz w:val="24"/>
          <w:szCs w:val="24"/>
          <w:lang w:val="en-US" w:eastAsia="zh-CN"/>
        </w:rPr>
        <w:t>《公路工程岩石试验规程》</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JTG 3431—2024</w:t>
      </w:r>
      <w:r>
        <w:rPr>
          <w:rFonts w:hint="eastAsia" w:ascii="Times New Roman" w:hAnsi="Times New Roman" w:eastAsia="宋体" w:cs="Times New Roman"/>
          <w:sz w:val="24"/>
          <w:szCs w:val="24"/>
        </w:rPr>
        <w:t>）</w:t>
      </w:r>
      <w:r>
        <w:rPr>
          <w:rFonts w:hint="eastAsia" w:ascii="Times New Roman" w:hAnsi="Times New Roman" w:cs="Times New Roman"/>
          <w:sz w:val="24"/>
          <w:szCs w:val="24"/>
          <w:lang w:val="en-US" w:eastAsia="zh-CN"/>
        </w:rPr>
        <w:t>；</w:t>
      </w:r>
    </w:p>
    <w:p w14:paraId="351FBADA">
      <w:pPr>
        <w:spacing w:line="360" w:lineRule="auto"/>
        <w:ind w:firstLine="480" w:firstLineChars="200"/>
        <w:jc w:val="left"/>
        <w:rPr>
          <w:rFonts w:hint="eastAsia" w:ascii="Times New Roman" w:hAnsi="Times New Roman"/>
          <w:sz w:val="24"/>
          <w:szCs w:val="24"/>
          <w:lang w:eastAsia="zh-CN"/>
        </w:rPr>
      </w:pPr>
      <w:r>
        <w:rPr>
          <w:rFonts w:hint="eastAsia" w:ascii="Times New Roman" w:hAnsi="Times New Roman"/>
          <w:sz w:val="24"/>
          <w:szCs w:val="24"/>
          <w:lang w:val="en-US" w:eastAsia="zh-CN"/>
        </w:rPr>
        <w:t>37、</w:t>
      </w:r>
      <w:r>
        <w:rPr>
          <w:rFonts w:hint="eastAsia" w:ascii="Times New Roman" w:hAnsi="Times New Roman"/>
          <w:sz w:val="24"/>
          <w:szCs w:val="24"/>
        </w:rPr>
        <w:t>《公路工程水泥及水泥混凝土试验规程》</w:t>
      </w:r>
      <w:r>
        <w:rPr>
          <w:rFonts w:hint="eastAsia" w:ascii="Times New Roman" w:hAnsi="Times New Roman" w:eastAsia="宋体" w:cs="Times New Roman"/>
          <w:sz w:val="24"/>
          <w:szCs w:val="24"/>
        </w:rPr>
        <w:t>（</w:t>
      </w:r>
      <w:r>
        <w:rPr>
          <w:rFonts w:hint="eastAsia" w:ascii="Times New Roman" w:hAnsi="Times New Roman"/>
          <w:sz w:val="24"/>
          <w:szCs w:val="24"/>
        </w:rPr>
        <w:t>JTG 3420-2020</w:t>
      </w:r>
      <w:r>
        <w:rPr>
          <w:rFonts w:hint="eastAsia" w:ascii="Times New Roman" w:hAnsi="Times New Roman" w:eastAsia="宋体" w:cs="Times New Roman"/>
          <w:sz w:val="24"/>
          <w:szCs w:val="24"/>
        </w:rPr>
        <w:t>）</w:t>
      </w:r>
      <w:r>
        <w:rPr>
          <w:rFonts w:hint="eastAsia" w:ascii="Times New Roman" w:hAnsi="Times New Roman"/>
          <w:sz w:val="24"/>
          <w:szCs w:val="24"/>
          <w:lang w:eastAsia="zh-CN"/>
        </w:rPr>
        <w:t>。</w:t>
      </w:r>
    </w:p>
    <w:p w14:paraId="15ED2A5B">
      <w:pPr>
        <w:ind w:firstLine="480"/>
        <w:rPr>
          <w:rFonts w:hint="eastAsia" w:ascii="宋体" w:hAnsi="宋体" w:eastAsia="宋体" w:cs="宋体"/>
        </w:rPr>
      </w:pPr>
      <w:r>
        <w:rPr>
          <w:rFonts w:hint="eastAsia" w:ascii="宋体" w:hAnsi="宋体" w:cs="宋体"/>
          <w:lang w:val="en-US" w:eastAsia="zh-CN"/>
        </w:rPr>
        <w:t>38、</w:t>
      </w:r>
      <w:r>
        <w:rPr>
          <w:rFonts w:hint="eastAsia" w:ascii="宋体" w:hAnsi="宋体" w:eastAsia="宋体" w:cs="宋体"/>
        </w:rPr>
        <w:t>《钢结构工程施工及验收规范》（GB50205-2001）</w:t>
      </w:r>
    </w:p>
    <w:p w14:paraId="1E4929C9">
      <w:pPr>
        <w:ind w:firstLine="480"/>
        <w:rPr>
          <w:rFonts w:hint="default" w:ascii="宋体" w:hAnsi="宋体" w:eastAsia="宋体" w:cs="宋体"/>
          <w:lang w:val="en-US" w:eastAsia="zh-CN"/>
        </w:rPr>
      </w:pPr>
      <w:r>
        <w:rPr>
          <w:rFonts w:hint="eastAsia" w:ascii="宋体" w:hAnsi="宋体" w:cs="宋体"/>
          <w:lang w:val="en-US" w:eastAsia="zh-CN"/>
        </w:rPr>
        <w:t>39、</w:t>
      </w:r>
      <w:r>
        <w:rPr>
          <w:rFonts w:hint="eastAsia" w:ascii="宋体" w:hAnsi="宋体" w:eastAsia="宋体" w:cs="宋体"/>
        </w:rPr>
        <w:t>《职业健康安全管理体系规范》(GB/T28001-20</w:t>
      </w:r>
      <w:r>
        <w:rPr>
          <w:rFonts w:hint="eastAsia" w:ascii="宋体" w:hAnsi="宋体" w:cs="宋体"/>
          <w:lang w:val="en-US" w:eastAsia="zh-CN"/>
        </w:rPr>
        <w:t>20）</w:t>
      </w:r>
    </w:p>
    <w:p w14:paraId="03E08782">
      <w:pPr>
        <w:ind w:firstLine="480"/>
        <w:rPr>
          <w:rFonts w:hint="eastAsia" w:ascii="宋体" w:hAnsi="宋体" w:eastAsia="宋体" w:cs="宋体"/>
        </w:rPr>
      </w:pPr>
      <w:r>
        <w:rPr>
          <w:rFonts w:hint="eastAsia" w:ascii="宋体" w:hAnsi="宋体" w:cs="宋体"/>
          <w:lang w:val="en-US" w:eastAsia="zh-CN"/>
        </w:rPr>
        <w:t>40、</w:t>
      </w:r>
      <w:r>
        <w:rPr>
          <w:rFonts w:hint="eastAsia" w:ascii="宋体" w:hAnsi="宋体" w:eastAsia="宋体" w:cs="宋体"/>
        </w:rPr>
        <w:t>《安全标志及其使用导则》</w:t>
      </w:r>
      <w:r>
        <w:rPr>
          <w:rFonts w:hint="eastAsia" w:ascii="宋体" w:hAnsi="宋体" w:eastAsia="宋体" w:cs="宋体"/>
          <w:lang w:val="en-US" w:eastAsia="zh-CN"/>
        </w:rPr>
        <w:t xml:space="preserve"> </w:t>
      </w:r>
      <w:r>
        <w:rPr>
          <w:rFonts w:hint="eastAsia" w:ascii="宋体" w:hAnsi="宋体" w:eastAsia="宋体" w:cs="宋体"/>
        </w:rPr>
        <w:t>(GB 2894-2008)</w:t>
      </w:r>
    </w:p>
    <w:p w14:paraId="5143349C">
      <w:pPr>
        <w:ind w:firstLine="480"/>
        <w:rPr>
          <w:rFonts w:hint="eastAsia" w:ascii="宋体" w:hAnsi="宋体" w:eastAsia="宋体" w:cs="宋体"/>
          <w:lang w:val="en-US" w:eastAsia="zh-CN"/>
        </w:rPr>
      </w:pPr>
      <w:r>
        <w:rPr>
          <w:rFonts w:hint="eastAsia" w:ascii="宋体" w:hAnsi="宋体" w:cs="宋体"/>
          <w:lang w:val="en-US" w:eastAsia="zh-CN"/>
        </w:rPr>
        <w:t>41、</w:t>
      </w:r>
      <w:r>
        <w:rPr>
          <w:rFonts w:hint="eastAsia" w:ascii="宋体" w:hAnsi="宋体" w:eastAsia="宋体" w:cs="宋体"/>
        </w:rPr>
        <w:t>《建设工程施工现场供用电安全规范》</w:t>
      </w:r>
      <w:r>
        <w:rPr>
          <w:rFonts w:hint="eastAsia" w:ascii="宋体" w:hAnsi="宋体" w:eastAsia="宋体" w:cs="宋体"/>
          <w:lang w:val="en-US" w:eastAsia="zh-CN"/>
        </w:rPr>
        <w:t xml:space="preserve"> (</w:t>
      </w:r>
      <w:r>
        <w:rPr>
          <w:rFonts w:hint="eastAsia" w:ascii="宋体" w:hAnsi="宋体" w:eastAsia="宋体" w:cs="宋体"/>
        </w:rPr>
        <w:t>GB 50194-2014</w:t>
      </w:r>
      <w:r>
        <w:rPr>
          <w:rFonts w:hint="eastAsia" w:ascii="宋体" w:hAnsi="宋体" w:eastAsia="宋体" w:cs="宋体"/>
          <w:lang w:val="en-US" w:eastAsia="zh-CN"/>
        </w:rPr>
        <w:t>)</w:t>
      </w:r>
    </w:p>
    <w:p w14:paraId="29E9602D">
      <w:pPr>
        <w:ind w:firstLine="480"/>
        <w:rPr>
          <w:rFonts w:hint="eastAsia" w:ascii="宋体" w:hAnsi="宋体" w:eastAsia="宋体" w:cs="宋体"/>
        </w:rPr>
      </w:pPr>
      <w:r>
        <w:rPr>
          <w:rFonts w:hint="eastAsia" w:ascii="宋体" w:hAnsi="宋体" w:cs="宋体"/>
          <w:lang w:val="en-US" w:eastAsia="zh-CN"/>
        </w:rPr>
        <w:t>42、</w:t>
      </w:r>
      <w:r>
        <w:rPr>
          <w:rFonts w:hint="eastAsia" w:ascii="宋体" w:hAnsi="宋体" w:eastAsia="宋体" w:cs="宋体"/>
        </w:rPr>
        <w:t>《先张法预应力混凝土管桩》</w:t>
      </w:r>
      <w:r>
        <w:rPr>
          <w:rFonts w:hint="eastAsia" w:ascii="宋体" w:hAnsi="宋体" w:eastAsia="宋体" w:cs="宋体"/>
          <w:lang w:val="en-US" w:eastAsia="zh-CN"/>
        </w:rPr>
        <w:t>(</w:t>
      </w:r>
      <w:r>
        <w:rPr>
          <w:rFonts w:ascii="Arial" w:hAnsi="Arial" w:eastAsia="宋体" w:cs="Arial"/>
          <w:i w:val="0"/>
          <w:iCs w:val="0"/>
          <w:caps w:val="0"/>
          <w:color w:val="222222"/>
          <w:spacing w:val="0"/>
          <w:sz w:val="16"/>
          <w:szCs w:val="16"/>
          <w:shd w:val="clear" w:fill="FFFFFF"/>
        </w:rPr>
        <w:t> </w:t>
      </w:r>
      <w:r>
        <w:rPr>
          <w:rFonts w:hint="default" w:ascii="宋体" w:hAnsi="宋体" w:eastAsia="宋体" w:cs="宋体"/>
        </w:rPr>
        <w:t>GB/T 13476—2023</w:t>
      </w:r>
      <w:r>
        <w:rPr>
          <w:rFonts w:hint="eastAsia" w:ascii="宋体" w:hAnsi="宋体" w:eastAsia="宋体" w:cs="宋体"/>
          <w:lang w:val="en-US" w:eastAsia="zh-CN"/>
        </w:rPr>
        <w:t>)</w:t>
      </w:r>
    </w:p>
    <w:p w14:paraId="7E6F7EBA">
      <w:pPr>
        <w:ind w:firstLine="480"/>
        <w:rPr>
          <w:rFonts w:hint="eastAsia" w:ascii="宋体" w:hAnsi="宋体" w:eastAsia="宋体" w:cs="宋体"/>
          <w:lang w:val="en-US" w:eastAsia="zh-CN"/>
        </w:rPr>
      </w:pPr>
      <w:r>
        <w:rPr>
          <w:rFonts w:hint="eastAsia" w:ascii="宋体" w:hAnsi="宋体" w:cs="宋体"/>
          <w:lang w:val="en-US" w:eastAsia="zh-CN"/>
        </w:rPr>
        <w:t>43、</w:t>
      </w:r>
      <w:r>
        <w:rPr>
          <w:rFonts w:hint="eastAsia" w:ascii="宋体" w:hAnsi="宋体" w:eastAsia="宋体" w:cs="宋体"/>
        </w:rPr>
        <w:t>《混凝土结构工程施工质量验收规范》</w:t>
      </w:r>
      <w:r>
        <w:rPr>
          <w:rFonts w:hint="eastAsia" w:ascii="宋体" w:hAnsi="宋体" w:eastAsia="宋体" w:cs="宋体"/>
          <w:lang w:val="en-US" w:eastAsia="zh-CN"/>
        </w:rPr>
        <w:t xml:space="preserve"> (</w:t>
      </w:r>
      <w:r>
        <w:rPr>
          <w:rFonts w:hint="eastAsia" w:ascii="宋体" w:hAnsi="宋体" w:eastAsia="宋体" w:cs="宋体"/>
        </w:rPr>
        <w:t xml:space="preserve">GB 50204 </w:t>
      </w:r>
      <w:r>
        <w:rPr>
          <w:rFonts w:hint="eastAsia" w:ascii="宋体" w:hAnsi="宋体" w:eastAsia="宋体" w:cs="宋体"/>
          <w:lang w:val="en-US" w:eastAsia="zh-CN"/>
        </w:rPr>
        <w:t>)</w:t>
      </w:r>
    </w:p>
    <w:p w14:paraId="319A9F99">
      <w:pPr>
        <w:ind w:firstLine="480"/>
        <w:rPr>
          <w:rFonts w:hint="eastAsia" w:ascii="宋体" w:hAnsi="宋体" w:eastAsia="宋体" w:cs="宋体"/>
        </w:rPr>
      </w:pPr>
      <w:r>
        <w:rPr>
          <w:rFonts w:hint="eastAsia" w:ascii="宋体" w:hAnsi="宋体" w:cs="宋体"/>
          <w:lang w:val="en-US" w:eastAsia="zh-CN"/>
        </w:rPr>
        <w:t>44、</w:t>
      </w:r>
      <w:r>
        <w:rPr>
          <w:rFonts w:hint="eastAsia" w:ascii="宋体" w:hAnsi="宋体" w:eastAsia="宋体" w:cs="宋体"/>
        </w:rPr>
        <w:t xml:space="preserve">《混凝土外加剂应用技术规范》（GB50119-2013） </w:t>
      </w:r>
    </w:p>
    <w:p w14:paraId="4B03DCA9">
      <w:pPr>
        <w:ind w:firstLine="480"/>
        <w:rPr>
          <w:rFonts w:hint="eastAsia" w:ascii="宋体" w:hAnsi="宋体" w:eastAsia="宋体" w:cs="宋体"/>
        </w:rPr>
      </w:pPr>
      <w:r>
        <w:rPr>
          <w:rFonts w:hint="eastAsia" w:ascii="宋体" w:hAnsi="宋体" w:cs="宋体"/>
          <w:lang w:val="en-US" w:eastAsia="zh-CN"/>
        </w:rPr>
        <w:t>45、</w:t>
      </w:r>
      <w:r>
        <w:rPr>
          <w:rFonts w:hint="eastAsia" w:ascii="宋体" w:hAnsi="宋体" w:eastAsia="宋体" w:cs="宋体"/>
        </w:rPr>
        <w:t xml:space="preserve">《补偿收缩混凝土应用技术规程》（JGJ/T 178-2009） </w:t>
      </w:r>
    </w:p>
    <w:p w14:paraId="01BF8A8E">
      <w:pPr>
        <w:ind w:firstLine="480"/>
        <w:rPr>
          <w:rFonts w:hint="eastAsia" w:ascii="宋体" w:hAnsi="宋体" w:eastAsia="宋体" w:cs="宋体"/>
        </w:rPr>
      </w:pPr>
      <w:r>
        <w:rPr>
          <w:rFonts w:hint="eastAsia" w:ascii="宋体" w:hAnsi="宋体" w:cs="宋体"/>
          <w:lang w:val="en-US" w:eastAsia="zh-CN"/>
        </w:rPr>
        <w:t>46、</w:t>
      </w:r>
      <w:r>
        <w:rPr>
          <w:rFonts w:hint="eastAsia" w:ascii="宋体" w:hAnsi="宋体" w:eastAsia="宋体" w:cs="宋体"/>
        </w:rPr>
        <w:t>《预应力混凝土管桩技术标准》</w:t>
      </w:r>
      <w:r>
        <w:rPr>
          <w:rFonts w:hint="eastAsia" w:ascii="宋体" w:hAnsi="宋体" w:eastAsia="宋体" w:cs="宋体"/>
          <w:lang w:val="en-US" w:eastAsia="zh-CN"/>
        </w:rPr>
        <w:t xml:space="preserve"> (</w:t>
      </w:r>
      <w:r>
        <w:rPr>
          <w:rFonts w:hint="eastAsia" w:ascii="宋体" w:hAnsi="宋体" w:eastAsia="宋体" w:cs="宋体"/>
        </w:rPr>
        <w:t>JGJ/T 406-2017</w:t>
      </w:r>
      <w:r>
        <w:rPr>
          <w:rFonts w:hint="eastAsia" w:ascii="宋体" w:hAnsi="宋体" w:eastAsia="宋体" w:cs="宋体"/>
          <w:lang w:val="en-US" w:eastAsia="zh-CN"/>
        </w:rPr>
        <w:t>)</w:t>
      </w:r>
      <w:r>
        <w:rPr>
          <w:rFonts w:hint="eastAsia" w:ascii="宋体" w:hAnsi="宋体" w:eastAsia="宋体" w:cs="宋体"/>
        </w:rPr>
        <w:t xml:space="preserve"> </w:t>
      </w:r>
    </w:p>
    <w:p w14:paraId="04AC9DBC">
      <w:pPr>
        <w:ind w:firstLine="480"/>
        <w:rPr>
          <w:rFonts w:hint="eastAsia" w:ascii="宋体" w:hAnsi="宋体" w:eastAsia="宋体" w:cs="宋体"/>
        </w:rPr>
      </w:pPr>
      <w:r>
        <w:rPr>
          <w:rFonts w:hint="eastAsia" w:ascii="宋体" w:hAnsi="宋体" w:cs="宋体"/>
          <w:lang w:val="en-US" w:eastAsia="zh-CN"/>
        </w:rPr>
        <w:t>47、</w:t>
      </w:r>
      <w:r>
        <w:rPr>
          <w:rFonts w:hint="eastAsia" w:ascii="宋体" w:hAnsi="宋体" w:eastAsia="宋体" w:cs="宋体"/>
        </w:rPr>
        <w:t>《劲性复合桩技术规程》</w:t>
      </w:r>
      <w:r>
        <w:rPr>
          <w:rFonts w:hint="eastAsia" w:ascii="宋体" w:hAnsi="宋体" w:eastAsia="宋体" w:cs="宋体"/>
          <w:lang w:val="en-US" w:eastAsia="zh-CN"/>
        </w:rPr>
        <w:t xml:space="preserve"> (</w:t>
      </w:r>
      <w:r>
        <w:rPr>
          <w:rFonts w:hint="eastAsia" w:ascii="宋体" w:hAnsi="宋体" w:eastAsia="宋体" w:cs="宋体"/>
        </w:rPr>
        <w:t>JGJT 327-2014</w:t>
      </w:r>
      <w:r>
        <w:rPr>
          <w:rFonts w:hint="eastAsia" w:ascii="宋体" w:hAnsi="宋体" w:eastAsia="宋体" w:cs="宋体"/>
          <w:lang w:val="en-US" w:eastAsia="zh-CN"/>
        </w:rPr>
        <w:t>)</w:t>
      </w:r>
      <w:r>
        <w:rPr>
          <w:rFonts w:hint="eastAsia" w:ascii="宋体" w:hAnsi="宋体" w:eastAsia="宋体" w:cs="宋体"/>
        </w:rPr>
        <w:t xml:space="preserve"> </w:t>
      </w:r>
    </w:p>
    <w:p w14:paraId="03911F3B">
      <w:pPr>
        <w:ind w:firstLine="480"/>
        <w:rPr>
          <w:rFonts w:hint="eastAsia" w:ascii="宋体" w:hAnsi="宋体" w:eastAsia="宋体" w:cs="宋体"/>
          <w:lang w:val="en-US" w:eastAsia="zh-CN"/>
        </w:rPr>
      </w:pPr>
      <w:r>
        <w:rPr>
          <w:rFonts w:hint="eastAsia" w:ascii="宋体" w:hAnsi="宋体" w:cs="宋体"/>
          <w:lang w:val="en-US" w:eastAsia="zh-CN"/>
        </w:rPr>
        <w:t>48、</w:t>
      </w:r>
      <w:r>
        <w:rPr>
          <w:rFonts w:hint="eastAsia" w:ascii="宋体" w:hAnsi="宋体" w:eastAsia="宋体" w:cs="宋体"/>
        </w:rPr>
        <w:t xml:space="preserve"> 《建筑桩基础技术规范》</w:t>
      </w:r>
      <w:r>
        <w:rPr>
          <w:rFonts w:hint="eastAsia" w:ascii="宋体" w:hAnsi="宋体" w:eastAsia="宋体" w:cs="宋体"/>
          <w:lang w:val="en-US" w:eastAsia="zh-CN"/>
        </w:rPr>
        <w:t xml:space="preserve"> (</w:t>
      </w:r>
      <w:r>
        <w:rPr>
          <w:rFonts w:hint="eastAsia" w:ascii="宋体" w:hAnsi="宋体" w:eastAsia="宋体" w:cs="宋体"/>
        </w:rPr>
        <w:t xml:space="preserve">JGJ 94-2008 </w:t>
      </w:r>
      <w:r>
        <w:rPr>
          <w:rFonts w:hint="eastAsia" w:ascii="宋体" w:hAnsi="宋体" w:eastAsia="宋体" w:cs="宋体"/>
          <w:lang w:val="en-US" w:eastAsia="zh-CN"/>
        </w:rPr>
        <w:t>)</w:t>
      </w:r>
    </w:p>
    <w:p w14:paraId="1A5FFC05">
      <w:pPr>
        <w:ind w:firstLine="480"/>
        <w:rPr>
          <w:rFonts w:hint="eastAsia" w:ascii="宋体" w:hAnsi="宋体" w:eastAsia="宋体" w:cs="宋体"/>
          <w:lang w:val="en-US" w:eastAsia="zh-CN"/>
        </w:rPr>
      </w:pPr>
      <w:r>
        <w:rPr>
          <w:rFonts w:hint="eastAsia" w:ascii="宋体" w:hAnsi="宋体" w:cs="宋体"/>
          <w:lang w:val="en-US" w:eastAsia="zh-CN"/>
        </w:rPr>
        <w:t>49</w:t>
      </w:r>
      <w:r>
        <w:rPr>
          <w:rFonts w:hint="eastAsia" w:ascii="宋体" w:hAnsi="宋体" w:eastAsia="宋体" w:cs="宋体"/>
        </w:rPr>
        <w:t xml:space="preserve"> </w:t>
      </w:r>
      <w:r>
        <w:rPr>
          <w:rFonts w:hint="eastAsia" w:ascii="宋体" w:hAnsi="宋体" w:cs="宋体"/>
          <w:lang w:eastAsia="zh-CN"/>
        </w:rPr>
        <w:t>、</w:t>
      </w:r>
      <w:r>
        <w:rPr>
          <w:rFonts w:hint="eastAsia" w:ascii="宋体" w:hAnsi="宋体" w:eastAsia="宋体" w:cs="宋体"/>
        </w:rPr>
        <w:t>《预制桩工程技术规程》</w:t>
      </w:r>
      <w:r>
        <w:rPr>
          <w:rFonts w:hint="eastAsia" w:ascii="宋体" w:hAnsi="宋体" w:eastAsia="宋体" w:cs="宋体"/>
          <w:lang w:val="en-US" w:eastAsia="zh-CN"/>
        </w:rPr>
        <w:t xml:space="preserve"> (</w:t>
      </w:r>
      <w:r>
        <w:rPr>
          <w:rFonts w:hint="eastAsia" w:ascii="宋体" w:hAnsi="宋体" w:eastAsia="宋体" w:cs="宋体"/>
        </w:rPr>
        <w:t>T13/FJECSA 003-20</w:t>
      </w:r>
      <w:r>
        <w:rPr>
          <w:rFonts w:hint="eastAsia" w:ascii="宋体" w:hAnsi="宋体" w:cs="宋体"/>
          <w:lang w:val="en-US" w:eastAsia="zh-CN"/>
        </w:rPr>
        <w:t>24</w:t>
      </w:r>
      <w:r>
        <w:rPr>
          <w:rFonts w:hint="eastAsia" w:ascii="宋体" w:hAnsi="宋体" w:eastAsia="宋体" w:cs="宋体"/>
          <w:lang w:val="en-US" w:eastAsia="zh-CN"/>
        </w:rPr>
        <w:t>)</w:t>
      </w:r>
    </w:p>
    <w:p w14:paraId="180A52AF">
      <w:pPr>
        <w:keepNext w:val="0"/>
        <w:keepLines w:val="0"/>
        <w:widowControl/>
        <w:suppressLineNumbers w:val="0"/>
        <w:jc w:val="left"/>
        <w:rPr>
          <w:rFonts w:hint="eastAsia"/>
          <w:lang w:eastAsia="zh-CN"/>
        </w:rPr>
      </w:pPr>
      <w:r>
        <w:rPr>
          <w:rFonts w:hint="eastAsia" w:ascii="宋体" w:hAnsi="宋体" w:cs="宋体"/>
          <w:lang w:val="en-US" w:eastAsia="zh-CN"/>
        </w:rPr>
        <w:t>50、</w:t>
      </w:r>
      <w:r>
        <w:rPr>
          <w:rFonts w:hint="eastAsia" w:ascii="宋体" w:hAnsi="宋体" w:eastAsia="宋体" w:cs="宋体"/>
        </w:rPr>
        <w:t>其它现行的国家、行业福建省的规范、标准、规章及相关强制性条文。</w:t>
      </w:r>
    </w:p>
    <w:p w14:paraId="21954E2E">
      <w:pPr>
        <w:spacing w:line="360" w:lineRule="auto"/>
        <w:ind w:firstLine="480" w:firstLineChars="200"/>
        <w:jc w:val="left"/>
        <w:rPr>
          <w:rFonts w:hint="eastAsia"/>
          <w:lang w:eastAsia="zh-CN"/>
        </w:rPr>
      </w:pPr>
      <w:r>
        <w:rPr>
          <w:rFonts w:hint="eastAsia" w:ascii="宋体" w:hAnsi="宋体" w:eastAsia="宋体" w:cs="宋体"/>
          <w:lang w:val="en-US" w:eastAsia="zh-CN"/>
        </w:rPr>
        <w:t>51、</w:t>
      </w:r>
      <w:r>
        <w:rPr>
          <w:rFonts w:hint="eastAsia" w:ascii="Times New Roman" w:hAnsi="Times New Roman"/>
          <w:sz w:val="24"/>
          <w:szCs w:val="24"/>
          <w:lang w:val="en-US" w:eastAsia="zh-CN"/>
        </w:rPr>
        <w:t xml:space="preserve"> </w:t>
      </w:r>
      <w:r>
        <w:rPr>
          <w:rFonts w:hint="eastAsia" w:ascii="Times New Roman" w:hAnsi="Times New Roman"/>
          <w:b w:val="0"/>
          <w:bCs w:val="0"/>
          <w:sz w:val="24"/>
          <w:szCs w:val="24"/>
          <w:lang w:val="en-US" w:eastAsia="zh-CN"/>
        </w:rPr>
        <w:t>其它</w:t>
      </w:r>
      <w:r>
        <w:rPr>
          <w:rFonts w:hint="eastAsia" w:ascii="Times New Roman" w:hAnsi="Times New Roman" w:eastAsia="宋体" w:cs="Times New Roman"/>
          <w:b w:val="0"/>
          <w:bCs w:val="0"/>
          <w:kern w:val="0"/>
          <w:sz w:val="24"/>
          <w:szCs w:val="20"/>
        </w:rPr>
        <w:t>相关标准、规范、规程</w:t>
      </w:r>
      <w:r>
        <w:rPr>
          <w:rFonts w:hint="eastAsia" w:ascii="Times New Roman" w:hAnsi="Times New Roman" w:cs="Times New Roman"/>
          <w:b w:val="0"/>
          <w:bCs w:val="0"/>
          <w:kern w:val="0"/>
          <w:sz w:val="24"/>
          <w:szCs w:val="20"/>
          <w:lang w:eastAsia="zh-CN"/>
        </w:rPr>
        <w:t>等。</w:t>
      </w:r>
    </w:p>
    <w:p w14:paraId="131296C5">
      <w:pPr>
        <w:keepNext/>
        <w:keepLines/>
        <w:spacing w:line="360" w:lineRule="auto"/>
        <w:ind w:firstLine="482" w:firstLineChars="200"/>
        <w:jc w:val="left"/>
        <w:outlineLvl w:val="2"/>
        <w:rPr>
          <w:rFonts w:hint="eastAsia" w:ascii="Times New Roman" w:hAnsi="Times New Roman" w:eastAsia="宋体" w:cs="Times New Roman"/>
          <w:b/>
          <w:kern w:val="0"/>
          <w:sz w:val="24"/>
          <w:szCs w:val="20"/>
        </w:rPr>
      </w:pPr>
      <w:bookmarkStart w:id="58" w:name="_Toc116"/>
      <w:bookmarkStart w:id="59" w:name="_Toc22378"/>
      <w:bookmarkStart w:id="60" w:name="_Toc8760"/>
      <w:r>
        <w:rPr>
          <w:rFonts w:hint="eastAsia" w:ascii="Times New Roman" w:hAnsi="Times New Roman" w:eastAsia="宋体" w:cs="Times New Roman"/>
          <w:b/>
          <w:kern w:val="0"/>
          <w:sz w:val="24"/>
          <w:szCs w:val="20"/>
        </w:rPr>
        <w:t>1.</w:t>
      </w:r>
      <w:r>
        <w:rPr>
          <w:rFonts w:hint="eastAsia" w:ascii="Times New Roman" w:hAnsi="Times New Roman" w:eastAsia="宋体" w:cs="Times New Roman"/>
          <w:b/>
          <w:kern w:val="0"/>
          <w:sz w:val="24"/>
          <w:szCs w:val="20"/>
          <w:lang w:val="en-US" w:eastAsia="zh-CN"/>
        </w:rPr>
        <w:t>1</w:t>
      </w:r>
      <w:r>
        <w:rPr>
          <w:rFonts w:hint="eastAsia" w:ascii="Times New Roman" w:hAnsi="Times New Roman" w:eastAsia="宋体" w:cs="Times New Roman"/>
          <w:b/>
          <w:kern w:val="0"/>
          <w:sz w:val="24"/>
          <w:szCs w:val="20"/>
        </w:rPr>
        <w:t>.</w:t>
      </w:r>
      <w:r>
        <w:rPr>
          <w:rFonts w:hint="eastAsia" w:ascii="Times New Roman" w:hAnsi="Times New Roman" w:cs="Times New Roman"/>
          <w:b/>
          <w:kern w:val="0"/>
          <w:sz w:val="24"/>
          <w:szCs w:val="20"/>
          <w:lang w:val="en-US" w:eastAsia="zh-CN"/>
        </w:rPr>
        <w:t>3</w:t>
      </w:r>
      <w:r>
        <w:rPr>
          <w:rFonts w:hint="eastAsia" w:ascii="Times New Roman" w:hAnsi="Times New Roman" w:eastAsia="宋体" w:cs="Times New Roman"/>
          <w:b/>
          <w:kern w:val="0"/>
          <w:sz w:val="24"/>
          <w:szCs w:val="20"/>
        </w:rPr>
        <w:t xml:space="preserve"> 业主文件</w:t>
      </w:r>
      <w:bookmarkEnd w:id="58"/>
      <w:bookmarkEnd w:id="59"/>
      <w:bookmarkEnd w:id="60"/>
    </w:p>
    <w:p w14:paraId="0EB1B36D">
      <w:pPr>
        <w:ind w:firstLine="480"/>
        <w:rPr>
          <w:rFonts w:hint="eastAsia" w:ascii="宋体" w:hAnsi="宋体" w:eastAsia="宋体" w:cs="宋体"/>
        </w:rPr>
      </w:pPr>
      <w:r>
        <w:rPr>
          <w:rFonts w:hint="eastAsia" w:ascii="宋体" w:hAnsi="宋体" w:eastAsia="宋体" w:cs="宋体"/>
        </w:rPr>
        <w:t>1.《</w:t>
      </w:r>
      <w:r>
        <w:rPr>
          <w:rFonts w:hint="eastAsia" w:ascii="宋体" w:hAnsi="宋体" w:eastAsia="宋体" w:cs="宋体"/>
          <w:lang w:val="en-US" w:eastAsia="zh-CN"/>
        </w:rPr>
        <w:t>沈海线漳州龙海至诏安段（龙海北溪头至诏安闽粤界）扩容工程</w:t>
      </w:r>
      <w:r>
        <w:rPr>
          <w:rFonts w:hint="eastAsia" w:ascii="宋体" w:hAnsi="宋体" w:eastAsia="宋体" w:cs="宋体"/>
        </w:rPr>
        <w:t>招投标文件》；</w:t>
      </w:r>
    </w:p>
    <w:p w14:paraId="7A81D0CE">
      <w:pPr>
        <w:ind w:firstLine="480"/>
        <w:rPr>
          <w:rFonts w:hint="eastAsia" w:ascii="宋体" w:hAnsi="宋体" w:eastAsia="宋体" w:cs="宋体"/>
        </w:rPr>
      </w:pPr>
      <w:r>
        <w:rPr>
          <w:rFonts w:hint="eastAsia" w:ascii="宋体" w:hAnsi="宋体" w:eastAsia="宋体" w:cs="宋体"/>
        </w:rPr>
        <w:t>2.《</w:t>
      </w:r>
      <w:r>
        <w:rPr>
          <w:rFonts w:hint="eastAsia" w:ascii="宋体" w:hAnsi="宋体" w:eastAsia="宋体" w:cs="宋体"/>
          <w:lang w:val="en-US" w:eastAsia="zh-CN"/>
        </w:rPr>
        <w:t>沈海线漳州龙海至诏安段（龙海北溪头至诏安闽粤界）扩容工程</w:t>
      </w:r>
      <w:r>
        <w:rPr>
          <w:rFonts w:hint="eastAsia" w:ascii="宋体" w:hAnsi="宋体" w:eastAsia="宋体" w:cs="宋体"/>
        </w:rPr>
        <w:t>施工图设计》；</w:t>
      </w:r>
    </w:p>
    <w:p w14:paraId="0A1E3C78">
      <w:pPr>
        <w:ind w:firstLine="480"/>
        <w:rPr>
          <w:rFonts w:hint="eastAsia" w:ascii="宋体" w:hAnsi="宋体" w:eastAsia="宋体" w:cs="宋体"/>
          <w:lang w:eastAsia="zh-CN"/>
        </w:rPr>
      </w:pPr>
      <w:r>
        <w:rPr>
          <w:rFonts w:hint="eastAsia" w:ascii="宋体" w:hAnsi="宋体" w:eastAsia="宋体" w:cs="宋体"/>
        </w:rPr>
        <w:t>3.《</w:t>
      </w:r>
      <w:r>
        <w:rPr>
          <w:rFonts w:hint="eastAsia" w:ascii="宋体" w:hAnsi="宋体" w:eastAsia="宋体" w:cs="宋体"/>
          <w:lang w:val="en-US" w:eastAsia="zh-CN"/>
        </w:rPr>
        <w:t>沈海线漳州龙海至诏安段（龙海北溪头至诏安闽粤界）扩容工程</w:t>
      </w:r>
      <w:r>
        <w:rPr>
          <w:rFonts w:hint="eastAsia" w:ascii="宋体" w:hAnsi="宋体" w:eastAsia="宋体" w:cs="宋体"/>
        </w:rPr>
        <w:t>地质勘测报告》</w:t>
      </w:r>
      <w:r>
        <w:rPr>
          <w:rFonts w:hint="eastAsia" w:ascii="宋体" w:hAnsi="宋体" w:eastAsia="宋体" w:cs="宋体"/>
          <w:lang w:eastAsia="zh-CN"/>
        </w:rPr>
        <w:t>。</w:t>
      </w:r>
    </w:p>
    <w:p w14:paraId="2C4F03DB">
      <w:pPr>
        <w:keepNext/>
        <w:keepLines/>
        <w:spacing w:line="360" w:lineRule="auto"/>
        <w:ind w:firstLine="482" w:firstLineChars="200"/>
        <w:jc w:val="left"/>
        <w:outlineLvl w:val="2"/>
        <w:rPr>
          <w:rFonts w:hint="eastAsia" w:ascii="宋体" w:hAnsi="宋体" w:eastAsia="宋体" w:cs="宋体"/>
        </w:rPr>
      </w:pPr>
      <w:bookmarkStart w:id="61" w:name="_Toc6712"/>
      <w:bookmarkStart w:id="62" w:name="_Toc18897"/>
      <w:r>
        <w:rPr>
          <w:rFonts w:hint="eastAsia" w:ascii="Times New Roman" w:hAnsi="Times New Roman" w:eastAsia="宋体" w:cs="Times New Roman"/>
          <w:b/>
          <w:kern w:val="0"/>
          <w:sz w:val="24"/>
          <w:szCs w:val="20"/>
        </w:rPr>
        <w:t>1.</w:t>
      </w:r>
      <w:r>
        <w:rPr>
          <w:rFonts w:hint="eastAsia" w:ascii="Times New Roman" w:hAnsi="Times New Roman" w:eastAsia="宋体" w:cs="Times New Roman"/>
          <w:b/>
          <w:kern w:val="0"/>
          <w:sz w:val="24"/>
          <w:szCs w:val="20"/>
          <w:lang w:val="en-US" w:eastAsia="zh-CN"/>
        </w:rPr>
        <w:t>1</w:t>
      </w:r>
      <w:r>
        <w:rPr>
          <w:rFonts w:hint="eastAsia" w:ascii="Times New Roman" w:hAnsi="Times New Roman" w:eastAsia="宋体" w:cs="Times New Roman"/>
          <w:b/>
          <w:kern w:val="0"/>
          <w:sz w:val="24"/>
          <w:szCs w:val="20"/>
        </w:rPr>
        <w:t>.</w:t>
      </w:r>
      <w:r>
        <w:rPr>
          <w:rFonts w:hint="eastAsia" w:ascii="Times New Roman" w:hAnsi="Times New Roman" w:eastAsia="宋体" w:cs="Times New Roman"/>
          <w:b/>
          <w:kern w:val="0"/>
          <w:sz w:val="24"/>
          <w:szCs w:val="20"/>
          <w:lang w:val="en-US" w:eastAsia="zh-CN"/>
        </w:rPr>
        <w:t>4</w:t>
      </w:r>
      <w:r>
        <w:rPr>
          <w:rFonts w:hint="eastAsia" w:ascii="Times New Roman" w:hAnsi="Times New Roman" w:eastAsia="宋体" w:cs="Times New Roman"/>
          <w:b/>
          <w:kern w:val="0"/>
          <w:sz w:val="24"/>
          <w:szCs w:val="20"/>
        </w:rPr>
        <w:t xml:space="preserve"> </w:t>
      </w:r>
      <w:r>
        <w:rPr>
          <w:rFonts w:hint="eastAsia" w:ascii="Times New Roman" w:hAnsi="Times New Roman" w:eastAsia="宋体" w:cs="Times New Roman"/>
          <w:b/>
          <w:kern w:val="0"/>
          <w:sz w:val="24"/>
          <w:szCs w:val="20"/>
          <w:lang w:val="en-US" w:eastAsia="zh-CN"/>
        </w:rPr>
        <w:t>其它</w:t>
      </w:r>
      <w:bookmarkEnd w:id="61"/>
      <w:bookmarkEnd w:id="62"/>
    </w:p>
    <w:p w14:paraId="446BAFD0">
      <w:pPr>
        <w:ind w:firstLine="480"/>
        <w:rPr>
          <w:rFonts w:hint="eastAsia" w:ascii="宋体" w:hAnsi="宋体" w:eastAsia="宋体" w:cs="宋体"/>
          <w:lang w:val="en-US" w:eastAsia="zh-CN"/>
        </w:rPr>
      </w:pPr>
      <w:r>
        <w:rPr>
          <w:rFonts w:hint="eastAsia" w:ascii="宋体" w:hAnsi="宋体" w:eastAsia="宋体" w:cs="宋体"/>
          <w:lang w:val="en-US" w:eastAsia="zh-CN"/>
        </w:rPr>
        <w:t>1、《中煤矿山建设集团有限责任公司施工标准化手册》；</w:t>
      </w:r>
    </w:p>
    <w:p w14:paraId="642341DD">
      <w:pPr>
        <w:ind w:firstLine="480"/>
        <w:rPr>
          <w:rFonts w:hint="eastAsia" w:ascii="宋体" w:hAnsi="宋体" w:eastAsia="宋体" w:cs="宋体"/>
          <w:lang w:val="en-US" w:eastAsia="zh-CN"/>
        </w:rPr>
      </w:pPr>
      <w:r>
        <w:rPr>
          <w:rFonts w:hint="eastAsia" w:ascii="宋体" w:hAnsi="宋体" w:eastAsia="宋体" w:cs="宋体"/>
          <w:lang w:val="en-US" w:eastAsia="zh-CN"/>
        </w:rPr>
        <w:t>2、我单位拥有的科技成果、工法成果、机械设备、技术水平和施工能力，以及参加类似工程施工积累的施工经验，现场踏勘资料等；</w:t>
      </w:r>
    </w:p>
    <w:p w14:paraId="35B57A47">
      <w:pPr>
        <w:ind w:firstLine="48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我公司执行的GB/T19001-2016质量管理体系、GB/T24001-2016环境管理体系和GB/T 45001-2020职业健康安全体系。</w:t>
      </w:r>
      <w:bookmarkEnd w:id="57"/>
    </w:p>
    <w:p w14:paraId="489F7CA7">
      <w:pPr>
        <w:pStyle w:val="4"/>
        <w:bidi w:val="0"/>
        <w:rPr>
          <w:rFonts w:hint="default" w:ascii="Arial" w:hAnsi="Arial" w:eastAsia="宋体" w:cs="宋体"/>
          <w:color w:val="auto"/>
          <w:lang w:val="en-US" w:eastAsia="zh-CN"/>
        </w:rPr>
      </w:pPr>
      <w:bookmarkStart w:id="63" w:name="_Toc29155"/>
      <w:bookmarkStart w:id="64" w:name="_Toc16908"/>
      <w:bookmarkStart w:id="65" w:name="_Toc28463"/>
      <w:bookmarkStart w:id="66" w:name="_Toc8998"/>
      <w:bookmarkStart w:id="67" w:name="_Toc31175"/>
      <w:bookmarkStart w:id="68" w:name="_Toc9026"/>
      <w:bookmarkStart w:id="69" w:name="_Toc30516"/>
      <w:bookmarkStart w:id="70" w:name="_Toc129357708"/>
      <w:bookmarkStart w:id="71" w:name="_Toc26846"/>
      <w:bookmarkStart w:id="72" w:name="_Toc12007"/>
      <w:bookmarkStart w:id="73" w:name="_Toc8299"/>
      <w:bookmarkStart w:id="74" w:name="_Toc24354"/>
      <w:bookmarkStart w:id="75" w:name="_Toc14818"/>
      <w:bookmarkStart w:id="76" w:name="_Toc31129"/>
      <w:bookmarkStart w:id="77" w:name="_Toc14159"/>
      <w:bookmarkStart w:id="78" w:name="_Toc17527"/>
      <w:bookmarkStart w:id="79" w:name="_Toc29480"/>
      <w:r>
        <w:rPr>
          <w:rFonts w:hint="eastAsia" w:ascii="Arial" w:hAnsi="Arial" w:eastAsia="宋体" w:cs="宋体"/>
          <w:color w:val="auto"/>
          <w:lang w:val="en-US" w:eastAsia="zh-CN"/>
        </w:rPr>
        <w:t>1.2 编制范围</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24EE0350">
      <w:pPr>
        <w:ind w:firstLine="480"/>
        <w:rPr>
          <w:rFonts w:hint="eastAsia" w:ascii="宋体" w:hAnsi="宋体" w:eastAsia="宋体" w:cs="宋体"/>
          <w:lang w:val="en-US" w:eastAsia="zh-CN"/>
        </w:rPr>
      </w:pPr>
      <w:r>
        <w:rPr>
          <w:rFonts w:hint="eastAsia" w:ascii="宋体" w:hAnsi="宋体" w:eastAsia="宋体" w:cs="宋体"/>
          <w:lang w:val="en-US" w:eastAsia="zh-CN"/>
        </w:rPr>
        <w:t>沈海线漳州龙海至诏安段（龙海北溪头至诏安闽粤界）扩容工程A12合同段，起讫桩号为K116+000—K133+500，全长17.5km。</w:t>
      </w:r>
    </w:p>
    <w:p w14:paraId="2D87AA99">
      <w:pPr>
        <w:pStyle w:val="2"/>
        <w:numPr>
          <w:ilvl w:val="0"/>
          <w:numId w:val="0"/>
        </w:numPr>
        <w:bidi w:val="0"/>
        <w:ind w:leftChars="0"/>
        <w:jc w:val="center"/>
        <w:rPr>
          <w:color w:val="auto"/>
        </w:rPr>
      </w:pPr>
      <w:bookmarkStart w:id="80" w:name="_Toc29935"/>
      <w:bookmarkStart w:id="81" w:name="_Toc475990858"/>
      <w:r>
        <w:rPr>
          <w:rFonts w:hint="eastAsia"/>
          <w:color w:val="auto"/>
        </w:rPr>
        <w:t>第</w:t>
      </w:r>
      <w:r>
        <w:rPr>
          <w:rFonts w:hint="eastAsia"/>
          <w:color w:val="auto"/>
          <w:lang w:val="en-US" w:eastAsia="zh-CN"/>
        </w:rPr>
        <w:t>二</w:t>
      </w:r>
      <w:r>
        <w:rPr>
          <w:rFonts w:hint="eastAsia"/>
          <w:color w:val="auto"/>
        </w:rPr>
        <w:t>章  编制原则</w:t>
      </w:r>
      <w:bookmarkEnd w:id="80"/>
    </w:p>
    <w:p w14:paraId="0BACE7C4">
      <w:pPr>
        <w:ind w:firstLine="480"/>
        <w:rPr>
          <w:rFonts w:hint="eastAsia" w:ascii="宋体" w:hAnsi="宋体" w:eastAsia="宋体" w:cs="宋体"/>
        </w:rPr>
      </w:pPr>
      <w:r>
        <w:rPr>
          <w:rFonts w:hint="eastAsia" w:ascii="宋体" w:hAnsi="宋体" w:eastAsia="宋体" w:cs="宋体"/>
        </w:rPr>
        <w:t>根据招标文件要求，我们以招标文件和现场踏勘为基础，针对工程特点、难点、重点，结合我单位的施工特长、经验、技术、设备能力，本着“安全为先，质量为本”的安全质量原则，以“确保安全，提高质量，均衡生产，文明施工，降低成本，如期高效”的项目管理思路，根据以下原则进行施工组织设计的编制：</w:t>
      </w:r>
    </w:p>
    <w:p w14:paraId="45410EC1">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遵循规范和质量验收标准的原则。在编写主要工程项目施工方法和技术措施中，严格按设计标准、现行规范和质量验收标准执行，按照《福建省高速公路施工标准化管理指南》要求，精心组织施工，确保工程质量优良。</w:t>
      </w:r>
    </w:p>
    <w:p w14:paraId="0FEA7CD6">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坚持实事求是的原则。在制定施工方案中，充分发挥我单位施工专业化、机械化的特点，坚持科学组织、合理安排，均衡生产，确保高速度、高质量、高信誉地完成本合同段的建设任务，确保施工组织的先进性和合理性。</w:t>
      </w:r>
    </w:p>
    <w:p w14:paraId="278B4AC0">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坚持项目法管理原则。通过与业主、监理工程师和设计部门的充分合作，综合运用人员、机械、物资、方法、资金和信息，实现质量和造价的最佳组合。</w:t>
      </w:r>
    </w:p>
    <w:p w14:paraId="1D54AC99">
      <w:pPr>
        <w:ind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坚持文明施工和环境保护原则。贯彻ISO9002质量标准，坚持对施工现场进行全程有效监控，严格按国家及省有关法律、法规及标准进行文明施工和采取环保措施，创建安全文明标准工地。</w:t>
      </w:r>
    </w:p>
    <w:p w14:paraId="17F16E30">
      <w:pPr>
        <w:ind w:firstLine="480"/>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贯彻少占耕地、节约施工临时用地的原则。结合现场实际情况，因地制宜合理规划施工平面布置，充分利用当地既有设施和资源，进行临时工程建设。</w:t>
      </w:r>
    </w:p>
    <w:bookmarkEnd w:id="81"/>
    <w:p w14:paraId="3C42D89E">
      <w:pPr>
        <w:pStyle w:val="2"/>
        <w:numPr>
          <w:ilvl w:val="0"/>
          <w:numId w:val="0"/>
        </w:numPr>
        <w:bidi w:val="0"/>
        <w:ind w:leftChars="0"/>
        <w:jc w:val="center"/>
        <w:rPr>
          <w:rFonts w:hint="eastAsia" w:ascii="宋体" w:hAnsi="宋体" w:eastAsia="宋体" w:cs="宋体"/>
          <w:color w:val="auto"/>
        </w:rPr>
      </w:pPr>
      <w:bookmarkStart w:id="82" w:name="_Toc7087"/>
      <w:bookmarkStart w:id="83" w:name="_Toc24588"/>
      <w:bookmarkStart w:id="84" w:name="_Toc26699"/>
      <w:bookmarkStart w:id="85" w:name="_Toc25666"/>
      <w:bookmarkStart w:id="86" w:name="_Toc7081"/>
      <w:r>
        <w:rPr>
          <w:rFonts w:hint="eastAsia"/>
          <w:color w:val="auto"/>
        </w:rPr>
        <w:t>第</w:t>
      </w:r>
      <w:r>
        <w:rPr>
          <w:rFonts w:hint="eastAsia"/>
          <w:color w:val="auto"/>
          <w:lang w:val="en-US" w:eastAsia="zh-CN"/>
        </w:rPr>
        <w:t>三</w:t>
      </w:r>
      <w:r>
        <w:rPr>
          <w:rFonts w:hint="eastAsia"/>
          <w:color w:val="auto"/>
        </w:rPr>
        <w:t xml:space="preserve">章  </w:t>
      </w:r>
      <w:r>
        <w:rPr>
          <w:rFonts w:hint="eastAsia" w:ascii="宋体" w:hAnsi="宋体" w:eastAsia="宋体" w:cs="宋体"/>
          <w:color w:val="auto"/>
        </w:rPr>
        <w:t>工程概况</w:t>
      </w:r>
      <w:bookmarkEnd w:id="30"/>
      <w:bookmarkEnd w:id="31"/>
      <w:bookmarkEnd w:id="32"/>
      <w:bookmarkEnd w:id="33"/>
      <w:bookmarkEnd w:id="34"/>
      <w:bookmarkEnd w:id="35"/>
      <w:bookmarkEnd w:id="36"/>
      <w:bookmarkEnd w:id="37"/>
      <w:bookmarkEnd w:id="38"/>
      <w:bookmarkEnd w:id="39"/>
      <w:bookmarkEnd w:id="40"/>
      <w:bookmarkEnd w:id="82"/>
      <w:bookmarkEnd w:id="83"/>
      <w:bookmarkEnd w:id="84"/>
      <w:bookmarkEnd w:id="85"/>
      <w:bookmarkEnd w:id="86"/>
    </w:p>
    <w:p w14:paraId="66DC231C">
      <w:pPr>
        <w:pStyle w:val="4"/>
        <w:numPr>
          <w:ilvl w:val="1"/>
          <w:numId w:val="0"/>
        </w:numPr>
        <w:spacing w:line="360" w:lineRule="auto"/>
        <w:ind w:firstLine="0" w:firstLineChars="0"/>
        <w:rPr>
          <w:rFonts w:hint="eastAsia" w:ascii="宋体" w:hAnsi="宋体" w:eastAsia="宋体" w:cs="宋体"/>
          <w:color w:val="auto"/>
        </w:rPr>
      </w:pPr>
      <w:bookmarkStart w:id="87" w:name="_Toc11729"/>
      <w:bookmarkStart w:id="88" w:name="_Toc24913"/>
      <w:bookmarkStart w:id="89" w:name="_Toc8300"/>
      <w:bookmarkStart w:id="90" w:name="_Toc23189"/>
      <w:bookmarkStart w:id="91" w:name="_Toc477254856"/>
      <w:bookmarkStart w:id="92" w:name="_Toc4012"/>
      <w:bookmarkStart w:id="93" w:name="_Toc477253495"/>
      <w:bookmarkStart w:id="94" w:name="_Toc15369"/>
      <w:bookmarkStart w:id="95" w:name="_Toc8269"/>
      <w:bookmarkStart w:id="96" w:name="_Toc7630"/>
      <w:bookmarkStart w:id="97" w:name="_Toc27124"/>
      <w:bookmarkStart w:id="98" w:name="_Toc23499"/>
      <w:bookmarkStart w:id="99" w:name="_Toc12977"/>
      <w:bookmarkStart w:id="100" w:name="_Toc15404"/>
      <w:bookmarkStart w:id="101" w:name="_Toc22655"/>
      <w:bookmarkStart w:id="102" w:name="_Toc29436"/>
      <w:r>
        <w:rPr>
          <w:rFonts w:hint="default" w:ascii="宋体" w:hAnsi="宋体" w:eastAsia="宋体" w:cs="Times New Roman"/>
          <w:b/>
          <w:bCs/>
          <w:color w:val="auto"/>
          <w:kern w:val="2"/>
          <w:sz w:val="32"/>
          <w:szCs w:val="32"/>
          <w:lang w:val="en-US" w:eastAsia="zh-CN" w:bidi="ar-SA"/>
        </w:rPr>
        <w:t>3.1.</w:t>
      </w:r>
      <w:r>
        <w:rPr>
          <w:rFonts w:hint="eastAsia" w:ascii="宋体" w:hAnsi="宋体" w:eastAsia="宋体" w:cs="宋体"/>
          <w:color w:val="auto"/>
        </w:rPr>
        <w:t>工程简介</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126C3704">
      <w:pPr>
        <w:ind w:firstLine="482"/>
        <w:rPr>
          <w:rFonts w:hint="eastAsia" w:ascii="宋体" w:hAnsi="宋体" w:eastAsia="宋体" w:cs="宋体"/>
          <w:b/>
          <w:bCs/>
        </w:rPr>
      </w:pPr>
      <w:bookmarkStart w:id="103" w:name="_Toc20014"/>
      <w:bookmarkStart w:id="104" w:name="_Toc25118"/>
      <w:bookmarkStart w:id="105" w:name="_Toc3346"/>
      <w:bookmarkStart w:id="106" w:name="_Toc3263"/>
      <w:bookmarkStart w:id="107" w:name="_Toc4881"/>
      <w:bookmarkStart w:id="108" w:name="_Toc25187"/>
      <w:r>
        <w:rPr>
          <w:rFonts w:hint="eastAsia" w:ascii="宋体" w:hAnsi="宋体" w:cs="宋体"/>
          <w:b/>
          <w:bCs/>
          <w:lang w:val="en-US" w:eastAsia="zh-CN"/>
        </w:rPr>
        <w:t>3.1.1</w:t>
      </w:r>
      <w:r>
        <w:rPr>
          <w:rFonts w:hint="eastAsia" w:ascii="宋体" w:hAnsi="宋体" w:eastAsia="宋体" w:cs="宋体"/>
          <w:b/>
          <w:bCs/>
        </w:rPr>
        <w:t>地理位置</w:t>
      </w:r>
      <w:bookmarkEnd w:id="103"/>
      <w:bookmarkEnd w:id="104"/>
      <w:bookmarkEnd w:id="105"/>
      <w:bookmarkEnd w:id="106"/>
      <w:bookmarkEnd w:id="107"/>
      <w:bookmarkEnd w:id="108"/>
    </w:p>
    <w:p w14:paraId="2B61F0BC">
      <w:pPr>
        <w:ind w:firstLine="480"/>
        <w:rPr>
          <w:rFonts w:hint="eastAsia" w:ascii="宋体" w:hAnsi="宋体" w:eastAsia="宋体" w:cs="宋体"/>
          <w:lang w:val="en-US" w:eastAsia="zh-CN"/>
        </w:rPr>
      </w:pPr>
      <w:r>
        <w:rPr>
          <w:rFonts w:hint="eastAsia" w:ascii="宋体" w:hAnsi="宋体" w:eastAsia="宋体" w:cs="宋体"/>
          <w:lang w:val="en-US" w:eastAsia="zh-CN"/>
        </w:rPr>
        <w:t>本项目</w:t>
      </w:r>
      <w:r>
        <w:rPr>
          <w:rFonts w:hint="default" w:ascii="宋体" w:hAnsi="宋体" w:eastAsia="宋体" w:cs="宋体"/>
          <w:lang w:val="en-US" w:eastAsia="zh-CN"/>
        </w:rPr>
        <w:t xml:space="preserve">A12 </w:t>
      </w:r>
      <w:r>
        <w:rPr>
          <w:rFonts w:hint="eastAsia" w:ascii="宋体" w:hAnsi="宋体" w:eastAsia="宋体" w:cs="宋体"/>
          <w:lang w:val="en-US" w:eastAsia="zh-CN"/>
        </w:rPr>
        <w:t>标段起讫里程为：K116+000</w:t>
      </w:r>
      <w:r>
        <w:rPr>
          <w:rFonts w:hint="eastAsia" w:ascii="宋体" w:hAnsi="宋体" w:eastAsia="宋体" w:cs="宋体"/>
        </w:rPr>
        <w:t>～</w:t>
      </w:r>
      <w:r>
        <w:rPr>
          <w:rFonts w:hint="eastAsia" w:ascii="宋体" w:hAnsi="宋体" w:eastAsia="宋体" w:cs="宋体"/>
          <w:lang w:val="en-US" w:eastAsia="zh-CN"/>
        </w:rPr>
        <w:t xml:space="preserve">K133+500，起点位于港口村附近，顺接 </w:t>
      </w:r>
      <w:r>
        <w:rPr>
          <w:rFonts w:hint="default" w:ascii="宋体" w:hAnsi="宋体" w:eastAsia="宋体" w:cs="宋体"/>
          <w:lang w:val="en-US" w:eastAsia="zh-CN"/>
        </w:rPr>
        <w:t xml:space="preserve">A11 </w:t>
      </w:r>
      <w:r>
        <w:rPr>
          <w:rFonts w:hint="eastAsia" w:ascii="宋体" w:hAnsi="宋体" w:eastAsia="宋体" w:cs="宋体"/>
          <w:lang w:val="en-US" w:eastAsia="zh-CN"/>
        </w:rPr>
        <w:t xml:space="preserve">标段终点，本标段路线均为原路改扩建，路线走向与既有沈海高速相同。沿路两侧拼宽，扩建港口大桥、下穿 </w:t>
      </w:r>
      <w:r>
        <w:rPr>
          <w:rFonts w:hint="default" w:ascii="宋体" w:hAnsi="宋体" w:eastAsia="宋体" w:cs="宋体"/>
          <w:lang w:val="en-US" w:eastAsia="zh-CN"/>
        </w:rPr>
        <w:t>S309</w:t>
      </w:r>
      <w:r>
        <w:rPr>
          <w:rFonts w:hint="eastAsia" w:ascii="宋体" w:hAnsi="宋体" w:eastAsia="宋体" w:cs="宋体"/>
          <w:lang w:val="en-US" w:eastAsia="zh-CN"/>
        </w:rPr>
        <w:t xml:space="preserve">，至诏安金星乡附近新建金星互通对接金都工业区，之后改扩建诏安东互通（主线纵面改造），过互通后主线右幅分离（左幅利用），新建右幅外凤楼大桥跨湿地，新建沃仔头大桥跨东溪，标段终点位于仕江大桥附近，标段全长 </w:t>
      </w:r>
      <w:r>
        <w:rPr>
          <w:rFonts w:hint="default" w:ascii="宋体" w:hAnsi="宋体" w:eastAsia="宋体" w:cs="宋体"/>
          <w:lang w:val="en-US" w:eastAsia="zh-CN"/>
        </w:rPr>
        <w:t>17.5km</w:t>
      </w:r>
      <w:r>
        <w:rPr>
          <w:rFonts w:hint="eastAsia" w:ascii="宋体" w:hAnsi="宋体" w:eastAsia="宋体" w:cs="宋体"/>
          <w:lang w:val="en-US" w:eastAsia="zh-CN"/>
        </w:rPr>
        <w:t>。</w:t>
      </w:r>
    </w:p>
    <w:p w14:paraId="04960DAD">
      <w:pPr>
        <w:ind w:firstLine="480"/>
        <w:rPr>
          <w:rFonts w:hint="eastAsia" w:ascii="宋体" w:hAnsi="宋体" w:eastAsia="宋体" w:cs="宋体"/>
        </w:rPr>
      </w:pPr>
      <w:r>
        <w:drawing>
          <wp:anchor distT="0" distB="0" distL="114300" distR="114300" simplePos="0" relativeHeight="251680768" behindDoc="0" locked="0" layoutInCell="1" allowOverlap="1">
            <wp:simplePos x="0" y="0"/>
            <wp:positionH relativeFrom="column">
              <wp:posOffset>143510</wp:posOffset>
            </wp:positionH>
            <wp:positionV relativeFrom="paragraph">
              <wp:posOffset>20320</wp:posOffset>
            </wp:positionV>
            <wp:extent cx="5421630" cy="2754630"/>
            <wp:effectExtent l="9525" t="9525" r="9525" b="9525"/>
            <wp:wrapNone/>
            <wp:docPr id="1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图片 1"/>
                    <pic:cNvPicPr>
                      <a:picLocks noChangeAspect="1"/>
                    </pic:cNvPicPr>
                  </pic:nvPicPr>
                  <pic:blipFill>
                    <a:blip r:embed="rId19"/>
                    <a:stretch>
                      <a:fillRect/>
                    </a:stretch>
                  </pic:blipFill>
                  <pic:spPr>
                    <a:xfrm>
                      <a:off x="0" y="0"/>
                      <a:ext cx="5421630" cy="2754630"/>
                    </a:xfrm>
                    <a:prstGeom prst="rect">
                      <a:avLst/>
                    </a:prstGeom>
                    <a:noFill/>
                    <a:ln w="9525" cap="flat" cmpd="sng">
                      <a:solidFill>
                        <a:srgbClr val="0000FF"/>
                      </a:solidFill>
                      <a:prstDash val="solid"/>
                      <a:round/>
                      <a:headEnd type="none" w="med" len="med"/>
                      <a:tailEnd type="none" w="med" len="med"/>
                    </a:ln>
                  </pic:spPr>
                </pic:pic>
              </a:graphicData>
            </a:graphic>
          </wp:anchor>
        </w:drawing>
      </w:r>
    </w:p>
    <w:p w14:paraId="4DB3E661">
      <w:pPr>
        <w:ind w:firstLine="480"/>
        <w:rPr>
          <w:rFonts w:hint="eastAsia" w:ascii="宋体" w:hAnsi="宋体" w:eastAsia="宋体" w:cs="宋体"/>
        </w:rPr>
      </w:pPr>
    </w:p>
    <w:p w14:paraId="451E9EF1">
      <w:pPr>
        <w:ind w:firstLine="480"/>
        <w:rPr>
          <w:rFonts w:hint="eastAsia" w:ascii="宋体" w:hAnsi="宋体" w:eastAsia="宋体" w:cs="宋体"/>
        </w:rPr>
      </w:pPr>
    </w:p>
    <w:p w14:paraId="3191D523">
      <w:pPr>
        <w:ind w:firstLine="480"/>
        <w:rPr>
          <w:rFonts w:hint="eastAsia" w:ascii="宋体" w:hAnsi="宋体" w:eastAsia="宋体" w:cs="宋体"/>
        </w:rPr>
      </w:pPr>
    </w:p>
    <w:p w14:paraId="7F378AEF">
      <w:pPr>
        <w:ind w:firstLine="480"/>
        <w:rPr>
          <w:rFonts w:hint="eastAsia" w:ascii="宋体" w:hAnsi="宋体" w:eastAsia="宋体" w:cs="宋体"/>
        </w:rPr>
      </w:pPr>
    </w:p>
    <w:p w14:paraId="66BBA86F">
      <w:pPr>
        <w:ind w:firstLine="480"/>
        <w:rPr>
          <w:rFonts w:hint="eastAsia" w:ascii="宋体" w:hAnsi="宋体" w:eastAsia="宋体" w:cs="宋体"/>
        </w:rPr>
      </w:pPr>
    </w:p>
    <w:p w14:paraId="6FF74DE1">
      <w:pPr>
        <w:ind w:firstLine="480"/>
        <w:rPr>
          <w:rFonts w:hint="eastAsia" w:ascii="宋体" w:hAnsi="宋体" w:eastAsia="宋体" w:cs="宋体"/>
        </w:rPr>
      </w:pPr>
    </w:p>
    <w:p w14:paraId="1EC0856A">
      <w:pPr>
        <w:ind w:firstLine="480"/>
        <w:rPr>
          <w:rFonts w:hint="eastAsia" w:ascii="宋体" w:hAnsi="宋体" w:eastAsia="宋体" w:cs="宋体"/>
        </w:rPr>
      </w:pPr>
    </w:p>
    <w:p w14:paraId="48936301">
      <w:pPr>
        <w:pStyle w:val="22"/>
        <w:ind w:firstLine="431"/>
        <w:rPr>
          <w:rFonts w:hint="eastAsia" w:ascii="宋体" w:hAnsi="宋体" w:eastAsia="宋体" w:cs="宋体"/>
          <w:highlight w:val="yellow"/>
        </w:rPr>
      </w:pPr>
    </w:p>
    <w:p w14:paraId="68F356FE">
      <w:pPr>
        <w:ind w:firstLine="482"/>
        <w:jc w:val="center"/>
        <w:rPr>
          <w:rFonts w:hint="eastAsia" w:ascii="宋体" w:hAnsi="宋体" w:eastAsia="宋体" w:cs="宋体"/>
          <w:b/>
          <w:bCs/>
          <w:highlight w:val="none"/>
          <w:u w:val="double"/>
        </w:rPr>
      </w:pPr>
    </w:p>
    <w:p w14:paraId="02DCF227">
      <w:pPr>
        <w:ind w:firstLine="482"/>
        <w:jc w:val="center"/>
        <w:rPr>
          <w:rFonts w:hint="eastAsia" w:ascii="宋体" w:hAnsi="宋体" w:eastAsia="宋体" w:cs="宋体"/>
          <w:b/>
          <w:bCs/>
          <w:highlight w:val="none"/>
          <w:u w:val="double"/>
        </w:rPr>
      </w:pPr>
    </w:p>
    <w:p w14:paraId="193E3444">
      <w:pPr>
        <w:ind w:left="0" w:leftChars="0" w:firstLine="0" w:firstLineChars="0"/>
        <w:jc w:val="both"/>
        <w:rPr>
          <w:rFonts w:hint="eastAsia" w:ascii="宋体" w:hAnsi="宋体" w:eastAsia="宋体" w:cs="宋体"/>
          <w:b/>
          <w:bCs/>
          <w:highlight w:val="none"/>
          <w:u w:val="double"/>
        </w:rPr>
      </w:pPr>
      <w:r>
        <w:drawing>
          <wp:inline distT="0" distB="0" distL="114300" distR="114300">
            <wp:extent cx="5554345" cy="2569210"/>
            <wp:effectExtent l="9525" t="9525" r="13970" b="12065"/>
            <wp:docPr id="14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图片 3"/>
                    <pic:cNvPicPr>
                      <a:picLocks noChangeAspect="1"/>
                    </pic:cNvPicPr>
                  </pic:nvPicPr>
                  <pic:blipFill>
                    <a:blip r:embed="rId20"/>
                    <a:stretch>
                      <a:fillRect/>
                    </a:stretch>
                  </pic:blipFill>
                  <pic:spPr>
                    <a:xfrm>
                      <a:off x="0" y="0"/>
                      <a:ext cx="5554345" cy="2569210"/>
                    </a:xfrm>
                    <a:prstGeom prst="rect">
                      <a:avLst/>
                    </a:prstGeom>
                    <a:noFill/>
                    <a:ln w="9525" cap="flat" cmpd="sng">
                      <a:solidFill>
                        <a:srgbClr val="0000FF"/>
                      </a:solidFill>
                      <a:prstDash val="solid"/>
                      <a:miter/>
                      <a:headEnd type="none" w="med" len="med"/>
                      <a:tailEnd type="none" w="med" len="med"/>
                    </a:ln>
                  </pic:spPr>
                </pic:pic>
              </a:graphicData>
            </a:graphic>
          </wp:inline>
        </w:drawing>
      </w:r>
    </w:p>
    <w:p w14:paraId="50E59F85">
      <w:pPr>
        <w:ind w:firstLine="482"/>
        <w:jc w:val="center"/>
        <w:rPr>
          <w:rFonts w:hint="eastAsia" w:ascii="宋体" w:hAnsi="宋体" w:eastAsia="宋体" w:cs="宋体"/>
          <w:b/>
          <w:bCs/>
          <w:highlight w:val="yellow"/>
          <w:u w:val="double"/>
        </w:rPr>
      </w:pPr>
      <w:r>
        <w:rPr>
          <w:rFonts w:hint="eastAsia" w:ascii="宋体" w:hAnsi="宋体" w:eastAsia="宋体" w:cs="宋体"/>
          <w:b/>
          <w:bCs/>
          <w:highlight w:val="none"/>
          <w:u w:val="double"/>
        </w:rPr>
        <w:t>工程位置示意图</w:t>
      </w:r>
    </w:p>
    <w:p w14:paraId="0D77D9D2">
      <w:pPr>
        <w:ind w:firstLine="482"/>
        <w:rPr>
          <w:rFonts w:hint="eastAsia" w:ascii="宋体" w:hAnsi="宋体" w:eastAsia="宋体" w:cs="宋体"/>
        </w:rPr>
      </w:pPr>
      <w:bookmarkStart w:id="109" w:name="_Toc1563"/>
      <w:bookmarkStart w:id="110" w:name="_Toc14267"/>
      <w:bookmarkStart w:id="111" w:name="_Toc23554"/>
      <w:bookmarkStart w:id="112" w:name="_Toc13105"/>
      <w:bookmarkStart w:id="113" w:name="_Toc23063"/>
      <w:bookmarkStart w:id="114" w:name="_Toc13792"/>
      <w:r>
        <w:rPr>
          <w:rFonts w:hint="eastAsia" w:ascii="宋体" w:hAnsi="宋体" w:cs="宋体"/>
          <w:b/>
          <w:bCs/>
          <w:lang w:val="en-US" w:eastAsia="zh-CN"/>
        </w:rPr>
        <w:t>3.1.2</w:t>
      </w:r>
      <w:r>
        <w:rPr>
          <w:rFonts w:hint="eastAsia" w:ascii="宋体" w:hAnsi="宋体" w:eastAsia="宋体" w:cs="宋体"/>
          <w:b/>
          <w:bCs/>
        </w:rPr>
        <w:t>工程建设规模及范围</w:t>
      </w:r>
      <w:bookmarkEnd w:id="109"/>
      <w:bookmarkEnd w:id="110"/>
      <w:bookmarkEnd w:id="111"/>
      <w:bookmarkEnd w:id="112"/>
      <w:bookmarkEnd w:id="113"/>
      <w:bookmarkEnd w:id="114"/>
      <w:bookmarkStart w:id="115" w:name="_Toc19969"/>
      <w:bookmarkStart w:id="116" w:name="_Toc477253499"/>
      <w:bookmarkStart w:id="117" w:name="_Toc477254858"/>
      <w:bookmarkStart w:id="118" w:name="_Toc31088"/>
      <w:bookmarkStart w:id="119" w:name="_Toc201"/>
      <w:bookmarkStart w:id="120" w:name="_Toc13912"/>
      <w:bookmarkStart w:id="121" w:name="_Toc303"/>
      <w:bookmarkStart w:id="122" w:name="_Toc12033"/>
      <w:bookmarkStart w:id="123" w:name="_Toc28974"/>
    </w:p>
    <w:p w14:paraId="22EDE00B">
      <w:pPr>
        <w:ind w:firstLine="480"/>
        <w:rPr>
          <w:rFonts w:hint="eastAsia" w:ascii="宋体" w:hAnsi="宋体" w:eastAsia="宋体" w:cs="宋体"/>
        </w:rPr>
      </w:pPr>
      <w:r>
        <w:rPr>
          <w:rFonts w:hint="eastAsia" w:ascii="宋体" w:hAnsi="宋体" w:eastAsia="宋体" w:cs="宋体"/>
        </w:rPr>
        <w:t>本项目施工内容包含:道路工程、桥涵工程、</w:t>
      </w:r>
      <w:r>
        <w:rPr>
          <w:rFonts w:hint="eastAsia" w:ascii="宋体" w:hAnsi="宋体" w:cs="宋体"/>
          <w:lang w:val="en-US" w:eastAsia="zh-CN"/>
        </w:rPr>
        <w:t>安全设施与预埋管线</w:t>
      </w:r>
      <w:r>
        <w:rPr>
          <w:rFonts w:hint="eastAsia" w:ascii="宋体" w:hAnsi="宋体" w:eastAsia="宋体" w:cs="宋体"/>
        </w:rPr>
        <w:t>、绿化等附属工程等。</w:t>
      </w:r>
    </w:p>
    <w:p w14:paraId="2AE094E7">
      <w:pPr>
        <w:ind w:firstLine="480"/>
        <w:rPr>
          <w:rFonts w:hint="eastAsia" w:ascii="宋体" w:hAnsi="宋体" w:eastAsia="宋体" w:cs="宋体"/>
        </w:rPr>
      </w:pPr>
      <w:r>
        <w:rPr>
          <w:rFonts w:hint="eastAsia" w:ascii="宋体" w:hAnsi="宋体" w:eastAsia="宋体" w:cs="宋体"/>
        </w:rPr>
        <w:t>K116+000～K133+500,路线长度17.500公里。路基挖方110.86万方，填方106.82万方；主线桥梁3162.8m/17座（大桥2503.45m/4座，中桥579.43m/10座，小桥79.92m/3座），互通匝道桥802.18m/5座（大桥773.18m/4座，小桥29m/1座），立交桥502m/4座（大桥502m/4座），桩基共809根，墩柱444根，钢箱梁332m，现浇箱梁353m,涵洞及通道1455.71m/73道（主线938.95m/45道，线外涵47.34m/7道，金星互通112.4m/6道，诏安东互通233.7m/10道，其他通道及接线123.32m/5道）。施工合同金额6.512亿元。</w:t>
      </w:r>
    </w:p>
    <w:p w14:paraId="15799FAE">
      <w:pPr>
        <w:pStyle w:val="4"/>
        <w:bidi w:val="0"/>
        <w:rPr>
          <w:rFonts w:hint="eastAsia"/>
          <w:color w:val="auto"/>
        </w:rPr>
      </w:pPr>
      <w:bookmarkStart w:id="124" w:name="_Toc25033"/>
      <w:bookmarkStart w:id="125" w:name="_Toc458746994"/>
      <w:bookmarkStart w:id="126" w:name="_Toc477254862"/>
      <w:bookmarkStart w:id="127" w:name="_Toc29278"/>
      <w:bookmarkStart w:id="128" w:name="_Toc13143"/>
      <w:bookmarkStart w:id="129" w:name="_Toc27543"/>
      <w:bookmarkStart w:id="130" w:name="_Toc4652"/>
      <w:bookmarkStart w:id="131" w:name="_Toc2718"/>
      <w:bookmarkStart w:id="132" w:name="_Toc4047"/>
      <w:bookmarkStart w:id="133" w:name="_Toc3423"/>
      <w:bookmarkStart w:id="134" w:name="_Toc19966"/>
      <w:bookmarkStart w:id="135" w:name="_Toc23845"/>
      <w:bookmarkStart w:id="136" w:name="_Toc19188"/>
      <w:bookmarkStart w:id="137" w:name="_Toc475990867"/>
      <w:bookmarkStart w:id="138" w:name="_Toc16991"/>
      <w:bookmarkStart w:id="139" w:name="_Toc6377"/>
      <w:bookmarkStart w:id="140" w:name="_Toc19705"/>
      <w:bookmarkStart w:id="141" w:name="_Toc477253507"/>
      <w:bookmarkStart w:id="142" w:name="_Toc23412"/>
      <w:bookmarkStart w:id="143" w:name="_Toc28058"/>
      <w:bookmarkStart w:id="144" w:name="_Toc13600"/>
      <w:r>
        <w:rPr>
          <w:rFonts w:hint="default"/>
          <w:color w:val="auto"/>
          <w:lang w:val="en-US" w:eastAsia="zh-CN"/>
        </w:rPr>
        <w:t>3.2.</w:t>
      </w:r>
      <w:r>
        <w:rPr>
          <w:rFonts w:hint="eastAsia"/>
          <w:color w:val="auto"/>
        </w:rPr>
        <w:t>主要工程数量</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3E57DA99">
      <w:pPr>
        <w:ind w:firstLine="482"/>
        <w:rPr>
          <w:rFonts w:hint="eastAsia" w:ascii="宋体" w:hAnsi="宋体" w:eastAsia="宋体" w:cs="宋体"/>
          <w:b/>
          <w:bCs/>
          <w:lang w:val="en-US" w:eastAsia="zh-CN"/>
        </w:rPr>
      </w:pPr>
      <w:r>
        <w:rPr>
          <w:rFonts w:hint="eastAsia" w:ascii="宋体" w:hAnsi="宋体" w:eastAsia="宋体" w:cs="宋体"/>
          <w:b/>
          <w:bCs/>
          <w:lang w:val="en-US" w:eastAsia="zh-CN"/>
        </w:rPr>
        <w:t>3.2.1主线桥梁工程数量</w:t>
      </w:r>
    </w:p>
    <w:tbl>
      <w:tblPr>
        <w:tblStyle w:val="48"/>
        <w:tblW w:w="511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281"/>
        <w:gridCol w:w="842"/>
        <w:gridCol w:w="1641"/>
        <w:gridCol w:w="1784"/>
        <w:gridCol w:w="1333"/>
        <w:gridCol w:w="1189"/>
      </w:tblGrid>
      <w:tr w14:paraId="4B41EC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373" w:type="pct"/>
            <w:tcBorders>
              <w:tl2br w:val="nil"/>
              <w:tr2bl w:val="nil"/>
            </w:tcBorders>
            <w:shd w:val="clear" w:color="auto" w:fill="9FBAE1"/>
            <w:vAlign w:val="center"/>
          </w:tcPr>
          <w:p w14:paraId="7DC6332B">
            <w:pPr>
              <w:widowControl/>
              <w:spacing w:line="200" w:lineRule="exact"/>
              <w:ind w:left="0" w:leftChars="0" w:firstLine="0" w:firstLineChars="0"/>
              <w:jc w:val="center"/>
              <w:textAlignment w:val="center"/>
              <w:rPr>
                <w:rFonts w:ascii="仿宋" w:hAnsi="仿宋" w:eastAsia="仿宋" w:cs="仿宋"/>
                <w:b/>
                <w:bCs/>
                <w:sz w:val="18"/>
                <w:szCs w:val="18"/>
              </w:rPr>
            </w:pPr>
            <w:r>
              <w:rPr>
                <w:rFonts w:hint="eastAsia" w:ascii="仿宋" w:hAnsi="仿宋" w:eastAsia="仿宋" w:cs="仿宋"/>
                <w:b/>
                <w:bCs/>
                <w:sz w:val="18"/>
                <w:szCs w:val="18"/>
              </w:rPr>
              <w:t>序号</w:t>
            </w:r>
          </w:p>
        </w:tc>
        <w:tc>
          <w:tcPr>
            <w:tcW w:w="734" w:type="pct"/>
            <w:tcBorders>
              <w:tl2br w:val="nil"/>
              <w:tr2bl w:val="nil"/>
            </w:tcBorders>
            <w:shd w:val="clear" w:color="auto" w:fill="9FBAE1"/>
            <w:vAlign w:val="center"/>
          </w:tcPr>
          <w:p w14:paraId="258C50B8">
            <w:pPr>
              <w:widowControl/>
              <w:spacing w:line="200" w:lineRule="exact"/>
              <w:jc w:val="center"/>
              <w:textAlignment w:val="center"/>
              <w:rPr>
                <w:rFonts w:hint="default" w:ascii="仿宋" w:hAnsi="仿宋" w:eastAsia="仿宋" w:cs="仿宋"/>
                <w:b/>
                <w:bCs/>
                <w:kern w:val="0"/>
                <w:sz w:val="18"/>
                <w:szCs w:val="18"/>
                <w:lang w:val="en-US" w:eastAsia="zh-CN"/>
              </w:rPr>
            </w:pPr>
            <w:r>
              <w:rPr>
                <w:rFonts w:hint="eastAsia" w:ascii="仿宋" w:hAnsi="仿宋" w:eastAsia="仿宋" w:cs="仿宋"/>
                <w:b/>
                <w:bCs/>
                <w:kern w:val="0"/>
                <w:sz w:val="18"/>
                <w:szCs w:val="18"/>
                <w:lang w:val="en-US" w:eastAsia="zh-CN"/>
              </w:rPr>
              <w:t>桥名</w:t>
            </w:r>
          </w:p>
        </w:tc>
        <w:tc>
          <w:tcPr>
            <w:tcW w:w="482" w:type="pct"/>
            <w:tcBorders>
              <w:tl2br w:val="nil"/>
              <w:tr2bl w:val="nil"/>
            </w:tcBorders>
            <w:shd w:val="clear" w:color="auto" w:fill="9FBAE1"/>
            <w:vAlign w:val="center"/>
          </w:tcPr>
          <w:p w14:paraId="4B09737D">
            <w:pPr>
              <w:widowControl/>
              <w:spacing w:line="200" w:lineRule="exact"/>
              <w:ind w:left="0" w:leftChars="0" w:firstLine="0" w:firstLineChars="0"/>
              <w:jc w:val="center"/>
              <w:textAlignment w:val="center"/>
              <w:rPr>
                <w:rFonts w:hint="eastAsia" w:ascii="仿宋" w:hAnsi="仿宋" w:eastAsia="仿宋" w:cs="仿宋"/>
                <w:b/>
                <w:bCs/>
                <w:sz w:val="18"/>
                <w:szCs w:val="18"/>
              </w:rPr>
            </w:pPr>
            <w:r>
              <w:rPr>
                <w:rFonts w:hint="eastAsia" w:ascii="仿宋" w:hAnsi="仿宋" w:eastAsia="仿宋" w:cs="仿宋"/>
                <w:b/>
                <w:bCs/>
                <w:sz w:val="18"/>
                <w:szCs w:val="18"/>
              </w:rPr>
              <w:t>部位</w:t>
            </w:r>
          </w:p>
        </w:tc>
        <w:tc>
          <w:tcPr>
            <w:tcW w:w="940" w:type="pct"/>
            <w:tcBorders>
              <w:tl2br w:val="nil"/>
              <w:tr2bl w:val="nil"/>
            </w:tcBorders>
            <w:shd w:val="clear" w:color="auto" w:fill="9FBAE1"/>
            <w:vAlign w:val="center"/>
          </w:tcPr>
          <w:p w14:paraId="312B817A">
            <w:pPr>
              <w:widowControl/>
              <w:spacing w:line="200" w:lineRule="exact"/>
              <w:ind w:left="0" w:leftChars="0" w:firstLine="0" w:firstLineChars="0"/>
              <w:jc w:val="center"/>
              <w:textAlignment w:val="center"/>
              <w:rPr>
                <w:rFonts w:hint="eastAsia" w:ascii="仿宋" w:hAnsi="仿宋" w:eastAsia="仿宋" w:cs="仿宋"/>
                <w:b/>
                <w:bCs/>
                <w:sz w:val="18"/>
                <w:szCs w:val="18"/>
              </w:rPr>
            </w:pPr>
            <w:r>
              <w:rPr>
                <w:rFonts w:hint="eastAsia" w:ascii="仿宋" w:hAnsi="仿宋" w:eastAsia="仿宋" w:cs="仿宋"/>
                <w:b/>
                <w:bCs/>
                <w:sz w:val="18"/>
                <w:szCs w:val="18"/>
              </w:rPr>
              <w:t>中心桩号</w:t>
            </w:r>
          </w:p>
        </w:tc>
        <w:tc>
          <w:tcPr>
            <w:tcW w:w="1022" w:type="pct"/>
            <w:tcBorders>
              <w:tl2br w:val="nil"/>
              <w:tr2bl w:val="nil"/>
            </w:tcBorders>
            <w:shd w:val="clear" w:color="auto" w:fill="9FBAE1"/>
            <w:vAlign w:val="center"/>
          </w:tcPr>
          <w:p w14:paraId="1D838526">
            <w:pPr>
              <w:widowControl/>
              <w:spacing w:line="200" w:lineRule="exact"/>
              <w:ind w:left="0" w:leftChars="0" w:firstLine="0" w:firstLineChars="0"/>
              <w:jc w:val="center"/>
              <w:textAlignment w:val="center"/>
              <w:rPr>
                <w:rFonts w:hint="eastAsia" w:ascii="仿宋" w:hAnsi="仿宋" w:eastAsia="仿宋" w:cs="仿宋"/>
                <w:b/>
                <w:bCs/>
                <w:sz w:val="18"/>
                <w:szCs w:val="18"/>
              </w:rPr>
            </w:pPr>
            <w:r>
              <w:rPr>
                <w:rFonts w:hint="eastAsia" w:ascii="仿宋" w:hAnsi="仿宋" w:eastAsia="仿宋" w:cs="仿宋"/>
                <w:b/>
                <w:bCs/>
                <w:sz w:val="18"/>
                <w:szCs w:val="18"/>
              </w:rPr>
              <w:t>孔数-/跨径</w:t>
            </w:r>
          </w:p>
        </w:tc>
        <w:tc>
          <w:tcPr>
            <w:tcW w:w="764" w:type="pct"/>
            <w:tcBorders>
              <w:tl2br w:val="nil"/>
              <w:tr2bl w:val="nil"/>
            </w:tcBorders>
            <w:shd w:val="clear" w:color="auto" w:fill="9FBAE1"/>
            <w:vAlign w:val="center"/>
          </w:tcPr>
          <w:p w14:paraId="3F494E52">
            <w:pPr>
              <w:widowControl/>
              <w:spacing w:line="200" w:lineRule="exact"/>
              <w:ind w:left="0" w:leftChars="0" w:firstLine="0" w:firstLineChars="0"/>
              <w:jc w:val="center"/>
              <w:textAlignment w:val="center"/>
              <w:rPr>
                <w:rFonts w:hint="eastAsia" w:ascii="仿宋" w:hAnsi="仿宋" w:eastAsia="仿宋" w:cs="仿宋"/>
                <w:b/>
                <w:bCs/>
                <w:sz w:val="18"/>
                <w:szCs w:val="18"/>
              </w:rPr>
            </w:pPr>
            <w:r>
              <w:rPr>
                <w:rFonts w:hint="eastAsia" w:ascii="仿宋" w:hAnsi="仿宋" w:eastAsia="仿宋" w:cs="仿宋"/>
                <w:b/>
                <w:bCs/>
                <w:sz w:val="18"/>
                <w:szCs w:val="18"/>
              </w:rPr>
              <w:t>桥长（m）</w:t>
            </w:r>
          </w:p>
        </w:tc>
        <w:tc>
          <w:tcPr>
            <w:tcW w:w="681" w:type="pct"/>
            <w:tcBorders>
              <w:tl2br w:val="nil"/>
              <w:tr2bl w:val="nil"/>
            </w:tcBorders>
            <w:shd w:val="clear" w:color="auto" w:fill="9FBAE1"/>
            <w:vAlign w:val="center"/>
          </w:tcPr>
          <w:p w14:paraId="2D2022EC">
            <w:pPr>
              <w:widowControl/>
              <w:spacing w:line="200" w:lineRule="exact"/>
              <w:ind w:left="0" w:leftChars="0" w:firstLine="0" w:firstLineChars="0"/>
              <w:jc w:val="center"/>
              <w:textAlignment w:val="center"/>
              <w:rPr>
                <w:rFonts w:hint="eastAsia" w:ascii="仿宋" w:hAnsi="仿宋" w:eastAsia="仿宋" w:cs="仿宋"/>
                <w:b/>
                <w:bCs/>
                <w:sz w:val="18"/>
                <w:szCs w:val="18"/>
              </w:rPr>
            </w:pPr>
            <w:r>
              <w:rPr>
                <w:rFonts w:hint="eastAsia" w:ascii="仿宋" w:hAnsi="仿宋" w:eastAsia="仿宋" w:cs="仿宋"/>
                <w:b/>
                <w:bCs/>
                <w:sz w:val="18"/>
                <w:szCs w:val="18"/>
              </w:rPr>
              <w:t>备注</w:t>
            </w:r>
          </w:p>
        </w:tc>
      </w:tr>
      <w:tr w14:paraId="0C6164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7"/>
            <w:tcBorders>
              <w:tl2br w:val="nil"/>
              <w:tr2bl w:val="nil"/>
            </w:tcBorders>
            <w:shd w:val="clear" w:color="auto" w:fill="auto"/>
            <w:vAlign w:val="center"/>
          </w:tcPr>
          <w:p w14:paraId="39932455">
            <w:pPr>
              <w:widowControl/>
              <w:jc w:val="center"/>
              <w:textAlignment w:val="center"/>
              <w:rPr>
                <w:rFonts w:hint="default" w:ascii="仿宋" w:hAnsi="仿宋" w:eastAsia="仿宋" w:cs="仿宋"/>
                <w:color w:val="000000"/>
                <w:kern w:val="0"/>
                <w:szCs w:val="21"/>
                <w:highlight w:val="none"/>
                <w:lang w:val="en-US"/>
              </w:rPr>
            </w:pPr>
            <w:r>
              <w:rPr>
                <w:rFonts w:hint="eastAsia" w:ascii="仿宋" w:hAnsi="仿宋" w:eastAsia="仿宋" w:cs="仿宋"/>
                <w:b/>
                <w:bCs/>
                <w:color w:val="000000"/>
                <w:kern w:val="0"/>
                <w:szCs w:val="21"/>
                <w:highlight w:val="none"/>
                <w:lang w:val="en-US" w:eastAsia="zh-CN"/>
              </w:rPr>
              <w:t>A12合同段(扩建段)主线大桥</w:t>
            </w:r>
          </w:p>
        </w:tc>
      </w:tr>
      <w:tr w14:paraId="00E70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0ADD4A35">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lang w:val="en-US" w:eastAsia="zh-CN"/>
              </w:rPr>
              <w:t>1</w:t>
            </w:r>
            <w:r>
              <w:rPr>
                <w:rFonts w:hint="eastAsia" w:ascii="仿宋" w:hAnsi="仿宋" w:eastAsia="仿宋" w:cs="仿宋"/>
                <w:color w:val="000000"/>
                <w:kern w:val="0"/>
                <w:szCs w:val="21"/>
                <w:highlight w:val="none"/>
              </w:rPr>
              <w:t>-1</w:t>
            </w:r>
          </w:p>
        </w:tc>
        <w:tc>
          <w:tcPr>
            <w:tcW w:w="734" w:type="pct"/>
            <w:vMerge w:val="restart"/>
            <w:tcBorders>
              <w:tl2br w:val="nil"/>
              <w:tr2bl w:val="nil"/>
            </w:tcBorders>
            <w:vAlign w:val="center"/>
          </w:tcPr>
          <w:p w14:paraId="139F0CD2">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lang w:val="en-US" w:eastAsia="zh-CN"/>
              </w:rPr>
              <w:t>港口</w:t>
            </w:r>
            <w:r>
              <w:rPr>
                <w:rFonts w:hint="eastAsia" w:ascii="仿宋" w:hAnsi="仿宋" w:eastAsia="仿宋" w:cs="仿宋"/>
                <w:color w:val="000000"/>
                <w:kern w:val="0"/>
                <w:szCs w:val="21"/>
                <w:highlight w:val="none"/>
              </w:rPr>
              <w:t>大桥</w:t>
            </w:r>
          </w:p>
        </w:tc>
        <w:tc>
          <w:tcPr>
            <w:tcW w:w="482" w:type="pct"/>
            <w:tcBorders>
              <w:tl2br w:val="nil"/>
              <w:tr2bl w:val="nil"/>
            </w:tcBorders>
            <w:vAlign w:val="center"/>
          </w:tcPr>
          <w:p w14:paraId="03BFE08C">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rPr>
              <w:t>左桥</w:t>
            </w:r>
          </w:p>
        </w:tc>
        <w:tc>
          <w:tcPr>
            <w:tcW w:w="940" w:type="pct"/>
            <w:tcBorders>
              <w:tl2br w:val="nil"/>
              <w:tr2bl w:val="nil"/>
            </w:tcBorders>
            <w:vAlign w:val="center"/>
          </w:tcPr>
          <w:p w14:paraId="52212933">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rPr>
              <w:t>ZK116+810.60</w:t>
            </w:r>
          </w:p>
        </w:tc>
        <w:tc>
          <w:tcPr>
            <w:tcW w:w="1022" w:type="pct"/>
            <w:tcBorders>
              <w:tl2br w:val="nil"/>
              <w:tr2bl w:val="nil"/>
            </w:tcBorders>
            <w:vAlign w:val="center"/>
          </w:tcPr>
          <w:p w14:paraId="0CC2DF5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7</w:t>
            </w:r>
            <w:r>
              <w:rPr>
                <w:rFonts w:hint="eastAsia" w:ascii="仿宋" w:hAnsi="仿宋" w:eastAsia="仿宋" w:cs="仿宋"/>
                <w:color w:val="000000"/>
                <w:kern w:val="0"/>
                <w:szCs w:val="21"/>
                <w:highlight w:val="none"/>
              </w:rPr>
              <w:t>x</w:t>
            </w:r>
            <w:r>
              <w:rPr>
                <w:rFonts w:hint="eastAsia" w:ascii="仿宋" w:hAnsi="仿宋" w:eastAsia="仿宋" w:cs="仿宋"/>
                <w:color w:val="000000"/>
                <w:kern w:val="0"/>
                <w:szCs w:val="21"/>
                <w:highlight w:val="none"/>
                <w:lang w:val="en-US" w:eastAsia="zh-CN"/>
              </w:rPr>
              <w:t>30+8</w:t>
            </w:r>
            <w:r>
              <w:rPr>
                <w:rFonts w:hint="eastAsia" w:ascii="仿宋" w:hAnsi="仿宋" w:eastAsia="仿宋" w:cs="仿宋"/>
                <w:color w:val="000000"/>
                <w:kern w:val="0"/>
                <w:szCs w:val="21"/>
                <w:highlight w:val="none"/>
              </w:rPr>
              <w:t>x</w:t>
            </w:r>
            <w:r>
              <w:rPr>
                <w:rFonts w:hint="eastAsia" w:ascii="仿宋" w:hAnsi="仿宋" w:eastAsia="仿宋" w:cs="仿宋"/>
                <w:color w:val="000000"/>
                <w:kern w:val="0"/>
                <w:szCs w:val="21"/>
                <w:highlight w:val="none"/>
                <w:lang w:val="en-US" w:eastAsia="zh-CN"/>
              </w:rPr>
              <w:t>30+70</w:t>
            </w:r>
            <w:r>
              <w:rPr>
                <w:rFonts w:hint="eastAsia" w:ascii="仿宋" w:hAnsi="仿宋" w:eastAsia="仿宋" w:cs="仿宋"/>
                <w:color w:val="000000"/>
                <w:kern w:val="0"/>
                <w:szCs w:val="21"/>
                <w:highlight w:val="none"/>
              </w:rPr>
              <w:t>x</w:t>
            </w:r>
            <w:r>
              <w:rPr>
                <w:rFonts w:hint="eastAsia" w:ascii="仿宋" w:hAnsi="仿宋" w:eastAsia="仿宋" w:cs="仿宋"/>
                <w:color w:val="000000"/>
                <w:kern w:val="0"/>
                <w:szCs w:val="21"/>
                <w:highlight w:val="none"/>
                <w:lang w:val="en-US" w:eastAsia="zh-CN"/>
              </w:rPr>
              <w:t>30</w:t>
            </w:r>
          </w:p>
          <w:p w14:paraId="732D7673">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rPr>
              <w:t>PC连续T梁</w:t>
            </w:r>
          </w:p>
        </w:tc>
        <w:tc>
          <w:tcPr>
            <w:tcW w:w="764" w:type="pct"/>
            <w:tcBorders>
              <w:tl2br w:val="nil"/>
              <w:tr2bl w:val="nil"/>
            </w:tcBorders>
            <w:vAlign w:val="center"/>
          </w:tcPr>
          <w:p w14:paraId="640E940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668</w:t>
            </w:r>
          </w:p>
        </w:tc>
        <w:tc>
          <w:tcPr>
            <w:tcW w:w="681" w:type="pct"/>
            <w:vMerge w:val="restart"/>
            <w:tcBorders>
              <w:tl2br w:val="nil"/>
              <w:tr2bl w:val="nil"/>
            </w:tcBorders>
            <w:vAlign w:val="center"/>
          </w:tcPr>
          <w:p w14:paraId="2EF8B084">
            <w:pPr>
              <w:widowControl/>
              <w:ind w:left="0" w:leftChars="0" w:firstLine="0" w:firstLineChars="0"/>
              <w:jc w:val="both"/>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360445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57F3E558">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lang w:val="en-US" w:eastAsia="zh-CN"/>
              </w:rPr>
              <w:t>1</w:t>
            </w:r>
            <w:r>
              <w:rPr>
                <w:rFonts w:hint="eastAsia" w:ascii="仿宋" w:hAnsi="仿宋" w:eastAsia="仿宋" w:cs="仿宋"/>
                <w:color w:val="000000"/>
                <w:kern w:val="0"/>
                <w:szCs w:val="21"/>
                <w:highlight w:val="none"/>
              </w:rPr>
              <w:t>-2</w:t>
            </w:r>
          </w:p>
        </w:tc>
        <w:tc>
          <w:tcPr>
            <w:tcW w:w="734" w:type="pct"/>
            <w:vMerge w:val="continue"/>
            <w:tcBorders>
              <w:tl2br w:val="nil"/>
              <w:tr2bl w:val="nil"/>
            </w:tcBorders>
            <w:vAlign w:val="center"/>
          </w:tcPr>
          <w:p w14:paraId="4BD18C52">
            <w:pPr>
              <w:widowControl/>
              <w:jc w:val="center"/>
              <w:textAlignment w:val="center"/>
              <w:rPr>
                <w:rFonts w:hint="eastAsia" w:ascii="仿宋" w:hAnsi="仿宋" w:eastAsia="仿宋" w:cs="仿宋"/>
                <w:color w:val="000000"/>
                <w:kern w:val="0"/>
                <w:szCs w:val="21"/>
                <w:highlight w:val="none"/>
              </w:rPr>
            </w:pPr>
          </w:p>
        </w:tc>
        <w:tc>
          <w:tcPr>
            <w:tcW w:w="482" w:type="pct"/>
            <w:tcBorders>
              <w:tl2br w:val="nil"/>
              <w:tr2bl w:val="nil"/>
            </w:tcBorders>
            <w:vAlign w:val="center"/>
          </w:tcPr>
          <w:p w14:paraId="3F60F03C">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rPr>
              <w:t>右桥</w:t>
            </w:r>
          </w:p>
        </w:tc>
        <w:tc>
          <w:tcPr>
            <w:tcW w:w="940" w:type="pct"/>
            <w:tcBorders>
              <w:tl2br w:val="nil"/>
              <w:tr2bl w:val="nil"/>
            </w:tcBorders>
            <w:vAlign w:val="center"/>
          </w:tcPr>
          <w:p w14:paraId="0A014E08">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rPr>
              <w:t>YK116+802.55</w:t>
            </w:r>
          </w:p>
        </w:tc>
        <w:tc>
          <w:tcPr>
            <w:tcW w:w="1022" w:type="pct"/>
            <w:tcBorders>
              <w:tl2br w:val="nil"/>
              <w:tr2bl w:val="nil"/>
            </w:tcBorders>
            <w:vAlign w:val="center"/>
          </w:tcPr>
          <w:p w14:paraId="5CE78D9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7</w:t>
            </w:r>
            <w:r>
              <w:rPr>
                <w:rFonts w:hint="eastAsia" w:ascii="仿宋" w:hAnsi="仿宋" w:eastAsia="仿宋" w:cs="仿宋"/>
                <w:color w:val="000000"/>
                <w:kern w:val="0"/>
                <w:szCs w:val="21"/>
                <w:highlight w:val="none"/>
              </w:rPr>
              <w:t>x</w:t>
            </w:r>
            <w:r>
              <w:rPr>
                <w:rFonts w:hint="eastAsia" w:ascii="仿宋" w:hAnsi="仿宋" w:eastAsia="仿宋" w:cs="仿宋"/>
                <w:color w:val="000000"/>
                <w:kern w:val="0"/>
                <w:szCs w:val="21"/>
                <w:highlight w:val="none"/>
                <w:lang w:val="en-US" w:eastAsia="zh-CN"/>
              </w:rPr>
              <w:t>30+8</w:t>
            </w:r>
            <w:r>
              <w:rPr>
                <w:rFonts w:hint="eastAsia" w:ascii="仿宋" w:hAnsi="仿宋" w:eastAsia="仿宋" w:cs="仿宋"/>
                <w:color w:val="000000"/>
                <w:kern w:val="0"/>
                <w:szCs w:val="21"/>
                <w:highlight w:val="none"/>
              </w:rPr>
              <w:t>x</w:t>
            </w:r>
            <w:r>
              <w:rPr>
                <w:rFonts w:hint="eastAsia" w:ascii="仿宋" w:hAnsi="仿宋" w:eastAsia="仿宋" w:cs="仿宋"/>
                <w:color w:val="000000"/>
                <w:kern w:val="0"/>
                <w:szCs w:val="21"/>
                <w:highlight w:val="none"/>
                <w:lang w:val="en-US" w:eastAsia="zh-CN"/>
              </w:rPr>
              <w:t>30+70</w:t>
            </w:r>
            <w:r>
              <w:rPr>
                <w:rFonts w:hint="eastAsia" w:ascii="仿宋" w:hAnsi="仿宋" w:eastAsia="仿宋" w:cs="仿宋"/>
                <w:color w:val="000000"/>
                <w:kern w:val="0"/>
                <w:szCs w:val="21"/>
                <w:highlight w:val="none"/>
              </w:rPr>
              <w:t>x</w:t>
            </w:r>
            <w:r>
              <w:rPr>
                <w:rFonts w:hint="eastAsia" w:ascii="仿宋" w:hAnsi="仿宋" w:eastAsia="仿宋" w:cs="仿宋"/>
                <w:color w:val="000000"/>
                <w:kern w:val="0"/>
                <w:szCs w:val="21"/>
                <w:highlight w:val="none"/>
                <w:lang w:val="en-US" w:eastAsia="zh-CN"/>
              </w:rPr>
              <w:t>30</w:t>
            </w:r>
          </w:p>
          <w:p w14:paraId="7BA7C8CA">
            <w:pPr>
              <w:widowControl/>
              <w:ind w:left="0" w:leftChars="0" w:firstLine="0" w:firstLineChars="0"/>
              <w:jc w:val="center"/>
              <w:textAlignment w:val="center"/>
              <w:rPr>
                <w:rFonts w:hint="eastAsia" w:ascii="仿宋" w:hAnsi="仿宋" w:eastAsia="仿宋" w:cs="仿宋"/>
                <w:color w:val="000000"/>
                <w:kern w:val="0"/>
                <w:szCs w:val="21"/>
                <w:highlight w:val="none"/>
              </w:rPr>
            </w:pPr>
            <w:r>
              <w:rPr>
                <w:rFonts w:hint="eastAsia" w:ascii="仿宋" w:hAnsi="仿宋" w:eastAsia="仿宋" w:cs="仿宋"/>
                <w:color w:val="000000"/>
                <w:kern w:val="0"/>
                <w:szCs w:val="21"/>
                <w:highlight w:val="none"/>
              </w:rPr>
              <w:t>PC连续T梁</w:t>
            </w:r>
          </w:p>
        </w:tc>
        <w:tc>
          <w:tcPr>
            <w:tcW w:w="764" w:type="pct"/>
            <w:tcBorders>
              <w:tl2br w:val="nil"/>
              <w:tr2bl w:val="nil"/>
            </w:tcBorders>
            <w:vAlign w:val="center"/>
          </w:tcPr>
          <w:p w14:paraId="1C02265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667.5</w:t>
            </w:r>
          </w:p>
        </w:tc>
        <w:tc>
          <w:tcPr>
            <w:tcW w:w="681" w:type="pct"/>
            <w:vMerge w:val="continue"/>
            <w:tcBorders>
              <w:tl2br w:val="nil"/>
              <w:tr2bl w:val="nil"/>
            </w:tcBorders>
            <w:vAlign w:val="center"/>
          </w:tcPr>
          <w:p w14:paraId="68FC299C">
            <w:pPr>
              <w:widowControl/>
              <w:jc w:val="center"/>
              <w:textAlignment w:val="center"/>
              <w:rPr>
                <w:rFonts w:hint="eastAsia" w:ascii="仿宋" w:hAnsi="仿宋" w:eastAsia="仿宋" w:cs="仿宋"/>
                <w:color w:val="000000"/>
                <w:kern w:val="0"/>
                <w:szCs w:val="21"/>
                <w:highlight w:val="none"/>
              </w:rPr>
            </w:pPr>
          </w:p>
        </w:tc>
      </w:tr>
      <w:tr w14:paraId="7DF4B2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623C23C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2-1</w:t>
            </w:r>
          </w:p>
        </w:tc>
        <w:tc>
          <w:tcPr>
            <w:tcW w:w="734" w:type="pct"/>
            <w:tcBorders>
              <w:tl2br w:val="nil"/>
              <w:tr2bl w:val="nil"/>
            </w:tcBorders>
            <w:vAlign w:val="center"/>
          </w:tcPr>
          <w:p w14:paraId="2B8112E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外凤楼大桥</w:t>
            </w:r>
          </w:p>
        </w:tc>
        <w:tc>
          <w:tcPr>
            <w:tcW w:w="482" w:type="pct"/>
            <w:tcBorders>
              <w:tl2br w:val="nil"/>
              <w:tr2bl w:val="nil"/>
            </w:tcBorders>
            <w:vAlign w:val="center"/>
          </w:tcPr>
          <w:p w14:paraId="3BD9F41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vAlign w:val="center"/>
          </w:tcPr>
          <w:p w14:paraId="1CB5DDB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YK1</w:t>
            </w:r>
            <w:r>
              <w:rPr>
                <w:rFonts w:hint="eastAsia" w:ascii="仿宋" w:hAnsi="仿宋" w:eastAsia="仿宋" w:cs="仿宋"/>
                <w:color w:val="000000"/>
                <w:kern w:val="0"/>
                <w:szCs w:val="21"/>
                <w:highlight w:val="none"/>
                <w:lang w:val="en-US" w:eastAsia="zh-CN"/>
              </w:rPr>
              <w:t>29</w:t>
            </w:r>
            <w:r>
              <w:rPr>
                <w:rFonts w:hint="default" w:ascii="仿宋" w:hAnsi="仿宋" w:eastAsia="仿宋" w:cs="仿宋"/>
                <w:color w:val="000000"/>
                <w:kern w:val="0"/>
                <w:szCs w:val="21"/>
                <w:highlight w:val="none"/>
                <w:lang w:val="en-US" w:eastAsia="zh-CN"/>
              </w:rPr>
              <w:t>+</w:t>
            </w:r>
            <w:r>
              <w:rPr>
                <w:rFonts w:hint="eastAsia" w:ascii="仿宋" w:hAnsi="仿宋" w:eastAsia="仿宋" w:cs="仿宋"/>
                <w:color w:val="000000"/>
                <w:kern w:val="0"/>
                <w:szCs w:val="21"/>
                <w:highlight w:val="none"/>
                <w:lang w:val="en-US" w:eastAsia="zh-CN"/>
              </w:rPr>
              <w:t>010.50</w:t>
            </w:r>
          </w:p>
        </w:tc>
        <w:tc>
          <w:tcPr>
            <w:tcW w:w="1022" w:type="pct"/>
            <w:tcBorders>
              <w:tl2br w:val="nil"/>
              <w:tr2bl w:val="nil"/>
            </w:tcBorders>
            <w:vAlign w:val="center"/>
          </w:tcPr>
          <w:p w14:paraId="3EC0872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5x30+2x3x35+</w:t>
            </w:r>
          </w:p>
          <w:p w14:paraId="0FD3861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(53+69+55)+2x4x30</w:t>
            </w:r>
          </w:p>
          <w:p w14:paraId="719C1B9B">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PC连续T梁/</w:t>
            </w:r>
          </w:p>
          <w:p w14:paraId="1FCA6EB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等截面连续钢箱梁（第四联）</w:t>
            </w:r>
          </w:p>
        </w:tc>
        <w:tc>
          <w:tcPr>
            <w:tcW w:w="764" w:type="pct"/>
            <w:tcBorders>
              <w:tl2br w:val="nil"/>
              <w:tr2bl w:val="nil"/>
            </w:tcBorders>
            <w:vAlign w:val="center"/>
          </w:tcPr>
          <w:p w14:paraId="10169DA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784</w:t>
            </w:r>
          </w:p>
        </w:tc>
        <w:tc>
          <w:tcPr>
            <w:tcW w:w="681" w:type="pct"/>
            <w:tcBorders>
              <w:tl2br w:val="nil"/>
              <w:tr2bl w:val="nil"/>
            </w:tcBorders>
            <w:vAlign w:val="center"/>
          </w:tcPr>
          <w:p w14:paraId="41CA0DE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左桥利用，右侧分离新建</w:t>
            </w:r>
          </w:p>
        </w:tc>
      </w:tr>
      <w:tr w14:paraId="2FBC27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5EF81B9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3-1</w:t>
            </w:r>
          </w:p>
        </w:tc>
        <w:tc>
          <w:tcPr>
            <w:tcW w:w="734" w:type="pct"/>
            <w:tcBorders>
              <w:tl2br w:val="nil"/>
              <w:tr2bl w:val="nil"/>
            </w:tcBorders>
            <w:vAlign w:val="center"/>
          </w:tcPr>
          <w:p w14:paraId="7C5A799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沃仔头大桥</w:t>
            </w:r>
          </w:p>
        </w:tc>
        <w:tc>
          <w:tcPr>
            <w:tcW w:w="482" w:type="pct"/>
            <w:tcBorders>
              <w:tl2br w:val="nil"/>
              <w:tr2bl w:val="nil"/>
            </w:tcBorders>
            <w:vAlign w:val="center"/>
          </w:tcPr>
          <w:p w14:paraId="7C7DE60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vAlign w:val="center"/>
          </w:tcPr>
          <w:p w14:paraId="6D787A7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YK131+618.150</w:t>
            </w:r>
          </w:p>
        </w:tc>
        <w:tc>
          <w:tcPr>
            <w:tcW w:w="1022" w:type="pct"/>
            <w:tcBorders>
              <w:tl2br w:val="nil"/>
              <w:tr2bl w:val="nil"/>
            </w:tcBorders>
            <w:vAlign w:val="center"/>
          </w:tcPr>
          <w:p w14:paraId="5545B6B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4x24.8+(2x35+30)+</w:t>
            </w:r>
          </w:p>
          <w:p w14:paraId="4C9CB33B">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(30+2x35)+4x34.9+6x24.9+5x24.9</w:t>
            </w:r>
          </w:p>
          <w:p w14:paraId="646C45F0">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PC连续T梁</w:t>
            </w:r>
          </w:p>
        </w:tc>
        <w:tc>
          <w:tcPr>
            <w:tcW w:w="764" w:type="pct"/>
            <w:tcBorders>
              <w:tl2br w:val="nil"/>
              <w:tr2bl w:val="nil"/>
            </w:tcBorders>
            <w:vAlign w:val="center"/>
          </w:tcPr>
          <w:p w14:paraId="5011AC3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719.7</w:t>
            </w:r>
          </w:p>
        </w:tc>
        <w:tc>
          <w:tcPr>
            <w:tcW w:w="681" w:type="pct"/>
            <w:tcBorders>
              <w:tl2br w:val="nil"/>
              <w:tr2bl w:val="nil"/>
            </w:tcBorders>
            <w:vAlign w:val="center"/>
          </w:tcPr>
          <w:p w14:paraId="6066EC1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老桥利用（护栏改造）</w:t>
            </w:r>
          </w:p>
          <w:p w14:paraId="2C8310C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右侧分离新建20.75米宽桥</w:t>
            </w:r>
          </w:p>
        </w:tc>
      </w:tr>
      <w:tr w14:paraId="495A94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709FD2B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4-1</w:t>
            </w:r>
          </w:p>
        </w:tc>
        <w:tc>
          <w:tcPr>
            <w:tcW w:w="734" w:type="pct"/>
            <w:tcBorders>
              <w:tl2br w:val="nil"/>
              <w:tr2bl w:val="nil"/>
            </w:tcBorders>
            <w:vAlign w:val="center"/>
          </w:tcPr>
          <w:p w14:paraId="21344768">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仕江大桥</w:t>
            </w:r>
          </w:p>
        </w:tc>
        <w:tc>
          <w:tcPr>
            <w:tcW w:w="482" w:type="pct"/>
            <w:tcBorders>
              <w:tl2br w:val="nil"/>
              <w:tr2bl w:val="nil"/>
            </w:tcBorders>
            <w:vAlign w:val="center"/>
          </w:tcPr>
          <w:p w14:paraId="5BB9B79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vAlign w:val="center"/>
          </w:tcPr>
          <w:p w14:paraId="3B95981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YK133+148.80</w:t>
            </w:r>
          </w:p>
        </w:tc>
        <w:tc>
          <w:tcPr>
            <w:tcW w:w="1022" w:type="pct"/>
            <w:tcBorders>
              <w:tl2br w:val="nil"/>
              <w:tr2bl w:val="nil"/>
            </w:tcBorders>
            <w:vAlign w:val="center"/>
          </w:tcPr>
          <w:p w14:paraId="37E2F3B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4×25+5×25+4×25</w:t>
            </w:r>
          </w:p>
          <w:p w14:paraId="68893990">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PC连续T梁</w:t>
            </w:r>
          </w:p>
        </w:tc>
        <w:tc>
          <w:tcPr>
            <w:tcW w:w="764" w:type="pct"/>
            <w:tcBorders>
              <w:tl2br w:val="nil"/>
              <w:tr2bl w:val="nil"/>
            </w:tcBorders>
            <w:vAlign w:val="center"/>
          </w:tcPr>
          <w:p w14:paraId="7A3BCD3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332</w:t>
            </w:r>
          </w:p>
        </w:tc>
        <w:tc>
          <w:tcPr>
            <w:tcW w:w="681" w:type="pct"/>
            <w:tcBorders>
              <w:tl2br w:val="nil"/>
              <w:tr2bl w:val="nil"/>
            </w:tcBorders>
            <w:vAlign w:val="center"/>
          </w:tcPr>
          <w:p w14:paraId="31C2763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老桥利用（护栏改造），</w:t>
            </w:r>
          </w:p>
          <w:p w14:paraId="4912AC7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右侧新建20.75米宽桥</w:t>
            </w:r>
          </w:p>
        </w:tc>
      </w:tr>
      <w:tr w14:paraId="7E559B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7"/>
            <w:tcBorders>
              <w:tl2br w:val="nil"/>
              <w:tr2bl w:val="nil"/>
            </w:tcBorders>
            <w:shd w:val="clear" w:color="auto" w:fill="auto"/>
            <w:vAlign w:val="center"/>
          </w:tcPr>
          <w:p w14:paraId="0ECD0A5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A12合同段(扩建段)主线中桥</w:t>
            </w:r>
          </w:p>
        </w:tc>
      </w:tr>
      <w:tr w14:paraId="50E794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4B7BFDC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1-1</w:t>
            </w:r>
          </w:p>
        </w:tc>
        <w:tc>
          <w:tcPr>
            <w:tcW w:w="734" w:type="pct"/>
            <w:vMerge w:val="restart"/>
            <w:tcBorders>
              <w:tl2br w:val="nil"/>
              <w:tr2bl w:val="nil"/>
            </w:tcBorders>
            <w:shd w:val="clear" w:color="auto" w:fill="auto"/>
            <w:vAlign w:val="center"/>
          </w:tcPr>
          <w:p w14:paraId="6D825C3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院前中桥</w:t>
            </w:r>
          </w:p>
        </w:tc>
        <w:tc>
          <w:tcPr>
            <w:tcW w:w="482" w:type="pct"/>
            <w:tcBorders>
              <w:tl2br w:val="nil"/>
              <w:tr2bl w:val="nil"/>
            </w:tcBorders>
            <w:shd w:val="clear" w:color="auto" w:fill="auto"/>
            <w:vAlign w:val="center"/>
          </w:tcPr>
          <w:p w14:paraId="01FCFDB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454442E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ZK122+575.895</w:t>
            </w:r>
          </w:p>
        </w:tc>
        <w:tc>
          <w:tcPr>
            <w:tcW w:w="1022" w:type="pct"/>
            <w:tcBorders>
              <w:tl2br w:val="nil"/>
              <w:tr2bl w:val="nil"/>
            </w:tcBorders>
            <w:shd w:val="clear" w:color="auto" w:fill="auto"/>
            <w:vAlign w:val="center"/>
          </w:tcPr>
          <w:p w14:paraId="6B73AE1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1x20.11</w:t>
            </w:r>
          </w:p>
          <w:p w14:paraId="19CA146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3E8DB06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36.1085</w:t>
            </w:r>
          </w:p>
        </w:tc>
        <w:tc>
          <w:tcPr>
            <w:tcW w:w="681" w:type="pct"/>
            <w:vMerge w:val="restart"/>
            <w:tcBorders>
              <w:tl2br w:val="nil"/>
              <w:tr2bl w:val="nil"/>
            </w:tcBorders>
            <w:shd w:val="clear" w:color="auto" w:fill="auto"/>
            <w:vAlign w:val="center"/>
          </w:tcPr>
          <w:p w14:paraId="6BF663A0">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41CC6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743B82A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1-2</w:t>
            </w:r>
          </w:p>
        </w:tc>
        <w:tc>
          <w:tcPr>
            <w:tcW w:w="734" w:type="pct"/>
            <w:vMerge w:val="continue"/>
            <w:tcBorders>
              <w:tl2br w:val="nil"/>
              <w:tr2bl w:val="nil"/>
            </w:tcBorders>
            <w:shd w:val="clear" w:color="auto" w:fill="auto"/>
            <w:vAlign w:val="center"/>
          </w:tcPr>
          <w:p w14:paraId="510B73A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0EBD2F9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62D42F4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YK122+572.000</w:t>
            </w:r>
          </w:p>
        </w:tc>
        <w:tc>
          <w:tcPr>
            <w:tcW w:w="1022" w:type="pct"/>
            <w:tcBorders>
              <w:tl2br w:val="nil"/>
              <w:tr2bl w:val="nil"/>
            </w:tcBorders>
            <w:shd w:val="clear" w:color="auto" w:fill="auto"/>
            <w:vAlign w:val="center"/>
          </w:tcPr>
          <w:p w14:paraId="2D17102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1x20.11</w:t>
            </w:r>
          </w:p>
          <w:p w14:paraId="7E338E53">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326B1BAC">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36.1087</w:t>
            </w:r>
          </w:p>
        </w:tc>
        <w:tc>
          <w:tcPr>
            <w:tcW w:w="681" w:type="pct"/>
            <w:vMerge w:val="continue"/>
            <w:tcBorders>
              <w:tl2br w:val="nil"/>
              <w:tr2bl w:val="nil"/>
            </w:tcBorders>
            <w:shd w:val="clear" w:color="auto" w:fill="auto"/>
            <w:vAlign w:val="center"/>
          </w:tcPr>
          <w:p w14:paraId="4D47FED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31B52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7A4D04E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2-1</w:t>
            </w:r>
          </w:p>
        </w:tc>
        <w:tc>
          <w:tcPr>
            <w:tcW w:w="734" w:type="pct"/>
            <w:vMerge w:val="restart"/>
            <w:tcBorders>
              <w:tl2br w:val="nil"/>
              <w:tr2bl w:val="nil"/>
            </w:tcBorders>
            <w:shd w:val="clear" w:color="auto" w:fill="auto"/>
            <w:vAlign w:val="center"/>
          </w:tcPr>
          <w:p w14:paraId="2FEF51A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周厝1#中桥</w:t>
            </w:r>
          </w:p>
        </w:tc>
        <w:tc>
          <w:tcPr>
            <w:tcW w:w="482" w:type="pct"/>
            <w:tcBorders>
              <w:tl2br w:val="nil"/>
              <w:tr2bl w:val="nil"/>
            </w:tcBorders>
            <w:shd w:val="clear" w:color="auto" w:fill="auto"/>
            <w:vAlign w:val="center"/>
          </w:tcPr>
          <w:p w14:paraId="5C9A0B5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12EDD85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ZK123+475.529</w:t>
            </w:r>
          </w:p>
        </w:tc>
        <w:tc>
          <w:tcPr>
            <w:tcW w:w="1022" w:type="pct"/>
            <w:tcBorders>
              <w:tl2br w:val="nil"/>
              <w:tr2bl w:val="nil"/>
            </w:tcBorders>
            <w:shd w:val="clear" w:color="auto" w:fill="auto"/>
            <w:vAlign w:val="center"/>
          </w:tcPr>
          <w:p w14:paraId="34CDE09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1x20.06</w:t>
            </w:r>
          </w:p>
          <w:p w14:paraId="36B79E8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793EAC7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34.0603</w:t>
            </w:r>
          </w:p>
        </w:tc>
        <w:tc>
          <w:tcPr>
            <w:tcW w:w="681" w:type="pct"/>
            <w:vMerge w:val="restart"/>
            <w:tcBorders>
              <w:tl2br w:val="nil"/>
              <w:tr2bl w:val="nil"/>
            </w:tcBorders>
            <w:shd w:val="clear" w:color="auto" w:fill="auto"/>
            <w:vAlign w:val="center"/>
          </w:tcPr>
          <w:p w14:paraId="6135C9D8">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719BD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478B843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2-2</w:t>
            </w:r>
          </w:p>
        </w:tc>
        <w:tc>
          <w:tcPr>
            <w:tcW w:w="734" w:type="pct"/>
            <w:vMerge w:val="continue"/>
            <w:tcBorders>
              <w:tl2br w:val="nil"/>
              <w:tr2bl w:val="nil"/>
            </w:tcBorders>
            <w:shd w:val="clear" w:color="auto" w:fill="auto"/>
            <w:vAlign w:val="center"/>
          </w:tcPr>
          <w:p w14:paraId="4810572B">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3BFF705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0A202A5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YK123+469.157</w:t>
            </w:r>
          </w:p>
        </w:tc>
        <w:tc>
          <w:tcPr>
            <w:tcW w:w="1022" w:type="pct"/>
            <w:tcBorders>
              <w:tl2br w:val="nil"/>
              <w:tr2bl w:val="nil"/>
            </w:tcBorders>
            <w:shd w:val="clear" w:color="auto" w:fill="auto"/>
            <w:vAlign w:val="center"/>
          </w:tcPr>
          <w:p w14:paraId="7CF3837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1x20.11</w:t>
            </w:r>
          </w:p>
          <w:p w14:paraId="0E73543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4C5E457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34.1132</w:t>
            </w:r>
          </w:p>
        </w:tc>
        <w:tc>
          <w:tcPr>
            <w:tcW w:w="681" w:type="pct"/>
            <w:vMerge w:val="continue"/>
            <w:tcBorders>
              <w:tl2br w:val="nil"/>
              <w:tr2bl w:val="nil"/>
            </w:tcBorders>
            <w:shd w:val="clear" w:color="auto" w:fill="auto"/>
            <w:vAlign w:val="center"/>
          </w:tcPr>
          <w:p w14:paraId="385F733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448E61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08B6E58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3-1</w:t>
            </w:r>
          </w:p>
        </w:tc>
        <w:tc>
          <w:tcPr>
            <w:tcW w:w="734" w:type="pct"/>
            <w:vMerge w:val="restart"/>
            <w:tcBorders>
              <w:tl2br w:val="nil"/>
              <w:tr2bl w:val="nil"/>
            </w:tcBorders>
            <w:shd w:val="clear" w:color="auto" w:fill="auto"/>
            <w:vAlign w:val="center"/>
          </w:tcPr>
          <w:p w14:paraId="02B1445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周厝2#中桥</w:t>
            </w:r>
          </w:p>
        </w:tc>
        <w:tc>
          <w:tcPr>
            <w:tcW w:w="482" w:type="pct"/>
            <w:tcBorders>
              <w:tl2br w:val="nil"/>
              <w:tr2bl w:val="nil"/>
            </w:tcBorders>
            <w:shd w:val="clear" w:color="auto" w:fill="auto"/>
            <w:vAlign w:val="center"/>
          </w:tcPr>
          <w:p w14:paraId="2354CA90">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65FEE86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ZK123+794.143</w:t>
            </w:r>
          </w:p>
        </w:tc>
        <w:tc>
          <w:tcPr>
            <w:tcW w:w="1022" w:type="pct"/>
            <w:tcBorders>
              <w:tl2br w:val="nil"/>
              <w:tr2bl w:val="nil"/>
            </w:tcBorders>
            <w:shd w:val="clear" w:color="auto" w:fill="auto"/>
            <w:vAlign w:val="center"/>
          </w:tcPr>
          <w:p w14:paraId="42461BA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1x20</w:t>
            </w:r>
          </w:p>
          <w:p w14:paraId="472EDAD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336507A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38.048</w:t>
            </w:r>
          </w:p>
        </w:tc>
        <w:tc>
          <w:tcPr>
            <w:tcW w:w="681" w:type="pct"/>
            <w:vMerge w:val="restart"/>
            <w:tcBorders>
              <w:tl2br w:val="nil"/>
              <w:tr2bl w:val="nil"/>
            </w:tcBorders>
            <w:shd w:val="clear" w:color="auto" w:fill="auto"/>
            <w:vAlign w:val="center"/>
          </w:tcPr>
          <w:p w14:paraId="7ADD7394">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61C174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6EE9C51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3-2</w:t>
            </w:r>
          </w:p>
        </w:tc>
        <w:tc>
          <w:tcPr>
            <w:tcW w:w="734" w:type="pct"/>
            <w:vMerge w:val="continue"/>
            <w:tcBorders>
              <w:tl2br w:val="nil"/>
              <w:tr2bl w:val="nil"/>
            </w:tcBorders>
            <w:shd w:val="clear" w:color="auto" w:fill="auto"/>
            <w:vAlign w:val="center"/>
          </w:tcPr>
          <w:p w14:paraId="6E27C2B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2AED9504">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1FCC3EE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YK123+794.343</w:t>
            </w:r>
          </w:p>
        </w:tc>
        <w:tc>
          <w:tcPr>
            <w:tcW w:w="1022" w:type="pct"/>
            <w:tcBorders>
              <w:tl2br w:val="nil"/>
              <w:tr2bl w:val="nil"/>
            </w:tcBorders>
            <w:shd w:val="clear" w:color="auto" w:fill="auto"/>
            <w:vAlign w:val="center"/>
          </w:tcPr>
          <w:p w14:paraId="6824624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1x20</w:t>
            </w:r>
          </w:p>
          <w:p w14:paraId="7221B0F3">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0CB9A0C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34.02</w:t>
            </w:r>
          </w:p>
        </w:tc>
        <w:tc>
          <w:tcPr>
            <w:tcW w:w="681" w:type="pct"/>
            <w:vMerge w:val="continue"/>
            <w:tcBorders>
              <w:tl2br w:val="nil"/>
              <w:tr2bl w:val="nil"/>
            </w:tcBorders>
            <w:shd w:val="clear" w:color="auto" w:fill="auto"/>
            <w:vAlign w:val="center"/>
          </w:tcPr>
          <w:p w14:paraId="4C6249A4">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0EF4A8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1165AF9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4-1</w:t>
            </w:r>
          </w:p>
        </w:tc>
        <w:tc>
          <w:tcPr>
            <w:tcW w:w="734" w:type="pct"/>
            <w:tcBorders>
              <w:tl2br w:val="nil"/>
              <w:tr2bl w:val="nil"/>
            </w:tcBorders>
            <w:shd w:val="clear" w:color="auto" w:fill="auto"/>
            <w:vAlign w:val="center"/>
          </w:tcPr>
          <w:p w14:paraId="3ED68FA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外凤楼中桥</w:t>
            </w:r>
          </w:p>
        </w:tc>
        <w:tc>
          <w:tcPr>
            <w:tcW w:w="482" w:type="pct"/>
            <w:tcBorders>
              <w:tl2br w:val="nil"/>
              <w:tr2bl w:val="nil"/>
            </w:tcBorders>
            <w:shd w:val="clear" w:color="auto" w:fill="auto"/>
            <w:vAlign w:val="center"/>
          </w:tcPr>
          <w:p w14:paraId="773B714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156E81D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YK128+099.5</w:t>
            </w:r>
          </w:p>
        </w:tc>
        <w:tc>
          <w:tcPr>
            <w:tcW w:w="1022" w:type="pct"/>
            <w:tcBorders>
              <w:tl2br w:val="nil"/>
              <w:tr2bl w:val="nil"/>
            </w:tcBorders>
            <w:shd w:val="clear" w:color="auto" w:fill="auto"/>
            <w:vAlign w:val="center"/>
          </w:tcPr>
          <w:p w14:paraId="6448484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6x16</w:t>
            </w:r>
          </w:p>
          <w:p w14:paraId="195B8F4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w:t>
            </w:r>
            <w:r>
              <w:rPr>
                <w:rFonts w:hint="eastAsia" w:ascii="仿宋" w:hAnsi="仿宋" w:eastAsia="仿宋" w:cs="仿宋"/>
                <w:color w:val="000000"/>
                <w:kern w:val="0"/>
                <w:szCs w:val="21"/>
                <w:highlight w:val="none"/>
                <w:lang w:val="en-US" w:eastAsia="zh-CN"/>
              </w:rPr>
              <w:t>连续</w:t>
            </w:r>
            <w:r>
              <w:rPr>
                <w:rFonts w:hint="default" w:ascii="仿宋" w:hAnsi="仿宋" w:eastAsia="仿宋" w:cs="仿宋"/>
                <w:color w:val="000000"/>
                <w:kern w:val="0"/>
                <w:szCs w:val="21"/>
                <w:highlight w:val="none"/>
                <w:lang w:val="en-US" w:eastAsia="zh-CN"/>
              </w:rPr>
              <w:t>空心板</w:t>
            </w:r>
          </w:p>
        </w:tc>
        <w:tc>
          <w:tcPr>
            <w:tcW w:w="764" w:type="pct"/>
            <w:tcBorders>
              <w:tl2br w:val="nil"/>
              <w:tr2bl w:val="nil"/>
            </w:tcBorders>
            <w:shd w:val="clear" w:color="auto" w:fill="auto"/>
            <w:vAlign w:val="center"/>
          </w:tcPr>
          <w:p w14:paraId="6EEE9C7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104</w:t>
            </w:r>
          </w:p>
        </w:tc>
        <w:tc>
          <w:tcPr>
            <w:tcW w:w="681" w:type="pct"/>
            <w:tcBorders>
              <w:tl2br w:val="nil"/>
              <w:tr2bl w:val="nil"/>
            </w:tcBorders>
            <w:shd w:val="clear" w:color="auto" w:fill="auto"/>
            <w:vAlign w:val="center"/>
          </w:tcPr>
          <w:p w14:paraId="1EE1227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右侧分离新建20.75米宽桥</w:t>
            </w:r>
          </w:p>
        </w:tc>
      </w:tr>
      <w:tr w14:paraId="16D78E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57A994D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5-1</w:t>
            </w:r>
          </w:p>
        </w:tc>
        <w:tc>
          <w:tcPr>
            <w:tcW w:w="734" w:type="pct"/>
            <w:vMerge w:val="restart"/>
            <w:tcBorders>
              <w:tl2br w:val="nil"/>
              <w:tr2bl w:val="nil"/>
            </w:tcBorders>
            <w:shd w:val="clear" w:color="auto" w:fill="auto"/>
            <w:vAlign w:val="center"/>
          </w:tcPr>
          <w:p w14:paraId="5DAFBBF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甲州中桥</w:t>
            </w:r>
          </w:p>
        </w:tc>
        <w:tc>
          <w:tcPr>
            <w:tcW w:w="482" w:type="pct"/>
            <w:tcBorders>
              <w:tl2br w:val="nil"/>
              <w:tr2bl w:val="nil"/>
            </w:tcBorders>
            <w:shd w:val="clear" w:color="auto" w:fill="auto"/>
            <w:vAlign w:val="center"/>
          </w:tcPr>
          <w:p w14:paraId="02E9113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298721D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ZK130+337.59</w:t>
            </w:r>
          </w:p>
        </w:tc>
        <w:tc>
          <w:tcPr>
            <w:tcW w:w="1022" w:type="pct"/>
            <w:tcBorders>
              <w:tl2br w:val="nil"/>
              <w:tr2bl w:val="nil"/>
            </w:tcBorders>
            <w:shd w:val="clear" w:color="auto" w:fill="auto"/>
            <w:vAlign w:val="center"/>
          </w:tcPr>
          <w:p w14:paraId="0700E55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3x13</w:t>
            </w:r>
          </w:p>
          <w:p w14:paraId="2740220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7AABC9E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44</w:t>
            </w:r>
          </w:p>
        </w:tc>
        <w:tc>
          <w:tcPr>
            <w:tcW w:w="681" w:type="pct"/>
            <w:tcBorders>
              <w:tl2br w:val="nil"/>
              <w:tr2bl w:val="nil"/>
            </w:tcBorders>
            <w:shd w:val="clear" w:color="auto" w:fill="auto"/>
            <w:vAlign w:val="center"/>
          </w:tcPr>
          <w:p w14:paraId="3F3A1A3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左桥左幅完全利用老桥，右幅拆除重建12.75米宽桥</w:t>
            </w:r>
          </w:p>
        </w:tc>
      </w:tr>
      <w:tr w14:paraId="76E1D0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22C1B3C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5-2</w:t>
            </w:r>
          </w:p>
        </w:tc>
        <w:tc>
          <w:tcPr>
            <w:tcW w:w="734" w:type="pct"/>
            <w:vMerge w:val="continue"/>
            <w:tcBorders>
              <w:tl2br w:val="nil"/>
              <w:tr2bl w:val="nil"/>
            </w:tcBorders>
            <w:shd w:val="clear" w:color="auto" w:fill="auto"/>
            <w:vAlign w:val="center"/>
          </w:tcPr>
          <w:p w14:paraId="358B876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29D720D8">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73BC5F03">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YK130+309.650</w:t>
            </w:r>
          </w:p>
        </w:tc>
        <w:tc>
          <w:tcPr>
            <w:tcW w:w="1022" w:type="pct"/>
            <w:tcBorders>
              <w:tl2br w:val="nil"/>
              <w:tr2bl w:val="nil"/>
            </w:tcBorders>
            <w:shd w:val="clear" w:color="auto" w:fill="auto"/>
            <w:vAlign w:val="center"/>
          </w:tcPr>
          <w:p w14:paraId="4710459C">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3x13</w:t>
            </w:r>
          </w:p>
          <w:p w14:paraId="4CB5BD4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6B231E28">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44</w:t>
            </w:r>
          </w:p>
        </w:tc>
        <w:tc>
          <w:tcPr>
            <w:tcW w:w="681" w:type="pct"/>
            <w:tcBorders>
              <w:tl2br w:val="nil"/>
              <w:tr2bl w:val="nil"/>
            </w:tcBorders>
            <w:shd w:val="clear" w:color="auto" w:fill="auto"/>
            <w:vAlign w:val="center"/>
          </w:tcPr>
          <w:p w14:paraId="4E20C66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右桥分离新建20.75米宽桥</w:t>
            </w:r>
          </w:p>
        </w:tc>
      </w:tr>
      <w:tr w14:paraId="2FCED6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2B4F231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6-1</w:t>
            </w:r>
          </w:p>
        </w:tc>
        <w:tc>
          <w:tcPr>
            <w:tcW w:w="734" w:type="pct"/>
            <w:tcBorders>
              <w:tl2br w:val="nil"/>
              <w:tr2bl w:val="nil"/>
            </w:tcBorders>
            <w:shd w:val="clear" w:color="auto" w:fill="auto"/>
            <w:vAlign w:val="center"/>
          </w:tcPr>
          <w:p w14:paraId="26B35D9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沃仔头中桥</w:t>
            </w:r>
          </w:p>
        </w:tc>
        <w:tc>
          <w:tcPr>
            <w:tcW w:w="482" w:type="pct"/>
            <w:tcBorders>
              <w:tl2br w:val="nil"/>
              <w:tr2bl w:val="nil"/>
            </w:tcBorders>
            <w:shd w:val="clear" w:color="auto" w:fill="auto"/>
            <w:vAlign w:val="center"/>
          </w:tcPr>
          <w:p w14:paraId="34AA7194">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12FBAE5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YK130+809.100</w:t>
            </w:r>
          </w:p>
        </w:tc>
        <w:tc>
          <w:tcPr>
            <w:tcW w:w="1022" w:type="pct"/>
            <w:tcBorders>
              <w:tl2br w:val="nil"/>
              <w:tr2bl w:val="nil"/>
            </w:tcBorders>
            <w:shd w:val="clear" w:color="auto" w:fill="auto"/>
            <w:vAlign w:val="center"/>
          </w:tcPr>
          <w:p w14:paraId="5F3AACB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3x13</w:t>
            </w:r>
          </w:p>
          <w:p w14:paraId="6FECB72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43065CA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44</w:t>
            </w:r>
          </w:p>
        </w:tc>
        <w:tc>
          <w:tcPr>
            <w:tcW w:w="681" w:type="pct"/>
            <w:tcBorders>
              <w:tl2br w:val="nil"/>
              <w:tr2bl w:val="nil"/>
            </w:tcBorders>
            <w:shd w:val="clear" w:color="auto" w:fill="auto"/>
            <w:vAlign w:val="center"/>
          </w:tcPr>
          <w:p w14:paraId="53A1F2C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右侧新建20.75米宽桥</w:t>
            </w:r>
          </w:p>
        </w:tc>
      </w:tr>
      <w:tr w14:paraId="352A9A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7"/>
            <w:tcBorders>
              <w:tl2br w:val="nil"/>
              <w:tr2bl w:val="nil"/>
            </w:tcBorders>
            <w:shd w:val="clear" w:color="auto" w:fill="auto"/>
            <w:vAlign w:val="center"/>
          </w:tcPr>
          <w:p w14:paraId="15A31C37">
            <w:pPr>
              <w:widowControl/>
              <w:jc w:val="center"/>
              <w:textAlignment w:val="center"/>
              <w:rPr>
                <w:rFonts w:hint="eastAsia" w:ascii="仿宋" w:hAnsi="仿宋" w:eastAsia="仿宋" w:cs="仿宋"/>
                <w:color w:val="000000"/>
                <w:kern w:val="0"/>
                <w:szCs w:val="21"/>
                <w:highlight w:val="none"/>
              </w:rPr>
            </w:pPr>
            <w:r>
              <w:rPr>
                <w:rFonts w:hint="eastAsia" w:ascii="仿宋" w:hAnsi="仿宋" w:eastAsia="仿宋" w:cs="仿宋"/>
                <w:b/>
                <w:bCs/>
                <w:color w:val="000000"/>
                <w:kern w:val="0"/>
                <w:szCs w:val="21"/>
                <w:highlight w:val="none"/>
                <w:lang w:val="en-US" w:eastAsia="zh-CN"/>
              </w:rPr>
              <w:t>A12合同段(扩建段)主线小桥</w:t>
            </w:r>
          </w:p>
        </w:tc>
      </w:tr>
      <w:tr w14:paraId="7285A3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6C48FB2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1-1</w:t>
            </w:r>
          </w:p>
        </w:tc>
        <w:tc>
          <w:tcPr>
            <w:tcW w:w="734" w:type="pct"/>
            <w:vMerge w:val="restart"/>
            <w:tcBorders>
              <w:tl2br w:val="nil"/>
              <w:tr2bl w:val="nil"/>
            </w:tcBorders>
            <w:shd w:val="clear" w:color="auto" w:fill="auto"/>
            <w:vAlign w:val="center"/>
          </w:tcPr>
          <w:p w14:paraId="007617E3">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大梧小桥</w:t>
            </w:r>
          </w:p>
        </w:tc>
        <w:tc>
          <w:tcPr>
            <w:tcW w:w="482" w:type="pct"/>
            <w:tcBorders>
              <w:tl2br w:val="nil"/>
              <w:tr2bl w:val="nil"/>
            </w:tcBorders>
            <w:shd w:val="clear" w:color="auto" w:fill="auto"/>
            <w:vAlign w:val="center"/>
          </w:tcPr>
          <w:p w14:paraId="6F63B5D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202DEC3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ZK118+278.796</w:t>
            </w:r>
          </w:p>
        </w:tc>
        <w:tc>
          <w:tcPr>
            <w:tcW w:w="1022" w:type="pct"/>
            <w:tcBorders>
              <w:tl2br w:val="nil"/>
              <w:tr2bl w:val="nil"/>
            </w:tcBorders>
            <w:shd w:val="clear" w:color="auto" w:fill="auto"/>
            <w:vAlign w:val="center"/>
          </w:tcPr>
          <w:p w14:paraId="745EC16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1x15.938</w:t>
            </w:r>
          </w:p>
          <w:p w14:paraId="2B7C9B6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675BA71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29.938</w:t>
            </w:r>
          </w:p>
        </w:tc>
        <w:tc>
          <w:tcPr>
            <w:tcW w:w="681" w:type="pct"/>
            <w:vMerge w:val="restart"/>
            <w:tcBorders>
              <w:tl2br w:val="nil"/>
              <w:tr2bl w:val="nil"/>
            </w:tcBorders>
            <w:shd w:val="clear" w:color="auto" w:fill="auto"/>
            <w:vAlign w:val="center"/>
          </w:tcPr>
          <w:p w14:paraId="5136464A">
            <w:pPr>
              <w:widowControl/>
              <w:ind w:left="0" w:leftChars="0" w:firstLine="0" w:firstLineChars="0"/>
              <w:jc w:val="both"/>
              <w:textAlignment w:val="center"/>
              <w:rPr>
                <w:rFonts w:hint="eastAsia" w:ascii="仿宋" w:hAnsi="仿宋" w:eastAsia="仿宋" w:cs="仿宋"/>
                <w:b/>
                <w:bCs/>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628472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27ADE7C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1-2</w:t>
            </w:r>
          </w:p>
        </w:tc>
        <w:tc>
          <w:tcPr>
            <w:tcW w:w="734" w:type="pct"/>
            <w:vMerge w:val="continue"/>
            <w:tcBorders>
              <w:tl2br w:val="nil"/>
              <w:tr2bl w:val="nil"/>
            </w:tcBorders>
            <w:shd w:val="clear" w:color="auto" w:fill="auto"/>
            <w:vAlign w:val="center"/>
          </w:tcPr>
          <w:p w14:paraId="04478BB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252A89D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2785EB88">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YK118+270.902</w:t>
            </w:r>
          </w:p>
        </w:tc>
        <w:tc>
          <w:tcPr>
            <w:tcW w:w="1022" w:type="pct"/>
            <w:tcBorders>
              <w:tl2br w:val="nil"/>
              <w:tr2bl w:val="nil"/>
            </w:tcBorders>
            <w:shd w:val="clear" w:color="auto" w:fill="auto"/>
            <w:vAlign w:val="center"/>
          </w:tcPr>
          <w:p w14:paraId="079D047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1x15.945</w:t>
            </w:r>
          </w:p>
          <w:p w14:paraId="78FBE2F8">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764" w:type="pct"/>
            <w:tcBorders>
              <w:tl2br w:val="nil"/>
              <w:tr2bl w:val="nil"/>
            </w:tcBorders>
            <w:shd w:val="clear" w:color="auto" w:fill="auto"/>
            <w:vAlign w:val="center"/>
          </w:tcPr>
          <w:p w14:paraId="752AD1F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29.945</w:t>
            </w:r>
          </w:p>
        </w:tc>
        <w:tc>
          <w:tcPr>
            <w:tcW w:w="681" w:type="pct"/>
            <w:vMerge w:val="continue"/>
            <w:tcBorders>
              <w:tl2br w:val="nil"/>
              <w:tr2bl w:val="nil"/>
            </w:tcBorders>
            <w:shd w:val="clear" w:color="auto" w:fill="auto"/>
            <w:vAlign w:val="center"/>
          </w:tcPr>
          <w:p w14:paraId="3430F526">
            <w:pPr>
              <w:widowControl/>
              <w:jc w:val="center"/>
              <w:textAlignment w:val="center"/>
              <w:rPr>
                <w:rFonts w:hint="eastAsia" w:ascii="仿宋" w:hAnsi="仿宋" w:eastAsia="仿宋" w:cs="仿宋"/>
                <w:b/>
                <w:bCs/>
                <w:color w:val="000000"/>
                <w:kern w:val="0"/>
                <w:szCs w:val="21"/>
                <w:highlight w:val="none"/>
                <w:lang w:val="en-US" w:eastAsia="zh-CN"/>
              </w:rPr>
            </w:pPr>
          </w:p>
        </w:tc>
      </w:tr>
      <w:tr w14:paraId="03FDD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7"/>
            <w:tcBorders>
              <w:tl2br w:val="nil"/>
              <w:tr2bl w:val="nil"/>
            </w:tcBorders>
            <w:shd w:val="clear" w:color="auto" w:fill="auto"/>
            <w:vAlign w:val="center"/>
          </w:tcPr>
          <w:p w14:paraId="660FE46F">
            <w:pPr>
              <w:widowControl/>
              <w:jc w:val="center"/>
              <w:textAlignment w:val="center"/>
              <w:rPr>
                <w:rFonts w:hint="eastAsia" w:ascii="仿宋" w:hAnsi="仿宋" w:eastAsia="仿宋" w:cs="仿宋"/>
                <w:b/>
                <w:bCs/>
                <w:color w:val="000000"/>
                <w:kern w:val="0"/>
                <w:szCs w:val="21"/>
                <w:highlight w:val="none"/>
                <w:lang w:val="en-US" w:eastAsia="zh-CN"/>
              </w:rPr>
            </w:pPr>
            <w:r>
              <w:rPr>
                <w:rFonts w:hint="eastAsia" w:ascii="仿宋" w:hAnsi="仿宋" w:eastAsia="仿宋" w:cs="仿宋"/>
                <w:b/>
                <w:bCs/>
                <w:color w:val="000000"/>
                <w:kern w:val="0"/>
                <w:szCs w:val="21"/>
                <w:highlight w:val="none"/>
                <w:lang w:val="en-US" w:eastAsia="zh-CN"/>
              </w:rPr>
              <w:t>A12合同段（扩建段）主线分离式桥梁</w:t>
            </w:r>
          </w:p>
        </w:tc>
      </w:tr>
      <w:tr w14:paraId="2CF975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702A857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1-1</w:t>
            </w:r>
          </w:p>
        </w:tc>
        <w:tc>
          <w:tcPr>
            <w:tcW w:w="734" w:type="pct"/>
            <w:vMerge w:val="restart"/>
            <w:tcBorders>
              <w:tl2br w:val="nil"/>
              <w:tr2bl w:val="nil"/>
            </w:tcBorders>
            <w:shd w:val="clear" w:color="auto" w:fill="auto"/>
            <w:vAlign w:val="center"/>
          </w:tcPr>
          <w:p w14:paraId="777F131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邱城分离式小桥</w:t>
            </w:r>
          </w:p>
        </w:tc>
        <w:tc>
          <w:tcPr>
            <w:tcW w:w="482" w:type="pct"/>
            <w:tcBorders>
              <w:tl2br w:val="nil"/>
              <w:tr2bl w:val="nil"/>
            </w:tcBorders>
            <w:shd w:val="clear" w:color="auto" w:fill="auto"/>
            <w:vAlign w:val="center"/>
          </w:tcPr>
          <w:p w14:paraId="73F29A6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5402B17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ZK123+963.876</w:t>
            </w:r>
          </w:p>
        </w:tc>
        <w:tc>
          <w:tcPr>
            <w:tcW w:w="1022" w:type="pct"/>
            <w:tcBorders>
              <w:tl2br w:val="nil"/>
              <w:tr2bl w:val="nil"/>
            </w:tcBorders>
            <w:shd w:val="clear" w:color="auto" w:fill="auto"/>
            <w:vAlign w:val="center"/>
          </w:tcPr>
          <w:p w14:paraId="59FCFF4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1X12.989</w:t>
            </w:r>
          </w:p>
          <w:p w14:paraId="615C78E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w:t>
            </w:r>
            <w:r>
              <w:rPr>
                <w:rFonts w:hint="eastAsia" w:ascii="仿宋" w:hAnsi="仿宋" w:eastAsia="仿宋" w:cs="仿宋"/>
                <w:color w:val="000000"/>
                <w:kern w:val="0"/>
                <w:szCs w:val="21"/>
                <w:highlight w:val="none"/>
                <w:lang w:val="en-US" w:eastAsia="zh-CN"/>
              </w:rPr>
              <w:t>简支空心板</w:t>
            </w:r>
          </w:p>
        </w:tc>
        <w:tc>
          <w:tcPr>
            <w:tcW w:w="764" w:type="pct"/>
            <w:tcBorders>
              <w:tl2br w:val="nil"/>
              <w:tr2bl w:val="nil"/>
            </w:tcBorders>
            <w:shd w:val="clear" w:color="auto" w:fill="auto"/>
            <w:vAlign w:val="center"/>
          </w:tcPr>
          <w:p w14:paraId="130487B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22.989</w:t>
            </w:r>
          </w:p>
        </w:tc>
        <w:tc>
          <w:tcPr>
            <w:tcW w:w="681" w:type="pct"/>
            <w:vMerge w:val="restart"/>
            <w:tcBorders>
              <w:tl2br w:val="nil"/>
              <w:tr2bl w:val="nil"/>
            </w:tcBorders>
            <w:shd w:val="clear" w:color="auto" w:fill="auto"/>
            <w:vAlign w:val="center"/>
          </w:tcPr>
          <w:p w14:paraId="26E3E9B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76378E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772BFAC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1-2</w:t>
            </w:r>
          </w:p>
        </w:tc>
        <w:tc>
          <w:tcPr>
            <w:tcW w:w="734" w:type="pct"/>
            <w:vMerge w:val="continue"/>
            <w:tcBorders>
              <w:tl2br w:val="nil"/>
              <w:tr2bl w:val="nil"/>
            </w:tcBorders>
            <w:shd w:val="clear" w:color="auto" w:fill="auto"/>
            <w:vAlign w:val="center"/>
          </w:tcPr>
          <w:p w14:paraId="2C828F2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1897EA0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3097C00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YK123+959.644</w:t>
            </w:r>
          </w:p>
        </w:tc>
        <w:tc>
          <w:tcPr>
            <w:tcW w:w="1022" w:type="pct"/>
            <w:tcBorders>
              <w:tl2br w:val="nil"/>
              <w:tr2bl w:val="nil"/>
            </w:tcBorders>
            <w:shd w:val="clear" w:color="auto" w:fill="auto"/>
            <w:vAlign w:val="center"/>
          </w:tcPr>
          <w:p w14:paraId="0C3BB9C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1X12.971</w:t>
            </w:r>
          </w:p>
          <w:p w14:paraId="7F9AA2C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w:t>
            </w:r>
            <w:r>
              <w:rPr>
                <w:rFonts w:hint="eastAsia" w:ascii="仿宋" w:hAnsi="仿宋" w:eastAsia="仿宋" w:cs="仿宋"/>
                <w:color w:val="000000"/>
                <w:kern w:val="0"/>
                <w:szCs w:val="21"/>
                <w:highlight w:val="none"/>
                <w:lang w:val="en-US" w:eastAsia="zh-CN"/>
              </w:rPr>
              <w:t>简支空心板</w:t>
            </w:r>
          </w:p>
        </w:tc>
        <w:tc>
          <w:tcPr>
            <w:tcW w:w="764" w:type="pct"/>
            <w:tcBorders>
              <w:tl2br w:val="nil"/>
              <w:tr2bl w:val="nil"/>
            </w:tcBorders>
            <w:shd w:val="clear" w:color="auto" w:fill="auto"/>
            <w:vAlign w:val="center"/>
          </w:tcPr>
          <w:p w14:paraId="4F79E0C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22.971</w:t>
            </w:r>
          </w:p>
        </w:tc>
        <w:tc>
          <w:tcPr>
            <w:tcW w:w="681" w:type="pct"/>
            <w:vMerge w:val="continue"/>
            <w:tcBorders>
              <w:tl2br w:val="nil"/>
              <w:tr2bl w:val="nil"/>
            </w:tcBorders>
            <w:shd w:val="clear" w:color="auto" w:fill="auto"/>
            <w:vAlign w:val="center"/>
          </w:tcPr>
          <w:p w14:paraId="7D7F296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14F6C9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144BFDE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2-1</w:t>
            </w:r>
          </w:p>
        </w:tc>
        <w:tc>
          <w:tcPr>
            <w:tcW w:w="734" w:type="pct"/>
            <w:vMerge w:val="restart"/>
            <w:tcBorders>
              <w:tl2br w:val="nil"/>
              <w:tr2bl w:val="nil"/>
            </w:tcBorders>
            <w:shd w:val="clear" w:color="auto" w:fill="auto"/>
            <w:vAlign w:val="center"/>
          </w:tcPr>
          <w:p w14:paraId="190D7BB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西山分离式中桥</w:t>
            </w:r>
          </w:p>
        </w:tc>
        <w:tc>
          <w:tcPr>
            <w:tcW w:w="482" w:type="pct"/>
            <w:tcBorders>
              <w:tl2br w:val="nil"/>
              <w:tr2bl w:val="nil"/>
            </w:tcBorders>
            <w:shd w:val="clear" w:color="auto" w:fill="auto"/>
            <w:vAlign w:val="center"/>
          </w:tcPr>
          <w:p w14:paraId="7812DBF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940" w:type="pct"/>
            <w:tcBorders>
              <w:tl2br w:val="nil"/>
              <w:tr2bl w:val="nil"/>
            </w:tcBorders>
            <w:shd w:val="clear" w:color="auto" w:fill="auto"/>
            <w:vAlign w:val="center"/>
          </w:tcPr>
          <w:p w14:paraId="668FBD5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ZZK126+778.100</w:t>
            </w:r>
          </w:p>
        </w:tc>
        <w:tc>
          <w:tcPr>
            <w:tcW w:w="1022" w:type="pct"/>
            <w:tcBorders>
              <w:tl2br w:val="nil"/>
              <w:tr2bl w:val="nil"/>
            </w:tcBorders>
            <w:shd w:val="clear" w:color="auto" w:fill="auto"/>
            <w:vAlign w:val="center"/>
          </w:tcPr>
          <w:p w14:paraId="4FD624C8">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3X30</w:t>
            </w:r>
          </w:p>
          <w:p w14:paraId="1631C5F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PC连续T梁</w:t>
            </w:r>
          </w:p>
        </w:tc>
        <w:tc>
          <w:tcPr>
            <w:tcW w:w="764" w:type="pct"/>
            <w:tcBorders>
              <w:tl2br w:val="nil"/>
              <w:tr2bl w:val="nil"/>
            </w:tcBorders>
            <w:shd w:val="clear" w:color="auto" w:fill="auto"/>
            <w:vAlign w:val="center"/>
          </w:tcPr>
          <w:p w14:paraId="3363D38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97</w:t>
            </w:r>
          </w:p>
        </w:tc>
        <w:tc>
          <w:tcPr>
            <w:tcW w:w="681" w:type="pct"/>
            <w:vMerge w:val="restart"/>
            <w:tcBorders>
              <w:tl2br w:val="nil"/>
              <w:tr2bl w:val="nil"/>
            </w:tcBorders>
            <w:shd w:val="clear" w:color="auto" w:fill="auto"/>
            <w:vAlign w:val="center"/>
          </w:tcPr>
          <w:p w14:paraId="7CC6799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原桥位拆除重建</w:t>
            </w:r>
          </w:p>
        </w:tc>
      </w:tr>
      <w:tr w14:paraId="33B5C3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1D4C309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2-2</w:t>
            </w:r>
          </w:p>
        </w:tc>
        <w:tc>
          <w:tcPr>
            <w:tcW w:w="734" w:type="pct"/>
            <w:vMerge w:val="continue"/>
            <w:tcBorders>
              <w:tl2br w:val="nil"/>
              <w:tr2bl w:val="nil"/>
            </w:tcBorders>
            <w:shd w:val="clear" w:color="auto" w:fill="auto"/>
            <w:vAlign w:val="center"/>
          </w:tcPr>
          <w:p w14:paraId="6FDC4C2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3E6A300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15E883B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YK126+774.582</w:t>
            </w:r>
          </w:p>
        </w:tc>
        <w:tc>
          <w:tcPr>
            <w:tcW w:w="1022" w:type="pct"/>
            <w:tcBorders>
              <w:tl2br w:val="nil"/>
              <w:tr2bl w:val="nil"/>
            </w:tcBorders>
            <w:shd w:val="clear" w:color="auto" w:fill="auto"/>
            <w:vAlign w:val="center"/>
          </w:tcPr>
          <w:p w14:paraId="65A6379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3X30</w:t>
            </w:r>
          </w:p>
          <w:p w14:paraId="0092D48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PC连续T梁</w:t>
            </w:r>
          </w:p>
        </w:tc>
        <w:tc>
          <w:tcPr>
            <w:tcW w:w="764" w:type="pct"/>
            <w:tcBorders>
              <w:tl2br w:val="nil"/>
              <w:tr2bl w:val="nil"/>
            </w:tcBorders>
            <w:shd w:val="clear" w:color="auto" w:fill="auto"/>
            <w:vAlign w:val="center"/>
          </w:tcPr>
          <w:p w14:paraId="2AF8905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97</w:t>
            </w:r>
          </w:p>
        </w:tc>
        <w:tc>
          <w:tcPr>
            <w:tcW w:w="681" w:type="pct"/>
            <w:vMerge w:val="continue"/>
            <w:tcBorders>
              <w:tl2br w:val="nil"/>
              <w:tr2bl w:val="nil"/>
            </w:tcBorders>
            <w:shd w:val="clear" w:color="auto" w:fill="auto"/>
            <w:vAlign w:val="center"/>
          </w:tcPr>
          <w:p w14:paraId="2BF9988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571437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22A490B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w:t>
            </w:r>
          </w:p>
        </w:tc>
        <w:tc>
          <w:tcPr>
            <w:tcW w:w="734" w:type="pct"/>
            <w:tcBorders>
              <w:tl2br w:val="nil"/>
              <w:tr2bl w:val="nil"/>
            </w:tcBorders>
            <w:shd w:val="clear" w:color="auto" w:fill="auto"/>
            <w:vAlign w:val="center"/>
          </w:tcPr>
          <w:p w14:paraId="7734C7D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院前1号分离式立交桥</w:t>
            </w:r>
          </w:p>
        </w:tc>
        <w:tc>
          <w:tcPr>
            <w:tcW w:w="482" w:type="pct"/>
            <w:tcBorders>
              <w:tl2br w:val="nil"/>
              <w:tr2bl w:val="nil"/>
            </w:tcBorders>
            <w:shd w:val="clear" w:color="auto" w:fill="auto"/>
            <w:vAlign w:val="center"/>
          </w:tcPr>
          <w:p w14:paraId="4439DECC">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940" w:type="pct"/>
            <w:tcBorders>
              <w:tl2br w:val="nil"/>
              <w:tr2bl w:val="nil"/>
            </w:tcBorders>
            <w:shd w:val="clear" w:color="auto" w:fill="auto"/>
            <w:vAlign w:val="center"/>
          </w:tcPr>
          <w:p w14:paraId="725E618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KO+221.222</w:t>
            </w:r>
          </w:p>
        </w:tc>
        <w:tc>
          <w:tcPr>
            <w:tcW w:w="1022" w:type="pct"/>
            <w:tcBorders>
              <w:tl2br w:val="nil"/>
              <w:tr2bl w:val="nil"/>
            </w:tcBorders>
            <w:shd w:val="clear" w:color="auto" w:fill="auto"/>
            <w:vAlign w:val="center"/>
          </w:tcPr>
          <w:p w14:paraId="5999A7E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w:t>
            </w:r>
            <w:r>
              <w:rPr>
                <w:rFonts w:hint="default" w:ascii="仿宋" w:hAnsi="仿宋" w:eastAsia="仿宋" w:cs="仿宋"/>
                <w:color w:val="000000"/>
                <w:kern w:val="0"/>
                <w:szCs w:val="21"/>
                <w:highlight w:val="none"/>
                <w:lang w:val="en-US" w:eastAsia="zh-CN"/>
              </w:rPr>
              <w:t>X</w:t>
            </w:r>
            <w:r>
              <w:rPr>
                <w:rFonts w:hint="eastAsia" w:ascii="仿宋" w:hAnsi="仿宋" w:eastAsia="仿宋" w:cs="仿宋"/>
                <w:color w:val="000000"/>
                <w:kern w:val="0"/>
                <w:szCs w:val="21"/>
                <w:highlight w:val="none"/>
                <w:lang w:val="en-US" w:eastAsia="zh-CN"/>
              </w:rPr>
              <w:t>30.5</w:t>
            </w:r>
          </w:p>
          <w:p w14:paraId="227600C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PC连续T梁</w:t>
            </w:r>
          </w:p>
        </w:tc>
        <w:tc>
          <w:tcPr>
            <w:tcW w:w="764" w:type="pct"/>
            <w:tcBorders>
              <w:tl2br w:val="nil"/>
              <w:tr2bl w:val="nil"/>
            </w:tcBorders>
            <w:shd w:val="clear" w:color="auto" w:fill="auto"/>
            <w:vAlign w:val="center"/>
          </w:tcPr>
          <w:p w14:paraId="4E2A6CE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143</w:t>
            </w:r>
          </w:p>
        </w:tc>
        <w:tc>
          <w:tcPr>
            <w:tcW w:w="681" w:type="pct"/>
            <w:tcBorders>
              <w:tl2br w:val="nil"/>
              <w:tr2bl w:val="nil"/>
            </w:tcBorders>
            <w:shd w:val="clear" w:color="auto" w:fill="auto"/>
            <w:vAlign w:val="center"/>
          </w:tcPr>
          <w:p w14:paraId="537F335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接改路6，跨主线K122+100</w:t>
            </w:r>
          </w:p>
        </w:tc>
      </w:tr>
      <w:tr w14:paraId="1FFA8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5B2D1EB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w:t>
            </w:r>
          </w:p>
        </w:tc>
        <w:tc>
          <w:tcPr>
            <w:tcW w:w="734" w:type="pct"/>
            <w:tcBorders>
              <w:tl2br w:val="nil"/>
              <w:tr2bl w:val="nil"/>
            </w:tcBorders>
            <w:shd w:val="clear" w:color="auto" w:fill="auto"/>
            <w:vAlign w:val="center"/>
          </w:tcPr>
          <w:p w14:paraId="127D486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院前2号分离式立交桥</w:t>
            </w:r>
          </w:p>
        </w:tc>
        <w:tc>
          <w:tcPr>
            <w:tcW w:w="482" w:type="pct"/>
            <w:tcBorders>
              <w:tl2br w:val="nil"/>
              <w:tr2bl w:val="nil"/>
            </w:tcBorders>
            <w:shd w:val="clear" w:color="auto" w:fill="auto"/>
            <w:vAlign w:val="center"/>
          </w:tcPr>
          <w:p w14:paraId="60FFB8C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940" w:type="pct"/>
            <w:tcBorders>
              <w:tl2br w:val="nil"/>
              <w:tr2bl w:val="nil"/>
            </w:tcBorders>
            <w:shd w:val="clear" w:color="auto" w:fill="auto"/>
            <w:vAlign w:val="center"/>
          </w:tcPr>
          <w:p w14:paraId="4F041BB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KO+189.2</w:t>
            </w:r>
          </w:p>
        </w:tc>
        <w:tc>
          <w:tcPr>
            <w:tcW w:w="1022" w:type="pct"/>
            <w:tcBorders>
              <w:tl2br w:val="nil"/>
              <w:tr2bl w:val="nil"/>
            </w:tcBorders>
            <w:shd w:val="clear" w:color="auto" w:fill="auto"/>
            <w:vAlign w:val="center"/>
          </w:tcPr>
          <w:p w14:paraId="143ED62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w:t>
            </w:r>
            <w:r>
              <w:rPr>
                <w:rFonts w:hint="default" w:ascii="仿宋" w:hAnsi="仿宋" w:eastAsia="仿宋" w:cs="仿宋"/>
                <w:color w:val="000000"/>
                <w:kern w:val="0"/>
                <w:szCs w:val="21"/>
                <w:highlight w:val="none"/>
                <w:lang w:val="en-US" w:eastAsia="zh-CN"/>
              </w:rPr>
              <w:t>X</w:t>
            </w:r>
            <w:r>
              <w:rPr>
                <w:rFonts w:hint="eastAsia" w:ascii="仿宋" w:hAnsi="仿宋" w:eastAsia="仿宋" w:cs="仿宋"/>
                <w:color w:val="000000"/>
                <w:kern w:val="0"/>
                <w:szCs w:val="21"/>
                <w:highlight w:val="none"/>
                <w:lang w:val="en-US" w:eastAsia="zh-CN"/>
              </w:rPr>
              <w:t>35</w:t>
            </w:r>
          </w:p>
          <w:p w14:paraId="2B99C00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PC连续T梁</w:t>
            </w:r>
          </w:p>
        </w:tc>
        <w:tc>
          <w:tcPr>
            <w:tcW w:w="764" w:type="pct"/>
            <w:tcBorders>
              <w:tl2br w:val="nil"/>
              <w:tr2bl w:val="nil"/>
            </w:tcBorders>
            <w:shd w:val="clear" w:color="auto" w:fill="auto"/>
            <w:vAlign w:val="center"/>
          </w:tcPr>
          <w:p w14:paraId="3D989B5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159</w:t>
            </w:r>
          </w:p>
        </w:tc>
        <w:tc>
          <w:tcPr>
            <w:tcW w:w="681" w:type="pct"/>
            <w:tcBorders>
              <w:tl2br w:val="nil"/>
              <w:tr2bl w:val="nil"/>
            </w:tcBorders>
            <w:shd w:val="clear" w:color="auto" w:fill="auto"/>
            <w:vAlign w:val="center"/>
          </w:tcPr>
          <w:p w14:paraId="17F9EC7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接改路9，跨主线K122+800</w:t>
            </w:r>
          </w:p>
        </w:tc>
      </w:tr>
      <w:tr w14:paraId="30FEF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3" w:type="pct"/>
            <w:tcBorders>
              <w:tl2br w:val="nil"/>
              <w:tr2bl w:val="nil"/>
            </w:tcBorders>
            <w:shd w:val="clear" w:color="auto" w:fill="auto"/>
            <w:vAlign w:val="center"/>
          </w:tcPr>
          <w:p w14:paraId="3B4C0A3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5-1</w:t>
            </w:r>
          </w:p>
        </w:tc>
        <w:tc>
          <w:tcPr>
            <w:tcW w:w="734" w:type="pct"/>
            <w:vMerge w:val="restart"/>
            <w:tcBorders>
              <w:tl2br w:val="nil"/>
              <w:tr2bl w:val="nil"/>
            </w:tcBorders>
            <w:shd w:val="clear" w:color="auto" w:fill="auto"/>
            <w:vAlign w:val="center"/>
          </w:tcPr>
          <w:p w14:paraId="167A578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溪边园分离式立交中桥</w:t>
            </w:r>
          </w:p>
        </w:tc>
        <w:tc>
          <w:tcPr>
            <w:tcW w:w="482" w:type="pct"/>
            <w:tcBorders>
              <w:tl2br w:val="nil"/>
              <w:tr2bl w:val="nil"/>
            </w:tcBorders>
            <w:shd w:val="clear" w:color="auto" w:fill="auto"/>
            <w:vAlign w:val="center"/>
          </w:tcPr>
          <w:p w14:paraId="5D37769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左桥1</w:t>
            </w:r>
          </w:p>
        </w:tc>
        <w:tc>
          <w:tcPr>
            <w:tcW w:w="940" w:type="pct"/>
            <w:tcBorders>
              <w:tl2br w:val="nil"/>
              <w:tr2bl w:val="nil"/>
            </w:tcBorders>
            <w:shd w:val="clear" w:color="auto" w:fill="auto"/>
            <w:vAlign w:val="center"/>
          </w:tcPr>
          <w:p w14:paraId="6269163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ZZK132+181.5</w:t>
            </w:r>
          </w:p>
        </w:tc>
        <w:tc>
          <w:tcPr>
            <w:tcW w:w="1022" w:type="pct"/>
            <w:tcBorders>
              <w:tl2br w:val="nil"/>
              <w:tr2bl w:val="nil"/>
            </w:tcBorders>
            <w:shd w:val="clear" w:color="auto" w:fill="auto"/>
            <w:vAlign w:val="center"/>
          </w:tcPr>
          <w:p w14:paraId="0D68A2E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w:t>
            </w:r>
            <w:r>
              <w:rPr>
                <w:rFonts w:hint="default" w:ascii="仿宋" w:hAnsi="仿宋" w:eastAsia="仿宋" w:cs="仿宋"/>
                <w:color w:val="000000"/>
                <w:kern w:val="0"/>
                <w:szCs w:val="21"/>
                <w:highlight w:val="none"/>
                <w:lang w:val="en-US" w:eastAsia="zh-CN"/>
              </w:rPr>
              <w:t>X</w:t>
            </w:r>
            <w:r>
              <w:rPr>
                <w:rFonts w:hint="eastAsia" w:ascii="仿宋" w:hAnsi="仿宋" w:eastAsia="仿宋" w:cs="仿宋"/>
                <w:color w:val="000000"/>
                <w:kern w:val="0"/>
                <w:szCs w:val="21"/>
                <w:highlight w:val="none"/>
                <w:lang w:val="en-US" w:eastAsia="zh-CN"/>
              </w:rPr>
              <w:t>16</w:t>
            </w:r>
          </w:p>
          <w:p w14:paraId="15FB298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w:t>
            </w:r>
            <w:r>
              <w:rPr>
                <w:rFonts w:hint="eastAsia" w:ascii="仿宋" w:hAnsi="仿宋" w:eastAsia="仿宋" w:cs="仿宋"/>
                <w:color w:val="000000"/>
                <w:kern w:val="0"/>
                <w:szCs w:val="21"/>
                <w:highlight w:val="none"/>
                <w:lang w:val="en-US" w:eastAsia="zh-CN"/>
              </w:rPr>
              <w:t>空心板</w:t>
            </w:r>
          </w:p>
        </w:tc>
        <w:tc>
          <w:tcPr>
            <w:tcW w:w="764" w:type="pct"/>
            <w:tcBorders>
              <w:tl2br w:val="nil"/>
              <w:tr2bl w:val="nil"/>
            </w:tcBorders>
            <w:shd w:val="clear" w:color="auto" w:fill="auto"/>
            <w:vAlign w:val="center"/>
          </w:tcPr>
          <w:p w14:paraId="66411CC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54</w:t>
            </w:r>
          </w:p>
        </w:tc>
        <w:tc>
          <w:tcPr>
            <w:tcW w:w="681" w:type="pct"/>
            <w:tcBorders>
              <w:tl2br w:val="nil"/>
              <w:tr2bl w:val="nil"/>
            </w:tcBorders>
            <w:shd w:val="clear" w:color="auto" w:fill="auto"/>
            <w:vAlign w:val="center"/>
          </w:tcPr>
          <w:p w14:paraId="50668D7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拆除重建</w:t>
            </w:r>
          </w:p>
        </w:tc>
      </w:tr>
      <w:tr w14:paraId="1CAE6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73" w:type="pct"/>
            <w:tcBorders>
              <w:tl2br w:val="nil"/>
              <w:tr2bl w:val="nil"/>
            </w:tcBorders>
            <w:shd w:val="clear" w:color="auto" w:fill="auto"/>
            <w:vAlign w:val="center"/>
          </w:tcPr>
          <w:p w14:paraId="7D318C0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5-2</w:t>
            </w:r>
          </w:p>
        </w:tc>
        <w:tc>
          <w:tcPr>
            <w:tcW w:w="734" w:type="pct"/>
            <w:vMerge w:val="continue"/>
            <w:tcBorders>
              <w:tl2br w:val="nil"/>
              <w:tr2bl w:val="nil"/>
            </w:tcBorders>
            <w:shd w:val="clear" w:color="auto" w:fill="auto"/>
            <w:vAlign w:val="center"/>
          </w:tcPr>
          <w:p w14:paraId="4468045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4E66532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左桥2</w:t>
            </w:r>
          </w:p>
        </w:tc>
        <w:tc>
          <w:tcPr>
            <w:tcW w:w="940" w:type="pct"/>
            <w:tcBorders>
              <w:tl2br w:val="nil"/>
              <w:tr2bl w:val="nil"/>
            </w:tcBorders>
            <w:shd w:val="clear" w:color="auto" w:fill="auto"/>
            <w:vAlign w:val="center"/>
          </w:tcPr>
          <w:p w14:paraId="75D3671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ZZK132+177.9</w:t>
            </w:r>
          </w:p>
        </w:tc>
        <w:tc>
          <w:tcPr>
            <w:tcW w:w="1022" w:type="pct"/>
            <w:tcBorders>
              <w:tl2br w:val="nil"/>
              <w:tr2bl w:val="nil"/>
            </w:tcBorders>
            <w:shd w:val="clear" w:color="auto" w:fill="auto"/>
            <w:vAlign w:val="center"/>
          </w:tcPr>
          <w:p w14:paraId="7A5C657C">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w:t>
            </w:r>
            <w:r>
              <w:rPr>
                <w:rFonts w:hint="default" w:ascii="仿宋" w:hAnsi="仿宋" w:eastAsia="仿宋" w:cs="仿宋"/>
                <w:color w:val="000000"/>
                <w:kern w:val="0"/>
                <w:szCs w:val="21"/>
                <w:highlight w:val="none"/>
                <w:lang w:val="en-US" w:eastAsia="zh-CN"/>
              </w:rPr>
              <w:t>X</w:t>
            </w:r>
            <w:r>
              <w:rPr>
                <w:rFonts w:hint="eastAsia" w:ascii="仿宋" w:hAnsi="仿宋" w:eastAsia="仿宋" w:cs="仿宋"/>
                <w:color w:val="000000"/>
                <w:kern w:val="0"/>
                <w:szCs w:val="21"/>
                <w:highlight w:val="none"/>
                <w:lang w:val="en-US" w:eastAsia="zh-CN"/>
              </w:rPr>
              <w:t>16</w:t>
            </w:r>
          </w:p>
          <w:p w14:paraId="19E99F6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w:t>
            </w:r>
            <w:r>
              <w:rPr>
                <w:rFonts w:hint="eastAsia" w:ascii="仿宋" w:hAnsi="仿宋" w:eastAsia="仿宋" w:cs="仿宋"/>
                <w:color w:val="000000"/>
                <w:kern w:val="0"/>
                <w:szCs w:val="21"/>
                <w:highlight w:val="none"/>
                <w:lang w:val="en-US" w:eastAsia="zh-CN"/>
              </w:rPr>
              <w:t>空心板</w:t>
            </w:r>
          </w:p>
        </w:tc>
        <w:tc>
          <w:tcPr>
            <w:tcW w:w="764" w:type="pct"/>
            <w:tcBorders>
              <w:tl2br w:val="nil"/>
              <w:tr2bl w:val="nil"/>
            </w:tcBorders>
            <w:shd w:val="clear" w:color="auto" w:fill="auto"/>
            <w:vAlign w:val="center"/>
          </w:tcPr>
          <w:p w14:paraId="47F4B1C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54</w:t>
            </w:r>
          </w:p>
        </w:tc>
        <w:tc>
          <w:tcPr>
            <w:tcW w:w="681" w:type="pct"/>
            <w:tcBorders>
              <w:tl2br w:val="nil"/>
              <w:tr2bl w:val="nil"/>
            </w:tcBorders>
            <w:shd w:val="clear" w:color="auto" w:fill="auto"/>
            <w:vAlign w:val="center"/>
          </w:tcPr>
          <w:p w14:paraId="2818D15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拆除重建</w:t>
            </w:r>
          </w:p>
        </w:tc>
      </w:tr>
      <w:tr w14:paraId="6B3D3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66B00D6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5-3</w:t>
            </w:r>
          </w:p>
        </w:tc>
        <w:tc>
          <w:tcPr>
            <w:tcW w:w="734" w:type="pct"/>
            <w:vMerge w:val="continue"/>
            <w:tcBorders>
              <w:tl2br w:val="nil"/>
              <w:tr2bl w:val="nil"/>
            </w:tcBorders>
            <w:shd w:val="clear" w:color="auto" w:fill="auto"/>
            <w:vAlign w:val="center"/>
          </w:tcPr>
          <w:p w14:paraId="6FBFB09B">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482" w:type="pct"/>
            <w:tcBorders>
              <w:tl2br w:val="nil"/>
              <w:tr2bl w:val="nil"/>
            </w:tcBorders>
            <w:shd w:val="clear" w:color="auto" w:fill="auto"/>
            <w:vAlign w:val="center"/>
          </w:tcPr>
          <w:p w14:paraId="631FAD0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940" w:type="pct"/>
            <w:tcBorders>
              <w:tl2br w:val="nil"/>
              <w:tr2bl w:val="nil"/>
            </w:tcBorders>
            <w:shd w:val="clear" w:color="auto" w:fill="auto"/>
            <w:vAlign w:val="center"/>
          </w:tcPr>
          <w:p w14:paraId="04D98A4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YZK132+157</w:t>
            </w:r>
          </w:p>
        </w:tc>
        <w:tc>
          <w:tcPr>
            <w:tcW w:w="1022" w:type="pct"/>
            <w:tcBorders>
              <w:tl2br w:val="nil"/>
              <w:tr2bl w:val="nil"/>
            </w:tcBorders>
            <w:shd w:val="clear" w:color="auto" w:fill="auto"/>
            <w:vAlign w:val="center"/>
          </w:tcPr>
          <w:p w14:paraId="0350E23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w:t>
            </w:r>
            <w:r>
              <w:rPr>
                <w:rFonts w:hint="default" w:ascii="仿宋" w:hAnsi="仿宋" w:eastAsia="仿宋" w:cs="仿宋"/>
                <w:color w:val="000000"/>
                <w:kern w:val="0"/>
                <w:szCs w:val="21"/>
                <w:highlight w:val="none"/>
                <w:lang w:val="en-US" w:eastAsia="zh-CN"/>
              </w:rPr>
              <w:t>X</w:t>
            </w:r>
            <w:r>
              <w:rPr>
                <w:rFonts w:hint="eastAsia" w:ascii="仿宋" w:hAnsi="仿宋" w:eastAsia="仿宋" w:cs="仿宋"/>
                <w:color w:val="000000"/>
                <w:kern w:val="0"/>
                <w:szCs w:val="21"/>
                <w:highlight w:val="none"/>
                <w:lang w:val="en-US" w:eastAsia="zh-CN"/>
              </w:rPr>
              <w:t>16</w:t>
            </w:r>
          </w:p>
          <w:p w14:paraId="28F864C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w:t>
            </w:r>
            <w:r>
              <w:rPr>
                <w:rFonts w:hint="eastAsia" w:ascii="仿宋" w:hAnsi="仿宋" w:eastAsia="仿宋" w:cs="仿宋"/>
                <w:color w:val="000000"/>
                <w:kern w:val="0"/>
                <w:szCs w:val="21"/>
                <w:highlight w:val="none"/>
                <w:lang w:val="en-US" w:eastAsia="zh-CN"/>
              </w:rPr>
              <w:t>空心板</w:t>
            </w:r>
          </w:p>
        </w:tc>
        <w:tc>
          <w:tcPr>
            <w:tcW w:w="764" w:type="pct"/>
            <w:tcBorders>
              <w:tl2br w:val="nil"/>
              <w:tr2bl w:val="nil"/>
            </w:tcBorders>
            <w:shd w:val="clear" w:color="auto" w:fill="auto"/>
            <w:vAlign w:val="center"/>
          </w:tcPr>
          <w:p w14:paraId="39A74F32">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54</w:t>
            </w:r>
          </w:p>
        </w:tc>
        <w:tc>
          <w:tcPr>
            <w:tcW w:w="681" w:type="pct"/>
            <w:tcBorders>
              <w:tl2br w:val="nil"/>
              <w:tr2bl w:val="nil"/>
            </w:tcBorders>
            <w:shd w:val="clear" w:color="auto" w:fill="auto"/>
            <w:vAlign w:val="center"/>
          </w:tcPr>
          <w:p w14:paraId="7662367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右桥新建，跨下方水泥路</w:t>
            </w:r>
          </w:p>
        </w:tc>
      </w:tr>
      <w:tr w14:paraId="35A57C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73" w:type="pct"/>
            <w:tcBorders>
              <w:tl2br w:val="nil"/>
              <w:tr2bl w:val="nil"/>
            </w:tcBorders>
            <w:shd w:val="clear" w:color="auto" w:fill="auto"/>
            <w:vAlign w:val="center"/>
          </w:tcPr>
          <w:p w14:paraId="68EE149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6</w:t>
            </w:r>
          </w:p>
        </w:tc>
        <w:tc>
          <w:tcPr>
            <w:tcW w:w="734" w:type="pct"/>
            <w:tcBorders>
              <w:tl2br w:val="nil"/>
              <w:tr2bl w:val="nil"/>
            </w:tcBorders>
            <w:shd w:val="clear" w:color="auto" w:fill="auto"/>
            <w:vAlign w:val="center"/>
          </w:tcPr>
          <w:p w14:paraId="4DF7462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大梧分离式立交桥</w:t>
            </w:r>
          </w:p>
        </w:tc>
        <w:tc>
          <w:tcPr>
            <w:tcW w:w="482" w:type="pct"/>
            <w:tcBorders>
              <w:tl2br w:val="nil"/>
              <w:tr2bl w:val="nil"/>
            </w:tcBorders>
            <w:shd w:val="clear" w:color="auto" w:fill="auto"/>
            <w:vAlign w:val="center"/>
          </w:tcPr>
          <w:p w14:paraId="26C9B22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940" w:type="pct"/>
            <w:tcBorders>
              <w:tl2br w:val="nil"/>
              <w:tr2bl w:val="nil"/>
            </w:tcBorders>
            <w:shd w:val="clear" w:color="auto" w:fill="auto"/>
            <w:vAlign w:val="center"/>
          </w:tcPr>
          <w:p w14:paraId="23E141F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K0+247.512</w:t>
            </w:r>
          </w:p>
        </w:tc>
        <w:tc>
          <w:tcPr>
            <w:tcW w:w="1022" w:type="pct"/>
            <w:tcBorders>
              <w:tl2br w:val="nil"/>
              <w:tr2bl w:val="nil"/>
            </w:tcBorders>
            <w:shd w:val="clear" w:color="auto" w:fill="auto"/>
            <w:vAlign w:val="center"/>
          </w:tcPr>
          <w:p w14:paraId="4A44D8F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2X45</w:t>
            </w:r>
          </w:p>
          <w:p w14:paraId="00EFF0A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连续钢箱梁</w:t>
            </w:r>
          </w:p>
        </w:tc>
        <w:tc>
          <w:tcPr>
            <w:tcW w:w="764" w:type="pct"/>
            <w:tcBorders>
              <w:tl2br w:val="nil"/>
              <w:tr2bl w:val="nil"/>
            </w:tcBorders>
            <w:shd w:val="clear" w:color="auto" w:fill="auto"/>
            <w:vAlign w:val="center"/>
          </w:tcPr>
          <w:p w14:paraId="7998642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100</w:t>
            </w:r>
          </w:p>
        </w:tc>
        <w:tc>
          <w:tcPr>
            <w:tcW w:w="681" w:type="pct"/>
            <w:tcBorders>
              <w:tl2br w:val="nil"/>
              <w:tr2bl w:val="nil"/>
            </w:tcBorders>
            <w:shd w:val="clear" w:color="auto" w:fill="auto"/>
            <w:vAlign w:val="center"/>
          </w:tcPr>
          <w:p w14:paraId="298891B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接改路4，跨主线K118+050</w:t>
            </w:r>
          </w:p>
        </w:tc>
      </w:tr>
    </w:tbl>
    <w:p w14:paraId="1FF21E3A">
      <w:pPr>
        <w:ind w:firstLine="482"/>
        <w:rPr>
          <w:rFonts w:hint="eastAsia" w:ascii="宋体" w:hAnsi="宋体" w:eastAsia="宋体" w:cs="宋体"/>
          <w:b/>
          <w:bCs/>
          <w:lang w:val="en-US" w:eastAsia="zh-CN"/>
        </w:rPr>
      </w:pPr>
      <w:r>
        <w:rPr>
          <w:rFonts w:hint="eastAsia" w:ascii="宋体" w:hAnsi="宋体" w:eastAsia="宋体" w:cs="宋体"/>
          <w:b/>
          <w:bCs/>
          <w:lang w:val="en-US" w:eastAsia="zh-CN"/>
        </w:rPr>
        <w:t>3.2.2.互通桥梁工程数量</w:t>
      </w:r>
    </w:p>
    <w:tbl>
      <w:tblPr>
        <w:tblStyle w:val="48"/>
        <w:tblW w:w="505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102"/>
        <w:gridCol w:w="973"/>
        <w:gridCol w:w="1543"/>
        <w:gridCol w:w="2293"/>
        <w:gridCol w:w="821"/>
        <w:gridCol w:w="1133"/>
      </w:tblGrid>
      <w:tr w14:paraId="45E75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30" w:hRule="atLeast"/>
          <w:jc w:val="center"/>
        </w:trPr>
        <w:tc>
          <w:tcPr>
            <w:tcW w:w="5000" w:type="pct"/>
            <w:gridSpan w:val="7"/>
            <w:tcBorders>
              <w:tl2br w:val="nil"/>
              <w:tr2bl w:val="nil"/>
            </w:tcBorders>
            <w:shd w:val="clear" w:color="auto" w:fill="auto"/>
            <w:vAlign w:val="center"/>
          </w:tcPr>
          <w:p w14:paraId="16CA2002">
            <w:pPr>
              <w:widowControl/>
              <w:jc w:val="center"/>
              <w:textAlignment w:val="center"/>
              <w:rPr>
                <w:rFonts w:hint="eastAsia" w:ascii="仿宋" w:hAnsi="仿宋" w:eastAsia="仿宋" w:cs="仿宋"/>
                <w:b/>
                <w:bCs/>
                <w:color w:val="000000"/>
                <w:kern w:val="0"/>
                <w:szCs w:val="21"/>
                <w:highlight w:val="none"/>
                <w:lang w:val="en-US" w:eastAsia="zh-CN"/>
              </w:rPr>
            </w:pPr>
            <w:r>
              <w:rPr>
                <w:rFonts w:hint="eastAsia" w:ascii="仿宋" w:hAnsi="仿宋" w:eastAsia="仿宋" w:cs="仿宋"/>
                <w:b/>
                <w:bCs/>
                <w:color w:val="000000"/>
                <w:kern w:val="0"/>
                <w:szCs w:val="21"/>
                <w:highlight w:val="none"/>
                <w:lang w:val="en-US" w:eastAsia="zh-CN"/>
              </w:rPr>
              <w:t>金星互通桥梁</w:t>
            </w:r>
          </w:p>
        </w:tc>
      </w:tr>
      <w:tr w14:paraId="178453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9FBAE1"/>
            <w:vAlign w:val="center"/>
          </w:tcPr>
          <w:p w14:paraId="2BE45E98">
            <w:pPr>
              <w:widowControl/>
              <w:spacing w:line="200" w:lineRule="exact"/>
              <w:ind w:left="0" w:leftChars="0" w:firstLine="0" w:firstLineChars="0"/>
              <w:jc w:val="center"/>
              <w:textAlignment w:val="center"/>
              <w:rPr>
                <w:rFonts w:hint="default" w:ascii="仿宋" w:hAnsi="仿宋" w:eastAsia="仿宋" w:cs="仿宋"/>
                <w:b/>
                <w:bCs/>
                <w:sz w:val="18"/>
                <w:szCs w:val="18"/>
                <w:lang w:val="en-US" w:eastAsia="zh-CN"/>
              </w:rPr>
            </w:pPr>
            <w:r>
              <w:rPr>
                <w:rFonts w:hint="eastAsia" w:ascii="仿宋" w:hAnsi="仿宋" w:eastAsia="仿宋" w:cs="仿宋"/>
                <w:b/>
                <w:bCs/>
                <w:sz w:val="18"/>
                <w:szCs w:val="18"/>
              </w:rPr>
              <w:t>序号</w:t>
            </w:r>
          </w:p>
        </w:tc>
        <w:tc>
          <w:tcPr>
            <w:tcW w:w="639" w:type="pct"/>
            <w:tcBorders>
              <w:tl2br w:val="nil"/>
              <w:tr2bl w:val="nil"/>
            </w:tcBorders>
            <w:shd w:val="clear" w:color="auto" w:fill="9FBAE1"/>
            <w:vAlign w:val="center"/>
          </w:tcPr>
          <w:p w14:paraId="7004F36C">
            <w:pPr>
              <w:widowControl/>
              <w:spacing w:line="200" w:lineRule="exact"/>
              <w:ind w:left="0" w:leftChars="0" w:firstLine="0" w:firstLineChars="0"/>
              <w:jc w:val="center"/>
              <w:textAlignment w:val="center"/>
              <w:rPr>
                <w:rFonts w:hint="default" w:ascii="仿宋" w:hAnsi="仿宋" w:eastAsia="仿宋" w:cs="仿宋"/>
                <w:b/>
                <w:bCs/>
                <w:sz w:val="18"/>
                <w:szCs w:val="18"/>
                <w:lang w:val="en-US" w:eastAsia="zh-CN"/>
              </w:rPr>
            </w:pPr>
            <w:r>
              <w:rPr>
                <w:rFonts w:hint="eastAsia" w:ascii="仿宋" w:hAnsi="仿宋" w:eastAsia="仿宋" w:cs="仿宋"/>
                <w:b/>
                <w:bCs/>
                <w:sz w:val="18"/>
                <w:szCs w:val="18"/>
                <w:lang w:val="en-US" w:eastAsia="zh-CN"/>
              </w:rPr>
              <w:t>桥名</w:t>
            </w:r>
          </w:p>
        </w:tc>
        <w:tc>
          <w:tcPr>
            <w:tcW w:w="564" w:type="pct"/>
            <w:tcBorders>
              <w:tl2br w:val="nil"/>
              <w:tr2bl w:val="nil"/>
            </w:tcBorders>
            <w:shd w:val="clear" w:color="auto" w:fill="9FBAE1"/>
            <w:vAlign w:val="center"/>
          </w:tcPr>
          <w:p w14:paraId="1D9324CB">
            <w:pPr>
              <w:widowControl/>
              <w:spacing w:line="200" w:lineRule="exact"/>
              <w:ind w:left="0" w:leftChars="0" w:firstLine="0" w:firstLineChars="0"/>
              <w:jc w:val="center"/>
              <w:textAlignment w:val="center"/>
              <w:rPr>
                <w:rFonts w:hint="eastAsia" w:ascii="仿宋" w:hAnsi="仿宋" w:eastAsia="仿宋" w:cs="仿宋"/>
                <w:b/>
                <w:bCs/>
                <w:sz w:val="18"/>
                <w:szCs w:val="18"/>
              </w:rPr>
            </w:pPr>
          </w:p>
        </w:tc>
        <w:tc>
          <w:tcPr>
            <w:tcW w:w="894" w:type="pct"/>
            <w:tcBorders>
              <w:tl2br w:val="nil"/>
              <w:tr2bl w:val="nil"/>
            </w:tcBorders>
            <w:shd w:val="clear" w:color="auto" w:fill="9FBAE1"/>
            <w:vAlign w:val="center"/>
          </w:tcPr>
          <w:p w14:paraId="5AEC065D">
            <w:pPr>
              <w:widowControl/>
              <w:spacing w:line="200" w:lineRule="exact"/>
              <w:ind w:left="0" w:leftChars="0" w:firstLine="0" w:firstLineChars="0"/>
              <w:jc w:val="center"/>
              <w:textAlignment w:val="center"/>
              <w:rPr>
                <w:rFonts w:hint="eastAsia" w:ascii="仿宋" w:hAnsi="仿宋" w:eastAsia="仿宋" w:cs="仿宋"/>
                <w:b/>
                <w:bCs/>
                <w:sz w:val="18"/>
                <w:szCs w:val="18"/>
                <w:lang w:val="en-US" w:eastAsia="en-US"/>
              </w:rPr>
            </w:pPr>
            <w:r>
              <w:rPr>
                <w:rFonts w:hint="eastAsia" w:ascii="仿宋" w:hAnsi="仿宋" w:eastAsia="仿宋" w:cs="仿宋"/>
                <w:b/>
                <w:bCs/>
                <w:sz w:val="18"/>
                <w:szCs w:val="18"/>
              </w:rPr>
              <w:t>中心桩号</w:t>
            </w:r>
          </w:p>
        </w:tc>
        <w:tc>
          <w:tcPr>
            <w:tcW w:w="1329" w:type="pct"/>
            <w:tcBorders>
              <w:tl2br w:val="nil"/>
              <w:tr2bl w:val="nil"/>
            </w:tcBorders>
            <w:shd w:val="clear" w:color="auto" w:fill="9FBAE1"/>
            <w:vAlign w:val="center"/>
          </w:tcPr>
          <w:p w14:paraId="40FB6AA7">
            <w:pPr>
              <w:widowControl/>
              <w:spacing w:line="200" w:lineRule="exact"/>
              <w:ind w:left="0" w:leftChars="0" w:firstLine="0" w:firstLineChars="0"/>
              <w:jc w:val="center"/>
              <w:textAlignment w:val="center"/>
              <w:rPr>
                <w:rFonts w:hint="eastAsia" w:ascii="仿宋" w:hAnsi="仿宋" w:eastAsia="仿宋" w:cs="仿宋"/>
                <w:b/>
                <w:bCs/>
                <w:sz w:val="18"/>
                <w:szCs w:val="18"/>
                <w:lang w:val="en-US" w:eastAsia="en-US"/>
              </w:rPr>
            </w:pPr>
            <w:r>
              <w:rPr>
                <w:rFonts w:hint="eastAsia" w:ascii="仿宋" w:hAnsi="仿宋" w:eastAsia="仿宋" w:cs="仿宋"/>
                <w:b/>
                <w:bCs/>
                <w:sz w:val="18"/>
                <w:szCs w:val="18"/>
              </w:rPr>
              <w:t>孔数-/跨径</w:t>
            </w:r>
          </w:p>
        </w:tc>
        <w:tc>
          <w:tcPr>
            <w:tcW w:w="476" w:type="pct"/>
            <w:tcBorders>
              <w:tl2br w:val="nil"/>
              <w:tr2bl w:val="nil"/>
            </w:tcBorders>
            <w:shd w:val="clear" w:color="auto" w:fill="9FBAE1"/>
            <w:vAlign w:val="center"/>
          </w:tcPr>
          <w:p w14:paraId="07AF9351">
            <w:pPr>
              <w:widowControl/>
              <w:spacing w:line="200" w:lineRule="exact"/>
              <w:ind w:left="0" w:leftChars="0" w:firstLine="0" w:firstLineChars="0"/>
              <w:jc w:val="center"/>
              <w:textAlignment w:val="center"/>
              <w:rPr>
                <w:rFonts w:hint="eastAsia" w:ascii="仿宋" w:hAnsi="仿宋" w:eastAsia="仿宋" w:cs="仿宋"/>
                <w:b/>
                <w:bCs/>
                <w:sz w:val="18"/>
                <w:szCs w:val="18"/>
                <w:lang w:val="en-US" w:eastAsia="en-US"/>
              </w:rPr>
            </w:pPr>
            <w:r>
              <w:rPr>
                <w:rFonts w:hint="eastAsia" w:ascii="仿宋" w:hAnsi="仿宋" w:eastAsia="仿宋" w:cs="仿宋"/>
                <w:b/>
                <w:bCs/>
                <w:sz w:val="18"/>
                <w:szCs w:val="18"/>
              </w:rPr>
              <w:t>桥长（m）</w:t>
            </w:r>
          </w:p>
        </w:tc>
        <w:tc>
          <w:tcPr>
            <w:tcW w:w="656" w:type="pct"/>
            <w:tcBorders>
              <w:tl2br w:val="nil"/>
              <w:tr2bl w:val="nil"/>
            </w:tcBorders>
            <w:shd w:val="clear" w:color="auto" w:fill="9FBAE1"/>
            <w:vAlign w:val="center"/>
          </w:tcPr>
          <w:p w14:paraId="61578B69">
            <w:pPr>
              <w:widowControl/>
              <w:spacing w:line="200" w:lineRule="exact"/>
              <w:ind w:left="0" w:leftChars="0" w:firstLine="0" w:firstLineChars="0"/>
              <w:jc w:val="center"/>
              <w:textAlignment w:val="center"/>
              <w:rPr>
                <w:rFonts w:hint="eastAsia" w:ascii="仿宋" w:hAnsi="仿宋" w:eastAsia="仿宋" w:cs="仿宋"/>
                <w:b/>
                <w:bCs/>
                <w:sz w:val="18"/>
                <w:szCs w:val="18"/>
                <w:lang w:val="en-US" w:eastAsia="en-US"/>
              </w:rPr>
            </w:pPr>
            <w:r>
              <w:rPr>
                <w:rFonts w:hint="eastAsia" w:ascii="仿宋" w:hAnsi="仿宋" w:eastAsia="仿宋" w:cs="仿宋"/>
                <w:b/>
                <w:bCs/>
                <w:sz w:val="18"/>
                <w:szCs w:val="18"/>
              </w:rPr>
              <w:t>备注</w:t>
            </w:r>
          </w:p>
        </w:tc>
      </w:tr>
      <w:tr w14:paraId="78D7B8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40" w:type="pct"/>
            <w:tcBorders>
              <w:tl2br w:val="nil"/>
              <w:tr2bl w:val="nil"/>
            </w:tcBorders>
            <w:shd w:val="clear" w:color="auto" w:fill="auto"/>
            <w:vAlign w:val="center"/>
          </w:tcPr>
          <w:p w14:paraId="7CC0974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1-1</w:t>
            </w:r>
          </w:p>
        </w:tc>
        <w:tc>
          <w:tcPr>
            <w:tcW w:w="639" w:type="pct"/>
            <w:vMerge w:val="restart"/>
            <w:tcBorders>
              <w:tl2br w:val="nil"/>
              <w:tr2bl w:val="nil"/>
            </w:tcBorders>
            <w:vAlign w:val="center"/>
          </w:tcPr>
          <w:p w14:paraId="4C8718E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中寨分离式中桥</w:t>
            </w:r>
          </w:p>
        </w:tc>
        <w:tc>
          <w:tcPr>
            <w:tcW w:w="564" w:type="pct"/>
            <w:tcBorders>
              <w:tl2br w:val="nil"/>
              <w:tr2bl w:val="nil"/>
            </w:tcBorders>
            <w:shd w:val="clear" w:color="auto" w:fill="auto"/>
            <w:vAlign w:val="center"/>
          </w:tcPr>
          <w:p w14:paraId="4921433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894" w:type="pct"/>
            <w:tcBorders>
              <w:tl2br w:val="nil"/>
              <w:tr2bl w:val="nil"/>
            </w:tcBorders>
            <w:vAlign w:val="center"/>
          </w:tcPr>
          <w:p w14:paraId="43887E4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ZK120+434.32</w:t>
            </w:r>
          </w:p>
        </w:tc>
        <w:tc>
          <w:tcPr>
            <w:tcW w:w="1329" w:type="pct"/>
            <w:tcBorders>
              <w:tl2br w:val="nil"/>
              <w:tr2bl w:val="nil"/>
            </w:tcBorders>
            <w:vAlign w:val="center"/>
          </w:tcPr>
          <w:p w14:paraId="070BF9D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3*13</w:t>
            </w:r>
          </w:p>
          <w:p w14:paraId="22D26FE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476" w:type="pct"/>
            <w:tcBorders>
              <w:tl2br w:val="nil"/>
              <w:tr2bl w:val="nil"/>
            </w:tcBorders>
            <w:vAlign w:val="center"/>
          </w:tcPr>
          <w:p w14:paraId="74E25C4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45</w:t>
            </w:r>
          </w:p>
        </w:tc>
        <w:tc>
          <w:tcPr>
            <w:tcW w:w="656" w:type="pct"/>
            <w:vMerge w:val="restart"/>
            <w:tcBorders>
              <w:tl2br w:val="nil"/>
              <w:tr2bl w:val="nil"/>
            </w:tcBorders>
            <w:vAlign w:val="center"/>
          </w:tcPr>
          <w:p w14:paraId="55B1D813">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31EE6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40" w:type="pct"/>
            <w:tcBorders>
              <w:tl2br w:val="nil"/>
              <w:tr2bl w:val="nil"/>
            </w:tcBorders>
            <w:shd w:val="clear" w:color="auto" w:fill="auto"/>
            <w:vAlign w:val="center"/>
          </w:tcPr>
          <w:p w14:paraId="0862EF9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1-2</w:t>
            </w:r>
          </w:p>
        </w:tc>
        <w:tc>
          <w:tcPr>
            <w:tcW w:w="639" w:type="pct"/>
            <w:vMerge w:val="continue"/>
            <w:tcBorders>
              <w:tl2br w:val="nil"/>
              <w:tr2bl w:val="nil"/>
            </w:tcBorders>
            <w:vAlign w:val="center"/>
          </w:tcPr>
          <w:p w14:paraId="5B237FE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c>
          <w:tcPr>
            <w:tcW w:w="564" w:type="pct"/>
            <w:tcBorders>
              <w:tl2br w:val="nil"/>
              <w:tr2bl w:val="nil"/>
            </w:tcBorders>
            <w:shd w:val="clear" w:color="auto" w:fill="auto"/>
            <w:vAlign w:val="center"/>
          </w:tcPr>
          <w:p w14:paraId="593BB68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894" w:type="pct"/>
            <w:tcBorders>
              <w:tl2br w:val="nil"/>
              <w:tr2bl w:val="nil"/>
            </w:tcBorders>
            <w:vAlign w:val="center"/>
          </w:tcPr>
          <w:p w14:paraId="1BA1EBD0">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YK120+424.58</w:t>
            </w:r>
          </w:p>
        </w:tc>
        <w:tc>
          <w:tcPr>
            <w:tcW w:w="1329" w:type="pct"/>
            <w:tcBorders>
              <w:tl2br w:val="nil"/>
              <w:tr2bl w:val="nil"/>
            </w:tcBorders>
            <w:vAlign w:val="center"/>
          </w:tcPr>
          <w:p w14:paraId="151A03C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3*13</w:t>
            </w:r>
          </w:p>
          <w:p w14:paraId="533C5880">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476" w:type="pct"/>
            <w:tcBorders>
              <w:tl2br w:val="nil"/>
              <w:tr2bl w:val="nil"/>
            </w:tcBorders>
            <w:vAlign w:val="center"/>
          </w:tcPr>
          <w:p w14:paraId="3020975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45</w:t>
            </w:r>
          </w:p>
        </w:tc>
        <w:tc>
          <w:tcPr>
            <w:tcW w:w="656" w:type="pct"/>
            <w:vMerge w:val="continue"/>
            <w:tcBorders>
              <w:tl2br w:val="nil"/>
              <w:tr2bl w:val="nil"/>
            </w:tcBorders>
            <w:vAlign w:val="center"/>
          </w:tcPr>
          <w:p w14:paraId="5EA6EB1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42FB04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327CF4A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2-1</w:t>
            </w:r>
          </w:p>
        </w:tc>
        <w:tc>
          <w:tcPr>
            <w:tcW w:w="639" w:type="pct"/>
            <w:vMerge w:val="restart"/>
            <w:tcBorders>
              <w:tl2br w:val="nil"/>
              <w:tr2bl w:val="nil"/>
            </w:tcBorders>
            <w:vAlign w:val="center"/>
          </w:tcPr>
          <w:p w14:paraId="3FB3D656">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浔寮中桥</w:t>
            </w:r>
          </w:p>
        </w:tc>
        <w:tc>
          <w:tcPr>
            <w:tcW w:w="564" w:type="pct"/>
            <w:tcBorders>
              <w:tl2br w:val="nil"/>
              <w:tr2bl w:val="nil"/>
            </w:tcBorders>
            <w:shd w:val="clear" w:color="auto" w:fill="auto"/>
            <w:vAlign w:val="center"/>
          </w:tcPr>
          <w:p w14:paraId="001316F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894" w:type="pct"/>
            <w:tcBorders>
              <w:tl2br w:val="nil"/>
              <w:tr2bl w:val="nil"/>
            </w:tcBorders>
            <w:vAlign w:val="center"/>
          </w:tcPr>
          <w:p w14:paraId="77D4DB7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ZK120+643.37</w:t>
            </w:r>
          </w:p>
        </w:tc>
        <w:tc>
          <w:tcPr>
            <w:tcW w:w="1329" w:type="pct"/>
            <w:tcBorders>
              <w:tl2br w:val="nil"/>
              <w:tr2bl w:val="nil"/>
            </w:tcBorders>
            <w:vAlign w:val="center"/>
          </w:tcPr>
          <w:p w14:paraId="7645E79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15.255+15.975+16.042+15.938+15.52</w:t>
            </w:r>
          </w:p>
          <w:p w14:paraId="4EA7E478">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476" w:type="pct"/>
            <w:tcBorders>
              <w:tl2br w:val="nil"/>
              <w:tr2bl w:val="nil"/>
            </w:tcBorders>
            <w:vAlign w:val="center"/>
          </w:tcPr>
          <w:p w14:paraId="3FFC8FD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85.73</w:t>
            </w:r>
          </w:p>
        </w:tc>
        <w:tc>
          <w:tcPr>
            <w:tcW w:w="656" w:type="pct"/>
            <w:vMerge w:val="restart"/>
            <w:tcBorders>
              <w:tl2br w:val="nil"/>
              <w:tr2bl w:val="nil"/>
            </w:tcBorders>
            <w:vAlign w:val="center"/>
          </w:tcPr>
          <w:p w14:paraId="102AACF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765AC4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6D8BBAD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2-2</w:t>
            </w:r>
          </w:p>
        </w:tc>
        <w:tc>
          <w:tcPr>
            <w:tcW w:w="639" w:type="pct"/>
            <w:vMerge w:val="continue"/>
            <w:tcBorders>
              <w:tl2br w:val="nil"/>
              <w:tr2bl w:val="nil"/>
            </w:tcBorders>
            <w:vAlign w:val="center"/>
          </w:tcPr>
          <w:p w14:paraId="3C81000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p>
        </w:tc>
        <w:tc>
          <w:tcPr>
            <w:tcW w:w="564" w:type="pct"/>
            <w:tcBorders>
              <w:tl2br w:val="nil"/>
              <w:tr2bl w:val="nil"/>
            </w:tcBorders>
            <w:shd w:val="clear" w:color="auto" w:fill="auto"/>
            <w:vAlign w:val="center"/>
          </w:tcPr>
          <w:p w14:paraId="028CD6D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894" w:type="pct"/>
            <w:tcBorders>
              <w:tl2br w:val="nil"/>
              <w:tr2bl w:val="nil"/>
            </w:tcBorders>
            <w:vAlign w:val="center"/>
          </w:tcPr>
          <w:p w14:paraId="45A45F2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YK120+635.775</w:t>
            </w:r>
          </w:p>
        </w:tc>
        <w:tc>
          <w:tcPr>
            <w:tcW w:w="1329" w:type="pct"/>
            <w:tcBorders>
              <w:tl2br w:val="nil"/>
              <w:tr2bl w:val="nil"/>
            </w:tcBorders>
            <w:vAlign w:val="center"/>
          </w:tcPr>
          <w:p w14:paraId="37B19FC4">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15.234+15.986+16.0+15.989+15.415</w:t>
            </w:r>
          </w:p>
          <w:p w14:paraId="44AF9758">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476" w:type="pct"/>
            <w:tcBorders>
              <w:tl2br w:val="nil"/>
              <w:tr2bl w:val="nil"/>
            </w:tcBorders>
            <w:vAlign w:val="center"/>
          </w:tcPr>
          <w:p w14:paraId="66781A7C">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84.663</w:t>
            </w:r>
          </w:p>
        </w:tc>
        <w:tc>
          <w:tcPr>
            <w:tcW w:w="656" w:type="pct"/>
            <w:vMerge w:val="continue"/>
            <w:tcBorders>
              <w:tl2br w:val="nil"/>
              <w:tr2bl w:val="nil"/>
            </w:tcBorders>
            <w:vAlign w:val="center"/>
          </w:tcPr>
          <w:p w14:paraId="40B2872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4466A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1E15AE6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3-1</w:t>
            </w:r>
          </w:p>
        </w:tc>
        <w:tc>
          <w:tcPr>
            <w:tcW w:w="639" w:type="pct"/>
            <w:vMerge w:val="restart"/>
            <w:tcBorders>
              <w:tl2br w:val="nil"/>
              <w:tr2bl w:val="nil"/>
            </w:tcBorders>
            <w:vAlign w:val="center"/>
          </w:tcPr>
          <w:p w14:paraId="6252963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田朴通道小桥</w:t>
            </w:r>
          </w:p>
        </w:tc>
        <w:tc>
          <w:tcPr>
            <w:tcW w:w="564" w:type="pct"/>
            <w:tcBorders>
              <w:tl2br w:val="nil"/>
              <w:tr2bl w:val="nil"/>
            </w:tcBorders>
            <w:shd w:val="clear" w:color="auto" w:fill="auto"/>
            <w:vAlign w:val="center"/>
          </w:tcPr>
          <w:p w14:paraId="72518C0D">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左桥</w:t>
            </w:r>
          </w:p>
        </w:tc>
        <w:tc>
          <w:tcPr>
            <w:tcW w:w="894" w:type="pct"/>
            <w:tcBorders>
              <w:tl2br w:val="nil"/>
              <w:tr2bl w:val="nil"/>
            </w:tcBorders>
            <w:vAlign w:val="center"/>
          </w:tcPr>
          <w:p w14:paraId="511D249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ZK120+793.374</w:t>
            </w:r>
          </w:p>
        </w:tc>
        <w:tc>
          <w:tcPr>
            <w:tcW w:w="1329" w:type="pct"/>
            <w:tcBorders>
              <w:tl2br w:val="nil"/>
              <w:tr2bl w:val="nil"/>
            </w:tcBorders>
            <w:vAlign w:val="center"/>
          </w:tcPr>
          <w:p w14:paraId="50D0E4A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1*13</w:t>
            </w:r>
          </w:p>
          <w:p w14:paraId="3E2B134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476" w:type="pct"/>
            <w:tcBorders>
              <w:tl2br w:val="nil"/>
              <w:tr2bl w:val="nil"/>
            </w:tcBorders>
            <w:vAlign w:val="center"/>
          </w:tcPr>
          <w:p w14:paraId="7259EF2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27</w:t>
            </w:r>
          </w:p>
        </w:tc>
        <w:tc>
          <w:tcPr>
            <w:tcW w:w="656" w:type="pct"/>
            <w:vMerge w:val="restart"/>
            <w:tcBorders>
              <w:tl2br w:val="nil"/>
              <w:tr2bl w:val="nil"/>
            </w:tcBorders>
            <w:vAlign w:val="center"/>
          </w:tcPr>
          <w:p w14:paraId="189CC1B6">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两侧拼宽</w:t>
            </w:r>
          </w:p>
        </w:tc>
      </w:tr>
      <w:tr w14:paraId="22F7E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3FDF035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3-2</w:t>
            </w:r>
          </w:p>
        </w:tc>
        <w:tc>
          <w:tcPr>
            <w:tcW w:w="639" w:type="pct"/>
            <w:vMerge w:val="continue"/>
            <w:tcBorders>
              <w:tl2br w:val="nil"/>
              <w:tr2bl w:val="nil"/>
            </w:tcBorders>
            <w:vAlign w:val="center"/>
          </w:tcPr>
          <w:p w14:paraId="2836F290">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p>
        </w:tc>
        <w:tc>
          <w:tcPr>
            <w:tcW w:w="564" w:type="pct"/>
            <w:tcBorders>
              <w:tl2br w:val="nil"/>
              <w:tr2bl w:val="nil"/>
            </w:tcBorders>
            <w:shd w:val="clear" w:color="auto" w:fill="auto"/>
            <w:vAlign w:val="center"/>
          </w:tcPr>
          <w:p w14:paraId="694EC63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右桥</w:t>
            </w:r>
          </w:p>
        </w:tc>
        <w:tc>
          <w:tcPr>
            <w:tcW w:w="894" w:type="pct"/>
            <w:tcBorders>
              <w:tl2br w:val="nil"/>
              <w:tr2bl w:val="nil"/>
            </w:tcBorders>
            <w:vAlign w:val="center"/>
          </w:tcPr>
          <w:p w14:paraId="6FF8F5D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YK120+780.29</w:t>
            </w:r>
          </w:p>
        </w:tc>
        <w:tc>
          <w:tcPr>
            <w:tcW w:w="1329" w:type="pct"/>
            <w:tcBorders>
              <w:tl2br w:val="nil"/>
              <w:tr2bl w:val="nil"/>
            </w:tcBorders>
            <w:vAlign w:val="center"/>
          </w:tcPr>
          <w:p w14:paraId="0C0BDDFB">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1*13</w:t>
            </w:r>
          </w:p>
          <w:p w14:paraId="463DC75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PC简支空心板</w:t>
            </w:r>
          </w:p>
        </w:tc>
        <w:tc>
          <w:tcPr>
            <w:tcW w:w="476" w:type="pct"/>
            <w:tcBorders>
              <w:tl2br w:val="nil"/>
              <w:tr2bl w:val="nil"/>
            </w:tcBorders>
            <w:vAlign w:val="center"/>
          </w:tcPr>
          <w:p w14:paraId="59C2A9C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27</w:t>
            </w:r>
          </w:p>
        </w:tc>
        <w:tc>
          <w:tcPr>
            <w:tcW w:w="656" w:type="pct"/>
            <w:vMerge w:val="continue"/>
            <w:tcBorders>
              <w:tl2br w:val="nil"/>
              <w:tr2bl w:val="nil"/>
            </w:tcBorders>
            <w:vAlign w:val="center"/>
          </w:tcPr>
          <w:p w14:paraId="30CF5C79">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p>
        </w:tc>
      </w:tr>
      <w:tr w14:paraId="219B5E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34776A1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4</w:t>
            </w:r>
          </w:p>
        </w:tc>
        <w:tc>
          <w:tcPr>
            <w:tcW w:w="639" w:type="pct"/>
            <w:tcBorders>
              <w:tl2br w:val="nil"/>
              <w:tr2bl w:val="nil"/>
            </w:tcBorders>
            <w:vAlign w:val="center"/>
          </w:tcPr>
          <w:p w14:paraId="0F024439">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A 匝道桥</w:t>
            </w:r>
          </w:p>
        </w:tc>
        <w:tc>
          <w:tcPr>
            <w:tcW w:w="564" w:type="pct"/>
            <w:tcBorders>
              <w:tl2br w:val="nil"/>
              <w:tr2bl w:val="nil"/>
            </w:tcBorders>
            <w:vAlign w:val="center"/>
          </w:tcPr>
          <w:p w14:paraId="165A718F">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894" w:type="pct"/>
            <w:tcBorders>
              <w:tl2br w:val="nil"/>
              <w:tr2bl w:val="nil"/>
            </w:tcBorders>
            <w:vAlign w:val="center"/>
          </w:tcPr>
          <w:p w14:paraId="0966237E">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AK2+140.34</w:t>
            </w:r>
          </w:p>
        </w:tc>
        <w:tc>
          <w:tcPr>
            <w:tcW w:w="1329" w:type="pct"/>
            <w:tcBorders>
              <w:tl2br w:val="nil"/>
              <w:tr2bl w:val="nil"/>
            </w:tcBorders>
            <w:vAlign w:val="center"/>
          </w:tcPr>
          <w:p w14:paraId="5675C73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2x30+3x30.06+(30+35)+3x30</w:t>
            </w:r>
          </w:p>
          <w:p w14:paraId="106C2DA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 现浇箱梁、</w:t>
            </w:r>
          </w:p>
          <w:p w14:paraId="7268F0A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PC连续T梁、钢箱梁</w:t>
            </w:r>
          </w:p>
        </w:tc>
        <w:tc>
          <w:tcPr>
            <w:tcW w:w="476" w:type="pct"/>
            <w:tcBorders>
              <w:tl2br w:val="nil"/>
              <w:tr2bl w:val="nil"/>
            </w:tcBorders>
            <w:vAlign w:val="center"/>
          </w:tcPr>
          <w:p w14:paraId="227289C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312.68</w:t>
            </w:r>
          </w:p>
        </w:tc>
        <w:tc>
          <w:tcPr>
            <w:tcW w:w="656" w:type="pct"/>
            <w:tcBorders>
              <w:tl2br w:val="nil"/>
              <w:tr2bl w:val="nil"/>
            </w:tcBorders>
            <w:vAlign w:val="center"/>
          </w:tcPr>
          <w:p w14:paraId="53DF216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新建，跨主线</w:t>
            </w:r>
          </w:p>
        </w:tc>
      </w:tr>
      <w:tr w14:paraId="11BA7E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26EBE66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5</w:t>
            </w:r>
          </w:p>
        </w:tc>
        <w:tc>
          <w:tcPr>
            <w:tcW w:w="639" w:type="pct"/>
            <w:tcBorders>
              <w:tl2br w:val="nil"/>
              <w:tr2bl w:val="nil"/>
            </w:tcBorders>
            <w:vAlign w:val="center"/>
          </w:tcPr>
          <w:p w14:paraId="69D2273C">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 xml:space="preserve">D </w:t>
            </w:r>
            <w:r>
              <w:rPr>
                <w:rFonts w:hint="default" w:ascii="仿宋" w:hAnsi="仿宋" w:eastAsia="仿宋" w:cs="仿宋"/>
                <w:color w:val="000000"/>
                <w:kern w:val="0"/>
                <w:szCs w:val="21"/>
                <w:highlight w:val="none"/>
                <w:lang w:val="en-US" w:eastAsia="zh-CN"/>
              </w:rPr>
              <w:t>匝道桥</w:t>
            </w:r>
          </w:p>
        </w:tc>
        <w:tc>
          <w:tcPr>
            <w:tcW w:w="564" w:type="pct"/>
            <w:tcBorders>
              <w:tl2br w:val="nil"/>
              <w:tr2bl w:val="nil"/>
            </w:tcBorders>
            <w:vAlign w:val="center"/>
          </w:tcPr>
          <w:p w14:paraId="09C5925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894" w:type="pct"/>
            <w:tcBorders>
              <w:tl2br w:val="nil"/>
              <w:tr2bl w:val="nil"/>
            </w:tcBorders>
            <w:vAlign w:val="center"/>
          </w:tcPr>
          <w:p w14:paraId="70E2723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DK0+311.28</w:t>
            </w:r>
          </w:p>
        </w:tc>
        <w:tc>
          <w:tcPr>
            <w:tcW w:w="1329" w:type="pct"/>
            <w:tcBorders>
              <w:tl2br w:val="nil"/>
              <w:tr2bl w:val="nil"/>
            </w:tcBorders>
            <w:vAlign w:val="center"/>
          </w:tcPr>
          <w:p w14:paraId="4688F96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(20+25+20)+(20+25+25)+2x20</w:t>
            </w:r>
          </w:p>
          <w:p w14:paraId="387E93E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 现浇连续箱梁</w:t>
            </w:r>
          </w:p>
        </w:tc>
        <w:tc>
          <w:tcPr>
            <w:tcW w:w="476" w:type="pct"/>
            <w:tcBorders>
              <w:tl2br w:val="nil"/>
              <w:tr2bl w:val="nil"/>
            </w:tcBorders>
            <w:vAlign w:val="center"/>
          </w:tcPr>
          <w:p w14:paraId="1AEF1F84">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178</w:t>
            </w:r>
          </w:p>
        </w:tc>
        <w:tc>
          <w:tcPr>
            <w:tcW w:w="656" w:type="pct"/>
            <w:tcBorders>
              <w:tl2br w:val="nil"/>
              <w:tr2bl w:val="nil"/>
            </w:tcBorders>
            <w:vAlign w:val="center"/>
          </w:tcPr>
          <w:p w14:paraId="6E1E9AF5">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新建</w:t>
            </w:r>
          </w:p>
        </w:tc>
      </w:tr>
      <w:tr w14:paraId="1E9C45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66504051">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6</w:t>
            </w:r>
          </w:p>
        </w:tc>
        <w:tc>
          <w:tcPr>
            <w:tcW w:w="639" w:type="pct"/>
            <w:tcBorders>
              <w:tl2br w:val="nil"/>
              <w:tr2bl w:val="nil"/>
            </w:tcBorders>
            <w:vAlign w:val="center"/>
          </w:tcPr>
          <w:p w14:paraId="358900C2">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E匝道1号桥</w:t>
            </w:r>
          </w:p>
        </w:tc>
        <w:tc>
          <w:tcPr>
            <w:tcW w:w="564" w:type="pct"/>
            <w:tcBorders>
              <w:tl2br w:val="nil"/>
              <w:tr2bl w:val="nil"/>
            </w:tcBorders>
            <w:vAlign w:val="center"/>
          </w:tcPr>
          <w:p w14:paraId="1099119A">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894" w:type="pct"/>
            <w:tcBorders>
              <w:tl2br w:val="nil"/>
              <w:tr2bl w:val="nil"/>
            </w:tcBorders>
            <w:vAlign w:val="center"/>
          </w:tcPr>
          <w:p w14:paraId="1B4693F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EK0+221.25</w:t>
            </w:r>
          </w:p>
        </w:tc>
        <w:tc>
          <w:tcPr>
            <w:tcW w:w="1329" w:type="pct"/>
            <w:tcBorders>
              <w:tl2br w:val="nil"/>
              <w:tr2bl w:val="nil"/>
            </w:tcBorders>
            <w:vAlign w:val="center"/>
          </w:tcPr>
          <w:p w14:paraId="1A97CD8F">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(20+25+25)+2x2</w:t>
            </w:r>
            <w:r>
              <w:rPr>
                <w:rFonts w:hint="eastAsia" w:ascii="仿宋" w:hAnsi="仿宋" w:eastAsia="仿宋" w:cs="仿宋"/>
                <w:color w:val="000000"/>
                <w:kern w:val="0"/>
                <w:szCs w:val="21"/>
                <w:highlight w:val="none"/>
                <w:lang w:val="en-US" w:eastAsia="zh-CN"/>
              </w:rPr>
              <w:t>4</w:t>
            </w:r>
          </w:p>
          <w:p w14:paraId="0E9936AE">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+2x30</w:t>
            </w:r>
          </w:p>
          <w:p w14:paraId="3729942D">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PC现浇箱梁、PC连续T梁</w:t>
            </w:r>
          </w:p>
        </w:tc>
        <w:tc>
          <w:tcPr>
            <w:tcW w:w="476" w:type="pct"/>
            <w:tcBorders>
              <w:tl2br w:val="nil"/>
              <w:tr2bl w:val="nil"/>
            </w:tcBorders>
            <w:vAlign w:val="center"/>
          </w:tcPr>
          <w:p w14:paraId="20C54C2A">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181.5</w:t>
            </w:r>
          </w:p>
        </w:tc>
        <w:tc>
          <w:tcPr>
            <w:tcW w:w="656" w:type="pct"/>
            <w:tcBorders>
              <w:tl2br w:val="nil"/>
              <w:tr2bl w:val="nil"/>
            </w:tcBorders>
            <w:vAlign w:val="center"/>
          </w:tcPr>
          <w:p w14:paraId="3F2D49E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新建</w:t>
            </w:r>
          </w:p>
        </w:tc>
      </w:tr>
      <w:tr w14:paraId="32B40E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5EEF5F93">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7</w:t>
            </w:r>
          </w:p>
        </w:tc>
        <w:tc>
          <w:tcPr>
            <w:tcW w:w="639" w:type="pct"/>
            <w:tcBorders>
              <w:tl2br w:val="nil"/>
              <w:tr2bl w:val="nil"/>
            </w:tcBorders>
            <w:vAlign w:val="center"/>
          </w:tcPr>
          <w:p w14:paraId="3BE72C95">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E匝道</w:t>
            </w:r>
            <w:r>
              <w:rPr>
                <w:rFonts w:hint="eastAsia" w:ascii="仿宋" w:hAnsi="仿宋" w:eastAsia="仿宋" w:cs="仿宋"/>
                <w:color w:val="000000"/>
                <w:kern w:val="0"/>
                <w:szCs w:val="21"/>
                <w:highlight w:val="none"/>
                <w:lang w:val="en-US" w:eastAsia="zh-CN"/>
              </w:rPr>
              <w:t>2</w:t>
            </w:r>
            <w:r>
              <w:rPr>
                <w:rFonts w:hint="default" w:ascii="仿宋" w:hAnsi="仿宋" w:eastAsia="仿宋" w:cs="仿宋"/>
                <w:color w:val="000000"/>
                <w:kern w:val="0"/>
                <w:szCs w:val="21"/>
                <w:highlight w:val="none"/>
                <w:lang w:val="en-US" w:eastAsia="zh-CN"/>
              </w:rPr>
              <w:t>号桥</w:t>
            </w:r>
          </w:p>
        </w:tc>
        <w:tc>
          <w:tcPr>
            <w:tcW w:w="564" w:type="pct"/>
            <w:tcBorders>
              <w:tl2br w:val="nil"/>
              <w:tr2bl w:val="nil"/>
            </w:tcBorders>
            <w:vAlign w:val="center"/>
          </w:tcPr>
          <w:p w14:paraId="3B7A2EFC">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w:t>
            </w:r>
          </w:p>
        </w:tc>
        <w:tc>
          <w:tcPr>
            <w:tcW w:w="894" w:type="pct"/>
            <w:tcBorders>
              <w:tl2br w:val="nil"/>
              <w:tr2bl w:val="nil"/>
            </w:tcBorders>
            <w:vAlign w:val="center"/>
          </w:tcPr>
          <w:p w14:paraId="4E301C41">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EK0+386</w:t>
            </w:r>
          </w:p>
        </w:tc>
        <w:tc>
          <w:tcPr>
            <w:tcW w:w="1329" w:type="pct"/>
            <w:tcBorders>
              <w:tl2br w:val="nil"/>
              <w:tr2bl w:val="nil"/>
            </w:tcBorders>
            <w:vAlign w:val="center"/>
          </w:tcPr>
          <w:p w14:paraId="2D34CAF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3x13</w:t>
            </w:r>
          </w:p>
          <w:p w14:paraId="245AD9CB">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default" w:ascii="仿宋" w:hAnsi="仿宋" w:eastAsia="仿宋" w:cs="仿宋"/>
                <w:color w:val="000000"/>
                <w:kern w:val="0"/>
                <w:szCs w:val="21"/>
                <w:highlight w:val="none"/>
                <w:lang w:val="en-US" w:eastAsia="zh-CN"/>
              </w:rPr>
              <w:t>简支空心板</w:t>
            </w:r>
          </w:p>
        </w:tc>
        <w:tc>
          <w:tcPr>
            <w:tcW w:w="476" w:type="pct"/>
            <w:tcBorders>
              <w:tl2br w:val="nil"/>
              <w:tr2bl w:val="nil"/>
            </w:tcBorders>
            <w:vAlign w:val="center"/>
          </w:tcPr>
          <w:p w14:paraId="6698D747">
            <w:pPr>
              <w:widowControl/>
              <w:ind w:left="0" w:leftChars="0" w:firstLine="0" w:firstLineChars="0"/>
              <w:jc w:val="center"/>
              <w:textAlignment w:val="center"/>
              <w:rPr>
                <w:rFonts w:hint="default"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29</w:t>
            </w:r>
          </w:p>
        </w:tc>
        <w:tc>
          <w:tcPr>
            <w:tcW w:w="656" w:type="pct"/>
            <w:tcBorders>
              <w:tl2br w:val="nil"/>
              <w:tr2bl w:val="nil"/>
            </w:tcBorders>
            <w:vAlign w:val="center"/>
          </w:tcPr>
          <w:p w14:paraId="3B4EA937">
            <w:pPr>
              <w:widowControl/>
              <w:ind w:left="0" w:leftChars="0" w:firstLine="0" w:firstLineChars="0"/>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新建</w:t>
            </w:r>
          </w:p>
        </w:tc>
      </w:tr>
      <w:tr w14:paraId="5F77C0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5000" w:type="pct"/>
            <w:gridSpan w:val="7"/>
            <w:tcBorders>
              <w:tl2br w:val="nil"/>
              <w:tr2bl w:val="nil"/>
            </w:tcBorders>
            <w:shd w:val="clear" w:color="auto" w:fill="auto"/>
            <w:vAlign w:val="center"/>
          </w:tcPr>
          <w:p w14:paraId="2752D65F">
            <w:pPr>
              <w:widowControl/>
              <w:jc w:val="center"/>
              <w:textAlignment w:val="center"/>
              <w:rPr>
                <w:rFonts w:hint="eastAsia" w:ascii="仿宋" w:hAnsi="仿宋" w:eastAsia="仿宋" w:cs="仿宋"/>
                <w:color w:val="000000"/>
                <w:kern w:val="0"/>
                <w:szCs w:val="21"/>
                <w:highlight w:val="none"/>
              </w:rPr>
            </w:pPr>
            <w:r>
              <w:rPr>
                <w:rFonts w:hint="eastAsia" w:ascii="仿宋" w:hAnsi="仿宋" w:eastAsia="仿宋" w:cs="仿宋"/>
                <w:b/>
                <w:bCs/>
                <w:color w:val="000000"/>
                <w:kern w:val="0"/>
                <w:szCs w:val="21"/>
                <w:highlight w:val="none"/>
                <w:lang w:val="en-US" w:eastAsia="zh-CN"/>
              </w:rPr>
              <w:t>诏安东互通桥梁</w:t>
            </w:r>
          </w:p>
        </w:tc>
      </w:tr>
      <w:tr w14:paraId="2ED4B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9FBAE1"/>
            <w:vAlign w:val="center"/>
          </w:tcPr>
          <w:p w14:paraId="7283E021">
            <w:pPr>
              <w:widowControl/>
              <w:spacing w:line="200" w:lineRule="exact"/>
              <w:ind w:left="0" w:leftChars="0" w:firstLine="0" w:firstLineChars="0"/>
              <w:jc w:val="center"/>
              <w:textAlignment w:val="center"/>
              <w:rPr>
                <w:rFonts w:hint="eastAsia" w:ascii="仿宋" w:hAnsi="仿宋" w:eastAsia="仿宋" w:cs="仿宋"/>
                <w:b/>
                <w:bCs/>
                <w:sz w:val="24"/>
                <w:szCs w:val="24"/>
                <w:lang w:val="en-US" w:eastAsia="zh-CN"/>
              </w:rPr>
            </w:pPr>
            <w:r>
              <w:rPr>
                <w:rFonts w:hint="eastAsia" w:ascii="仿宋" w:hAnsi="仿宋" w:eastAsia="仿宋" w:cs="仿宋"/>
                <w:b/>
                <w:bCs/>
                <w:sz w:val="24"/>
                <w:szCs w:val="24"/>
              </w:rPr>
              <w:t>序号</w:t>
            </w:r>
          </w:p>
        </w:tc>
        <w:tc>
          <w:tcPr>
            <w:tcW w:w="639" w:type="pct"/>
            <w:tcBorders>
              <w:tl2br w:val="nil"/>
              <w:tr2bl w:val="nil"/>
            </w:tcBorders>
            <w:shd w:val="clear" w:color="auto" w:fill="9FBAE1"/>
            <w:vAlign w:val="center"/>
          </w:tcPr>
          <w:p w14:paraId="0431E9D3">
            <w:pPr>
              <w:widowControl/>
              <w:spacing w:line="200" w:lineRule="exact"/>
              <w:ind w:left="0" w:leftChars="0" w:firstLine="0" w:firstLineChars="0"/>
              <w:jc w:val="center"/>
              <w:textAlignment w:val="center"/>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桥名</w:t>
            </w:r>
          </w:p>
        </w:tc>
        <w:tc>
          <w:tcPr>
            <w:tcW w:w="564" w:type="pct"/>
            <w:tcBorders>
              <w:tl2br w:val="nil"/>
              <w:tr2bl w:val="nil"/>
            </w:tcBorders>
            <w:shd w:val="clear" w:color="auto" w:fill="9FBAE1"/>
            <w:vAlign w:val="center"/>
          </w:tcPr>
          <w:p w14:paraId="24C5138A">
            <w:pPr>
              <w:widowControl/>
              <w:spacing w:line="200" w:lineRule="exact"/>
              <w:ind w:left="0" w:leftChars="0" w:firstLine="0" w:firstLineChars="0"/>
              <w:jc w:val="center"/>
              <w:textAlignment w:val="center"/>
              <w:rPr>
                <w:rFonts w:hint="eastAsia" w:ascii="仿宋" w:hAnsi="仿宋" w:eastAsia="仿宋" w:cs="仿宋"/>
                <w:b/>
                <w:bCs/>
                <w:sz w:val="24"/>
                <w:szCs w:val="24"/>
              </w:rPr>
            </w:pPr>
          </w:p>
        </w:tc>
        <w:tc>
          <w:tcPr>
            <w:tcW w:w="894" w:type="pct"/>
            <w:tcBorders>
              <w:tl2br w:val="nil"/>
              <w:tr2bl w:val="nil"/>
            </w:tcBorders>
            <w:shd w:val="clear" w:color="auto" w:fill="9FBAE1"/>
            <w:vAlign w:val="center"/>
          </w:tcPr>
          <w:p w14:paraId="3A2761B0">
            <w:pPr>
              <w:widowControl/>
              <w:spacing w:line="200" w:lineRule="exact"/>
              <w:ind w:left="0" w:leftChars="0" w:firstLine="0" w:firstLineChars="0"/>
              <w:jc w:val="center"/>
              <w:textAlignment w:val="center"/>
              <w:rPr>
                <w:rFonts w:hint="eastAsia" w:ascii="仿宋" w:hAnsi="仿宋" w:eastAsia="仿宋" w:cs="仿宋"/>
                <w:b/>
                <w:bCs/>
                <w:sz w:val="24"/>
                <w:szCs w:val="24"/>
                <w:lang w:val="en-US" w:eastAsia="en-US"/>
              </w:rPr>
            </w:pPr>
            <w:r>
              <w:rPr>
                <w:rFonts w:hint="eastAsia" w:ascii="仿宋" w:hAnsi="仿宋" w:eastAsia="仿宋" w:cs="仿宋"/>
                <w:b/>
                <w:bCs/>
                <w:sz w:val="24"/>
                <w:szCs w:val="24"/>
              </w:rPr>
              <w:t>中心桩号</w:t>
            </w:r>
          </w:p>
        </w:tc>
        <w:tc>
          <w:tcPr>
            <w:tcW w:w="1329" w:type="pct"/>
            <w:tcBorders>
              <w:tl2br w:val="nil"/>
              <w:tr2bl w:val="nil"/>
            </w:tcBorders>
            <w:shd w:val="clear" w:color="auto" w:fill="9FBAE1"/>
            <w:vAlign w:val="center"/>
          </w:tcPr>
          <w:p w14:paraId="2C9DDFEE">
            <w:pPr>
              <w:widowControl/>
              <w:spacing w:line="200" w:lineRule="exact"/>
              <w:ind w:left="0" w:leftChars="0" w:firstLine="0" w:firstLineChars="0"/>
              <w:jc w:val="center"/>
              <w:textAlignment w:val="center"/>
              <w:rPr>
                <w:rFonts w:hint="default" w:ascii="仿宋" w:hAnsi="仿宋" w:eastAsia="仿宋" w:cs="仿宋"/>
                <w:b/>
                <w:bCs/>
                <w:sz w:val="24"/>
                <w:szCs w:val="24"/>
                <w:lang w:val="en-US" w:eastAsia="zh-CN"/>
              </w:rPr>
            </w:pPr>
            <w:r>
              <w:rPr>
                <w:rFonts w:hint="eastAsia" w:ascii="仿宋" w:hAnsi="仿宋" w:eastAsia="仿宋" w:cs="仿宋"/>
                <w:b/>
                <w:bCs/>
                <w:sz w:val="24"/>
                <w:szCs w:val="24"/>
              </w:rPr>
              <w:t>孔数-/跨径</w:t>
            </w:r>
          </w:p>
        </w:tc>
        <w:tc>
          <w:tcPr>
            <w:tcW w:w="476" w:type="pct"/>
            <w:tcBorders>
              <w:tl2br w:val="nil"/>
              <w:tr2bl w:val="nil"/>
            </w:tcBorders>
            <w:shd w:val="clear" w:color="auto" w:fill="9FBAE1"/>
            <w:vAlign w:val="center"/>
          </w:tcPr>
          <w:p w14:paraId="5130F16E">
            <w:pPr>
              <w:widowControl/>
              <w:spacing w:line="200" w:lineRule="exact"/>
              <w:ind w:left="0" w:leftChars="0" w:firstLine="0" w:firstLineChars="0"/>
              <w:jc w:val="center"/>
              <w:textAlignment w:val="center"/>
              <w:rPr>
                <w:rFonts w:hint="eastAsia" w:ascii="仿宋" w:hAnsi="仿宋" w:eastAsia="仿宋" w:cs="仿宋"/>
                <w:b/>
                <w:bCs/>
                <w:sz w:val="24"/>
                <w:szCs w:val="24"/>
                <w:lang w:val="en-US" w:eastAsia="zh-CN"/>
              </w:rPr>
            </w:pPr>
            <w:r>
              <w:rPr>
                <w:rFonts w:hint="eastAsia" w:ascii="仿宋" w:hAnsi="仿宋" w:eastAsia="仿宋" w:cs="仿宋"/>
                <w:b/>
                <w:bCs/>
                <w:sz w:val="24"/>
                <w:szCs w:val="24"/>
              </w:rPr>
              <w:t>桥长（m）</w:t>
            </w:r>
          </w:p>
        </w:tc>
        <w:tc>
          <w:tcPr>
            <w:tcW w:w="656" w:type="pct"/>
            <w:tcBorders>
              <w:tl2br w:val="nil"/>
              <w:tr2bl w:val="nil"/>
            </w:tcBorders>
            <w:shd w:val="clear" w:color="auto" w:fill="9FBAE1"/>
            <w:vAlign w:val="center"/>
          </w:tcPr>
          <w:p w14:paraId="5145B702">
            <w:pPr>
              <w:widowControl/>
              <w:spacing w:line="200" w:lineRule="exact"/>
              <w:ind w:left="0" w:leftChars="0" w:firstLine="0" w:firstLineChars="0"/>
              <w:jc w:val="center"/>
              <w:textAlignment w:val="center"/>
              <w:rPr>
                <w:rFonts w:hint="eastAsia" w:ascii="仿宋" w:hAnsi="仿宋" w:eastAsia="仿宋" w:cs="仿宋"/>
                <w:b/>
                <w:bCs/>
                <w:sz w:val="24"/>
                <w:szCs w:val="24"/>
                <w:lang w:val="en-US" w:eastAsia="en-US"/>
              </w:rPr>
            </w:pPr>
            <w:r>
              <w:rPr>
                <w:rFonts w:hint="eastAsia" w:ascii="仿宋" w:hAnsi="仿宋" w:eastAsia="仿宋" w:cs="仿宋"/>
                <w:b/>
                <w:bCs/>
                <w:sz w:val="24"/>
                <w:szCs w:val="24"/>
              </w:rPr>
              <w:t>备注</w:t>
            </w:r>
          </w:p>
        </w:tc>
      </w:tr>
      <w:tr w14:paraId="767850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67A70B56">
            <w:pPr>
              <w:widowControl/>
              <w:ind w:left="0" w:leftChars="0" w:firstLine="0" w:firstLineChars="0"/>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1</w:t>
            </w:r>
          </w:p>
        </w:tc>
        <w:tc>
          <w:tcPr>
            <w:tcW w:w="639" w:type="pct"/>
            <w:tcBorders>
              <w:tl2br w:val="nil"/>
              <w:tr2bl w:val="nil"/>
            </w:tcBorders>
            <w:shd w:val="clear" w:color="auto" w:fill="auto"/>
            <w:vAlign w:val="center"/>
          </w:tcPr>
          <w:p w14:paraId="57C1EF60">
            <w:pPr>
              <w:widowControl/>
              <w:ind w:left="0" w:leftChars="0" w:firstLine="0" w:firstLineChars="0"/>
              <w:jc w:val="center"/>
              <w:textAlignment w:val="center"/>
              <w:rPr>
                <w:rFonts w:hint="eastAsia"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A 匝道桥</w:t>
            </w:r>
          </w:p>
        </w:tc>
        <w:tc>
          <w:tcPr>
            <w:tcW w:w="564" w:type="pct"/>
            <w:tcBorders>
              <w:tl2br w:val="nil"/>
              <w:tr2bl w:val="nil"/>
            </w:tcBorders>
            <w:shd w:val="clear" w:color="auto" w:fill="auto"/>
            <w:vAlign w:val="center"/>
          </w:tcPr>
          <w:p w14:paraId="6D9E826B">
            <w:pPr>
              <w:widowControl/>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w:t>
            </w:r>
          </w:p>
        </w:tc>
        <w:tc>
          <w:tcPr>
            <w:tcW w:w="894" w:type="pct"/>
            <w:tcBorders>
              <w:tl2br w:val="nil"/>
              <w:tr2bl w:val="nil"/>
            </w:tcBorders>
            <w:shd w:val="clear" w:color="auto" w:fill="auto"/>
            <w:vAlign w:val="center"/>
          </w:tcPr>
          <w:p w14:paraId="02B8F14A">
            <w:pPr>
              <w:widowControl/>
              <w:jc w:val="center"/>
              <w:textAlignment w:val="center"/>
              <w:rPr>
                <w:rFonts w:hint="eastAsia"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AK0+661.600</w:t>
            </w:r>
          </w:p>
        </w:tc>
        <w:tc>
          <w:tcPr>
            <w:tcW w:w="1329" w:type="pct"/>
            <w:tcBorders>
              <w:tl2br w:val="nil"/>
              <w:tr2bl w:val="nil"/>
            </w:tcBorders>
            <w:shd w:val="clear" w:color="auto" w:fill="auto"/>
            <w:vAlign w:val="center"/>
          </w:tcPr>
          <w:p w14:paraId="65C979C0">
            <w:pPr>
              <w:widowControl/>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3x30</w:t>
            </w:r>
          </w:p>
          <w:p w14:paraId="78FF3874">
            <w:pPr>
              <w:widowControl/>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PC连续T梁</w:t>
            </w:r>
          </w:p>
        </w:tc>
        <w:tc>
          <w:tcPr>
            <w:tcW w:w="476" w:type="pct"/>
            <w:tcBorders>
              <w:tl2br w:val="nil"/>
              <w:tr2bl w:val="nil"/>
            </w:tcBorders>
            <w:shd w:val="clear" w:color="auto" w:fill="auto"/>
            <w:vAlign w:val="center"/>
          </w:tcPr>
          <w:p w14:paraId="4DF11CB1">
            <w:pPr>
              <w:widowControl/>
              <w:ind w:left="0" w:leftChars="0" w:firstLine="0" w:firstLineChars="0"/>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101</w:t>
            </w:r>
          </w:p>
        </w:tc>
        <w:tc>
          <w:tcPr>
            <w:tcW w:w="656" w:type="pct"/>
            <w:tcBorders>
              <w:tl2br w:val="nil"/>
              <w:tr2bl w:val="nil"/>
            </w:tcBorders>
            <w:shd w:val="clear" w:color="auto" w:fill="auto"/>
            <w:vAlign w:val="center"/>
          </w:tcPr>
          <w:p w14:paraId="482FF556">
            <w:pPr>
              <w:widowControl/>
              <w:ind w:left="0" w:leftChars="0" w:firstLine="0" w:firstLineChars="0"/>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新建</w:t>
            </w:r>
          </w:p>
        </w:tc>
      </w:tr>
      <w:tr w14:paraId="50393A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0" w:type="pct"/>
            <w:tcBorders>
              <w:tl2br w:val="nil"/>
              <w:tr2bl w:val="nil"/>
            </w:tcBorders>
            <w:shd w:val="clear" w:color="auto" w:fill="auto"/>
            <w:vAlign w:val="center"/>
          </w:tcPr>
          <w:p w14:paraId="16880B78">
            <w:pPr>
              <w:widowControl/>
              <w:ind w:left="0" w:leftChars="0" w:firstLine="0" w:firstLineChars="0"/>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2</w:t>
            </w:r>
          </w:p>
        </w:tc>
        <w:tc>
          <w:tcPr>
            <w:tcW w:w="639" w:type="pct"/>
            <w:tcBorders>
              <w:tl2br w:val="nil"/>
              <w:tr2bl w:val="nil"/>
            </w:tcBorders>
            <w:shd w:val="clear" w:color="auto" w:fill="auto"/>
            <w:vAlign w:val="center"/>
          </w:tcPr>
          <w:p w14:paraId="0825FD7F">
            <w:pPr>
              <w:widowControl/>
              <w:ind w:left="0" w:leftChars="0" w:firstLine="0" w:firstLineChars="0"/>
              <w:jc w:val="center"/>
              <w:textAlignment w:val="center"/>
              <w:rPr>
                <w:rFonts w:hint="eastAsia"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西山分离式天桥</w:t>
            </w:r>
          </w:p>
        </w:tc>
        <w:tc>
          <w:tcPr>
            <w:tcW w:w="564" w:type="pct"/>
            <w:tcBorders>
              <w:tl2br w:val="nil"/>
              <w:tr2bl w:val="nil"/>
            </w:tcBorders>
            <w:shd w:val="clear" w:color="auto" w:fill="auto"/>
            <w:vAlign w:val="center"/>
          </w:tcPr>
          <w:p w14:paraId="7F6FB65C">
            <w:pPr>
              <w:widowControl/>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w:t>
            </w:r>
          </w:p>
        </w:tc>
        <w:tc>
          <w:tcPr>
            <w:tcW w:w="894" w:type="pct"/>
            <w:tcBorders>
              <w:tl2br w:val="nil"/>
              <w:tr2bl w:val="nil"/>
            </w:tcBorders>
            <w:shd w:val="clear" w:color="auto" w:fill="auto"/>
            <w:vAlign w:val="center"/>
          </w:tcPr>
          <w:p w14:paraId="50D1D9AD">
            <w:pPr>
              <w:widowControl/>
              <w:jc w:val="center"/>
              <w:textAlignment w:val="center"/>
              <w:rPr>
                <w:rFonts w:hint="eastAsia"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GL1K0+271.900</w:t>
            </w:r>
          </w:p>
        </w:tc>
        <w:tc>
          <w:tcPr>
            <w:tcW w:w="1329" w:type="pct"/>
            <w:tcBorders>
              <w:tl2br w:val="nil"/>
              <w:tr2bl w:val="nil"/>
            </w:tcBorders>
            <w:shd w:val="clear" w:color="auto" w:fill="auto"/>
            <w:vAlign w:val="center"/>
          </w:tcPr>
          <w:p w14:paraId="4776632F">
            <w:pPr>
              <w:widowControl/>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3x30</w:t>
            </w:r>
          </w:p>
          <w:p w14:paraId="25D9CA9B">
            <w:pPr>
              <w:widowControl/>
              <w:jc w:val="center"/>
              <w:textAlignment w:val="center"/>
              <w:rPr>
                <w:rFonts w:hint="eastAsia" w:ascii="仿宋" w:hAnsi="仿宋" w:eastAsia="仿宋" w:cs="仿宋"/>
                <w:color w:val="000000"/>
                <w:kern w:val="0"/>
                <w:szCs w:val="21"/>
                <w:highlight w:val="none"/>
                <w:lang w:val="en-US" w:eastAsia="zh-CN"/>
              </w:rPr>
            </w:pPr>
            <w:r>
              <w:rPr>
                <w:rFonts w:hint="eastAsia" w:ascii="仿宋" w:hAnsi="仿宋" w:eastAsia="仿宋" w:cs="仿宋"/>
                <w:color w:val="000000"/>
                <w:kern w:val="0"/>
                <w:szCs w:val="21"/>
                <w:highlight w:val="none"/>
                <w:lang w:val="en-US" w:eastAsia="zh-CN"/>
              </w:rPr>
              <w:t>PC连续T梁</w:t>
            </w:r>
          </w:p>
        </w:tc>
        <w:tc>
          <w:tcPr>
            <w:tcW w:w="476" w:type="pct"/>
            <w:tcBorders>
              <w:tl2br w:val="nil"/>
              <w:tr2bl w:val="nil"/>
            </w:tcBorders>
            <w:shd w:val="clear" w:color="auto" w:fill="auto"/>
            <w:vAlign w:val="center"/>
          </w:tcPr>
          <w:p w14:paraId="31695FF4">
            <w:pPr>
              <w:widowControl/>
              <w:ind w:left="0" w:leftChars="0" w:firstLine="0" w:firstLineChars="0"/>
              <w:jc w:val="center"/>
              <w:textAlignment w:val="center"/>
              <w:rPr>
                <w:rFonts w:hint="default"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100</w:t>
            </w:r>
          </w:p>
        </w:tc>
        <w:tc>
          <w:tcPr>
            <w:tcW w:w="656" w:type="pct"/>
            <w:tcBorders>
              <w:tl2br w:val="nil"/>
              <w:tr2bl w:val="nil"/>
            </w:tcBorders>
            <w:shd w:val="clear" w:color="auto" w:fill="auto"/>
            <w:vAlign w:val="center"/>
          </w:tcPr>
          <w:p w14:paraId="79C7E759">
            <w:pPr>
              <w:widowControl/>
              <w:ind w:left="0" w:leftChars="0" w:firstLine="0" w:firstLineChars="0"/>
              <w:jc w:val="center"/>
              <w:textAlignment w:val="center"/>
              <w:rPr>
                <w:rFonts w:hint="eastAsia" w:ascii="仿宋" w:hAnsi="仿宋" w:eastAsia="仿宋" w:cs="仿宋"/>
                <w:color w:val="auto"/>
                <w:kern w:val="0"/>
                <w:szCs w:val="21"/>
                <w:highlight w:val="none"/>
                <w:lang w:val="en-US" w:eastAsia="zh-CN"/>
              </w:rPr>
            </w:pPr>
            <w:r>
              <w:rPr>
                <w:rFonts w:hint="eastAsia" w:ascii="仿宋" w:hAnsi="仿宋" w:eastAsia="仿宋" w:cs="仿宋"/>
                <w:color w:val="auto"/>
                <w:kern w:val="0"/>
                <w:szCs w:val="21"/>
                <w:highlight w:val="none"/>
                <w:lang w:val="en-US" w:eastAsia="zh-CN"/>
              </w:rPr>
              <w:t>新建</w:t>
            </w:r>
          </w:p>
        </w:tc>
      </w:tr>
    </w:tbl>
    <w:p w14:paraId="76DA9B65">
      <w:pPr>
        <w:pStyle w:val="4"/>
        <w:bidi w:val="0"/>
        <w:rPr>
          <w:rFonts w:hint="eastAsia"/>
          <w:color w:val="auto"/>
        </w:rPr>
      </w:pPr>
      <w:bookmarkStart w:id="145" w:name="_Toc18717"/>
      <w:bookmarkStart w:id="146" w:name="_Toc32740"/>
      <w:bookmarkStart w:id="147" w:name="_Toc7397"/>
      <w:bookmarkStart w:id="148" w:name="_Toc26928"/>
      <w:bookmarkStart w:id="149" w:name="_Toc9190"/>
      <w:r>
        <w:rPr>
          <w:rFonts w:hint="default"/>
          <w:color w:val="auto"/>
          <w:lang w:val="en-US" w:eastAsia="zh-CN"/>
        </w:rPr>
        <w:t>3.3.</w:t>
      </w:r>
      <w:r>
        <w:rPr>
          <w:rFonts w:hint="eastAsia"/>
          <w:color w:val="auto"/>
        </w:rPr>
        <w:t>合同工期</w:t>
      </w:r>
      <w:bookmarkEnd w:id="115"/>
      <w:bookmarkEnd w:id="116"/>
      <w:bookmarkEnd w:id="117"/>
      <w:r>
        <w:rPr>
          <w:rFonts w:hint="eastAsia"/>
          <w:color w:val="auto"/>
        </w:rPr>
        <w:t>及造价</w:t>
      </w:r>
      <w:bookmarkEnd w:id="118"/>
      <w:bookmarkEnd w:id="119"/>
      <w:bookmarkEnd w:id="120"/>
      <w:bookmarkEnd w:id="121"/>
      <w:bookmarkEnd w:id="122"/>
      <w:bookmarkEnd w:id="123"/>
      <w:bookmarkEnd w:id="143"/>
      <w:bookmarkEnd w:id="144"/>
      <w:bookmarkEnd w:id="145"/>
      <w:bookmarkEnd w:id="146"/>
      <w:bookmarkEnd w:id="147"/>
      <w:bookmarkEnd w:id="148"/>
      <w:bookmarkEnd w:id="149"/>
    </w:p>
    <w:p w14:paraId="67C7C131">
      <w:pPr>
        <w:pStyle w:val="153"/>
        <w:rPr>
          <w:rFonts w:hint="eastAsia" w:ascii="宋体" w:hAnsi="宋体" w:eastAsia="宋体" w:cs="宋体"/>
        </w:rPr>
      </w:pPr>
      <w:r>
        <w:rPr>
          <w:rFonts w:hint="eastAsia" w:ascii="宋体" w:hAnsi="宋体" w:eastAsia="宋体" w:cs="宋体"/>
        </w:rPr>
        <w:t>中标价为</w:t>
      </w:r>
      <w:r>
        <w:rPr>
          <w:rFonts w:hint="eastAsia" w:cs="宋体"/>
          <w:lang w:val="en-US" w:eastAsia="zh-CN"/>
        </w:rPr>
        <w:t>65119</w:t>
      </w:r>
      <w:r>
        <w:rPr>
          <w:rFonts w:hint="eastAsia" w:ascii="宋体" w:hAnsi="宋体" w:eastAsia="宋体" w:cs="宋体"/>
        </w:rPr>
        <w:t>.</w:t>
      </w:r>
      <w:r>
        <w:rPr>
          <w:rFonts w:hint="eastAsia" w:cs="宋体"/>
          <w:lang w:val="en-US" w:eastAsia="zh-CN"/>
        </w:rPr>
        <w:t>4978</w:t>
      </w:r>
      <w:r>
        <w:rPr>
          <w:rFonts w:hint="eastAsia" w:ascii="宋体" w:hAnsi="宋体" w:eastAsia="宋体" w:cs="宋体"/>
        </w:rPr>
        <w:t>万元，合同工期</w:t>
      </w:r>
      <w:r>
        <w:rPr>
          <w:rFonts w:hint="eastAsia" w:cs="宋体"/>
          <w:lang w:val="en-US" w:eastAsia="zh-CN"/>
        </w:rPr>
        <w:t>30</w:t>
      </w:r>
      <w:r>
        <w:rPr>
          <w:rFonts w:hint="eastAsia" w:ascii="宋体" w:hAnsi="宋体" w:eastAsia="宋体" w:cs="宋体"/>
        </w:rPr>
        <w:t>个月。</w:t>
      </w:r>
    </w:p>
    <w:p w14:paraId="1A86524D">
      <w:pPr>
        <w:ind w:firstLine="480"/>
        <w:rPr>
          <w:rFonts w:hint="eastAsia" w:ascii="宋体" w:hAnsi="宋体" w:eastAsia="宋体" w:cs="宋体"/>
        </w:rPr>
      </w:pPr>
      <w:r>
        <w:rPr>
          <w:rFonts w:hint="eastAsia" w:ascii="宋体" w:hAnsi="宋体" w:eastAsia="宋体" w:cs="宋体"/>
        </w:rPr>
        <w:t>计划开工时间202</w:t>
      </w:r>
      <w:r>
        <w:rPr>
          <w:rFonts w:hint="eastAsia" w:ascii="宋体" w:hAnsi="宋体" w:cs="宋体"/>
          <w:lang w:val="en-US" w:eastAsia="zh-CN"/>
        </w:rPr>
        <w:t>6</w:t>
      </w:r>
      <w:r>
        <w:rPr>
          <w:rFonts w:hint="eastAsia" w:ascii="宋体" w:hAnsi="宋体" w:eastAsia="宋体" w:cs="宋体"/>
        </w:rPr>
        <w:t>年</w:t>
      </w:r>
      <w:r>
        <w:rPr>
          <w:rFonts w:hint="eastAsia" w:ascii="宋体" w:hAnsi="宋体" w:cs="宋体"/>
          <w:lang w:val="en-US" w:eastAsia="zh-CN"/>
        </w:rPr>
        <w:t>7</w:t>
      </w:r>
      <w:r>
        <w:rPr>
          <w:rFonts w:hint="eastAsia" w:ascii="宋体" w:hAnsi="宋体" w:eastAsia="宋体" w:cs="宋体"/>
        </w:rPr>
        <w:t>月1日，计划交工日期202</w:t>
      </w:r>
      <w:r>
        <w:rPr>
          <w:rFonts w:hint="eastAsia" w:ascii="宋体" w:hAnsi="宋体" w:cs="宋体"/>
          <w:lang w:val="en-US" w:eastAsia="zh-CN"/>
        </w:rPr>
        <w:t>8</w:t>
      </w:r>
      <w:r>
        <w:rPr>
          <w:rFonts w:hint="eastAsia" w:ascii="宋体" w:hAnsi="宋体" w:eastAsia="宋体" w:cs="宋体"/>
        </w:rPr>
        <w:t>年</w:t>
      </w:r>
      <w:r>
        <w:rPr>
          <w:rFonts w:hint="eastAsia" w:ascii="宋体" w:hAnsi="宋体" w:cs="宋体"/>
          <w:lang w:val="en-US" w:eastAsia="zh-CN"/>
        </w:rPr>
        <w:t>12</w:t>
      </w:r>
      <w:r>
        <w:rPr>
          <w:rFonts w:hint="eastAsia" w:ascii="宋体" w:hAnsi="宋体" w:eastAsia="宋体" w:cs="宋体"/>
        </w:rPr>
        <w:t>月3</w:t>
      </w:r>
      <w:r>
        <w:rPr>
          <w:rFonts w:hint="eastAsia" w:ascii="宋体" w:hAnsi="宋体" w:cs="宋体"/>
          <w:lang w:val="en-US" w:eastAsia="zh-CN"/>
        </w:rPr>
        <w:t>1</w:t>
      </w:r>
      <w:r>
        <w:rPr>
          <w:rFonts w:hint="eastAsia" w:ascii="宋体" w:hAnsi="宋体" w:eastAsia="宋体" w:cs="宋体"/>
        </w:rPr>
        <w:t>日，具体开工时间以监理工程师下达的开工令为准。</w:t>
      </w:r>
    </w:p>
    <w:p w14:paraId="0F6C1C02">
      <w:pPr>
        <w:pStyle w:val="4"/>
        <w:bidi w:val="0"/>
        <w:rPr>
          <w:rFonts w:hint="eastAsia" w:ascii="Arial" w:hAnsi="Arial" w:eastAsia="宋体" w:cs="宋体"/>
          <w:color w:val="auto"/>
          <w:lang w:val="en-US" w:eastAsia="zh-CN"/>
        </w:rPr>
      </w:pPr>
      <w:bookmarkStart w:id="150" w:name="_Toc21746"/>
      <w:bookmarkStart w:id="151" w:name="_Toc31149"/>
      <w:bookmarkStart w:id="152" w:name="_Toc8085"/>
      <w:bookmarkStart w:id="153" w:name="_Toc25756"/>
      <w:bookmarkStart w:id="154" w:name="_Toc24175"/>
      <w:bookmarkStart w:id="155" w:name="_Toc11476"/>
      <w:bookmarkStart w:id="156" w:name="_Toc477253500"/>
      <w:bookmarkStart w:id="157" w:name="_Toc477254859"/>
      <w:bookmarkStart w:id="158" w:name="_Toc16043"/>
      <w:bookmarkStart w:id="159" w:name="_Toc8507"/>
      <w:bookmarkStart w:id="160" w:name="_Toc30762"/>
      <w:bookmarkStart w:id="161" w:name="_Toc24817"/>
      <w:bookmarkStart w:id="162" w:name="_Toc28703"/>
      <w:bookmarkStart w:id="163" w:name="_Toc23663"/>
      <w:bookmarkStart w:id="164" w:name="_Toc16671"/>
      <w:bookmarkStart w:id="165" w:name="_Toc7535"/>
      <w:r>
        <w:rPr>
          <w:rFonts w:hint="default" w:ascii="Arial" w:hAnsi="Arial" w:eastAsia="宋体" w:cs="宋体"/>
          <w:color w:val="auto"/>
          <w:lang w:val="en-US" w:eastAsia="zh-CN"/>
        </w:rPr>
        <w:t>3.4.</w:t>
      </w:r>
      <w:r>
        <w:rPr>
          <w:rFonts w:hint="eastAsia" w:ascii="Arial" w:hAnsi="Arial" w:eastAsia="宋体" w:cs="宋体"/>
          <w:color w:val="auto"/>
          <w:lang w:val="en-US" w:eastAsia="zh-CN"/>
        </w:rPr>
        <w:t>主要技术标准</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p>
    <w:p w14:paraId="6793FE2E">
      <w:pPr>
        <w:ind w:firstLine="480"/>
        <w:rPr>
          <w:rFonts w:hint="eastAsia" w:ascii="宋体" w:hAnsi="宋体" w:eastAsia="宋体" w:cs="宋体"/>
          <w:lang w:val="en-US" w:eastAsia="zh-CN"/>
        </w:rPr>
      </w:pPr>
      <w:bookmarkStart w:id="166" w:name="_Toc29341"/>
      <w:bookmarkStart w:id="167" w:name="_Toc477254864"/>
      <w:bookmarkStart w:id="168" w:name="_Toc477253509"/>
      <w:bookmarkStart w:id="169" w:name="_Toc30563"/>
      <w:bookmarkStart w:id="170" w:name="_Toc9278"/>
      <w:bookmarkStart w:id="171" w:name="_Toc23760"/>
      <w:bookmarkStart w:id="172" w:name="_Toc23385"/>
      <w:bookmarkStart w:id="173" w:name="_Toc11803"/>
      <w:bookmarkStart w:id="174" w:name="_Toc16712"/>
      <w:bookmarkStart w:id="175" w:name="_Toc31102"/>
      <w:bookmarkStart w:id="176" w:name="_Toc13730"/>
      <w:r>
        <w:rPr>
          <w:rFonts w:hint="eastAsia" w:ascii="宋体" w:hAnsi="宋体" w:eastAsia="宋体" w:cs="宋体"/>
          <w:lang w:val="en-US" w:eastAsia="zh-CN"/>
        </w:rPr>
        <w:t>沈海线漳州龙海至诏安段（龙海北溪头至诏安闽粤界）扩容工程A12标段，路线起点</w:t>
      </w:r>
      <w:r>
        <w:rPr>
          <w:rFonts w:hint="eastAsia" w:ascii="宋体" w:hAnsi="宋体" w:cs="宋体"/>
          <w:lang w:val="en-US" w:eastAsia="zh-CN"/>
        </w:rPr>
        <w:t>里程</w:t>
      </w:r>
      <w:r>
        <w:rPr>
          <w:rFonts w:hint="eastAsia" w:ascii="宋体" w:hAnsi="宋体" w:eastAsia="宋体" w:cs="宋体"/>
          <w:lang w:val="en-US" w:eastAsia="zh-CN"/>
        </w:rPr>
        <w:t>为K116+000，终点桩号为K133+500，全长约17.5km。采用双向八车道高速公里标准改扩建。项目区域内现有沈海线设计速度 100km/h，路基宽度 26m，双向四车道。</w:t>
      </w:r>
    </w:p>
    <w:p w14:paraId="20E84110">
      <w:pPr>
        <w:ind w:firstLine="480"/>
        <w:rPr>
          <w:rFonts w:hint="eastAsia" w:ascii="宋体" w:hAnsi="宋体" w:eastAsia="宋体" w:cs="宋体"/>
          <w:lang w:val="en-US" w:eastAsia="zh-CN"/>
        </w:rPr>
      </w:pPr>
      <w:r>
        <w:rPr>
          <w:rFonts w:hint="eastAsia" w:ascii="宋体" w:hAnsi="宋体" w:eastAsia="宋体" w:cs="宋体"/>
          <w:lang w:val="en-US" w:eastAsia="zh-CN"/>
        </w:rPr>
        <w:t>全线设计荷载:</w:t>
      </w:r>
    </w:p>
    <w:p w14:paraId="7BBCACDB">
      <w:pPr>
        <w:ind w:firstLine="480"/>
        <w:rPr>
          <w:rFonts w:hint="eastAsia" w:ascii="宋体" w:hAnsi="宋体" w:eastAsia="宋体" w:cs="宋体"/>
          <w:lang w:val="en-US" w:eastAsia="zh-CN"/>
        </w:rPr>
      </w:pPr>
      <w:r>
        <w:rPr>
          <w:rFonts w:hint="eastAsia" w:ascii="宋体" w:hAnsi="宋体" w:eastAsia="宋体" w:cs="宋体"/>
          <w:lang w:val="en-US" w:eastAsia="zh-CN"/>
        </w:rPr>
        <w:t>(1)完全新建桥梁及拼宽桥梁的新建部分，公路-I级;</w:t>
      </w:r>
    </w:p>
    <w:p w14:paraId="5AE68B0F">
      <w:pPr>
        <w:ind w:firstLine="480"/>
        <w:rPr>
          <w:rFonts w:hint="eastAsia" w:ascii="宋体" w:hAnsi="宋体" w:eastAsia="宋体" w:cs="宋体"/>
          <w:lang w:val="en-US" w:eastAsia="zh-CN"/>
        </w:rPr>
      </w:pPr>
      <w:r>
        <w:rPr>
          <w:rFonts w:hint="eastAsia" w:ascii="宋体" w:hAnsi="宋体" w:eastAsia="宋体" w:cs="宋体"/>
          <w:lang w:val="en-US" w:eastAsia="zh-CN"/>
        </w:rPr>
        <w:t>(2)拼宽桥梁的老桥部分，承载能力极限状态需满足公路-I级，正常使用极限状态，满足汽一超 20、挂车一120;</w:t>
      </w:r>
    </w:p>
    <w:p w14:paraId="2656D2F2">
      <w:pPr>
        <w:ind w:firstLine="480"/>
        <w:rPr>
          <w:rFonts w:hint="eastAsia" w:ascii="宋体" w:hAnsi="宋体" w:eastAsia="宋体" w:cs="宋体"/>
          <w:lang w:val="en-US" w:eastAsia="zh-CN"/>
        </w:rPr>
      </w:pPr>
      <w:r>
        <w:rPr>
          <w:rFonts w:hint="eastAsia" w:ascii="宋体" w:hAnsi="宋体" w:eastAsia="宋体" w:cs="宋体"/>
          <w:lang w:val="en-US" w:eastAsia="zh-CN"/>
        </w:rPr>
        <w:t>(3)完全利用段老桥涵，汽一超 20、挂车一120。</w:t>
      </w:r>
    </w:p>
    <w:p w14:paraId="005AB3DC">
      <w:pPr>
        <w:ind w:firstLine="480"/>
        <w:rPr>
          <w:rFonts w:hint="eastAsia" w:ascii="宋体" w:hAnsi="宋体" w:eastAsia="宋体" w:cs="宋体"/>
          <w:lang w:val="en-US" w:eastAsia="zh-CN"/>
        </w:rPr>
      </w:pPr>
      <w:r>
        <w:rPr>
          <w:rFonts w:hint="eastAsia" w:ascii="宋体" w:hAnsi="宋体" w:eastAsia="宋体" w:cs="宋体"/>
          <w:lang w:val="en-US" w:eastAsia="zh-CN"/>
        </w:rPr>
        <w:t>设计洪水频率:特大桥 1/300;路基及大(中、小)桥1/100。</w:t>
      </w:r>
    </w:p>
    <w:p w14:paraId="7C6DC3F0">
      <w:pPr>
        <w:ind w:firstLine="480"/>
        <w:rPr>
          <w:rFonts w:hint="eastAsia" w:ascii="宋体" w:hAnsi="宋体" w:eastAsia="宋体" w:cs="宋体"/>
          <w:lang w:val="en-US" w:eastAsia="zh-CN"/>
        </w:rPr>
      </w:pPr>
      <w:r>
        <w:rPr>
          <w:rFonts w:hint="eastAsia" w:ascii="宋体" w:hAnsi="宋体" w:eastAsia="宋体" w:cs="宋体"/>
          <w:lang w:val="en-US" w:eastAsia="zh-CN"/>
        </w:rPr>
        <w:t>其余技术标准如下:</w:t>
      </w:r>
    </w:p>
    <w:p w14:paraId="63E546C3">
      <w:pPr>
        <w:ind w:firstLine="480"/>
        <w:rPr>
          <w:rFonts w:hint="eastAsia" w:ascii="宋体" w:hAnsi="宋体" w:eastAsia="宋体" w:cs="宋体"/>
          <w:lang w:val="en-US" w:eastAsia="zh-CN"/>
        </w:rPr>
      </w:pPr>
      <w:r>
        <w:rPr>
          <w:rFonts w:hint="eastAsia" w:ascii="宋体" w:hAnsi="宋体" w:eastAsia="宋体" w:cs="宋体"/>
          <w:lang w:val="en-US" w:eastAsia="zh-CN"/>
        </w:rPr>
        <w:t>①港口至诏安东互通(K116+000-K126+600)</w:t>
      </w:r>
    </w:p>
    <w:p w14:paraId="07925594">
      <w:pPr>
        <w:ind w:firstLine="480"/>
        <w:rPr>
          <w:rFonts w:hint="eastAsia" w:ascii="宋体" w:hAnsi="宋体" w:eastAsia="宋体" w:cs="宋体"/>
          <w:lang w:val="en-US" w:eastAsia="zh-CN"/>
        </w:rPr>
      </w:pPr>
      <w:r>
        <w:rPr>
          <w:rFonts w:hint="eastAsia" w:ascii="宋体" w:hAnsi="宋体" w:eastAsia="宋体" w:cs="宋体"/>
          <w:lang w:val="en-US" w:eastAsia="zh-CN"/>
        </w:rPr>
        <w:t>1)公路等级:高速公路;</w:t>
      </w:r>
    </w:p>
    <w:p w14:paraId="74AF5308">
      <w:pPr>
        <w:ind w:firstLine="480"/>
        <w:rPr>
          <w:rFonts w:hint="eastAsia" w:ascii="宋体" w:hAnsi="宋体" w:eastAsia="宋体" w:cs="宋体"/>
          <w:lang w:val="en-US" w:eastAsia="zh-CN"/>
        </w:rPr>
      </w:pPr>
      <w:r>
        <w:rPr>
          <w:rFonts w:hint="eastAsia" w:ascii="宋体" w:hAnsi="宋体" w:eastAsia="宋体" w:cs="宋体"/>
          <w:lang w:val="en-US" w:eastAsia="zh-CN"/>
        </w:rPr>
        <w:t>2)设计速度:120km/h;</w:t>
      </w:r>
    </w:p>
    <w:p w14:paraId="2EA78965">
      <w:pPr>
        <w:ind w:firstLine="480"/>
        <w:rPr>
          <w:rFonts w:hint="eastAsia" w:ascii="宋体" w:hAnsi="宋体" w:eastAsia="宋体" w:cs="宋体"/>
          <w:lang w:val="en-US" w:eastAsia="zh-CN"/>
        </w:rPr>
      </w:pPr>
      <w:r>
        <w:rPr>
          <w:rFonts w:hint="eastAsia" w:ascii="宋体" w:hAnsi="宋体" w:eastAsia="宋体" w:cs="宋体"/>
          <w:lang w:val="en-US" w:eastAsia="zh-CN"/>
        </w:rPr>
        <w:t>3)扩建方式:两侧拼宽(含拆除重建)，路基宽度42m，双向八车道。</w:t>
      </w:r>
    </w:p>
    <w:p w14:paraId="1A800945">
      <w:pPr>
        <w:ind w:firstLine="480"/>
        <w:rPr>
          <w:rFonts w:hint="eastAsia" w:ascii="宋体" w:hAnsi="宋体" w:eastAsia="宋体" w:cs="宋体"/>
          <w:lang w:val="en-US" w:eastAsia="zh-CN"/>
        </w:rPr>
      </w:pPr>
      <w:r>
        <w:rPr>
          <w:rFonts w:hint="eastAsia" w:ascii="宋体" w:hAnsi="宋体" w:eastAsia="宋体" w:cs="宋体"/>
          <w:lang w:val="en-US" w:eastAsia="zh-CN"/>
        </w:rPr>
        <w:t>②诏安东互通至沃仔头(K126+600-</w:t>
      </w:r>
      <w:r>
        <w:rPr>
          <w:rFonts w:hint="eastAsia" w:ascii="宋体" w:hAnsi="宋体" w:eastAsia="宋体" w:cs="宋体"/>
          <w:highlight w:val="none"/>
          <w:lang w:val="en-US" w:eastAsia="zh-CN"/>
        </w:rPr>
        <w:t>K131+100)</w:t>
      </w:r>
    </w:p>
    <w:p w14:paraId="75A8262E">
      <w:pPr>
        <w:ind w:firstLine="480"/>
        <w:rPr>
          <w:rFonts w:hint="eastAsia" w:ascii="宋体" w:hAnsi="宋体" w:eastAsia="宋体" w:cs="宋体"/>
          <w:lang w:val="en-US" w:eastAsia="zh-CN"/>
        </w:rPr>
      </w:pPr>
      <w:r>
        <w:rPr>
          <w:rFonts w:hint="eastAsia" w:ascii="宋体" w:hAnsi="宋体" w:eastAsia="宋体" w:cs="宋体"/>
          <w:lang w:val="en-US" w:eastAsia="zh-CN"/>
        </w:rPr>
        <w:t>1)公路等级:高速公路;</w:t>
      </w:r>
    </w:p>
    <w:p w14:paraId="13B48F21">
      <w:pPr>
        <w:ind w:firstLine="480"/>
        <w:rPr>
          <w:rFonts w:hint="eastAsia" w:ascii="宋体" w:hAnsi="宋体" w:eastAsia="宋体" w:cs="宋体"/>
          <w:lang w:val="en-US" w:eastAsia="zh-CN"/>
        </w:rPr>
      </w:pPr>
      <w:r>
        <w:rPr>
          <w:rFonts w:hint="eastAsia" w:ascii="宋体" w:hAnsi="宋体" w:eastAsia="宋体" w:cs="宋体"/>
          <w:lang w:val="en-US" w:eastAsia="zh-CN"/>
        </w:rPr>
        <w:t>2)改扩建设计速度:120km/h;</w:t>
      </w:r>
    </w:p>
    <w:p w14:paraId="02AD91CB">
      <w:pPr>
        <w:ind w:firstLine="480"/>
        <w:rPr>
          <w:rFonts w:hint="eastAsia" w:ascii="宋体" w:hAnsi="宋体" w:eastAsia="宋体" w:cs="宋体"/>
          <w:lang w:val="en-US" w:eastAsia="zh-CN"/>
        </w:rPr>
      </w:pPr>
      <w:r>
        <w:rPr>
          <w:rFonts w:hint="eastAsia" w:ascii="宋体" w:hAnsi="宋体" w:eastAsia="宋体" w:cs="宋体"/>
          <w:lang w:val="en-US" w:eastAsia="zh-CN"/>
        </w:rPr>
        <w:t>3)扩建方式:</w:t>
      </w:r>
    </w:p>
    <w:p w14:paraId="24EB88FE">
      <w:pPr>
        <w:ind w:firstLine="480"/>
        <w:rPr>
          <w:rFonts w:hint="eastAsia" w:ascii="宋体" w:hAnsi="宋体" w:eastAsia="宋体" w:cs="宋体"/>
          <w:lang w:val="en-US" w:eastAsia="zh-CN"/>
        </w:rPr>
      </w:pPr>
      <w:r>
        <w:rPr>
          <w:rFonts w:hint="eastAsia" w:ascii="宋体" w:hAnsi="宋体" w:eastAsia="宋体" w:cs="宋体"/>
          <w:lang w:val="en-US" w:eastAsia="zh-CN"/>
        </w:rPr>
        <w:t>单侧分离新建:路基宽度 20.75m，单向四车道:</w:t>
      </w:r>
    </w:p>
    <w:p w14:paraId="6C6814AF">
      <w:pPr>
        <w:ind w:firstLine="480"/>
        <w:rPr>
          <w:rFonts w:hint="eastAsia" w:ascii="宋体" w:hAnsi="宋体" w:eastAsia="宋体" w:cs="宋体"/>
          <w:lang w:val="en-US" w:eastAsia="zh-CN"/>
        </w:rPr>
      </w:pPr>
      <w:r>
        <w:rPr>
          <w:rFonts w:hint="eastAsia" w:ascii="宋体" w:hAnsi="宋体" w:eastAsia="宋体" w:cs="宋体"/>
          <w:lang w:val="en-US" w:eastAsia="zh-CN"/>
        </w:rPr>
        <w:t>单侧分离利用(局部改建):路基宽度26m，单向四车道</w:t>
      </w:r>
    </w:p>
    <w:p w14:paraId="1FBDFA3A">
      <w:pPr>
        <w:pStyle w:val="4"/>
        <w:bidi w:val="0"/>
        <w:rPr>
          <w:rFonts w:hint="eastAsia" w:ascii="Arial" w:hAnsi="Arial" w:eastAsia="宋体" w:cs="宋体"/>
          <w:color w:val="auto"/>
          <w:lang w:val="en-US" w:eastAsia="zh-CN"/>
        </w:rPr>
      </w:pPr>
      <w:bookmarkStart w:id="177" w:name="_Toc27788"/>
      <w:bookmarkStart w:id="178" w:name="_Toc4629"/>
      <w:bookmarkStart w:id="179" w:name="_Toc15157"/>
      <w:bookmarkStart w:id="180" w:name="_Toc24304"/>
      <w:bookmarkStart w:id="181" w:name="_Toc28392"/>
      <w:r>
        <w:rPr>
          <w:rFonts w:hint="default" w:ascii="Arial" w:hAnsi="Arial" w:eastAsia="宋体" w:cs="宋体"/>
          <w:color w:val="auto"/>
          <w:lang w:val="en-US" w:eastAsia="zh-CN"/>
        </w:rPr>
        <w:t>3.5.</w:t>
      </w:r>
      <w:r>
        <w:rPr>
          <w:rFonts w:hint="eastAsia" w:ascii="Arial" w:hAnsi="Arial" w:eastAsia="宋体" w:cs="宋体"/>
          <w:color w:val="auto"/>
          <w:lang w:val="en-US" w:eastAsia="zh-CN"/>
        </w:rPr>
        <w:t>参建单位</w:t>
      </w:r>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tbl>
      <w:tblPr>
        <w:tblStyle w:val="176"/>
        <w:tblW w:w="810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38"/>
        <w:gridCol w:w="6070"/>
      </w:tblGrid>
      <w:tr w14:paraId="71F844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jc w:val="center"/>
        </w:trPr>
        <w:tc>
          <w:tcPr>
            <w:tcW w:w="2038" w:type="dxa"/>
            <w:vAlign w:val="center"/>
          </w:tcPr>
          <w:p w14:paraId="389E1701">
            <w:pPr>
              <w:pStyle w:val="175"/>
              <w:spacing w:before="178" w:line="216" w:lineRule="auto"/>
              <w:ind w:left="0" w:leftChars="0" w:firstLine="0" w:firstLineChars="0"/>
              <w:jc w:val="center"/>
              <w:rPr>
                <w:sz w:val="28"/>
                <w:szCs w:val="28"/>
              </w:rPr>
            </w:pPr>
            <w:bookmarkStart w:id="182" w:name="_Toc12680"/>
            <w:bookmarkStart w:id="183" w:name="_Toc17333"/>
            <w:bookmarkStart w:id="184" w:name="_Toc32767"/>
            <w:bookmarkStart w:id="185" w:name="_Toc2391"/>
            <w:r>
              <w:rPr>
                <w:spacing w:val="-4"/>
                <w:sz w:val="28"/>
                <w:szCs w:val="28"/>
              </w:rPr>
              <w:t>项目名称</w:t>
            </w:r>
          </w:p>
        </w:tc>
        <w:tc>
          <w:tcPr>
            <w:tcW w:w="6070" w:type="dxa"/>
            <w:vAlign w:val="center"/>
          </w:tcPr>
          <w:p w14:paraId="38CF42FF">
            <w:pPr>
              <w:keepNext w:val="0"/>
              <w:keepLines w:val="0"/>
              <w:widowControl/>
              <w:suppressLineNumbers w:val="0"/>
              <w:ind w:left="0" w:leftChars="0" w:firstLine="0" w:firstLineChars="0"/>
              <w:jc w:val="center"/>
              <w:textAlignment w:val="center"/>
              <w:rPr>
                <w:rFonts w:hint="default" w:ascii="仿宋" w:hAnsi="仿宋" w:eastAsia="仿宋" w:cs="仿宋"/>
                <w:snapToGrid w:val="0"/>
                <w:color w:val="000000"/>
                <w:spacing w:val="-2"/>
                <w:kern w:val="0"/>
                <w:sz w:val="28"/>
                <w:szCs w:val="28"/>
                <w:lang w:val="en-US" w:eastAsia="en-US" w:bidi="ar-SA"/>
              </w:rPr>
            </w:pPr>
            <w:r>
              <w:rPr>
                <w:rFonts w:hint="eastAsia" w:ascii="仿宋" w:hAnsi="仿宋" w:eastAsia="仿宋" w:cs="仿宋"/>
                <w:snapToGrid w:val="0"/>
                <w:color w:val="000000"/>
                <w:kern w:val="0"/>
                <w:sz w:val="28"/>
                <w:szCs w:val="28"/>
                <w:lang w:val="en-US" w:eastAsia="zh-CN" w:bidi="ar"/>
              </w:rPr>
              <w:t>沈海线漳州龙海至诏安段（龙海北溪头至诏安闽粤界）扩容工程A12标段</w:t>
            </w:r>
          </w:p>
        </w:tc>
      </w:tr>
      <w:tr w14:paraId="191283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jc w:val="center"/>
        </w:trPr>
        <w:tc>
          <w:tcPr>
            <w:tcW w:w="2038" w:type="dxa"/>
            <w:vAlign w:val="center"/>
          </w:tcPr>
          <w:p w14:paraId="03B1C471">
            <w:pPr>
              <w:pStyle w:val="175"/>
              <w:spacing w:before="178" w:line="216" w:lineRule="auto"/>
              <w:ind w:left="0" w:leftChars="0" w:firstLine="0" w:firstLineChars="0"/>
              <w:jc w:val="center"/>
              <w:rPr>
                <w:spacing w:val="-4"/>
                <w:sz w:val="28"/>
                <w:szCs w:val="28"/>
              </w:rPr>
            </w:pPr>
            <w:r>
              <w:rPr>
                <w:spacing w:val="-4"/>
                <w:sz w:val="28"/>
                <w:szCs w:val="28"/>
              </w:rPr>
              <w:t>建设单位</w:t>
            </w:r>
          </w:p>
        </w:tc>
        <w:tc>
          <w:tcPr>
            <w:tcW w:w="6070" w:type="dxa"/>
            <w:vAlign w:val="center"/>
          </w:tcPr>
          <w:p w14:paraId="3FDEB750">
            <w:pPr>
              <w:pStyle w:val="175"/>
              <w:spacing w:before="178" w:line="216" w:lineRule="auto"/>
              <w:ind w:left="0" w:leftChars="0" w:firstLine="0" w:firstLineChars="0"/>
              <w:jc w:val="center"/>
              <w:rPr>
                <w:rFonts w:hint="default"/>
                <w:spacing w:val="-4"/>
                <w:sz w:val="28"/>
                <w:szCs w:val="28"/>
                <w:lang w:val="en-US" w:eastAsia="en-US"/>
              </w:rPr>
            </w:pPr>
            <w:r>
              <w:rPr>
                <w:rFonts w:hint="eastAsia"/>
                <w:spacing w:val="-4"/>
                <w:sz w:val="28"/>
                <w:szCs w:val="28"/>
                <w:lang w:val="en-US" w:eastAsia="zh-CN"/>
              </w:rPr>
              <w:t>漳州漳诏高速扩建工程有限公司</w:t>
            </w:r>
          </w:p>
        </w:tc>
      </w:tr>
      <w:tr w14:paraId="0268D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2038" w:type="dxa"/>
            <w:vAlign w:val="center"/>
          </w:tcPr>
          <w:p w14:paraId="52462DE6">
            <w:pPr>
              <w:pStyle w:val="175"/>
              <w:spacing w:before="178" w:line="216" w:lineRule="auto"/>
              <w:ind w:left="0" w:leftChars="0" w:firstLine="0" w:firstLineChars="0"/>
              <w:jc w:val="center"/>
              <w:rPr>
                <w:spacing w:val="-4"/>
                <w:sz w:val="28"/>
                <w:szCs w:val="28"/>
              </w:rPr>
            </w:pPr>
            <w:r>
              <w:rPr>
                <w:spacing w:val="-4"/>
                <w:sz w:val="28"/>
                <w:szCs w:val="28"/>
              </w:rPr>
              <w:t>设计单位</w:t>
            </w:r>
          </w:p>
        </w:tc>
        <w:tc>
          <w:tcPr>
            <w:tcW w:w="6070" w:type="dxa"/>
            <w:vAlign w:val="center"/>
          </w:tcPr>
          <w:p w14:paraId="5B4798FD">
            <w:pPr>
              <w:pStyle w:val="175"/>
              <w:spacing w:before="178" w:line="216" w:lineRule="auto"/>
              <w:ind w:left="0" w:leftChars="0" w:firstLine="0" w:firstLineChars="0"/>
              <w:jc w:val="center"/>
              <w:rPr>
                <w:rFonts w:hint="default"/>
                <w:spacing w:val="-4"/>
                <w:sz w:val="28"/>
                <w:szCs w:val="28"/>
                <w:lang w:val="en-US" w:eastAsia="en-US"/>
              </w:rPr>
            </w:pPr>
            <w:r>
              <w:rPr>
                <w:rFonts w:hint="eastAsia"/>
                <w:spacing w:val="-4"/>
                <w:sz w:val="28"/>
                <w:szCs w:val="28"/>
                <w:lang w:val="en-US" w:eastAsia="zh-CN"/>
              </w:rPr>
              <w:t>福建省交通规划设计院有限公司</w:t>
            </w:r>
          </w:p>
        </w:tc>
      </w:tr>
      <w:tr w14:paraId="76BE26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2038" w:type="dxa"/>
            <w:vAlign w:val="center"/>
          </w:tcPr>
          <w:p w14:paraId="068C1943">
            <w:pPr>
              <w:pStyle w:val="175"/>
              <w:spacing w:before="178" w:line="216" w:lineRule="auto"/>
              <w:ind w:left="0" w:leftChars="0" w:firstLine="0" w:firstLineChars="0"/>
              <w:jc w:val="center"/>
              <w:rPr>
                <w:spacing w:val="-4"/>
                <w:sz w:val="28"/>
                <w:szCs w:val="28"/>
              </w:rPr>
            </w:pPr>
            <w:r>
              <w:rPr>
                <w:spacing w:val="-4"/>
                <w:sz w:val="28"/>
                <w:szCs w:val="28"/>
              </w:rPr>
              <w:t>监理单位</w:t>
            </w:r>
          </w:p>
        </w:tc>
        <w:tc>
          <w:tcPr>
            <w:tcW w:w="6070" w:type="dxa"/>
            <w:vAlign w:val="center"/>
          </w:tcPr>
          <w:p w14:paraId="187CA4EB">
            <w:pPr>
              <w:pStyle w:val="175"/>
              <w:spacing w:before="178" w:line="216" w:lineRule="auto"/>
              <w:ind w:left="0" w:leftChars="0" w:firstLine="0" w:firstLineChars="0"/>
              <w:jc w:val="center"/>
              <w:rPr>
                <w:rFonts w:hint="eastAsia"/>
                <w:spacing w:val="-4"/>
                <w:sz w:val="28"/>
                <w:szCs w:val="28"/>
              </w:rPr>
            </w:pPr>
            <w:r>
              <w:rPr>
                <w:rFonts w:hint="eastAsia"/>
                <w:spacing w:val="-4"/>
                <w:sz w:val="28"/>
                <w:szCs w:val="28"/>
                <w:lang w:val="en-US" w:eastAsia="zh-CN"/>
              </w:rPr>
              <w:t>江苏东南工程咨询有限公司</w:t>
            </w:r>
          </w:p>
        </w:tc>
      </w:tr>
      <w:tr w14:paraId="7274F2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jc w:val="center"/>
        </w:trPr>
        <w:tc>
          <w:tcPr>
            <w:tcW w:w="2038" w:type="dxa"/>
            <w:vAlign w:val="center"/>
          </w:tcPr>
          <w:p w14:paraId="02EA0F01">
            <w:pPr>
              <w:pStyle w:val="175"/>
              <w:spacing w:before="178" w:line="216" w:lineRule="auto"/>
              <w:ind w:left="0" w:leftChars="0" w:firstLine="0" w:firstLineChars="0"/>
              <w:jc w:val="center"/>
              <w:rPr>
                <w:spacing w:val="-4"/>
                <w:sz w:val="28"/>
                <w:szCs w:val="28"/>
              </w:rPr>
            </w:pPr>
            <w:r>
              <w:rPr>
                <w:spacing w:val="-4"/>
                <w:sz w:val="28"/>
                <w:szCs w:val="28"/>
              </w:rPr>
              <w:t>施工单位</w:t>
            </w:r>
          </w:p>
        </w:tc>
        <w:tc>
          <w:tcPr>
            <w:tcW w:w="6070" w:type="dxa"/>
            <w:vAlign w:val="center"/>
          </w:tcPr>
          <w:p w14:paraId="3C91BEF0">
            <w:pPr>
              <w:pStyle w:val="175"/>
              <w:spacing w:before="178" w:line="216" w:lineRule="auto"/>
              <w:ind w:left="0" w:leftChars="0" w:firstLine="0" w:firstLineChars="0"/>
              <w:jc w:val="center"/>
              <w:rPr>
                <w:rFonts w:hint="eastAsia"/>
                <w:spacing w:val="-4"/>
                <w:sz w:val="28"/>
                <w:szCs w:val="28"/>
              </w:rPr>
            </w:pPr>
            <w:r>
              <w:rPr>
                <w:rFonts w:hint="eastAsia"/>
                <w:spacing w:val="-4"/>
                <w:sz w:val="28"/>
                <w:szCs w:val="28"/>
                <w:lang w:val="en-US" w:eastAsia="zh-CN"/>
              </w:rPr>
              <w:t>安徽开源路桥有限责任公司</w:t>
            </w:r>
          </w:p>
        </w:tc>
      </w:tr>
    </w:tbl>
    <w:p w14:paraId="3E2D8B23">
      <w:pPr>
        <w:pStyle w:val="4"/>
        <w:bidi w:val="0"/>
        <w:rPr>
          <w:rFonts w:hint="eastAsia" w:cs="宋体"/>
          <w:color w:val="auto"/>
          <w:lang w:val="en-US" w:eastAsia="zh-CN"/>
        </w:rPr>
      </w:pPr>
      <w:bookmarkStart w:id="186" w:name="_Toc23595"/>
      <w:r>
        <w:rPr>
          <w:rFonts w:hint="default" w:ascii="Arial" w:hAnsi="Arial" w:eastAsia="宋体" w:cs="宋体"/>
          <w:color w:val="auto"/>
          <w:lang w:val="en-US" w:eastAsia="zh-CN"/>
        </w:rPr>
        <w:t>3.6.</w:t>
      </w:r>
      <w:r>
        <w:rPr>
          <w:rFonts w:hint="eastAsia" w:ascii="Arial" w:hAnsi="Arial" w:eastAsia="宋体" w:cs="宋体"/>
          <w:color w:val="auto"/>
          <w:lang w:val="en-US" w:eastAsia="zh-CN"/>
        </w:rPr>
        <w:t>自然地理</w:t>
      </w:r>
      <w:r>
        <w:rPr>
          <w:rFonts w:hint="eastAsia" w:cs="宋体"/>
          <w:color w:val="auto"/>
          <w:lang w:val="en-US" w:eastAsia="zh-CN"/>
        </w:rPr>
        <w:t>条件</w:t>
      </w:r>
      <w:bookmarkEnd w:id="182"/>
      <w:bookmarkEnd w:id="183"/>
      <w:bookmarkEnd w:id="184"/>
      <w:bookmarkEnd w:id="185"/>
      <w:bookmarkEnd w:id="186"/>
    </w:p>
    <w:p w14:paraId="211B61E2">
      <w:pPr>
        <w:pStyle w:val="5"/>
        <w:numPr>
          <w:ilvl w:val="2"/>
          <w:numId w:val="0"/>
        </w:numPr>
        <w:spacing w:line="360" w:lineRule="auto"/>
        <w:ind w:left="720" w:leftChars="0" w:hanging="720" w:firstLineChars="0"/>
        <w:rPr>
          <w:rFonts w:hint="default" w:ascii="宋体" w:hAnsi="宋体" w:cs="Times New Roman"/>
          <w:b/>
          <w:bCs/>
          <w:color w:val="auto"/>
          <w:kern w:val="2"/>
          <w:sz w:val="30"/>
          <w:szCs w:val="32"/>
          <w:lang w:val="en-US" w:eastAsia="zh-CN" w:bidi="ar-SA"/>
        </w:rPr>
      </w:pPr>
      <w:bookmarkStart w:id="187" w:name="_Toc23436"/>
      <w:r>
        <w:rPr>
          <w:rFonts w:hint="default" w:ascii="宋体" w:hAnsi="宋体" w:cs="Times New Roman"/>
          <w:b/>
          <w:bCs/>
          <w:color w:val="auto"/>
          <w:kern w:val="2"/>
          <w:sz w:val="30"/>
          <w:szCs w:val="32"/>
          <w:lang w:val="en-US" w:eastAsia="zh-CN" w:bidi="ar-SA"/>
        </w:rPr>
        <w:t>3.6.1.</w:t>
      </w:r>
      <w:r>
        <w:rPr>
          <w:rFonts w:hint="eastAsia" w:ascii="宋体" w:hAnsi="宋体" w:cs="Times New Roman"/>
          <w:b/>
          <w:bCs/>
          <w:color w:val="auto"/>
          <w:kern w:val="2"/>
          <w:sz w:val="30"/>
          <w:szCs w:val="32"/>
          <w:lang w:val="en-US" w:eastAsia="zh-CN" w:bidi="ar-SA"/>
        </w:rPr>
        <w:t>地理位置于交通</w:t>
      </w:r>
      <w:bookmarkEnd w:id="187"/>
    </w:p>
    <w:p w14:paraId="6DB974BD">
      <w:pPr>
        <w:rPr>
          <w:rFonts w:hint="eastAsia"/>
          <w:lang w:val="en-US" w:eastAsia="zh-CN"/>
        </w:rPr>
      </w:pPr>
      <w:r>
        <w:rPr>
          <w:rFonts w:hint="eastAsia"/>
          <w:lang w:val="en-US" w:eastAsia="zh-CN"/>
        </w:rPr>
        <w:t>A12合同段起点位于港口村附近，顺接A11合同段终点，本标段路线均为原路改扩建，路线走向与既有沈海高速相同。沿路两侧拼宽，扩建港口大桥、下穿S309，至诏安金星乡附近新建金星互通对接金都工业区，之后改扩建诏安东互通（主线纵面改造)，过互通后主线右幅分离（左幅利用)，新建右幅外凤楼大桥跨湿地，标段终点位于沃仔头附近，合同段全长 15km。</w:t>
      </w:r>
    </w:p>
    <w:p w14:paraId="7DE28E5C">
      <w:pPr>
        <w:rPr>
          <w:rFonts w:hint="eastAsia"/>
          <w:lang w:val="en-US" w:eastAsia="zh-CN"/>
        </w:rPr>
      </w:pPr>
      <w:r>
        <w:rPr>
          <w:rFonts w:hint="eastAsia"/>
          <w:lang w:val="en-US" w:eastAsia="zh-CN"/>
        </w:rPr>
        <w:t>项目区域内有现状沈海高速、东山联络线、G324、S329、S201、S210、X561 以及其他县乡公路等。运输条件整体较好，交通便利，有利于高速公路的建设。</w:t>
      </w:r>
    </w:p>
    <w:p w14:paraId="44F2F47D">
      <w:pPr>
        <w:pStyle w:val="5"/>
        <w:numPr>
          <w:ilvl w:val="2"/>
          <w:numId w:val="0"/>
        </w:numPr>
        <w:spacing w:line="360" w:lineRule="auto"/>
        <w:ind w:left="720" w:leftChars="0" w:hanging="720" w:firstLineChars="0"/>
        <w:rPr>
          <w:rFonts w:hint="eastAsia" w:ascii="宋体" w:hAnsi="宋体" w:cs="Times New Roman"/>
          <w:b/>
          <w:bCs/>
          <w:color w:val="auto"/>
          <w:kern w:val="2"/>
          <w:sz w:val="30"/>
          <w:szCs w:val="32"/>
          <w:lang w:val="en-US" w:eastAsia="zh-CN" w:bidi="ar-SA"/>
        </w:rPr>
      </w:pPr>
      <w:bookmarkStart w:id="188" w:name="_Toc21664"/>
      <w:bookmarkStart w:id="189" w:name="_Toc536132863"/>
      <w:bookmarkStart w:id="190" w:name="_Toc9290"/>
      <w:bookmarkStart w:id="191" w:name="_Toc11852"/>
      <w:bookmarkStart w:id="192" w:name="_Toc32124"/>
      <w:bookmarkStart w:id="193" w:name="_Toc49928256"/>
      <w:bookmarkStart w:id="194" w:name="_Toc862"/>
      <w:bookmarkStart w:id="195" w:name="_Toc1466"/>
      <w:bookmarkStart w:id="196" w:name="_Toc22698"/>
      <w:bookmarkStart w:id="197" w:name="_Toc19630"/>
      <w:bookmarkStart w:id="198" w:name="_Toc3196"/>
      <w:bookmarkStart w:id="199" w:name="_Toc5689"/>
      <w:bookmarkStart w:id="200" w:name="_Toc24809"/>
      <w:bookmarkStart w:id="201" w:name="_Toc266"/>
      <w:bookmarkStart w:id="202" w:name="_Toc3862"/>
      <w:bookmarkStart w:id="203" w:name="_Toc31060"/>
      <w:bookmarkStart w:id="204" w:name="_Toc25350"/>
      <w:bookmarkStart w:id="205" w:name="_Toc13149"/>
      <w:bookmarkStart w:id="206" w:name="_Toc27211"/>
      <w:bookmarkStart w:id="207" w:name="_Toc5642"/>
      <w:bookmarkStart w:id="208" w:name="_Toc13454"/>
      <w:bookmarkStart w:id="209" w:name="_Toc17776"/>
      <w:bookmarkStart w:id="210" w:name="_Toc12224"/>
      <w:bookmarkStart w:id="211" w:name="_Toc27683"/>
      <w:bookmarkStart w:id="212" w:name="_Toc13553"/>
      <w:bookmarkStart w:id="213" w:name="_Toc23470"/>
      <w:bookmarkStart w:id="214" w:name="_Toc477253502"/>
      <w:bookmarkStart w:id="215" w:name="_Toc26297"/>
      <w:bookmarkStart w:id="216" w:name="_Toc27337"/>
      <w:bookmarkStart w:id="217" w:name="_Toc22161"/>
      <w:bookmarkStart w:id="218" w:name="_Toc286"/>
      <w:bookmarkStart w:id="219" w:name="_Toc724"/>
      <w:r>
        <w:rPr>
          <w:rFonts w:hint="default" w:ascii="宋体" w:hAnsi="宋体" w:cs="Times New Roman"/>
          <w:b/>
          <w:bCs/>
          <w:color w:val="auto"/>
          <w:kern w:val="2"/>
          <w:sz w:val="30"/>
          <w:szCs w:val="32"/>
          <w:lang w:val="en-US" w:eastAsia="zh-CN" w:bidi="ar-SA"/>
        </w:rPr>
        <w:t>3.6.</w:t>
      </w:r>
      <w:r>
        <w:rPr>
          <w:rFonts w:hint="eastAsia" w:ascii="宋体" w:hAnsi="宋体" w:cs="Times New Roman"/>
          <w:b/>
          <w:bCs/>
          <w:color w:val="auto"/>
          <w:kern w:val="2"/>
          <w:sz w:val="30"/>
          <w:szCs w:val="32"/>
          <w:lang w:val="en-US" w:eastAsia="zh-CN" w:bidi="ar-SA"/>
        </w:rPr>
        <w:t>2</w:t>
      </w:r>
      <w:r>
        <w:rPr>
          <w:rFonts w:hint="default" w:ascii="宋体" w:hAnsi="宋体" w:cs="Times New Roman"/>
          <w:b/>
          <w:bCs/>
          <w:color w:val="auto"/>
          <w:kern w:val="2"/>
          <w:sz w:val="30"/>
          <w:szCs w:val="32"/>
          <w:lang w:val="en-US" w:eastAsia="zh-CN" w:bidi="ar-SA"/>
        </w:rPr>
        <w:t>.</w:t>
      </w:r>
      <w:bookmarkEnd w:id="188"/>
      <w:bookmarkEnd w:id="189"/>
      <w:bookmarkEnd w:id="190"/>
      <w:bookmarkEnd w:id="191"/>
      <w:bookmarkEnd w:id="192"/>
      <w:bookmarkEnd w:id="193"/>
      <w:r>
        <w:rPr>
          <w:rFonts w:hint="eastAsia" w:ascii="宋体" w:hAnsi="宋体" w:cs="Times New Roman"/>
          <w:b/>
          <w:bCs/>
          <w:color w:val="auto"/>
          <w:kern w:val="2"/>
          <w:sz w:val="30"/>
          <w:szCs w:val="32"/>
          <w:lang w:val="en-US" w:eastAsia="zh-CN" w:bidi="ar-SA"/>
        </w:rPr>
        <w:t>地形、地貌</w:t>
      </w:r>
      <w:bookmarkEnd w:id="194"/>
    </w:p>
    <w:p w14:paraId="10585860">
      <w:pPr>
        <w:pStyle w:val="153"/>
        <w:rPr>
          <w:rFonts w:hint="eastAsia" w:ascii="宋体" w:hAnsi="宋体" w:eastAsia="宋体" w:cs="宋体"/>
          <w:szCs w:val="24"/>
        </w:rPr>
      </w:pPr>
      <w:r>
        <w:rPr>
          <w:rFonts w:hint="eastAsia" w:ascii="宋体" w:hAnsi="宋体" w:eastAsia="宋体" w:cs="宋体"/>
          <w:szCs w:val="24"/>
        </w:rPr>
        <w:t>拟建路线方案位于我省东南沿海地区，地形地貌较简单，主要有丘陵地貌、冲洪积沟谷 地貌、冲洪积平原地貌、冲海积平原地貌，地形起伏较小，绝大部分的绝对海拔高度在100m 以内，相对高差一般在50m 以内。线路沿线大体山体走向与区域主要构造走向相吻合，多以 剥蚀丘陵及残丘为主，山脉水系发育一般。</w:t>
      </w:r>
    </w:p>
    <w:p w14:paraId="54477F71">
      <w:pPr>
        <w:pStyle w:val="153"/>
        <w:rPr>
          <w:rFonts w:hint="eastAsia" w:ascii="宋体" w:hAnsi="宋体" w:eastAsia="宋体" w:cs="宋体"/>
          <w:szCs w:val="24"/>
        </w:rPr>
      </w:pPr>
      <w:r>
        <w:rPr>
          <w:rFonts w:hint="eastAsia" w:ascii="宋体" w:hAnsi="宋体" w:eastAsia="宋体" w:cs="宋体"/>
          <w:szCs w:val="24"/>
        </w:rPr>
        <w:t>在各剥蚀丘陵及残丘之间，形态各异的冲洪积沟谷及冲洪积平原、冲海积平原丘陵平缓， 丘顶浑圆，相对高差小于50m,  河谷低平，河曲发育。</w:t>
      </w:r>
    </w:p>
    <w:p w14:paraId="55F2EBB2">
      <w:pPr>
        <w:pStyle w:val="153"/>
        <w:rPr>
          <w:rFonts w:hint="eastAsia" w:ascii="宋体" w:hAnsi="宋体" w:eastAsia="宋体" w:cs="宋体"/>
          <w:szCs w:val="24"/>
        </w:rPr>
      </w:pPr>
      <w:r>
        <w:rPr>
          <w:rFonts w:hint="eastAsia" w:ascii="宋体" w:hAnsi="宋体" w:eastAsia="宋体" w:cs="宋体"/>
          <w:szCs w:val="24"/>
        </w:rPr>
        <w:t>冲洪积阶地主要发育在河流两侧、山间盆地及山间谷地，地势平坦。</w:t>
      </w:r>
    </w:p>
    <w:p w14:paraId="5F1D830D">
      <w:pPr>
        <w:pStyle w:val="153"/>
        <w:rPr>
          <w:rFonts w:hint="eastAsia" w:ascii="宋体" w:hAnsi="宋体" w:eastAsia="宋体" w:cs="宋体"/>
          <w:szCs w:val="24"/>
        </w:rPr>
      </w:pPr>
      <w:r>
        <w:rPr>
          <w:rFonts w:hint="eastAsia" w:ascii="宋体" w:hAnsi="宋体" w:eastAsia="宋体" w:cs="宋体"/>
          <w:szCs w:val="24"/>
        </w:rPr>
        <w:t>冲海积平原主要发育在沿海地区，标高普遍小于5m,  地势平坦开阔，地表水系发育。</w:t>
      </w:r>
    </w:p>
    <w:p w14:paraId="140FEAB1">
      <w:pPr>
        <w:pStyle w:val="5"/>
        <w:numPr>
          <w:ilvl w:val="2"/>
          <w:numId w:val="0"/>
        </w:numPr>
        <w:spacing w:line="360" w:lineRule="auto"/>
        <w:ind w:left="720" w:leftChars="0" w:hanging="720" w:firstLineChars="0"/>
        <w:rPr>
          <w:rFonts w:hint="eastAsia" w:ascii="宋体" w:hAnsi="宋体" w:cs="Times New Roman"/>
          <w:b/>
          <w:bCs/>
          <w:color w:val="auto"/>
          <w:kern w:val="2"/>
          <w:sz w:val="30"/>
          <w:szCs w:val="32"/>
          <w:lang w:val="en-US" w:eastAsia="zh-CN" w:bidi="ar-SA"/>
        </w:rPr>
      </w:pPr>
      <w:bookmarkStart w:id="220" w:name="_Toc26545"/>
      <w:r>
        <w:rPr>
          <w:rFonts w:hint="default" w:ascii="宋体" w:hAnsi="宋体" w:cs="Times New Roman"/>
          <w:b/>
          <w:bCs/>
          <w:color w:val="auto"/>
          <w:kern w:val="2"/>
          <w:sz w:val="30"/>
          <w:szCs w:val="32"/>
          <w:lang w:val="en-US" w:eastAsia="zh-CN" w:bidi="ar-SA"/>
        </w:rPr>
        <w:t>3.6.</w:t>
      </w:r>
      <w:r>
        <w:rPr>
          <w:rFonts w:hint="eastAsia" w:ascii="宋体" w:hAnsi="宋体" w:cs="Times New Roman"/>
          <w:b/>
          <w:bCs/>
          <w:color w:val="auto"/>
          <w:kern w:val="2"/>
          <w:sz w:val="30"/>
          <w:szCs w:val="32"/>
          <w:lang w:val="en-US" w:eastAsia="zh-CN" w:bidi="ar-SA"/>
        </w:rPr>
        <w:t>3</w:t>
      </w:r>
      <w:r>
        <w:rPr>
          <w:rFonts w:hint="default" w:ascii="宋体" w:hAnsi="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地质构造</w:t>
      </w:r>
      <w:bookmarkEnd w:id="220"/>
    </w:p>
    <w:p w14:paraId="7D4457F5">
      <w:pPr>
        <w:pStyle w:val="153"/>
        <w:rPr>
          <w:rFonts w:hint="eastAsia" w:ascii="宋体" w:hAnsi="宋体" w:eastAsia="宋体" w:cs="宋体"/>
          <w:szCs w:val="24"/>
        </w:rPr>
      </w:pPr>
      <w:r>
        <w:rPr>
          <w:rFonts w:hint="eastAsia" w:ascii="宋体" w:hAnsi="宋体" w:eastAsia="宋体" w:cs="宋体"/>
          <w:szCs w:val="24"/>
        </w:rPr>
        <w:t>本项目在大地构造上处于新华夏构造体系的闽东南滨海断隆带内。自晚三叠世以来，本 区构造运动发生了重大变化，由以褶皱为主的构造运动转变为燕山期由太平洋板块向欧亚板</w:t>
      </w:r>
    </w:p>
    <w:p w14:paraId="76F22334">
      <w:pPr>
        <w:pStyle w:val="153"/>
        <w:rPr>
          <w:rFonts w:hint="eastAsia" w:ascii="宋体" w:hAnsi="宋体" w:eastAsia="宋体" w:cs="宋体"/>
          <w:szCs w:val="24"/>
        </w:rPr>
      </w:pPr>
      <w:r>
        <w:rPr>
          <w:rFonts w:hint="eastAsia" w:ascii="宋体" w:hAnsi="宋体" w:eastAsia="宋体" w:cs="宋体"/>
          <w:szCs w:val="24"/>
        </w:rPr>
        <w:t>块俯冲为主的断块运动，形成一系列断裂凹陷盆地，是福建省构造稍复杂的地区之一。</w:t>
      </w:r>
    </w:p>
    <w:p w14:paraId="7D7D37ED">
      <w:pPr>
        <w:pStyle w:val="153"/>
        <w:rPr>
          <w:rFonts w:hint="eastAsia" w:ascii="宋体" w:hAnsi="宋体" w:eastAsia="宋体" w:cs="宋体"/>
          <w:szCs w:val="24"/>
        </w:rPr>
      </w:pPr>
      <w:r>
        <w:rPr>
          <w:rFonts w:hint="eastAsia" w:ascii="宋体" w:hAnsi="宋体" w:eastAsia="宋体" w:cs="宋体"/>
          <w:szCs w:val="24"/>
        </w:rPr>
        <w:t>晚三叠世至早侏罗世，本区于诏安-常山一带的NE、NNE 向断陷盆地上形成了早侏罗世梨 山组含火山碎屑沉积建造。</w:t>
      </w:r>
    </w:p>
    <w:p w14:paraId="1A75DC8B">
      <w:pPr>
        <w:pStyle w:val="153"/>
        <w:rPr>
          <w:rFonts w:hint="eastAsia" w:ascii="宋体" w:hAnsi="宋体" w:eastAsia="宋体" w:cs="宋体"/>
          <w:szCs w:val="24"/>
        </w:rPr>
      </w:pPr>
      <w:r>
        <w:rPr>
          <w:rFonts w:hint="eastAsia" w:ascii="宋体" w:hAnsi="宋体" w:eastAsia="宋体" w:cs="宋体"/>
          <w:szCs w:val="24"/>
        </w:rPr>
        <w:t>本区缺失中侏罗世地层，可能与当时本区构造环境相对稳定且处于相对隆升状态有关， 同时，由于燕山早期的影响，使南园组和下伏梨山组呈不整合接触，并使梨山组发生褶皱。</w:t>
      </w:r>
    </w:p>
    <w:p w14:paraId="2F4B6BA3">
      <w:pPr>
        <w:pStyle w:val="153"/>
        <w:rPr>
          <w:rFonts w:hint="eastAsia" w:ascii="宋体" w:hAnsi="宋体" w:eastAsia="宋体" w:cs="宋体"/>
          <w:szCs w:val="24"/>
        </w:rPr>
      </w:pPr>
      <w:r>
        <w:rPr>
          <w:rFonts w:hint="eastAsia" w:ascii="宋体" w:hAnsi="宋体" w:eastAsia="宋体" w:cs="宋体"/>
          <w:szCs w:val="24"/>
        </w:rPr>
        <w:t>到了晚侏罗世中期，随着时间的演变，由太平洋板块消减带作用形成的再生岩浆逐步成 熟，加上断裂带活动加剧，形成一系列火山通道，造成巨大规模的火山喷发，使晚侏罗世火 山喷发达到顶峰，形成了晚侏罗世南园组巨厚的钙碱性火山岩系堆积。在此期间，伴随着岩 浆沿断裂带侵入形成晚侏罗世侵入岩。</w:t>
      </w:r>
    </w:p>
    <w:p w14:paraId="0C127E6D">
      <w:pPr>
        <w:pStyle w:val="153"/>
        <w:rPr>
          <w:rFonts w:hint="eastAsia" w:ascii="宋体" w:hAnsi="宋体" w:eastAsia="宋体" w:cs="宋体"/>
          <w:szCs w:val="24"/>
        </w:rPr>
      </w:pPr>
      <w:r>
        <w:rPr>
          <w:rFonts w:hint="eastAsia" w:ascii="宋体" w:hAnsi="宋体" w:eastAsia="宋体" w:cs="宋体"/>
          <w:szCs w:val="24"/>
        </w:rPr>
        <w:t>晚侏罗世末期，同样由于燕山早期运动的影响，形成了一系列NE、NNE向为主要，NW、N、 E向为次要的断裂。</w:t>
      </w:r>
    </w:p>
    <w:p w14:paraId="216A83F5">
      <w:pPr>
        <w:pStyle w:val="5"/>
        <w:numPr>
          <w:ilvl w:val="2"/>
          <w:numId w:val="0"/>
        </w:numPr>
        <w:spacing w:line="360" w:lineRule="auto"/>
        <w:ind w:left="720" w:leftChars="0" w:hanging="720" w:firstLineChars="0"/>
        <w:rPr>
          <w:rFonts w:hint="default" w:ascii="宋体" w:hAnsi="宋体" w:eastAsia="宋体" w:cs="宋体"/>
          <w:color w:val="auto"/>
          <w:lang w:val="en-US" w:eastAsia="zh-CN"/>
        </w:rPr>
      </w:pPr>
      <w:bookmarkStart w:id="221" w:name="_Toc12153"/>
      <w:bookmarkStart w:id="222" w:name="_Toc1177"/>
      <w:bookmarkStart w:id="223" w:name="_Toc19367"/>
      <w:bookmarkStart w:id="224" w:name="_Toc26169"/>
      <w:bookmarkStart w:id="225" w:name="_Toc32334"/>
      <w:r>
        <w:rPr>
          <w:rFonts w:hint="default" w:ascii="宋体" w:hAnsi="宋体" w:eastAsia="宋体" w:cs="Times New Roman"/>
          <w:b/>
          <w:bCs/>
          <w:color w:val="auto"/>
          <w:kern w:val="2"/>
          <w:sz w:val="30"/>
          <w:szCs w:val="32"/>
          <w:lang w:val="en-US" w:eastAsia="zh-CN" w:bidi="ar-SA"/>
        </w:rPr>
        <w:t>3.6.</w:t>
      </w:r>
      <w:r>
        <w:rPr>
          <w:rFonts w:hint="eastAsia" w:ascii="宋体" w:hAnsi="宋体" w:cs="Times New Roman"/>
          <w:b/>
          <w:bCs/>
          <w:color w:val="auto"/>
          <w:kern w:val="2"/>
          <w:sz w:val="30"/>
          <w:szCs w:val="32"/>
          <w:lang w:val="en-US" w:eastAsia="zh-CN" w:bidi="ar-SA"/>
        </w:rPr>
        <w:t>4</w:t>
      </w:r>
      <w:r>
        <w:rPr>
          <w:rFonts w:hint="default" w:ascii="宋体" w:hAnsi="宋体" w:eastAsia="宋体" w:cs="Times New Roman"/>
          <w:b/>
          <w:bCs/>
          <w:color w:val="auto"/>
          <w:kern w:val="2"/>
          <w:sz w:val="30"/>
          <w:szCs w:val="32"/>
          <w:lang w:val="en-US" w:eastAsia="zh-CN" w:bidi="ar-SA"/>
        </w:rPr>
        <w:t>.</w:t>
      </w:r>
      <w:bookmarkEnd w:id="221"/>
      <w:bookmarkEnd w:id="222"/>
      <w:bookmarkEnd w:id="223"/>
      <w:bookmarkEnd w:id="224"/>
      <w:r>
        <w:rPr>
          <w:rFonts w:hint="eastAsia" w:ascii="宋体" w:hAnsi="宋体" w:cs="Times New Roman"/>
          <w:b/>
          <w:bCs/>
          <w:color w:val="auto"/>
          <w:kern w:val="2"/>
          <w:sz w:val="30"/>
          <w:szCs w:val="32"/>
          <w:lang w:val="en-US" w:eastAsia="zh-CN" w:bidi="ar-SA"/>
        </w:rPr>
        <w:t>水系</w:t>
      </w:r>
      <w:bookmarkEnd w:id="225"/>
    </w:p>
    <w:p w14:paraId="09C239E3">
      <w:pPr>
        <w:pStyle w:val="153"/>
        <w:rPr>
          <w:rFonts w:hint="eastAsia" w:ascii="宋体" w:hAnsi="宋体" w:eastAsia="宋体" w:cs="宋体"/>
          <w:szCs w:val="24"/>
        </w:rPr>
      </w:pPr>
      <w:r>
        <w:rPr>
          <w:rFonts w:hint="eastAsia" w:ascii="宋体" w:hAnsi="宋体" w:eastAsia="宋体" w:cs="宋体"/>
          <w:szCs w:val="24"/>
        </w:rPr>
        <w:t>测区水系发育，呈树枝状及羽状广布全区，测区内属东溪水系流域，主要支流有庵下溪、金溪、赤水溪。上述两条流域均大致由北西向南东方向流经测区，分别于云霄县、诏安县入海。受地貌形态影响，河谷形态在不同地貌单元有明显差异，山地区河流水系成树枝状，河谷深切，岸坡陡峭，横断面呈“V”字形，水流湍急，纵坡降小，河曲发育。河水流量明显受降雨量影响，暴雨时河水猛涨，积涝成灾，损失巨大;早季水量剧减，河水枯竭。</w:t>
      </w:r>
    </w:p>
    <w:p w14:paraId="5CE804C8">
      <w:pPr>
        <w:pStyle w:val="5"/>
        <w:numPr>
          <w:ilvl w:val="2"/>
          <w:numId w:val="0"/>
        </w:numPr>
        <w:spacing w:line="360" w:lineRule="auto"/>
        <w:ind w:left="720" w:leftChars="0" w:hanging="720" w:firstLineChars="0"/>
        <w:rPr>
          <w:rFonts w:hint="default" w:ascii="宋体" w:hAnsi="宋体" w:eastAsia="宋体" w:cs="宋体"/>
          <w:color w:val="auto"/>
          <w:lang w:val="en-US"/>
        </w:rPr>
      </w:pPr>
      <w:bookmarkStart w:id="226" w:name="_Toc10986"/>
      <w:r>
        <w:rPr>
          <w:rFonts w:hint="default" w:ascii="宋体" w:hAnsi="宋体" w:eastAsia="宋体" w:cs="Times New Roman"/>
          <w:b/>
          <w:bCs/>
          <w:color w:val="auto"/>
          <w:kern w:val="2"/>
          <w:sz w:val="30"/>
          <w:szCs w:val="32"/>
          <w:lang w:val="en-US" w:eastAsia="zh-CN" w:bidi="ar-SA"/>
        </w:rPr>
        <w:t>3.6.</w:t>
      </w:r>
      <w:r>
        <w:rPr>
          <w:rFonts w:hint="eastAsia" w:ascii="宋体" w:hAnsi="宋体" w:cs="Times New Roman"/>
          <w:b/>
          <w:bCs/>
          <w:color w:val="auto"/>
          <w:kern w:val="2"/>
          <w:sz w:val="30"/>
          <w:szCs w:val="32"/>
          <w:lang w:val="en-US" w:eastAsia="zh-CN" w:bidi="ar-SA"/>
        </w:rPr>
        <w:t>5</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气象</w:t>
      </w:r>
      <w:bookmarkEnd w:id="226"/>
    </w:p>
    <w:p w14:paraId="7E7934A4">
      <w:pPr>
        <w:pStyle w:val="153"/>
        <w:rPr>
          <w:rFonts w:hint="eastAsia" w:ascii="宋体" w:hAnsi="宋体" w:eastAsia="宋体" w:cs="宋体"/>
          <w:szCs w:val="24"/>
        </w:rPr>
      </w:pPr>
      <w:r>
        <w:rPr>
          <w:rFonts w:hint="eastAsia" w:ascii="宋体" w:hAnsi="宋体" w:eastAsia="宋体" w:cs="宋体"/>
          <w:szCs w:val="24"/>
        </w:rPr>
        <w:t>本项目毗邻东南沿海，属亚热带季风气候，四季分明，温和湿润，夏季长，冬季短。无霜期一般在345(云霄)-360（诏安）天/年，全测区基本不存在霜冻及降雪。年平均气温21.3℃（云霄）-28.9℃(诏安)，一月平均气温13.4℃（云霄）-14.9℃（诏安)，七月份平均气温28℃左右。年均降水量1563.2mm(诏安）-1730.6mm（云霄)，每年3月至9月为雨季，其中7月至9月为台风季节，10月至翌年2月为旱季。</w:t>
      </w:r>
    </w:p>
    <w:p w14:paraId="08BE7B19">
      <w:pPr>
        <w:pStyle w:val="4"/>
        <w:bidi w:val="0"/>
        <w:rPr>
          <w:rFonts w:hint="eastAsia" w:cs="宋体"/>
          <w:color w:val="auto"/>
          <w:lang w:val="en-US" w:eastAsia="zh-CN"/>
        </w:rPr>
      </w:pPr>
      <w:bookmarkStart w:id="227" w:name="_Toc25139"/>
      <w:r>
        <w:rPr>
          <w:rFonts w:hint="default" w:ascii="Arial" w:hAnsi="Arial" w:eastAsia="宋体" w:cs="宋体"/>
          <w:color w:val="auto"/>
          <w:lang w:val="en-US" w:eastAsia="zh-CN"/>
        </w:rPr>
        <w:t>3.</w:t>
      </w:r>
      <w:r>
        <w:rPr>
          <w:rFonts w:hint="eastAsia" w:cs="宋体"/>
          <w:color w:val="auto"/>
          <w:lang w:val="en-US" w:eastAsia="zh-CN"/>
        </w:rPr>
        <w:t>7</w:t>
      </w:r>
      <w:r>
        <w:rPr>
          <w:rFonts w:hint="default" w:ascii="Arial" w:hAnsi="Arial" w:eastAsia="宋体" w:cs="宋体"/>
          <w:color w:val="auto"/>
          <w:lang w:val="en-US" w:eastAsia="zh-CN"/>
        </w:rPr>
        <w:t>.</w:t>
      </w:r>
      <w:r>
        <w:rPr>
          <w:rFonts w:hint="eastAsia" w:cs="宋体"/>
          <w:color w:val="auto"/>
          <w:lang w:val="en-US" w:eastAsia="zh-CN"/>
        </w:rPr>
        <w:t>工程地质条件</w:t>
      </w:r>
      <w:bookmarkEnd w:id="227"/>
    </w:p>
    <w:p w14:paraId="11B406B8">
      <w:pPr>
        <w:pStyle w:val="5"/>
        <w:numPr>
          <w:ilvl w:val="2"/>
          <w:numId w:val="0"/>
        </w:numPr>
        <w:spacing w:line="360" w:lineRule="auto"/>
        <w:ind w:left="720" w:leftChars="0" w:hanging="720" w:firstLineChars="0"/>
        <w:rPr>
          <w:rFonts w:hint="eastAsia" w:ascii="宋体" w:hAnsi="宋体" w:eastAsia="宋体" w:cs="宋体"/>
          <w:color w:val="auto"/>
          <w:lang w:val="en-US" w:eastAsia="zh-CN"/>
        </w:rPr>
      </w:pPr>
      <w:bookmarkStart w:id="228" w:name="_Toc6574"/>
      <w:r>
        <w:rPr>
          <w:rFonts w:hint="default" w:ascii="宋体" w:hAnsi="宋体" w:eastAsia="宋体" w:cs="Times New Roman"/>
          <w:b/>
          <w:bCs/>
          <w:color w:val="auto"/>
          <w:kern w:val="2"/>
          <w:sz w:val="30"/>
          <w:szCs w:val="32"/>
          <w:lang w:val="en-US" w:eastAsia="zh-CN" w:bidi="ar-SA"/>
        </w:rPr>
        <w:t>3.</w:t>
      </w:r>
      <w:r>
        <w:rPr>
          <w:rFonts w:hint="eastAsia" w:ascii="宋体" w:hAnsi="宋体" w:cs="Times New Roman"/>
          <w:b/>
          <w:bCs/>
          <w:color w:val="auto"/>
          <w:kern w:val="2"/>
          <w:sz w:val="30"/>
          <w:szCs w:val="32"/>
          <w:lang w:val="en-US" w:eastAsia="zh-CN" w:bidi="ar-SA"/>
        </w:rPr>
        <w:t>7</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1</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宋体"/>
          <w:color w:val="auto"/>
        </w:rPr>
        <w:t>地层工程地质层组</w:t>
      </w:r>
      <w:r>
        <w:rPr>
          <w:rFonts w:hint="eastAsia" w:ascii="宋体" w:hAnsi="宋体" w:eastAsia="宋体" w:cs="宋体"/>
          <w:color w:val="auto"/>
          <w:lang w:val="en-US" w:eastAsia="zh-CN"/>
        </w:rPr>
        <w:t>划分</w:t>
      </w:r>
      <w:bookmarkEnd w:id="228"/>
    </w:p>
    <w:p w14:paraId="16478266">
      <w:pPr>
        <w:pStyle w:val="153"/>
        <w:rPr>
          <w:rFonts w:hint="eastAsia" w:ascii="宋体" w:hAnsi="宋体" w:eastAsia="宋体" w:cs="宋体"/>
          <w:szCs w:val="24"/>
          <w:lang w:val="en-US" w:eastAsia="zh-CN"/>
        </w:rPr>
      </w:pPr>
      <w:r>
        <w:rPr>
          <w:rFonts w:hint="eastAsia" w:ascii="宋体" w:hAnsi="宋体" w:eastAsia="宋体" w:cs="宋体"/>
          <w:szCs w:val="24"/>
          <w:lang w:val="en-US" w:eastAsia="zh-CN"/>
        </w:rPr>
        <w:t>3.7.</w:t>
      </w:r>
      <w:r>
        <w:rPr>
          <w:rFonts w:hint="eastAsia" w:cs="宋体"/>
          <w:szCs w:val="24"/>
          <w:lang w:val="en-US" w:eastAsia="zh-CN"/>
        </w:rPr>
        <w:t>1</w:t>
      </w:r>
      <w:r>
        <w:rPr>
          <w:rFonts w:hint="eastAsia" w:ascii="宋体" w:hAnsi="宋体" w:eastAsia="宋体" w:cs="宋体"/>
          <w:szCs w:val="24"/>
          <w:lang w:val="en-US" w:eastAsia="zh-CN"/>
        </w:rPr>
        <w:t>.1地层、火成岩及工程地质层组划分</w:t>
      </w:r>
    </w:p>
    <w:p w14:paraId="24961FC1">
      <w:pPr>
        <w:pStyle w:val="153"/>
        <w:rPr>
          <w:rFonts w:hint="eastAsia" w:ascii="宋体" w:hAnsi="宋体" w:eastAsia="宋体" w:cs="宋体"/>
          <w:szCs w:val="24"/>
          <w:lang w:val="en-US" w:eastAsia="zh-CN"/>
        </w:rPr>
      </w:pPr>
      <w:r>
        <w:rPr>
          <w:rFonts w:hint="eastAsia" w:ascii="宋体" w:hAnsi="宋体" w:eastAsia="宋体" w:cs="宋体"/>
          <w:szCs w:val="24"/>
          <w:lang w:val="en-US" w:eastAsia="zh-CN"/>
        </w:rPr>
        <w:t>拟建线路沿线地层岩性复杂，包括第四系全新统冲洪积层、冲海积层;第四系更新统冲洪积层;第四系残坡积层;燕山早期侵入花岗岩岩;侏罗系火山岩;三叠系沉积岩。</w:t>
      </w:r>
    </w:p>
    <w:p w14:paraId="1B36C5DB">
      <w:pPr>
        <w:pStyle w:val="153"/>
        <w:rPr>
          <w:rFonts w:hint="eastAsia" w:ascii="宋体" w:hAnsi="宋体" w:eastAsia="宋体" w:cs="宋体"/>
          <w:szCs w:val="24"/>
          <w:lang w:val="en-US" w:eastAsia="zh-CN"/>
        </w:rPr>
      </w:pPr>
      <w:r>
        <w:rPr>
          <w:rFonts w:hint="eastAsia" w:ascii="宋体" w:hAnsi="宋体" w:eastAsia="宋体" w:cs="宋体"/>
          <w:szCs w:val="24"/>
          <w:lang w:val="en-US" w:eastAsia="zh-CN"/>
        </w:rPr>
        <w:t>3.7.</w:t>
      </w:r>
      <w:r>
        <w:rPr>
          <w:rFonts w:hint="eastAsia" w:cs="宋体"/>
          <w:szCs w:val="24"/>
          <w:lang w:val="en-US" w:eastAsia="zh-CN"/>
        </w:rPr>
        <w:t>1</w:t>
      </w:r>
      <w:r>
        <w:rPr>
          <w:rFonts w:hint="eastAsia" w:ascii="宋体" w:hAnsi="宋体" w:eastAsia="宋体" w:cs="宋体"/>
          <w:szCs w:val="24"/>
          <w:lang w:val="en-US" w:eastAsia="zh-CN"/>
        </w:rPr>
        <w:t>.</w:t>
      </w:r>
      <w:r>
        <w:rPr>
          <w:rFonts w:hint="eastAsia" w:cs="宋体"/>
          <w:szCs w:val="24"/>
          <w:lang w:val="en-US" w:eastAsia="zh-CN"/>
        </w:rPr>
        <w:t>1.1</w:t>
      </w:r>
      <w:r>
        <w:rPr>
          <w:rFonts w:hint="eastAsia" w:ascii="宋体" w:hAnsi="宋体" w:eastAsia="宋体" w:cs="宋体"/>
          <w:szCs w:val="24"/>
          <w:lang w:val="en-US" w:eastAsia="zh-CN"/>
        </w:rPr>
        <w:t>第四系及工程地质层组划分</w:t>
      </w:r>
    </w:p>
    <w:p w14:paraId="2322C5F4">
      <w:pPr>
        <w:pStyle w:val="153"/>
        <w:rPr>
          <w:rFonts w:hint="eastAsia" w:ascii="宋体" w:hAnsi="宋体" w:eastAsia="宋体" w:cs="宋体"/>
          <w:szCs w:val="24"/>
          <w:lang w:val="en-US" w:eastAsia="zh-CN"/>
        </w:rPr>
      </w:pPr>
      <w:r>
        <w:rPr>
          <w:rFonts w:hint="eastAsia" w:ascii="宋体" w:hAnsi="宋体" w:eastAsia="宋体" w:cs="宋体"/>
          <w:szCs w:val="24"/>
          <w:lang w:val="en-US" w:eastAsia="zh-CN"/>
        </w:rPr>
        <w:t>第四系地层发育，分布广泛。其中全新统冲海积层(Q"")主要分布于冲海积平原地貌区全新统及更新统冲洪积层(Q“)主要分布于盆地及山间沟谷、冲洪积谷地、河流阶地等地貌区，更新统地层一般埋深在全新统地层以下，鲜见直接出露于地表;残坡积层(Q”)广泛分布于全测区的低山、丘陵地貌区。</w:t>
      </w:r>
    </w:p>
    <w:p w14:paraId="3C506203">
      <w:pPr>
        <w:pStyle w:val="153"/>
        <w:rPr>
          <w:rFonts w:hint="eastAsia" w:ascii="宋体" w:hAnsi="宋体" w:eastAsia="宋体" w:cs="宋体"/>
          <w:szCs w:val="24"/>
          <w:lang w:val="en-US" w:eastAsia="zh-CN"/>
        </w:rPr>
      </w:pPr>
      <w:r>
        <w:rPr>
          <w:rFonts w:hint="eastAsia" w:ascii="宋体" w:hAnsi="宋体" w:eastAsia="宋体" w:cs="宋体"/>
          <w:szCs w:val="24"/>
          <w:lang w:val="en-US" w:eastAsia="zh-CN"/>
        </w:rPr>
        <w:t>3.7.</w:t>
      </w:r>
      <w:r>
        <w:rPr>
          <w:rFonts w:hint="eastAsia" w:cs="宋体"/>
          <w:szCs w:val="24"/>
          <w:lang w:val="en-US" w:eastAsia="zh-CN"/>
        </w:rPr>
        <w:t>1</w:t>
      </w:r>
      <w:r>
        <w:rPr>
          <w:rFonts w:hint="eastAsia" w:ascii="宋体" w:hAnsi="宋体" w:eastAsia="宋体" w:cs="宋体"/>
          <w:szCs w:val="24"/>
          <w:lang w:val="en-US" w:eastAsia="zh-CN"/>
        </w:rPr>
        <w:t>.</w:t>
      </w:r>
      <w:r>
        <w:rPr>
          <w:rFonts w:hint="eastAsia" w:cs="宋体"/>
          <w:szCs w:val="24"/>
          <w:lang w:val="en-US" w:eastAsia="zh-CN"/>
        </w:rPr>
        <w:t>1.2</w:t>
      </w:r>
      <w:r>
        <w:rPr>
          <w:rFonts w:hint="eastAsia" w:ascii="宋体" w:hAnsi="宋体" w:eastAsia="宋体" w:cs="宋体"/>
          <w:szCs w:val="24"/>
          <w:lang w:val="en-US" w:eastAsia="zh-CN"/>
        </w:rPr>
        <w:t>沉积岩及工程地质层组划分</w:t>
      </w:r>
    </w:p>
    <w:p w14:paraId="73999FAD">
      <w:pPr>
        <w:rPr>
          <w:rFonts w:hint="eastAsia"/>
        </w:rPr>
      </w:pPr>
      <w:r>
        <w:rPr>
          <w:rFonts w:hint="eastAsia"/>
        </w:rPr>
        <w:t>三叠系上统大坑村组（T,d):砂岩、泥岩。主要分布于诏安县东北部的港口村-田朴村一带。</w:t>
      </w:r>
    </w:p>
    <w:p w14:paraId="400000DF">
      <w:pPr>
        <w:rPr>
          <w:rFonts w:hint="eastAsia"/>
        </w:rPr>
      </w:pPr>
      <w:r>
        <w:rPr>
          <w:rFonts w:hint="eastAsia" w:ascii="宋体" w:hAnsi="宋体" w:eastAsia="宋体" w:cs="宋体"/>
          <w:szCs w:val="24"/>
          <w:lang w:val="en-US" w:eastAsia="zh-CN"/>
        </w:rPr>
        <w:t>3.7.</w:t>
      </w:r>
      <w:r>
        <w:rPr>
          <w:rFonts w:hint="eastAsia" w:ascii="宋体" w:hAnsi="宋体" w:cs="宋体"/>
          <w:szCs w:val="24"/>
          <w:lang w:val="en-US" w:eastAsia="zh-CN"/>
        </w:rPr>
        <w:t>1</w:t>
      </w:r>
      <w:r>
        <w:rPr>
          <w:rFonts w:hint="eastAsia" w:ascii="宋体" w:hAnsi="宋体" w:eastAsia="宋体" w:cs="宋体"/>
          <w:szCs w:val="24"/>
          <w:lang w:val="en-US" w:eastAsia="zh-CN"/>
        </w:rPr>
        <w:t>.</w:t>
      </w:r>
      <w:r>
        <w:rPr>
          <w:rFonts w:hint="eastAsia" w:ascii="宋体" w:hAnsi="宋体" w:cs="宋体"/>
          <w:szCs w:val="24"/>
          <w:lang w:val="en-US" w:eastAsia="zh-CN"/>
        </w:rPr>
        <w:t>1.3</w:t>
      </w:r>
      <w:r>
        <w:rPr>
          <w:rFonts w:hint="eastAsia"/>
        </w:rPr>
        <w:t>火山岩及工程地质层组划分</w:t>
      </w:r>
    </w:p>
    <w:p w14:paraId="6A63FECB">
      <w:pPr>
        <w:rPr>
          <w:rFonts w:hint="eastAsia"/>
        </w:rPr>
      </w:pPr>
      <w:r>
        <w:rPr>
          <w:rFonts w:hint="eastAsia"/>
        </w:rPr>
        <w:t>侏罗系上统下渡组（J,xd):(流纹质）凝灰熔岩熔结凝灰岩。主要分布于竹港村一带。</w:t>
      </w:r>
    </w:p>
    <w:p w14:paraId="0D023E80">
      <w:pPr>
        <w:rPr>
          <w:rFonts w:hint="eastAsia"/>
        </w:rPr>
      </w:pPr>
      <w:r>
        <w:rPr>
          <w:rFonts w:hint="eastAsia" w:ascii="宋体" w:hAnsi="宋体" w:eastAsia="宋体" w:cs="宋体"/>
          <w:szCs w:val="24"/>
          <w:lang w:val="en-US" w:eastAsia="zh-CN"/>
        </w:rPr>
        <w:t>3.7.</w:t>
      </w:r>
      <w:r>
        <w:rPr>
          <w:rFonts w:hint="eastAsia" w:ascii="宋体" w:hAnsi="宋体" w:cs="宋体"/>
          <w:szCs w:val="24"/>
          <w:lang w:val="en-US" w:eastAsia="zh-CN"/>
        </w:rPr>
        <w:t>1</w:t>
      </w:r>
      <w:r>
        <w:rPr>
          <w:rFonts w:hint="eastAsia" w:ascii="宋体" w:hAnsi="宋体" w:eastAsia="宋体" w:cs="宋体"/>
          <w:szCs w:val="24"/>
          <w:lang w:val="en-US" w:eastAsia="zh-CN"/>
        </w:rPr>
        <w:t>.</w:t>
      </w:r>
      <w:r>
        <w:rPr>
          <w:rFonts w:hint="eastAsia" w:ascii="宋体" w:hAnsi="宋体" w:cs="宋体"/>
          <w:szCs w:val="24"/>
          <w:lang w:val="en-US" w:eastAsia="zh-CN"/>
        </w:rPr>
        <w:t>1.4</w:t>
      </w:r>
      <w:r>
        <w:rPr>
          <w:rFonts w:hint="eastAsia"/>
        </w:rPr>
        <w:t>侵入岩及期次划分</w:t>
      </w:r>
    </w:p>
    <w:p w14:paraId="456508F0">
      <w:pPr>
        <w:rPr>
          <w:rFonts w:hint="eastAsia"/>
        </w:rPr>
      </w:pPr>
      <w:r>
        <w:rPr>
          <w:rFonts w:hint="eastAsia"/>
        </w:rPr>
        <w:t>燕山早期侵入花岗岩（y ,)，主要分布于诏安县东北部院前村-岸屿村一带。此外局部还偶有酸性及中基性岩脉（β、6等）零星分布于上述区域。</w:t>
      </w:r>
    </w:p>
    <w:p w14:paraId="02AA28A7">
      <w:pPr>
        <w:ind w:left="0" w:leftChars="0" w:firstLine="0" w:firstLineChars="0"/>
      </w:pPr>
      <w:r>
        <w:drawing>
          <wp:inline distT="0" distB="0" distL="114300" distR="114300">
            <wp:extent cx="5666740" cy="3957955"/>
            <wp:effectExtent l="0" t="0" r="2540" b="4445"/>
            <wp:docPr id="14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4"/>
                    <pic:cNvPicPr>
                      <a:picLocks noChangeAspect="1"/>
                    </pic:cNvPicPr>
                  </pic:nvPicPr>
                  <pic:blipFill>
                    <a:blip r:embed="rId21"/>
                    <a:stretch>
                      <a:fillRect/>
                    </a:stretch>
                  </pic:blipFill>
                  <pic:spPr>
                    <a:xfrm>
                      <a:off x="0" y="0"/>
                      <a:ext cx="5666740" cy="3957955"/>
                    </a:xfrm>
                    <a:prstGeom prst="rect">
                      <a:avLst/>
                    </a:prstGeom>
                    <a:noFill/>
                    <a:ln>
                      <a:noFill/>
                    </a:ln>
                  </pic:spPr>
                </pic:pic>
              </a:graphicData>
            </a:graphic>
          </wp:inline>
        </w:drawing>
      </w:r>
    </w:p>
    <w:p w14:paraId="4F9C13FA">
      <w:pPr>
        <w:pStyle w:val="5"/>
        <w:numPr>
          <w:ilvl w:val="2"/>
          <w:numId w:val="0"/>
        </w:numPr>
        <w:spacing w:line="360" w:lineRule="auto"/>
        <w:ind w:left="720" w:leftChars="0" w:hanging="720" w:firstLineChars="0"/>
        <w:rPr>
          <w:rFonts w:hint="eastAsia" w:ascii="宋体" w:hAnsi="宋体" w:eastAsia="宋体" w:cs="宋体"/>
          <w:color w:val="auto"/>
        </w:rPr>
      </w:pPr>
      <w:bookmarkStart w:id="229" w:name="_Toc23846"/>
      <w:r>
        <w:rPr>
          <w:rFonts w:hint="default" w:ascii="宋体" w:hAnsi="宋体" w:eastAsia="宋体" w:cs="Times New Roman"/>
          <w:b/>
          <w:bCs/>
          <w:color w:val="auto"/>
          <w:kern w:val="2"/>
          <w:sz w:val="30"/>
          <w:szCs w:val="32"/>
          <w:lang w:val="en-US" w:eastAsia="zh-CN" w:bidi="ar-SA"/>
        </w:rPr>
        <w:t>3.</w:t>
      </w:r>
      <w:r>
        <w:rPr>
          <w:rFonts w:hint="eastAsia" w:ascii="宋体" w:hAnsi="宋体" w:cs="Times New Roman"/>
          <w:b/>
          <w:bCs/>
          <w:color w:val="auto"/>
          <w:kern w:val="2"/>
          <w:sz w:val="30"/>
          <w:szCs w:val="32"/>
          <w:lang w:val="en-US" w:eastAsia="zh-CN" w:bidi="ar-SA"/>
        </w:rPr>
        <w:t>7</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2</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宋体"/>
          <w:color w:val="auto"/>
        </w:rPr>
        <w:t>地质构造及地震</w:t>
      </w:r>
      <w:bookmarkEnd w:id="229"/>
    </w:p>
    <w:p w14:paraId="759BDA8B">
      <w:pPr>
        <w:rPr>
          <w:rFonts w:hint="eastAsia"/>
        </w:rPr>
      </w:pPr>
      <w:r>
        <w:rPr>
          <w:rFonts w:hint="eastAsia"/>
        </w:rPr>
        <w:t>本项目在大地构造上处于新华夏构造体系的闽东南滨海断隆带内。自晚三叠世以来，本区构造运动发生了重大变化，由以褶皱为主的构造运动转变为燕山期由太平洋板块向欧亚板块俯冲为主的断块运动，形成一系列断裂凹陷盆地，是福建省构造稍复杂的地区之一。</w:t>
      </w:r>
    </w:p>
    <w:p w14:paraId="245DFEB1">
      <w:pPr>
        <w:rPr>
          <w:rFonts w:hint="eastAsia"/>
        </w:rPr>
      </w:pPr>
      <w:r>
        <w:rPr>
          <w:rFonts w:hint="eastAsia"/>
        </w:rPr>
        <w:t>晚三叠世至早侏罗世，本区于诏安-常山一带的NE、NNE向断陷盆地上形成了早侏罗世梨山组含火山碎屑沉积建造。</w:t>
      </w:r>
    </w:p>
    <w:p w14:paraId="76D67285">
      <w:pPr>
        <w:rPr>
          <w:rFonts w:hint="eastAsia"/>
        </w:rPr>
      </w:pPr>
      <w:r>
        <w:rPr>
          <w:rFonts w:hint="eastAsia"/>
        </w:rPr>
        <w:t>晚三叠世至早侏罗世，本区于诏安-常山一带的NE、NNE向断陷盆地上形成了早侏罗世梨山组含火山碎屑沉积建造。</w:t>
      </w:r>
    </w:p>
    <w:p w14:paraId="4F6DADC4">
      <w:pPr>
        <w:rPr>
          <w:rFonts w:hint="eastAsia"/>
        </w:rPr>
      </w:pPr>
      <w:r>
        <w:rPr>
          <w:rFonts w:hint="eastAsia"/>
        </w:rPr>
        <w:t>到了晚侏罗世中期，随着时间的演变，由太平洋板块消减带作用形成的再生岩浆逐步成熟，加上断裂带活动加剧，形成一系列火山通道，造成巨大规模的火山喷发，使晚侏罗世火山喷发达到顶峰，形成了晚侏罗世南园组巨厚的钙碱性火山岩系堆积。在此期间，伴随着岩浆沿断裂带侵入形成晚侏罗世侵入岩。</w:t>
      </w:r>
    </w:p>
    <w:p w14:paraId="29959463">
      <w:pPr>
        <w:rPr>
          <w:rFonts w:hint="eastAsia"/>
        </w:rPr>
      </w:pPr>
      <w:r>
        <w:rPr>
          <w:rFonts w:hint="eastAsia"/>
        </w:rPr>
        <w:t>晚侏罗世末期，同样由于燕山早期运动的影响，形成了一系列NE、NNE向为主要，NW、N、E向为次要的断裂。</w:t>
      </w:r>
    </w:p>
    <w:p w14:paraId="4032300B">
      <w:pPr>
        <w:rPr>
          <w:rFonts w:hint="eastAsia"/>
        </w:rPr>
      </w:pPr>
      <w:r>
        <w:rPr>
          <w:rFonts w:hint="eastAsia"/>
        </w:rPr>
        <w:t>场地近场区影响构造带主要有:</w:t>
      </w:r>
    </w:p>
    <w:p w14:paraId="524CD972">
      <w:pPr>
        <w:rPr>
          <w:rFonts w:hint="eastAsia"/>
        </w:rPr>
      </w:pPr>
      <w:r>
        <w:rPr>
          <w:rFonts w:hint="eastAsia"/>
          <w:lang w:val="en-US" w:eastAsia="zh-CN"/>
        </w:rPr>
        <w:t>3.7.2.1</w:t>
      </w:r>
      <w:r>
        <w:rPr>
          <w:rFonts w:hint="eastAsia"/>
        </w:rPr>
        <w:t>长乐一诏安断裂带(F3)</w:t>
      </w:r>
    </w:p>
    <w:p w14:paraId="31F011E2">
      <w:pPr>
        <w:rPr>
          <w:rFonts w:hint="eastAsia"/>
        </w:rPr>
      </w:pPr>
      <w:r>
        <w:rPr>
          <w:rFonts w:hint="eastAsia"/>
        </w:rPr>
        <w:t>长乐一诏安断裂带位于东南沿海丘陵地带，呈北东向平行海岸线展布，该断裂带形迹从福州川石岛、琅岐岛，经长乐、福清、饬石、晋江、厦门、漳浦至诏安一带，延伸总长度大于350公里，为福建沿海大断裂。其形迹在福清绵亭岭至渔溪地段最大宽度可达10多公里。由动力变质带、断裂、硅化带、片理化带组成。断裂走向北东45°、倾向南东、倾角65-75°。循断裂常见花岗斑岩、钾长斑岩、石英脉、辉绿岩或煌斑岩脉侵入，形成岩墙或脉群带，说明该断裂具有多期活动的特点。第四纪时期断裂仍有明显活动性，具压扭性力学性质。据断层活动年代测定表明，这些断裂明显活动时代为中更新世，晚更新世以来，在断裂仅某些局部地段，特别是与北西向断裂交汇部位(漳州、泉州断陷盆地等地)仍有活动。如1937年莆田5.0级、以及在惠安、安溪、晋江安海等地一5级地震发生等。</w:t>
      </w:r>
    </w:p>
    <w:p w14:paraId="54EB7DC0">
      <w:pPr>
        <w:rPr>
          <w:rFonts w:hint="eastAsia"/>
        </w:rPr>
      </w:pPr>
      <w:r>
        <w:rPr>
          <w:rFonts w:hint="eastAsia"/>
        </w:rPr>
        <w:t>受该构造影响的段落主要位于扩建段，影响的构造物主要为桥梁及路基。</w:t>
      </w:r>
    </w:p>
    <w:p w14:paraId="397878B7">
      <w:pPr>
        <w:pStyle w:val="5"/>
        <w:numPr>
          <w:ilvl w:val="2"/>
          <w:numId w:val="0"/>
        </w:numPr>
        <w:spacing w:line="360" w:lineRule="auto"/>
        <w:ind w:left="720" w:leftChars="0" w:hanging="720" w:firstLineChars="0"/>
        <w:rPr>
          <w:rFonts w:hint="eastAsia" w:ascii="宋体" w:hAnsi="宋体" w:eastAsia="宋体" w:cs="宋体"/>
          <w:color w:val="auto"/>
        </w:rPr>
      </w:pPr>
      <w:bookmarkStart w:id="230" w:name="_Toc3892"/>
      <w:r>
        <w:rPr>
          <w:rFonts w:hint="default" w:ascii="宋体" w:hAnsi="宋体" w:eastAsia="宋体" w:cs="Times New Roman"/>
          <w:b/>
          <w:bCs/>
          <w:color w:val="auto"/>
          <w:kern w:val="2"/>
          <w:sz w:val="30"/>
          <w:szCs w:val="32"/>
          <w:lang w:val="en-US" w:eastAsia="zh-CN" w:bidi="ar-SA"/>
        </w:rPr>
        <w:t>3.</w:t>
      </w:r>
      <w:r>
        <w:rPr>
          <w:rFonts w:hint="eastAsia" w:ascii="宋体" w:hAnsi="宋体" w:cs="Times New Roman"/>
          <w:b/>
          <w:bCs/>
          <w:color w:val="auto"/>
          <w:kern w:val="2"/>
          <w:sz w:val="30"/>
          <w:szCs w:val="32"/>
          <w:lang w:val="en-US" w:eastAsia="zh-CN" w:bidi="ar-SA"/>
        </w:rPr>
        <w:t>7</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宋体"/>
          <w:color w:val="auto"/>
        </w:rPr>
        <w:t>3</w:t>
      </w:r>
      <w:r>
        <w:rPr>
          <w:rFonts w:hint="eastAsia" w:ascii="宋体" w:hAnsi="宋体" w:cs="宋体"/>
          <w:color w:val="auto"/>
          <w:lang w:val="en-US" w:eastAsia="zh-CN"/>
        </w:rPr>
        <w:t>.</w:t>
      </w:r>
      <w:r>
        <w:rPr>
          <w:rFonts w:hint="eastAsia" w:ascii="宋体" w:hAnsi="宋体" w:eastAsia="宋体" w:cs="宋体"/>
          <w:color w:val="auto"/>
        </w:rPr>
        <w:t>水文地质条件</w:t>
      </w:r>
      <w:bookmarkEnd w:id="230"/>
    </w:p>
    <w:p w14:paraId="5CC992C9">
      <w:pPr>
        <w:rPr>
          <w:rFonts w:hint="eastAsia"/>
        </w:rPr>
      </w:pPr>
      <w:r>
        <w:rPr>
          <w:rFonts w:hint="default"/>
          <w:lang w:val="en-US" w:eastAsia="zh-CN"/>
        </w:rPr>
        <w:t>3.</w:t>
      </w:r>
      <w:r>
        <w:rPr>
          <w:rFonts w:hint="eastAsia"/>
          <w:lang w:val="en-US" w:eastAsia="zh-CN"/>
        </w:rPr>
        <w:t>7</w:t>
      </w:r>
      <w:r>
        <w:rPr>
          <w:rFonts w:hint="default"/>
          <w:lang w:val="en-US" w:eastAsia="zh-CN"/>
        </w:rPr>
        <w:t>.</w:t>
      </w:r>
      <w:r>
        <w:rPr>
          <w:rFonts w:hint="eastAsia"/>
        </w:rPr>
        <w:t>3.1地表水</w:t>
      </w:r>
    </w:p>
    <w:p w14:paraId="04025516">
      <w:pPr>
        <w:rPr>
          <w:rFonts w:hint="eastAsia"/>
        </w:rPr>
      </w:pPr>
      <w:r>
        <w:rPr>
          <w:rFonts w:hint="eastAsia"/>
        </w:rPr>
        <w:t>测区水系发育，呈树枝状及羽状广布全区，测区中部区域属漳江水系流域，主要支流有火田溪、安厚溪、车圩溪、南溪、山美溪;测区西南部区域属东溪水系流域，主要支流有庵下溪、金溪、赤水溪。上述两条流域均大致由北西向南东方向流经测区，分别于云霄县、诏安县入海。受地貌形态影响，河谷形态在不同地貌单元有明显差异，山地区河流水系成树枝状，河谷深切，岸坡陡峭，横断面呈“V”字形，水流湍急，纵坡降小，河曲发育。河水流量明显受降雨量影响，暴雨时河水猛涨，积涝成灾，损失巨大;旱季水量剧减，河水枯竭。</w:t>
      </w:r>
    </w:p>
    <w:p w14:paraId="60416DB1">
      <w:pPr>
        <w:rPr>
          <w:rFonts w:hint="eastAsia"/>
          <w:lang w:val="en-US" w:eastAsia="zh-CN"/>
        </w:rPr>
      </w:pPr>
      <w:r>
        <w:rPr>
          <w:rFonts w:hint="default"/>
          <w:lang w:val="en-US" w:eastAsia="zh-CN"/>
        </w:rPr>
        <w:t>3.</w:t>
      </w:r>
      <w:r>
        <w:rPr>
          <w:rFonts w:hint="eastAsia"/>
          <w:lang w:val="en-US" w:eastAsia="zh-CN"/>
        </w:rPr>
        <w:t>7</w:t>
      </w:r>
      <w:r>
        <w:rPr>
          <w:rFonts w:hint="default"/>
          <w:lang w:val="en-US" w:eastAsia="zh-CN"/>
        </w:rPr>
        <w:t>.</w:t>
      </w:r>
      <w:r>
        <w:rPr>
          <w:rFonts w:hint="eastAsia"/>
        </w:rPr>
        <w:t>3.</w:t>
      </w:r>
      <w:r>
        <w:rPr>
          <w:rFonts w:hint="eastAsia"/>
          <w:lang w:val="en-US" w:eastAsia="zh-CN"/>
        </w:rPr>
        <w:t>2地下水</w:t>
      </w:r>
    </w:p>
    <w:p w14:paraId="0C8DAB40">
      <w:pPr>
        <w:rPr>
          <w:rFonts w:hint="eastAsia" w:eastAsia="宋体"/>
          <w:lang w:eastAsia="zh-CN"/>
        </w:rPr>
      </w:pPr>
      <w:r>
        <w:rPr>
          <w:rFonts w:hint="eastAsia"/>
        </w:rPr>
        <w:t>测区内地貌主要为冲洪积平原、冲海积平原为主。按地下水的赋存条件、水理性质及水力特征分为第四系坡残积、冲洪积、冲海积层孔隙水、基岩风化层孔隙裂隙水、基岩构造裂隙水三种类型</w:t>
      </w:r>
      <w:r>
        <w:rPr>
          <w:rFonts w:hint="eastAsia"/>
          <w:lang w:eastAsia="zh-CN"/>
        </w:rPr>
        <w:t>：</w:t>
      </w:r>
    </w:p>
    <w:p w14:paraId="0EBB0DB1">
      <w:pPr>
        <w:rPr>
          <w:rFonts w:hint="eastAsia"/>
          <w:lang w:eastAsia="zh-CN"/>
        </w:rPr>
      </w:pPr>
      <w:r>
        <w:rPr>
          <w:rFonts w:hint="default"/>
          <w:lang w:val="en-US" w:eastAsia="zh-CN"/>
        </w:rPr>
        <w:t>3.</w:t>
      </w:r>
      <w:r>
        <w:rPr>
          <w:rFonts w:hint="eastAsia"/>
          <w:lang w:val="en-US" w:eastAsia="zh-CN"/>
        </w:rPr>
        <w:t>7</w:t>
      </w:r>
      <w:r>
        <w:rPr>
          <w:rFonts w:hint="default"/>
          <w:lang w:val="en-US" w:eastAsia="zh-CN"/>
        </w:rPr>
        <w:t>.</w:t>
      </w:r>
      <w:r>
        <w:rPr>
          <w:rFonts w:hint="eastAsia"/>
        </w:rPr>
        <w:t>3.</w:t>
      </w:r>
      <w:r>
        <w:rPr>
          <w:rFonts w:hint="eastAsia"/>
          <w:lang w:val="en-US" w:eastAsia="zh-CN"/>
        </w:rPr>
        <w:t>2</w:t>
      </w:r>
      <w:r>
        <w:rPr>
          <w:rFonts w:hint="eastAsia"/>
          <w:lang w:eastAsia="zh-CN"/>
        </w:rPr>
        <w:t>.1第四系孔隙水:</w:t>
      </w:r>
    </w:p>
    <w:p w14:paraId="09698ED4">
      <w:pPr>
        <w:rPr>
          <w:rFonts w:hint="eastAsia"/>
          <w:lang w:eastAsia="zh-CN"/>
        </w:rPr>
      </w:pPr>
      <w:r>
        <w:rPr>
          <w:rFonts w:hint="eastAsia"/>
          <w:lang w:eastAsia="zh-CN"/>
        </w:rPr>
        <w:t>主要分布于区内的山间洼地、河流阶地、沟谷和地形低洼处及冲海积平原处，岩性为第四系冲洪积的砂、砾石层、碎石土及含碎石粉质粘土及冲海积砂层，厚度一般0.5~6.00m不等，局部7~20m。含孔隙水，水位埋深浅，受季节影响动态特征变化较大。地下水接受大气降水和地表水补给，冲海积地下水接受海水补给，其水位线与地形形态基本一致，与地表水呈季节性互补关系，并补给下伏风化壳孔隙裂隙水和基岩裂隙水。地下水的富水性一般为中～富水等级，单井涌水量可达500~1000m'/d，地下水多为潜水，部分为承压水，水量较为丰富。水化学类型为HCO.Ca Na型、HCO。S0.Ca Na型及CL-HCO, Na Ca型水,矿化度一般小于200mg/L~20000mg/L。</w:t>
      </w:r>
    </w:p>
    <w:p w14:paraId="7187B93D">
      <w:pPr>
        <w:rPr>
          <w:rFonts w:hint="eastAsia"/>
          <w:lang w:eastAsia="zh-CN"/>
        </w:rPr>
      </w:pPr>
      <w:r>
        <w:rPr>
          <w:rFonts w:hint="eastAsia"/>
          <w:lang w:eastAsia="zh-CN"/>
        </w:rPr>
        <w:t>区内孔隙水接受大气降水的补给，一部分入渗补给下伏的孔隙裂隙水和基岩裂隙水，一部分向附近的沟谷与河谷排泄，补给地表水，没有明显的补给、径流和排泄分区。</w:t>
      </w:r>
    </w:p>
    <w:p w14:paraId="13AFE684">
      <w:pPr>
        <w:rPr>
          <w:rFonts w:hint="eastAsia"/>
          <w:lang w:val="en-US" w:eastAsia="zh-CN"/>
        </w:rPr>
      </w:pPr>
      <w:r>
        <w:rPr>
          <w:rFonts w:hint="default"/>
          <w:lang w:val="en-US" w:eastAsia="zh-CN"/>
        </w:rPr>
        <w:t>3.</w:t>
      </w:r>
      <w:r>
        <w:rPr>
          <w:rFonts w:hint="eastAsia"/>
          <w:lang w:val="en-US" w:eastAsia="zh-CN"/>
        </w:rPr>
        <w:t>7</w:t>
      </w:r>
      <w:r>
        <w:rPr>
          <w:rFonts w:hint="default"/>
          <w:lang w:val="en-US" w:eastAsia="zh-CN"/>
        </w:rPr>
        <w:t>.</w:t>
      </w:r>
      <w:r>
        <w:rPr>
          <w:rFonts w:hint="eastAsia"/>
        </w:rPr>
        <w:t>3.</w:t>
      </w:r>
      <w:r>
        <w:rPr>
          <w:rFonts w:hint="eastAsia"/>
          <w:lang w:val="en-US" w:eastAsia="zh-CN"/>
        </w:rPr>
        <w:t>2.2基岩风化层孔隙裂隙水</w:t>
      </w:r>
      <w:r>
        <w:rPr>
          <w:rFonts w:hint="eastAsia"/>
          <w:lang w:eastAsia="zh-CN"/>
        </w:rPr>
        <w:t>:</w:t>
      </w:r>
    </w:p>
    <w:p w14:paraId="27227F8E">
      <w:pPr>
        <w:rPr>
          <w:rFonts w:hint="eastAsia"/>
          <w:lang w:eastAsia="zh-CN"/>
        </w:rPr>
      </w:pPr>
      <w:r>
        <w:rPr>
          <w:rFonts w:hint="eastAsia"/>
          <w:lang w:eastAsia="zh-CN"/>
        </w:rPr>
        <w:t>分布于区内各类岩石的强风化带和全风化带中为网状孔隙裂隙水，地下水主要接受大气降水的补给，受季节影响水量及水位埋深变化较大，地下水的富水性弱～极弱，一般单井涌水量小于10m/d。地下水一般为潜水，局部属微承压水，水化学类型为HCO,Ca·Na型、HCO,Ca·Mg型和HCo· SO.Na· Mg型水，矿化度一般小于200mg/L~300mg/L。</w:t>
      </w:r>
    </w:p>
    <w:p w14:paraId="613DC5F5">
      <w:pPr>
        <w:rPr>
          <w:rFonts w:hint="eastAsia"/>
          <w:lang w:eastAsia="zh-CN"/>
        </w:rPr>
      </w:pPr>
      <w:r>
        <w:rPr>
          <w:rFonts w:hint="eastAsia"/>
          <w:lang w:eastAsia="zh-CN"/>
        </w:rPr>
        <w:t>风化带孔隙裂隙水接受大气降水的补给，受地形条件的影响和限制，地下水分水岭和地表水分水岭基本一致，其特征表现为流程短，水力坡度大，一般就地补给，就地排泄。地下水多以地形分水岭为界各自构成相对独立的水文地质单元。</w:t>
      </w:r>
    </w:p>
    <w:p w14:paraId="202E0C8C">
      <w:pPr>
        <w:rPr>
          <w:rFonts w:hint="eastAsia"/>
          <w:lang w:eastAsia="zh-CN"/>
        </w:rPr>
      </w:pPr>
      <w:r>
        <w:rPr>
          <w:rFonts w:hint="default"/>
          <w:lang w:val="en-US" w:eastAsia="zh-CN"/>
        </w:rPr>
        <w:t>3.</w:t>
      </w:r>
      <w:r>
        <w:rPr>
          <w:rFonts w:hint="eastAsia"/>
          <w:lang w:val="en-US" w:eastAsia="zh-CN"/>
        </w:rPr>
        <w:t>7</w:t>
      </w:r>
      <w:r>
        <w:rPr>
          <w:rFonts w:hint="default"/>
          <w:lang w:val="en-US" w:eastAsia="zh-CN"/>
        </w:rPr>
        <w:t>.</w:t>
      </w:r>
      <w:r>
        <w:rPr>
          <w:rFonts w:hint="eastAsia"/>
        </w:rPr>
        <w:t>3.</w:t>
      </w:r>
      <w:r>
        <w:rPr>
          <w:rFonts w:hint="eastAsia"/>
          <w:lang w:val="en-US" w:eastAsia="zh-CN"/>
        </w:rPr>
        <w:t>2</w:t>
      </w:r>
      <w:r>
        <w:rPr>
          <w:rFonts w:hint="eastAsia"/>
          <w:lang w:eastAsia="zh-CN"/>
        </w:rPr>
        <w:t>.3基岩构造裂隙水:</w:t>
      </w:r>
    </w:p>
    <w:p w14:paraId="07FD87E2">
      <w:pPr>
        <w:rPr>
          <w:rFonts w:hint="eastAsia"/>
          <w:lang w:eastAsia="zh-CN"/>
        </w:rPr>
      </w:pPr>
      <w:r>
        <w:rPr>
          <w:rFonts w:hint="eastAsia"/>
          <w:lang w:eastAsia="zh-CN"/>
        </w:rPr>
        <w:t>赋存于区内各类岩石的构造裂隙、层状裂隙和断裂破碎带中，为基岩裂隙水，地下水接受大气降水和上部其它含水层(体）地下水的补给，其动态特征受季节影响变化不大。区内基岩裂隙水的富水性一般为弱~极弱，但局部断裂破碎带和节理裂隙密集带的富水性较好，可达中等，地下水多为承压水,循环交替条件较为复杂。地下水的水化学类型为HCO。S0,。Ca ·Na和HCO,Ca Na型水，矿化度一般小于200mg/L~300mg/L。</w:t>
      </w:r>
    </w:p>
    <w:p w14:paraId="440538EE">
      <w:pPr>
        <w:rPr>
          <w:rFonts w:hint="eastAsia"/>
          <w:lang w:eastAsia="zh-CN"/>
        </w:rPr>
      </w:pPr>
      <w:r>
        <w:rPr>
          <w:rFonts w:hint="eastAsia"/>
          <w:lang w:eastAsia="zh-CN"/>
        </w:rPr>
        <w:t>基岩裂隙水接受大气降水的补给，通过断裂破碎带，节理裂隙密集带为导水运移的通道向区内最低侵蚀基准面排泄，经深循环后排出地表，补给河水和其他地表水。</w:t>
      </w:r>
    </w:p>
    <w:p w14:paraId="5C58C4BB">
      <w:pPr>
        <w:rPr>
          <w:rFonts w:hint="eastAsia"/>
          <w:lang w:val="en-US" w:eastAsia="zh-CN"/>
        </w:rPr>
      </w:pPr>
      <w:r>
        <w:rPr>
          <w:rFonts w:hint="default"/>
          <w:lang w:val="en-US" w:eastAsia="zh-CN"/>
        </w:rPr>
        <w:t>3.</w:t>
      </w:r>
      <w:r>
        <w:rPr>
          <w:rFonts w:hint="eastAsia"/>
          <w:lang w:val="en-US" w:eastAsia="zh-CN"/>
        </w:rPr>
        <w:t>7</w:t>
      </w:r>
      <w:r>
        <w:rPr>
          <w:rFonts w:hint="default"/>
          <w:lang w:val="en-US" w:eastAsia="zh-CN"/>
        </w:rPr>
        <w:t>.</w:t>
      </w:r>
      <w:r>
        <w:rPr>
          <w:rFonts w:hint="eastAsia"/>
        </w:rPr>
        <w:t>3.</w:t>
      </w:r>
      <w:r>
        <w:rPr>
          <w:rFonts w:hint="eastAsia"/>
          <w:lang w:val="en-US" w:eastAsia="zh-CN"/>
        </w:rPr>
        <w:t>3地下水的补给、运流及排泄</w:t>
      </w:r>
    </w:p>
    <w:p w14:paraId="2DF59CED">
      <w:pPr>
        <w:rPr>
          <w:rFonts w:hint="eastAsia"/>
          <w:lang w:eastAsia="zh-CN"/>
        </w:rPr>
      </w:pPr>
      <w:r>
        <w:rPr>
          <w:rFonts w:hint="eastAsia"/>
          <w:lang w:eastAsia="zh-CN"/>
        </w:rPr>
        <w:t>沿线地下水的补、运、排条件主要受本区的地形、地貌、地层岩性制约。丘陵区植被发育，地形切割强烈、坡度较陡，降水顺坡流失快，地下水运流途径短，排泄条件好，多以侧向排泄补给沟谷、冲沟或以泉的形式排泄。降雨是本区地下水的主要补给来源，地下水动态受降水影响较为明显。</w:t>
      </w:r>
    </w:p>
    <w:p w14:paraId="63D5F1C5">
      <w:pPr>
        <w:rPr>
          <w:rFonts w:hint="eastAsia"/>
          <w:lang w:eastAsia="zh-CN"/>
        </w:rPr>
      </w:pPr>
      <w:r>
        <w:rPr>
          <w:rFonts w:hint="eastAsia"/>
          <w:lang w:eastAsia="zh-CN"/>
        </w:rPr>
        <w:t>山间谷地、小盆地及冲洪积河流阶地，地形较低洼、平坦、常呈条带状展布，地下水的主要补给来源于盆地外围基岩裂隙水侧向补给、河水侧向补给及降水的垂向补给。地下水运流途径较山区长，且缓慢，一般向河谷方向排泄。地下水动态受季节性影响明显，洪水期，河水补给地下水，地下水位抬高;枯水期，平水期则地下水补给河水。</w:t>
      </w:r>
    </w:p>
    <w:p w14:paraId="61F79E16">
      <w:pPr>
        <w:rPr>
          <w:rFonts w:hint="eastAsia"/>
          <w:lang w:eastAsia="zh-CN"/>
        </w:rPr>
      </w:pPr>
      <w:r>
        <w:rPr>
          <w:rFonts w:hint="default"/>
          <w:lang w:val="en-US" w:eastAsia="zh-CN"/>
        </w:rPr>
        <w:t>3.</w:t>
      </w:r>
      <w:r>
        <w:rPr>
          <w:rFonts w:hint="eastAsia"/>
          <w:lang w:val="en-US" w:eastAsia="zh-CN"/>
        </w:rPr>
        <w:t>7</w:t>
      </w:r>
      <w:r>
        <w:rPr>
          <w:rFonts w:hint="default"/>
          <w:lang w:val="en-US" w:eastAsia="zh-CN"/>
        </w:rPr>
        <w:t>.</w:t>
      </w:r>
      <w:r>
        <w:rPr>
          <w:rFonts w:hint="eastAsia"/>
          <w:lang w:eastAsia="zh-CN"/>
        </w:rPr>
        <w:t>3.4水质的腐蚀性</w:t>
      </w:r>
    </w:p>
    <w:p w14:paraId="25AD05E0">
      <w:pPr>
        <w:rPr>
          <w:rFonts w:hint="eastAsia"/>
          <w:lang w:eastAsia="zh-CN"/>
        </w:rPr>
      </w:pPr>
      <w:r>
        <w:rPr>
          <w:rFonts w:hint="eastAsia"/>
          <w:lang w:eastAsia="zh-CN"/>
        </w:rPr>
        <w:t>据分析成果，沿线区内地表水体及大部分冲洪积砂、砾卵石层孔隙潜水水质对砼具微-中腐蚀性，冲海积平原砂层孔隙潜水水质对砼具弱一强腐蚀性。</w:t>
      </w:r>
    </w:p>
    <w:p w14:paraId="2FB2A305">
      <w:pPr>
        <w:pStyle w:val="5"/>
        <w:numPr>
          <w:ilvl w:val="2"/>
          <w:numId w:val="0"/>
        </w:numPr>
        <w:spacing w:line="360" w:lineRule="auto"/>
        <w:ind w:left="720" w:leftChars="0" w:hanging="720" w:firstLineChars="0"/>
        <w:rPr>
          <w:rFonts w:hint="default" w:ascii="宋体" w:hAnsi="宋体" w:eastAsia="宋体" w:cs="Times New Roman"/>
          <w:b/>
          <w:bCs/>
          <w:color w:val="auto"/>
          <w:kern w:val="2"/>
          <w:sz w:val="30"/>
          <w:szCs w:val="32"/>
          <w:lang w:val="en-US" w:eastAsia="zh-CN" w:bidi="ar-SA"/>
        </w:rPr>
      </w:pPr>
      <w:bookmarkStart w:id="231" w:name="_Toc5402"/>
      <w:r>
        <w:rPr>
          <w:rFonts w:hint="default" w:ascii="宋体" w:hAnsi="宋体" w:eastAsia="宋体" w:cs="Times New Roman"/>
          <w:b/>
          <w:bCs/>
          <w:color w:val="auto"/>
          <w:kern w:val="2"/>
          <w:sz w:val="30"/>
          <w:szCs w:val="32"/>
          <w:lang w:val="en-US" w:eastAsia="zh-CN" w:bidi="ar-SA"/>
        </w:rPr>
        <w:t>3.</w:t>
      </w:r>
      <w:r>
        <w:rPr>
          <w:rFonts w:hint="eastAsia" w:ascii="宋体" w:hAnsi="宋体" w:cs="Times New Roman"/>
          <w:b/>
          <w:bCs/>
          <w:color w:val="auto"/>
          <w:kern w:val="2"/>
          <w:sz w:val="30"/>
          <w:szCs w:val="32"/>
          <w:lang w:val="en-US" w:eastAsia="zh-CN" w:bidi="ar-SA"/>
        </w:rPr>
        <w:t>7</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4</w:t>
      </w:r>
      <w:r>
        <w:rPr>
          <w:rFonts w:hint="eastAsia" w:ascii="宋体" w:hAnsi="宋体" w:cs="宋体"/>
          <w:color w:val="auto"/>
          <w:lang w:val="en-US" w:eastAsia="zh-CN"/>
        </w:rPr>
        <w:t>.</w:t>
      </w:r>
      <w:r>
        <w:rPr>
          <w:rFonts w:hint="default" w:ascii="宋体" w:hAnsi="宋体" w:eastAsia="宋体" w:cs="Times New Roman"/>
          <w:b/>
          <w:bCs/>
          <w:color w:val="auto"/>
          <w:kern w:val="2"/>
          <w:sz w:val="30"/>
          <w:szCs w:val="32"/>
          <w:lang w:val="en-US" w:eastAsia="zh-CN" w:bidi="ar-SA"/>
        </w:rPr>
        <w:t>不良地质及特殊性岩</w:t>
      </w:r>
      <w:r>
        <w:rPr>
          <w:rFonts w:hint="eastAsia" w:ascii="宋体" w:hAnsi="宋体" w:cs="Times New Roman"/>
          <w:b/>
          <w:bCs/>
          <w:color w:val="auto"/>
          <w:kern w:val="2"/>
          <w:sz w:val="30"/>
          <w:szCs w:val="32"/>
          <w:lang w:val="en-US" w:eastAsia="zh-CN" w:bidi="ar-SA"/>
        </w:rPr>
        <w:t>（</w:t>
      </w:r>
      <w:r>
        <w:rPr>
          <w:rFonts w:hint="default" w:ascii="宋体" w:hAnsi="宋体" w:eastAsia="宋体" w:cs="Times New Roman"/>
          <w:b/>
          <w:bCs/>
          <w:color w:val="auto"/>
          <w:kern w:val="2"/>
          <w:sz w:val="30"/>
          <w:szCs w:val="32"/>
          <w:lang w:val="en-US" w:eastAsia="zh-CN" w:bidi="ar-SA"/>
        </w:rPr>
        <w:t>土</w:t>
      </w:r>
      <w:r>
        <w:rPr>
          <w:rFonts w:hint="eastAsia" w:ascii="宋体" w:hAnsi="宋体" w:cs="Times New Roman"/>
          <w:b/>
          <w:bCs/>
          <w:color w:val="auto"/>
          <w:kern w:val="2"/>
          <w:sz w:val="30"/>
          <w:szCs w:val="32"/>
          <w:lang w:val="en-US" w:eastAsia="zh-CN" w:bidi="ar-SA"/>
        </w:rPr>
        <w:t>）体</w:t>
      </w:r>
      <w:bookmarkEnd w:id="231"/>
    </w:p>
    <w:p w14:paraId="7DF67177">
      <w:pPr>
        <w:pStyle w:val="153"/>
        <w:rPr>
          <w:rFonts w:hint="eastAsia" w:ascii="宋体" w:hAnsi="宋体" w:eastAsia="宋体" w:cs="宋体"/>
          <w:szCs w:val="24"/>
        </w:rPr>
      </w:pPr>
      <w:r>
        <w:rPr>
          <w:rFonts w:hint="eastAsia" w:ascii="宋体" w:hAnsi="宋体" w:eastAsia="宋体" w:cs="宋体"/>
          <w:szCs w:val="24"/>
        </w:rPr>
        <w:t>（1）不良地质</w:t>
      </w:r>
    </w:p>
    <w:p w14:paraId="771922FF">
      <w:pPr>
        <w:pStyle w:val="153"/>
        <w:rPr>
          <w:rFonts w:hint="eastAsia" w:ascii="宋体" w:hAnsi="宋体" w:eastAsia="宋体" w:cs="宋体"/>
          <w:szCs w:val="24"/>
        </w:rPr>
      </w:pPr>
      <w:r>
        <w:rPr>
          <w:rFonts w:hint="eastAsia" w:ascii="宋体" w:hAnsi="宋体" w:eastAsia="宋体" w:cs="宋体"/>
          <w:szCs w:val="24"/>
        </w:rPr>
        <w:t>孤、滚石发育：</w:t>
      </w:r>
    </w:p>
    <w:p w14:paraId="0838C08E">
      <w:pPr>
        <w:pStyle w:val="153"/>
        <w:rPr>
          <w:rFonts w:hint="eastAsia" w:ascii="宋体" w:hAnsi="宋体" w:eastAsia="宋体" w:cs="宋体"/>
          <w:szCs w:val="24"/>
        </w:rPr>
      </w:pPr>
      <w:r>
        <w:rPr>
          <w:rFonts w:hint="eastAsia" w:ascii="宋体" w:hAnsi="宋体" w:eastAsia="宋体" w:cs="宋体"/>
          <w:szCs w:val="24"/>
        </w:rPr>
        <w:t>项目场区范围内岩性多为花岗岩类，由于区内节理裂隙发育，花岗岩多存在不均匀风 化现象，据本次野外工程地质调查结果，沿线多处拟建一般路基、边坡段落、桥台及隧道 进出口段山体表面分布有较多孤、滚石，在施工开挖过程中震动易造成孤、滚石失稳。施 工结束后，雨季暴雨冲刷，也易造成孤、滚石失稳，对路线造成一定不利影响。在施工过 程中建议在有条件的情况下清除孤、滚石，并进行支挡。</w:t>
      </w:r>
    </w:p>
    <w:p w14:paraId="67F9441D">
      <w:pPr>
        <w:pStyle w:val="153"/>
        <w:rPr>
          <w:rFonts w:hint="eastAsia" w:ascii="宋体" w:hAnsi="宋体" w:eastAsia="宋体" w:cs="宋体"/>
          <w:szCs w:val="24"/>
        </w:rPr>
      </w:pPr>
      <w:r>
        <w:rPr>
          <w:rFonts w:hint="eastAsia" w:ascii="宋体" w:hAnsi="宋体" w:eastAsia="宋体" w:cs="宋体"/>
          <w:szCs w:val="24"/>
        </w:rPr>
        <w:t>砂土液化：</w:t>
      </w:r>
    </w:p>
    <w:p w14:paraId="3388C752">
      <w:pPr>
        <w:pStyle w:val="153"/>
        <w:rPr>
          <w:rFonts w:hint="eastAsia" w:ascii="宋体" w:hAnsi="宋体" w:eastAsia="宋体" w:cs="宋体"/>
          <w:szCs w:val="24"/>
        </w:rPr>
      </w:pPr>
      <w:r>
        <w:rPr>
          <w:rFonts w:hint="eastAsia" w:ascii="宋体" w:hAnsi="宋体" w:eastAsia="宋体" w:cs="宋体"/>
          <w:szCs w:val="24"/>
        </w:rPr>
        <w:t>根据钻孔揭示，沿线发育厚冲洪积地貌普遍发育松散—稍密状砂层，根据钻孔原位标 准贯入试验确定，沿线砂层主要为轻微—中等液化，该层在地震作用下可能发生液化，建议对指标进行相应折减。</w:t>
      </w:r>
    </w:p>
    <w:p w14:paraId="4BDD8A45">
      <w:pPr>
        <w:pStyle w:val="153"/>
        <w:rPr>
          <w:rFonts w:hint="eastAsia" w:ascii="宋体" w:hAnsi="宋体" w:eastAsia="宋体" w:cs="宋体"/>
          <w:szCs w:val="24"/>
        </w:rPr>
      </w:pPr>
      <w:r>
        <w:rPr>
          <w:rFonts w:hint="eastAsia" w:ascii="宋体" w:hAnsi="宋体" w:eastAsia="宋体" w:cs="宋体"/>
          <w:szCs w:val="24"/>
        </w:rPr>
        <w:t>（2）特殊岩（土）体</w:t>
      </w:r>
    </w:p>
    <w:p w14:paraId="65BD2453">
      <w:pPr>
        <w:pStyle w:val="153"/>
        <w:rPr>
          <w:rFonts w:hint="eastAsia" w:ascii="宋体" w:hAnsi="宋体" w:eastAsia="宋体" w:cs="宋体"/>
          <w:szCs w:val="24"/>
        </w:rPr>
      </w:pPr>
      <w:r>
        <w:rPr>
          <w:rFonts w:hint="eastAsia" w:ascii="宋体" w:hAnsi="宋体" w:eastAsia="宋体" w:cs="宋体"/>
          <w:szCs w:val="24"/>
        </w:rPr>
        <w:t>软土：</w:t>
      </w:r>
    </w:p>
    <w:p w14:paraId="7D6C6DC8">
      <w:pPr>
        <w:pStyle w:val="153"/>
        <w:rPr>
          <w:rFonts w:hint="eastAsia" w:ascii="宋体" w:hAnsi="宋体" w:eastAsia="宋体" w:cs="宋体"/>
          <w:szCs w:val="24"/>
        </w:rPr>
      </w:pPr>
      <w:r>
        <w:rPr>
          <w:rFonts w:hint="eastAsia" w:ascii="宋体" w:hAnsi="宋体" w:eastAsia="宋体" w:cs="宋体"/>
          <w:szCs w:val="24"/>
        </w:rPr>
        <w:t>路线沿线冲洪积地貌内多发育软土，多为水稻田、沼泽地等，地表上覆薄层的流塑 淤泥、淤泥质粘土及软塑粘性土等软土层，厚度变化较大。该类地基土含水量大，孔隙比高，强度低，且在外载作用下有较大的沉降变形，须改良加固后方可利用。</w:t>
      </w:r>
    </w:p>
    <w:p w14:paraId="0C153608">
      <w:pPr>
        <w:pStyle w:val="153"/>
        <w:rPr>
          <w:rFonts w:hint="eastAsia" w:ascii="宋体" w:hAnsi="宋体" w:eastAsia="宋体" w:cs="宋体"/>
          <w:szCs w:val="24"/>
        </w:rPr>
      </w:pPr>
      <w:r>
        <w:rPr>
          <w:rFonts w:hint="eastAsia" w:ascii="宋体" w:hAnsi="宋体" w:eastAsia="宋体" w:cs="宋体"/>
          <w:szCs w:val="24"/>
        </w:rPr>
        <w:t>填土：</w:t>
      </w:r>
    </w:p>
    <w:p w14:paraId="017CA182">
      <w:pPr>
        <w:pStyle w:val="153"/>
        <w:rPr>
          <w:rFonts w:hint="eastAsia" w:ascii="宋体" w:hAnsi="宋体" w:eastAsia="宋体" w:cs="宋体"/>
          <w:szCs w:val="24"/>
        </w:rPr>
      </w:pPr>
      <w:r>
        <w:rPr>
          <w:rFonts w:hint="eastAsia" w:ascii="宋体" w:hAnsi="宋体" w:eastAsia="宋体" w:cs="宋体"/>
          <w:szCs w:val="24"/>
        </w:rPr>
        <w:t>路线沿线局部穿越居民区，厂房区、大棚区及现有国省道等，这些区域地表发育素 填土，成分以砂、粘性土、碎石为主，呈松散—稍密状，稍湿状，厚度不均，成分不均， 局部压实性较差，建议对薄层素填土进行清除，对厚层素填土进行换填或夯实处理后再进行利用。</w:t>
      </w:r>
    </w:p>
    <w:p w14:paraId="6D35F74E">
      <w:pPr>
        <w:pStyle w:val="153"/>
        <w:rPr>
          <w:rFonts w:hint="eastAsia" w:ascii="宋体" w:hAnsi="宋体" w:eastAsia="宋体" w:cs="宋体"/>
          <w:szCs w:val="24"/>
        </w:rPr>
      </w:pPr>
      <w:r>
        <w:rPr>
          <w:rFonts w:hint="eastAsia" w:ascii="宋体" w:hAnsi="宋体" w:eastAsia="宋体" w:cs="宋体"/>
          <w:szCs w:val="24"/>
        </w:rPr>
        <w:t>花岗岩残积土：</w:t>
      </w:r>
    </w:p>
    <w:p w14:paraId="2EF7E3EC">
      <w:pPr>
        <w:pStyle w:val="153"/>
        <w:rPr>
          <w:rFonts w:hint="eastAsia" w:ascii="宋体" w:hAnsi="宋体" w:eastAsia="宋体" w:cs="宋体"/>
          <w:szCs w:val="24"/>
        </w:rPr>
      </w:pPr>
      <w:r>
        <w:rPr>
          <w:rFonts w:hint="eastAsia" w:ascii="宋体" w:hAnsi="宋体" w:eastAsia="宋体" w:cs="宋体"/>
          <w:szCs w:val="24"/>
        </w:rPr>
        <w:t>据本次野外工程地质调查结果，沿线丘陵矮山发育有大片花岗岩残积土，该层具有 泡水易软化、崩解，使强度降低等特征，在较长时间的地下水作用下易产生“流泥”、“流 砂 ”等不良地质现象。若遇上述地层应提前做好排、降水措施，并应及时支护。</w:t>
      </w:r>
    </w:p>
    <w:p w14:paraId="4FBC7FED">
      <w:pPr>
        <w:pStyle w:val="153"/>
        <w:rPr>
          <w:rFonts w:hint="eastAsia" w:ascii="宋体" w:hAnsi="宋体" w:eastAsia="宋体" w:cs="宋体"/>
          <w:szCs w:val="24"/>
        </w:rPr>
      </w:pPr>
      <w:r>
        <w:rPr>
          <w:rFonts w:hint="eastAsia" w:ascii="宋体" w:hAnsi="宋体" w:eastAsia="宋体" w:cs="宋体"/>
          <w:szCs w:val="24"/>
        </w:rPr>
        <w:t>花岗岩残积土往往伴随球状风化体不同程度发育，球状风化是花岗岩地区的典型特 征。沿线球形风化发育对桥梁等构筑物的基岩判别会造成一定影响，应加强对基岩的判断， 这类不均匀风化易形成孤、滚石，沿线的边坡开挖、桥台开挖及隧道边仰坡开挖过程中产 生的爆破震动及短期强降雨，可能造成孤、滚石失稳，建议针对性的进行处理。</w:t>
      </w:r>
    </w:p>
    <w:p w14:paraId="68C48F52">
      <w:pPr>
        <w:pStyle w:val="153"/>
        <w:rPr>
          <w:rFonts w:hint="default" w:ascii="宋体" w:hAnsi="宋体" w:eastAsia="宋体" w:cs="宋体"/>
          <w:szCs w:val="24"/>
          <w:lang w:val="en-US"/>
        </w:rPr>
      </w:pPr>
      <w:r>
        <w:rPr>
          <w:rFonts w:hint="eastAsia" w:ascii="宋体" w:hAnsi="宋体" w:eastAsia="宋体" w:cs="宋体"/>
          <w:szCs w:val="24"/>
        </w:rPr>
        <w:t>此外未见危及线路安全的特殊岩（土）体。</w:t>
      </w:r>
    </w:p>
    <w:p w14:paraId="267307D8">
      <w:pPr>
        <w:pStyle w:val="5"/>
        <w:numPr>
          <w:ilvl w:val="2"/>
          <w:numId w:val="0"/>
        </w:numPr>
        <w:spacing w:line="360" w:lineRule="auto"/>
        <w:ind w:left="720" w:leftChars="0" w:hanging="720" w:firstLineChars="0"/>
        <w:rPr>
          <w:rFonts w:hint="eastAsia" w:ascii="宋体" w:hAnsi="宋体" w:eastAsia="宋体" w:cs="宋体"/>
          <w:color w:val="auto"/>
          <w:lang w:val="en-US" w:eastAsia="zh-CN"/>
        </w:rPr>
      </w:pPr>
      <w:bookmarkStart w:id="232" w:name="_Toc6815"/>
      <w:bookmarkStart w:id="233" w:name="_Toc536132866"/>
      <w:bookmarkStart w:id="234" w:name="_Toc28609"/>
      <w:bookmarkStart w:id="235" w:name="_Toc31660"/>
      <w:bookmarkStart w:id="236" w:name="_Toc22483"/>
      <w:bookmarkStart w:id="237" w:name="_Toc49928259"/>
      <w:bookmarkStart w:id="238" w:name="_Toc15081"/>
      <w:r>
        <w:rPr>
          <w:rFonts w:hint="default" w:ascii="宋体" w:hAnsi="宋体" w:eastAsia="宋体" w:cs="Times New Roman"/>
          <w:b/>
          <w:bCs/>
          <w:color w:val="auto"/>
          <w:kern w:val="2"/>
          <w:sz w:val="30"/>
          <w:szCs w:val="32"/>
          <w:lang w:val="en-US" w:eastAsia="zh-CN" w:bidi="ar-SA"/>
        </w:rPr>
        <w:t>3.</w:t>
      </w:r>
      <w:r>
        <w:rPr>
          <w:rFonts w:hint="eastAsia" w:ascii="宋体" w:hAnsi="宋体" w:cs="Times New Roman"/>
          <w:b/>
          <w:bCs/>
          <w:color w:val="auto"/>
          <w:kern w:val="2"/>
          <w:sz w:val="30"/>
          <w:szCs w:val="32"/>
          <w:lang w:val="en-US" w:eastAsia="zh-CN" w:bidi="ar-SA"/>
        </w:rPr>
        <w:t>7</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5</w:t>
      </w:r>
      <w:r>
        <w:rPr>
          <w:rFonts w:hint="default" w:ascii="宋体" w:hAnsi="宋体" w:eastAsia="宋体" w:cs="Times New Roman"/>
          <w:b/>
          <w:bCs/>
          <w:color w:val="auto"/>
          <w:kern w:val="2"/>
          <w:sz w:val="30"/>
          <w:szCs w:val="32"/>
          <w:lang w:val="en-US" w:eastAsia="zh-CN" w:bidi="ar-SA"/>
        </w:rPr>
        <w:t>.</w:t>
      </w:r>
      <w:bookmarkEnd w:id="232"/>
      <w:bookmarkEnd w:id="233"/>
      <w:bookmarkEnd w:id="234"/>
      <w:bookmarkEnd w:id="235"/>
      <w:bookmarkEnd w:id="236"/>
      <w:bookmarkEnd w:id="237"/>
      <w:r>
        <w:rPr>
          <w:rFonts w:hint="eastAsia" w:ascii="宋体" w:hAnsi="宋体" w:eastAsia="宋体" w:cs="宋体"/>
          <w:color w:val="auto"/>
          <w:lang w:val="en-US" w:eastAsia="zh-CN"/>
        </w:rPr>
        <w:t>地震</w:t>
      </w:r>
      <w:bookmarkEnd w:id="238"/>
    </w:p>
    <w:p w14:paraId="09AE6992">
      <w:pPr>
        <w:pStyle w:val="153"/>
        <w:rPr>
          <w:rFonts w:hint="eastAsia" w:ascii="宋体" w:hAnsi="宋体" w:eastAsia="宋体" w:cs="宋体"/>
          <w:szCs w:val="24"/>
        </w:rPr>
      </w:pPr>
      <w:r>
        <w:rPr>
          <w:rFonts w:hint="eastAsia" w:ascii="宋体" w:hAnsi="宋体" w:eastAsia="宋体" w:cs="宋体"/>
          <w:szCs w:val="24"/>
        </w:rPr>
        <w:t>（1）地震活动性综合分析</w:t>
      </w:r>
    </w:p>
    <w:p w14:paraId="7689D7CF">
      <w:pPr>
        <w:pStyle w:val="153"/>
        <w:rPr>
          <w:rFonts w:hint="eastAsia" w:ascii="宋体" w:hAnsi="宋体" w:eastAsia="宋体" w:cs="宋体"/>
          <w:szCs w:val="24"/>
        </w:rPr>
      </w:pPr>
      <w:r>
        <w:rPr>
          <w:rFonts w:hint="eastAsia" w:ascii="宋体" w:hAnsi="宋体" w:eastAsia="宋体" w:cs="宋体"/>
          <w:szCs w:val="24"/>
        </w:rPr>
        <w:t xml:space="preserve">区域范围内自公元 963 年以来共记载到 M≥4.7 级地震 49 次，其中漳州 1185 年 6 月 15 日 6 </w:t>
      </w:r>
      <w:r>
        <w:rPr>
          <w:rFonts w:hint="eastAsia" w:ascii="宋体" w:hAnsi="宋体" w:eastAsia="宋体" w:cs="宋体"/>
          <w:szCs w:val="24"/>
        </w:rPr>
        <w:drawing>
          <wp:inline distT="0" distB="0" distL="114300" distR="114300">
            <wp:extent cx="69850" cy="153670"/>
            <wp:effectExtent l="0" t="0" r="6350" b="13970"/>
            <wp:docPr id="1458" name="图片 5"/>
            <wp:cNvGraphicFramePr/>
            <a:graphic xmlns:a="http://schemas.openxmlformats.org/drawingml/2006/main">
              <a:graphicData uri="http://schemas.openxmlformats.org/drawingml/2006/picture">
                <pic:pic xmlns:pic="http://schemas.openxmlformats.org/drawingml/2006/picture">
                  <pic:nvPicPr>
                    <pic:cNvPr id="1458" name="图片 5"/>
                    <pic:cNvPicPr/>
                  </pic:nvPicPr>
                  <pic:blipFill>
                    <a:blip r:embed="rId22"/>
                    <a:stretch>
                      <a:fillRect/>
                    </a:stretch>
                  </pic:blipFill>
                  <pic:spPr>
                    <a:xfrm>
                      <a:off x="0" y="0"/>
                      <a:ext cx="69850" cy="153670"/>
                    </a:xfrm>
                    <a:prstGeom prst="rect">
                      <a:avLst/>
                    </a:prstGeom>
                    <a:noFill/>
                    <a:ln>
                      <a:noFill/>
                    </a:ln>
                  </pic:spPr>
                </pic:pic>
              </a:graphicData>
            </a:graphic>
          </wp:inline>
        </w:drawing>
      </w:r>
      <w:r>
        <w:rPr>
          <w:rFonts w:hint="eastAsia" w:ascii="宋体" w:hAnsi="宋体" w:eastAsia="宋体" w:cs="宋体"/>
          <w:szCs w:val="24"/>
        </w:rPr>
        <w:t xml:space="preserve">级地震和 1445 年 12 月 21 日 6 </w:t>
      </w:r>
      <w:r>
        <w:rPr>
          <w:rFonts w:hint="eastAsia" w:ascii="宋体" w:hAnsi="宋体" w:eastAsia="宋体" w:cs="宋体"/>
          <w:szCs w:val="24"/>
        </w:rPr>
        <w:drawing>
          <wp:inline distT="0" distB="0" distL="114300" distR="114300">
            <wp:extent cx="69850" cy="153670"/>
            <wp:effectExtent l="0" t="0" r="6350" b="13970"/>
            <wp:docPr id="1459" name="图片 6"/>
            <wp:cNvGraphicFramePr/>
            <a:graphic xmlns:a="http://schemas.openxmlformats.org/drawingml/2006/main">
              <a:graphicData uri="http://schemas.openxmlformats.org/drawingml/2006/picture">
                <pic:pic xmlns:pic="http://schemas.openxmlformats.org/drawingml/2006/picture">
                  <pic:nvPicPr>
                    <pic:cNvPr id="1459" name="图片 6"/>
                    <pic:cNvPicPr/>
                  </pic:nvPicPr>
                  <pic:blipFill>
                    <a:blip r:embed="rId23"/>
                    <a:stretch>
                      <a:fillRect/>
                    </a:stretch>
                  </pic:blipFill>
                  <pic:spPr>
                    <a:xfrm>
                      <a:off x="0" y="0"/>
                      <a:ext cx="69850" cy="153670"/>
                    </a:xfrm>
                    <a:prstGeom prst="rect">
                      <a:avLst/>
                    </a:prstGeom>
                    <a:noFill/>
                    <a:ln>
                      <a:noFill/>
                    </a:ln>
                  </pic:spPr>
                </pic:pic>
              </a:graphicData>
            </a:graphic>
          </wp:inline>
        </w:drawing>
      </w:r>
      <w:r>
        <w:rPr>
          <w:rFonts w:hint="eastAsia" w:ascii="宋体" w:hAnsi="宋体" w:eastAsia="宋体" w:cs="宋体"/>
          <w:szCs w:val="24"/>
        </w:rPr>
        <w:t xml:space="preserve">级地震对部分线路最大影响烈度达 Ⅷ度； 1604 年 12 月 29 日泉州海外 7 </w:t>
      </w:r>
      <w:r>
        <w:rPr>
          <w:rFonts w:hint="eastAsia" w:ascii="宋体" w:hAnsi="宋体" w:eastAsia="宋体" w:cs="宋体"/>
          <w:szCs w:val="24"/>
        </w:rPr>
        <w:drawing>
          <wp:inline distT="0" distB="0" distL="114300" distR="114300">
            <wp:extent cx="69850" cy="153670"/>
            <wp:effectExtent l="0" t="0" r="6350" b="13970"/>
            <wp:docPr id="1460" name="图片 7"/>
            <wp:cNvGraphicFramePr/>
            <a:graphic xmlns:a="http://schemas.openxmlformats.org/drawingml/2006/main">
              <a:graphicData uri="http://schemas.openxmlformats.org/drawingml/2006/picture">
                <pic:pic xmlns:pic="http://schemas.openxmlformats.org/drawingml/2006/picture">
                  <pic:nvPicPr>
                    <pic:cNvPr id="1460" name="图片 7"/>
                    <pic:cNvPicPr/>
                  </pic:nvPicPr>
                  <pic:blipFill>
                    <a:blip r:embed="rId24"/>
                    <a:stretch>
                      <a:fillRect/>
                    </a:stretch>
                  </pic:blipFill>
                  <pic:spPr>
                    <a:xfrm>
                      <a:off x="0" y="0"/>
                      <a:ext cx="69850" cy="153670"/>
                    </a:xfrm>
                    <a:prstGeom prst="rect">
                      <a:avLst/>
                    </a:prstGeom>
                    <a:noFill/>
                    <a:ln>
                      <a:noFill/>
                    </a:ln>
                  </pic:spPr>
                </pic:pic>
              </a:graphicData>
            </a:graphic>
          </wp:inline>
        </w:drawing>
      </w:r>
      <w:r>
        <w:rPr>
          <w:rFonts w:hint="eastAsia" w:ascii="宋体" w:hAnsi="宋体" w:eastAsia="宋体" w:cs="宋体"/>
          <w:szCs w:val="24"/>
        </w:rPr>
        <w:t xml:space="preserve">级地震、1067 年 11 月 16 日漳州 5 </w:t>
      </w:r>
      <w:r>
        <w:rPr>
          <w:rFonts w:hint="eastAsia" w:ascii="宋体" w:hAnsi="宋体" w:eastAsia="宋体" w:cs="宋体"/>
          <w:szCs w:val="24"/>
        </w:rPr>
        <w:drawing>
          <wp:inline distT="0" distB="0" distL="114300" distR="114300">
            <wp:extent cx="73025" cy="153670"/>
            <wp:effectExtent l="0" t="0" r="3175" b="13970"/>
            <wp:docPr id="1461" name="图片 8"/>
            <wp:cNvGraphicFramePr/>
            <a:graphic xmlns:a="http://schemas.openxmlformats.org/drawingml/2006/main">
              <a:graphicData uri="http://schemas.openxmlformats.org/drawingml/2006/picture">
                <pic:pic xmlns:pic="http://schemas.openxmlformats.org/drawingml/2006/picture">
                  <pic:nvPicPr>
                    <pic:cNvPr id="1461" name="图片 8"/>
                    <pic:cNvPicPr/>
                  </pic:nvPicPr>
                  <pic:blipFill>
                    <a:blip r:embed="rId25"/>
                    <a:stretch>
                      <a:fillRect/>
                    </a:stretch>
                  </pic:blipFill>
                  <pic:spPr>
                    <a:xfrm>
                      <a:off x="0" y="0"/>
                      <a:ext cx="73025" cy="153670"/>
                    </a:xfrm>
                    <a:prstGeom prst="rect">
                      <a:avLst/>
                    </a:prstGeom>
                    <a:noFill/>
                    <a:ln>
                      <a:noFill/>
                    </a:ln>
                  </pic:spPr>
                </pic:pic>
              </a:graphicData>
            </a:graphic>
          </wp:inline>
        </w:drawing>
      </w:r>
      <w:r>
        <w:rPr>
          <w:rFonts w:hint="eastAsia" w:ascii="宋体" w:hAnsi="宋体" w:eastAsia="宋体" w:cs="宋体"/>
          <w:szCs w:val="24"/>
        </w:rPr>
        <w:t xml:space="preserve">级地震 和 1906 年 3 月 28 日厦门海外 6 </w:t>
      </w:r>
      <w:r>
        <w:rPr>
          <w:rFonts w:hint="eastAsia" w:ascii="宋体" w:hAnsi="宋体" w:eastAsia="宋体" w:cs="宋体"/>
          <w:szCs w:val="24"/>
        </w:rPr>
        <w:drawing>
          <wp:inline distT="0" distB="0" distL="114300" distR="114300">
            <wp:extent cx="69850" cy="153670"/>
            <wp:effectExtent l="0" t="0" r="6350" b="13970"/>
            <wp:docPr id="1462" name="图片 9"/>
            <wp:cNvGraphicFramePr/>
            <a:graphic xmlns:a="http://schemas.openxmlformats.org/drawingml/2006/main">
              <a:graphicData uri="http://schemas.openxmlformats.org/drawingml/2006/picture">
                <pic:pic xmlns:pic="http://schemas.openxmlformats.org/drawingml/2006/picture">
                  <pic:nvPicPr>
                    <pic:cNvPr id="1462" name="图片 9"/>
                    <pic:cNvPicPr/>
                  </pic:nvPicPr>
                  <pic:blipFill>
                    <a:blip r:embed="rId26"/>
                    <a:stretch>
                      <a:fillRect/>
                    </a:stretch>
                  </pic:blipFill>
                  <pic:spPr>
                    <a:xfrm>
                      <a:off x="0" y="0"/>
                      <a:ext cx="69850" cy="153670"/>
                    </a:xfrm>
                    <a:prstGeom prst="rect">
                      <a:avLst/>
                    </a:prstGeom>
                    <a:noFill/>
                    <a:ln>
                      <a:noFill/>
                    </a:ln>
                  </pic:spPr>
                </pic:pic>
              </a:graphicData>
            </a:graphic>
          </wp:inline>
        </w:drawing>
      </w:r>
      <w:r>
        <w:rPr>
          <w:rFonts w:hint="eastAsia" w:ascii="宋体" w:hAnsi="宋体" w:eastAsia="宋体" w:cs="宋体"/>
          <w:szCs w:val="24"/>
        </w:rPr>
        <w:t>级地震，它们对部分线路最大影响烈度达Ⅶ度。</w:t>
      </w:r>
    </w:p>
    <w:p w14:paraId="6AA96BE3">
      <w:pPr>
        <w:pStyle w:val="153"/>
        <w:rPr>
          <w:rFonts w:hint="eastAsia" w:ascii="宋体" w:hAnsi="宋体" w:eastAsia="宋体" w:cs="宋体"/>
          <w:szCs w:val="24"/>
        </w:rPr>
      </w:pPr>
      <w:r>
        <w:rPr>
          <w:rFonts w:hint="eastAsia" w:ascii="宋体" w:hAnsi="宋体" w:eastAsia="宋体" w:cs="宋体"/>
          <w:szCs w:val="24"/>
        </w:rPr>
        <w:t>区域地震在空间分布上呈条带状展布，主要集中在台湾海峡地区及近海地区。 地震活动总体呈现出由西北向东南 、 由 内陆向沿海逐渐增强的趋势 。场地所在区域的地震震源深度较浅 ，破坏性地震震源深度稍深 ，总体上说拟建工程场地所在 区域地震属于地壳中上层内的浅源构造地震。</w:t>
      </w:r>
    </w:p>
    <w:p w14:paraId="065CEC73">
      <w:pPr>
        <w:pStyle w:val="153"/>
        <w:rPr>
          <w:rFonts w:hint="eastAsia" w:ascii="宋体" w:hAnsi="宋体" w:eastAsia="宋体" w:cs="宋体"/>
          <w:szCs w:val="24"/>
        </w:rPr>
      </w:pPr>
      <w:r>
        <w:rPr>
          <w:rFonts w:hint="eastAsia" w:ascii="宋体" w:hAnsi="宋体" w:eastAsia="宋体" w:cs="宋体"/>
          <w:szCs w:val="24"/>
        </w:rPr>
        <w:t>区域范围主要为华南沿海地震带。区域地震活动与华南沿海地震带密切相关。 华南沿海地震带未来几十年仍处于第二活跃期的后期的调整阶段。工程场地现代 构造应力场的基本特征是， 以北东－南西向的水平主张应力轴、北西－南东向的 近水平主压应力轴和近直立的中间轴为代表。</w:t>
      </w:r>
    </w:p>
    <w:p w14:paraId="3C31D930">
      <w:pPr>
        <w:pStyle w:val="153"/>
        <w:rPr>
          <w:rFonts w:hint="eastAsia" w:ascii="宋体" w:hAnsi="宋体" w:eastAsia="宋体" w:cs="宋体"/>
          <w:szCs w:val="24"/>
        </w:rPr>
      </w:pPr>
      <w:r>
        <w:rPr>
          <w:rFonts w:hint="eastAsia" w:ascii="宋体" w:hAnsi="宋体" w:eastAsia="宋体" w:cs="宋体"/>
          <w:szCs w:val="24"/>
        </w:rPr>
        <w:t>（2）线路工程地震危险性综合评价</w:t>
      </w:r>
    </w:p>
    <w:p w14:paraId="47880325">
      <w:pPr>
        <w:pStyle w:val="153"/>
        <w:rPr>
          <w:rFonts w:hint="eastAsia" w:ascii="宋体" w:hAnsi="宋体" w:eastAsia="宋体" w:cs="宋体"/>
          <w:szCs w:val="24"/>
        </w:rPr>
      </w:pPr>
      <w:r>
        <w:rPr>
          <w:rFonts w:hint="eastAsia" w:ascii="宋体" w:hAnsi="宋体" w:eastAsia="宋体" w:cs="宋体"/>
          <w:szCs w:val="24"/>
        </w:rPr>
        <w:t>根据《建筑抗震设计标准》（GB/T50011-2010）（2024 版）及《中国地震动参 数区划图(GB18306-2015)》福建省区划一览表，对场区列表如下：</w:t>
      </w:r>
    </w:p>
    <w:p w14:paraId="1BBF47AA">
      <w:pPr>
        <w:pStyle w:val="22"/>
        <w:spacing w:line="220" w:lineRule="auto"/>
        <w:ind w:left="0" w:leftChars="0" w:firstLine="0" w:firstLineChars="0"/>
        <w:jc w:val="center"/>
        <w:rPr>
          <w:b/>
          <w:bCs/>
          <w:spacing w:val="-4"/>
          <w:sz w:val="24"/>
          <w:szCs w:val="24"/>
        </w:rPr>
      </w:pPr>
      <w:r>
        <w:rPr>
          <w:b/>
          <w:bCs/>
          <w:spacing w:val="-4"/>
          <w:sz w:val="24"/>
          <w:szCs w:val="24"/>
        </w:rPr>
        <w:t>行政区划地震动参数一览表</w:t>
      </w:r>
    </w:p>
    <w:tbl>
      <w:tblPr>
        <w:tblStyle w:val="176"/>
        <w:tblW w:w="8403" w:type="dxa"/>
        <w:tblInd w:w="7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4"/>
        <w:gridCol w:w="1759"/>
        <w:gridCol w:w="1995"/>
        <w:gridCol w:w="565"/>
        <w:gridCol w:w="1847"/>
        <w:gridCol w:w="1553"/>
      </w:tblGrid>
      <w:tr w14:paraId="6E1EA1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64" w:hRule="atLeast"/>
        </w:trPr>
        <w:tc>
          <w:tcPr>
            <w:tcW w:w="2443" w:type="dxa"/>
            <w:gridSpan w:val="2"/>
            <w:tcBorders>
              <w:top w:val="single" w:color="000000" w:sz="10" w:space="0"/>
              <w:left w:val="single" w:color="000000" w:sz="10" w:space="0"/>
            </w:tcBorders>
            <w:vAlign w:val="center"/>
          </w:tcPr>
          <w:p w14:paraId="18A7D723">
            <w:pPr>
              <w:pStyle w:val="175"/>
              <w:spacing w:before="68" w:line="222" w:lineRule="auto"/>
              <w:ind w:left="0" w:leftChars="0" w:firstLine="0" w:firstLineChars="0"/>
              <w:jc w:val="center"/>
              <w:rPr>
                <w:sz w:val="21"/>
                <w:szCs w:val="21"/>
              </w:rPr>
            </w:pPr>
            <w:r>
              <w:rPr>
                <w:b/>
                <w:bCs/>
                <w:spacing w:val="-3"/>
                <w:sz w:val="21"/>
                <w:szCs w:val="21"/>
              </w:rPr>
              <w:t>行政区划名称</w:t>
            </w:r>
          </w:p>
        </w:tc>
        <w:tc>
          <w:tcPr>
            <w:tcW w:w="1995" w:type="dxa"/>
            <w:tcBorders>
              <w:top w:val="single" w:color="000000" w:sz="10" w:space="0"/>
            </w:tcBorders>
            <w:vAlign w:val="center"/>
          </w:tcPr>
          <w:p w14:paraId="0B17683B">
            <w:pPr>
              <w:pStyle w:val="175"/>
              <w:spacing w:before="68" w:line="221" w:lineRule="auto"/>
              <w:ind w:left="0" w:leftChars="0" w:firstLine="0" w:firstLineChars="0"/>
              <w:jc w:val="center"/>
              <w:rPr>
                <w:sz w:val="21"/>
                <w:szCs w:val="21"/>
              </w:rPr>
            </w:pPr>
            <w:r>
              <w:rPr>
                <w:b/>
                <w:bCs/>
                <w:spacing w:val="-4"/>
                <w:sz w:val="21"/>
                <w:szCs w:val="21"/>
              </w:rPr>
              <w:t>桩号</w:t>
            </w:r>
          </w:p>
        </w:tc>
        <w:tc>
          <w:tcPr>
            <w:tcW w:w="565" w:type="dxa"/>
            <w:tcBorders>
              <w:top w:val="single" w:color="000000" w:sz="10" w:space="0"/>
            </w:tcBorders>
            <w:vAlign w:val="top"/>
          </w:tcPr>
          <w:p w14:paraId="08DC5837">
            <w:pPr>
              <w:pStyle w:val="175"/>
              <w:spacing w:before="230" w:line="222" w:lineRule="auto"/>
              <w:ind w:left="0" w:leftChars="0" w:firstLine="0" w:firstLineChars="0"/>
              <w:jc w:val="center"/>
              <w:rPr>
                <w:sz w:val="21"/>
                <w:szCs w:val="21"/>
              </w:rPr>
            </w:pPr>
            <w:r>
              <w:rPr>
                <w:b/>
                <w:bCs/>
                <w:spacing w:val="-6"/>
                <w:sz w:val="21"/>
                <w:szCs w:val="21"/>
              </w:rPr>
              <w:t>地震</w:t>
            </w:r>
          </w:p>
          <w:p w14:paraId="03A603EA">
            <w:pPr>
              <w:pStyle w:val="175"/>
              <w:spacing w:before="226" w:line="221" w:lineRule="auto"/>
              <w:ind w:left="0" w:leftChars="0" w:firstLine="0" w:firstLineChars="0"/>
              <w:jc w:val="center"/>
              <w:rPr>
                <w:sz w:val="21"/>
                <w:szCs w:val="21"/>
              </w:rPr>
            </w:pPr>
            <w:r>
              <w:rPr>
                <w:b/>
                <w:bCs/>
                <w:spacing w:val="-4"/>
                <w:sz w:val="21"/>
                <w:szCs w:val="21"/>
              </w:rPr>
              <w:t>基本</w:t>
            </w:r>
          </w:p>
          <w:p w14:paraId="6F3D1F52">
            <w:pPr>
              <w:pStyle w:val="175"/>
              <w:spacing w:before="229" w:line="222" w:lineRule="auto"/>
              <w:ind w:left="0" w:leftChars="0" w:firstLine="0" w:firstLineChars="0"/>
              <w:jc w:val="center"/>
              <w:rPr>
                <w:sz w:val="21"/>
                <w:szCs w:val="21"/>
              </w:rPr>
            </w:pPr>
            <w:r>
              <w:rPr>
                <w:b/>
                <w:bCs/>
                <w:spacing w:val="-7"/>
                <w:sz w:val="21"/>
                <w:szCs w:val="21"/>
              </w:rPr>
              <w:t>烈度</w:t>
            </w:r>
          </w:p>
        </w:tc>
        <w:tc>
          <w:tcPr>
            <w:tcW w:w="1847" w:type="dxa"/>
            <w:tcBorders>
              <w:top w:val="single" w:color="000000" w:sz="10" w:space="0"/>
            </w:tcBorders>
            <w:vAlign w:val="top"/>
          </w:tcPr>
          <w:p w14:paraId="2BE19DF1">
            <w:pPr>
              <w:pStyle w:val="175"/>
              <w:spacing w:before="230" w:line="222" w:lineRule="auto"/>
              <w:ind w:left="0" w:leftChars="0" w:firstLine="0" w:firstLineChars="0"/>
              <w:jc w:val="center"/>
              <w:rPr>
                <w:sz w:val="21"/>
                <w:szCs w:val="21"/>
              </w:rPr>
            </w:pPr>
            <w:r>
              <w:rPr>
                <w:b/>
                <w:bCs/>
                <w:spacing w:val="-5"/>
                <w:sz w:val="21"/>
                <w:szCs w:val="21"/>
              </w:rPr>
              <w:t>中硬场地土(标准场</w:t>
            </w:r>
          </w:p>
          <w:p w14:paraId="1E75CCA4">
            <w:pPr>
              <w:pStyle w:val="175"/>
              <w:spacing w:before="227" w:line="222" w:lineRule="auto"/>
              <w:ind w:left="0" w:leftChars="0" w:firstLine="0" w:firstLineChars="0"/>
              <w:jc w:val="center"/>
              <w:rPr>
                <w:sz w:val="21"/>
                <w:szCs w:val="21"/>
              </w:rPr>
            </w:pPr>
            <w:r>
              <w:rPr>
                <w:b/>
                <w:bCs/>
                <w:spacing w:val="-3"/>
                <w:sz w:val="21"/>
                <w:szCs w:val="21"/>
              </w:rPr>
              <w:t>地)地震动反应谱</w:t>
            </w:r>
          </w:p>
          <w:p w14:paraId="39A1DB2E">
            <w:pPr>
              <w:pStyle w:val="175"/>
              <w:spacing w:before="227" w:line="221" w:lineRule="auto"/>
              <w:ind w:left="0" w:leftChars="0" w:firstLine="0" w:firstLineChars="0"/>
              <w:jc w:val="center"/>
              <w:rPr>
                <w:sz w:val="21"/>
                <w:szCs w:val="21"/>
              </w:rPr>
            </w:pPr>
            <w:r>
              <w:rPr>
                <w:b/>
                <w:bCs/>
                <w:spacing w:val="-3"/>
                <w:sz w:val="21"/>
                <w:szCs w:val="21"/>
              </w:rPr>
              <w:t>特征周期</w:t>
            </w:r>
            <w:r>
              <w:rPr>
                <w:spacing w:val="-35"/>
                <w:sz w:val="21"/>
                <w:szCs w:val="21"/>
              </w:rPr>
              <w:t xml:space="preserve"> </w:t>
            </w:r>
            <w:r>
              <w:rPr>
                <w:b/>
                <w:bCs/>
                <w:spacing w:val="-3"/>
                <w:sz w:val="21"/>
                <w:szCs w:val="21"/>
              </w:rPr>
              <w:t>s</w:t>
            </w:r>
          </w:p>
        </w:tc>
        <w:tc>
          <w:tcPr>
            <w:tcW w:w="1553" w:type="dxa"/>
            <w:tcBorders>
              <w:top w:val="single" w:color="000000" w:sz="10" w:space="0"/>
              <w:right w:val="single" w:color="000000" w:sz="10" w:space="0"/>
            </w:tcBorders>
            <w:vAlign w:val="top"/>
          </w:tcPr>
          <w:p w14:paraId="6FFE7B93">
            <w:pPr>
              <w:spacing w:line="399" w:lineRule="auto"/>
              <w:jc w:val="center"/>
              <w:rPr>
                <w:rFonts w:ascii="Arial"/>
                <w:sz w:val="21"/>
              </w:rPr>
            </w:pPr>
          </w:p>
          <w:p w14:paraId="15664C85">
            <w:pPr>
              <w:pStyle w:val="175"/>
              <w:spacing w:before="68" w:line="421" w:lineRule="auto"/>
              <w:ind w:left="0" w:leftChars="0" w:right="22" w:firstLine="0" w:firstLineChars="0"/>
              <w:jc w:val="center"/>
              <w:rPr>
                <w:sz w:val="21"/>
                <w:szCs w:val="21"/>
              </w:rPr>
            </w:pPr>
            <w:r>
              <w:rPr>
                <w:b/>
                <w:bCs/>
                <w:spacing w:val="-3"/>
                <w:sz w:val="21"/>
                <w:szCs w:val="21"/>
              </w:rPr>
              <w:t>设计地震动峰值</w:t>
            </w:r>
            <w:r>
              <w:rPr>
                <w:spacing w:val="1"/>
                <w:sz w:val="21"/>
                <w:szCs w:val="21"/>
              </w:rPr>
              <w:t xml:space="preserve"> </w:t>
            </w:r>
            <w:r>
              <w:rPr>
                <w:b/>
                <w:bCs/>
                <w:spacing w:val="-4"/>
                <w:sz w:val="21"/>
                <w:szCs w:val="21"/>
              </w:rPr>
              <w:t>加速度</w:t>
            </w:r>
            <w:r>
              <w:rPr>
                <w:spacing w:val="-40"/>
                <w:sz w:val="21"/>
                <w:szCs w:val="21"/>
              </w:rPr>
              <w:t xml:space="preserve"> </w:t>
            </w:r>
            <w:r>
              <w:rPr>
                <w:b/>
                <w:bCs/>
                <w:spacing w:val="-4"/>
                <w:sz w:val="21"/>
                <w:szCs w:val="21"/>
              </w:rPr>
              <w:t>g</w:t>
            </w:r>
          </w:p>
        </w:tc>
      </w:tr>
      <w:tr w14:paraId="025E73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684" w:type="dxa"/>
            <w:vMerge w:val="restart"/>
            <w:tcBorders>
              <w:left w:val="single" w:color="000000" w:sz="10" w:space="0"/>
              <w:bottom w:val="nil"/>
              <w:right w:val="single" w:color="000000" w:sz="2" w:space="0"/>
            </w:tcBorders>
            <w:textDirection w:val="tbRlV"/>
            <w:vAlign w:val="top"/>
          </w:tcPr>
          <w:p w14:paraId="6CED69B6">
            <w:pPr>
              <w:pStyle w:val="175"/>
              <w:spacing w:before="238" w:line="209" w:lineRule="auto"/>
              <w:ind w:left="0" w:leftChars="0" w:firstLine="0" w:firstLineChars="0"/>
              <w:jc w:val="center"/>
              <w:rPr>
                <w:rFonts w:hint="default" w:eastAsia="仿宋"/>
                <w:sz w:val="21"/>
                <w:szCs w:val="21"/>
                <w:lang w:val="en-US" w:eastAsia="zh-CN"/>
              </w:rPr>
            </w:pPr>
            <w:r>
              <w:rPr>
                <w:rFonts w:hint="eastAsia"/>
                <w:spacing w:val="2"/>
                <w:sz w:val="21"/>
                <w:szCs w:val="21"/>
                <w:lang w:val="en-US" w:eastAsia="zh-CN"/>
              </w:rPr>
              <w:t xml:space="preserve">诏安县  </w:t>
            </w:r>
          </w:p>
        </w:tc>
        <w:tc>
          <w:tcPr>
            <w:tcW w:w="1759" w:type="dxa"/>
            <w:tcBorders>
              <w:left w:val="single" w:color="000000" w:sz="2" w:space="0"/>
            </w:tcBorders>
            <w:vAlign w:val="top"/>
          </w:tcPr>
          <w:p w14:paraId="5D2B1EE8">
            <w:pPr>
              <w:pStyle w:val="175"/>
              <w:spacing w:before="239" w:line="169" w:lineRule="auto"/>
              <w:ind w:left="0" w:leftChars="0" w:firstLine="0" w:firstLineChars="0"/>
              <w:jc w:val="center"/>
              <w:rPr>
                <w:rFonts w:hint="default"/>
                <w:sz w:val="21"/>
                <w:szCs w:val="21"/>
                <w:lang w:val="en-US"/>
              </w:rPr>
            </w:pPr>
          </w:p>
        </w:tc>
        <w:tc>
          <w:tcPr>
            <w:tcW w:w="1995" w:type="dxa"/>
            <w:vAlign w:val="top"/>
          </w:tcPr>
          <w:p w14:paraId="71D84ACA">
            <w:pPr>
              <w:pStyle w:val="175"/>
              <w:spacing w:before="239" w:line="169" w:lineRule="auto"/>
              <w:ind w:left="0" w:leftChars="0" w:firstLine="0" w:firstLineChars="0"/>
              <w:jc w:val="center"/>
              <w:rPr>
                <w:rFonts w:hint="default"/>
                <w:sz w:val="21"/>
                <w:szCs w:val="21"/>
                <w:lang w:val="en-US"/>
              </w:rPr>
            </w:pPr>
          </w:p>
        </w:tc>
        <w:tc>
          <w:tcPr>
            <w:tcW w:w="565" w:type="dxa"/>
            <w:vMerge w:val="restart"/>
            <w:tcBorders>
              <w:bottom w:val="nil"/>
            </w:tcBorders>
            <w:vAlign w:val="top"/>
          </w:tcPr>
          <w:p w14:paraId="24FE0C53">
            <w:pPr>
              <w:pStyle w:val="175"/>
              <w:spacing w:before="69" w:line="242" w:lineRule="auto"/>
              <w:ind w:left="0" w:leftChars="0" w:firstLine="0" w:firstLineChars="0"/>
              <w:jc w:val="center"/>
              <w:rPr>
                <w:rFonts w:hint="default"/>
                <w:sz w:val="21"/>
                <w:szCs w:val="21"/>
                <w:lang w:val="en-US"/>
              </w:rPr>
            </w:pPr>
          </w:p>
        </w:tc>
        <w:tc>
          <w:tcPr>
            <w:tcW w:w="1847" w:type="dxa"/>
            <w:vAlign w:val="top"/>
          </w:tcPr>
          <w:p w14:paraId="134DE191">
            <w:pPr>
              <w:pStyle w:val="175"/>
              <w:spacing w:before="239" w:line="169" w:lineRule="auto"/>
              <w:ind w:left="0" w:leftChars="0" w:firstLine="0" w:firstLineChars="0"/>
              <w:jc w:val="center"/>
              <w:rPr>
                <w:rFonts w:hint="default"/>
                <w:sz w:val="21"/>
                <w:szCs w:val="21"/>
                <w:lang w:val="en-US"/>
              </w:rPr>
            </w:pPr>
          </w:p>
        </w:tc>
        <w:tc>
          <w:tcPr>
            <w:tcW w:w="1553" w:type="dxa"/>
            <w:tcBorders>
              <w:right w:val="single" w:color="000000" w:sz="10" w:space="0"/>
            </w:tcBorders>
            <w:vAlign w:val="top"/>
          </w:tcPr>
          <w:p w14:paraId="7B02ABE6">
            <w:pPr>
              <w:pStyle w:val="175"/>
              <w:spacing w:before="239" w:line="169" w:lineRule="auto"/>
              <w:ind w:left="0" w:leftChars="0" w:firstLine="0" w:firstLineChars="0"/>
              <w:jc w:val="center"/>
              <w:rPr>
                <w:rFonts w:hint="default"/>
                <w:sz w:val="21"/>
                <w:szCs w:val="21"/>
                <w:lang w:val="en-US"/>
              </w:rPr>
            </w:pPr>
          </w:p>
        </w:tc>
      </w:tr>
      <w:tr w14:paraId="15BA3E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8" w:hRule="atLeast"/>
        </w:trPr>
        <w:tc>
          <w:tcPr>
            <w:tcW w:w="684" w:type="dxa"/>
            <w:vMerge w:val="continue"/>
            <w:tcBorders>
              <w:top w:val="nil"/>
              <w:left w:val="single" w:color="000000" w:sz="10" w:space="0"/>
              <w:bottom w:val="nil"/>
              <w:right w:val="single" w:color="000000" w:sz="2" w:space="0"/>
            </w:tcBorders>
            <w:textDirection w:val="tbRlV"/>
            <w:vAlign w:val="top"/>
          </w:tcPr>
          <w:p w14:paraId="5D4F91B2">
            <w:pPr>
              <w:jc w:val="center"/>
              <w:rPr>
                <w:rFonts w:ascii="Arial"/>
                <w:sz w:val="21"/>
              </w:rPr>
            </w:pPr>
          </w:p>
        </w:tc>
        <w:tc>
          <w:tcPr>
            <w:tcW w:w="1759" w:type="dxa"/>
            <w:tcBorders>
              <w:left w:val="single" w:color="000000" w:sz="2" w:space="0"/>
            </w:tcBorders>
            <w:vAlign w:val="top"/>
          </w:tcPr>
          <w:p w14:paraId="0E8B124C">
            <w:pPr>
              <w:pStyle w:val="175"/>
              <w:spacing w:before="239" w:line="166" w:lineRule="auto"/>
              <w:ind w:left="0" w:leftChars="0" w:firstLine="0" w:firstLineChars="0"/>
              <w:jc w:val="center"/>
              <w:rPr>
                <w:sz w:val="21"/>
                <w:szCs w:val="21"/>
              </w:rPr>
            </w:pPr>
            <w:r>
              <w:rPr>
                <w:spacing w:val="-3"/>
                <w:sz w:val="21"/>
                <w:szCs w:val="21"/>
              </w:rPr>
              <w:t>金星乡</w:t>
            </w:r>
          </w:p>
        </w:tc>
        <w:tc>
          <w:tcPr>
            <w:tcW w:w="1995" w:type="dxa"/>
            <w:vAlign w:val="top"/>
          </w:tcPr>
          <w:p w14:paraId="72414CC0">
            <w:pPr>
              <w:pStyle w:val="175"/>
              <w:spacing w:before="239" w:line="166" w:lineRule="auto"/>
              <w:ind w:left="0" w:leftChars="0" w:firstLine="0" w:firstLineChars="0"/>
              <w:jc w:val="center"/>
              <w:rPr>
                <w:sz w:val="21"/>
                <w:szCs w:val="21"/>
              </w:rPr>
            </w:pPr>
            <w:r>
              <w:rPr>
                <w:b/>
                <w:bCs/>
                <w:spacing w:val="-3"/>
                <w:sz w:val="21"/>
                <w:szCs w:val="21"/>
              </w:rPr>
              <w:t>K119+625-K125+530</w:t>
            </w:r>
          </w:p>
        </w:tc>
        <w:tc>
          <w:tcPr>
            <w:tcW w:w="565" w:type="dxa"/>
            <w:vMerge w:val="continue"/>
            <w:tcBorders>
              <w:top w:val="nil"/>
              <w:bottom w:val="nil"/>
            </w:tcBorders>
            <w:vAlign w:val="top"/>
          </w:tcPr>
          <w:p w14:paraId="2E525220">
            <w:pPr>
              <w:jc w:val="center"/>
              <w:rPr>
                <w:rFonts w:ascii="Arial"/>
                <w:sz w:val="21"/>
              </w:rPr>
            </w:pPr>
          </w:p>
        </w:tc>
        <w:tc>
          <w:tcPr>
            <w:tcW w:w="1847" w:type="dxa"/>
            <w:vAlign w:val="top"/>
          </w:tcPr>
          <w:p w14:paraId="6E6845C8">
            <w:pPr>
              <w:pStyle w:val="175"/>
              <w:spacing w:before="239" w:line="166" w:lineRule="auto"/>
              <w:ind w:left="0" w:leftChars="0" w:firstLine="0" w:firstLineChars="0"/>
              <w:jc w:val="center"/>
              <w:rPr>
                <w:sz w:val="21"/>
                <w:szCs w:val="21"/>
              </w:rPr>
            </w:pPr>
            <w:r>
              <w:rPr>
                <w:b/>
                <w:bCs/>
                <w:spacing w:val="-5"/>
                <w:sz w:val="21"/>
                <w:szCs w:val="21"/>
              </w:rPr>
              <w:t>0.40</w:t>
            </w:r>
          </w:p>
        </w:tc>
        <w:tc>
          <w:tcPr>
            <w:tcW w:w="1553" w:type="dxa"/>
            <w:tcBorders>
              <w:right w:val="single" w:color="000000" w:sz="10" w:space="0"/>
            </w:tcBorders>
            <w:vAlign w:val="top"/>
          </w:tcPr>
          <w:p w14:paraId="271EAA71">
            <w:pPr>
              <w:pStyle w:val="175"/>
              <w:spacing w:before="239" w:line="166" w:lineRule="auto"/>
              <w:ind w:left="0" w:leftChars="0" w:firstLine="0" w:firstLineChars="0"/>
              <w:jc w:val="center"/>
              <w:rPr>
                <w:sz w:val="21"/>
                <w:szCs w:val="21"/>
              </w:rPr>
            </w:pPr>
            <w:r>
              <w:rPr>
                <w:b/>
                <w:bCs/>
                <w:spacing w:val="-5"/>
                <w:sz w:val="21"/>
                <w:szCs w:val="21"/>
              </w:rPr>
              <w:t>0.15</w:t>
            </w:r>
          </w:p>
        </w:tc>
      </w:tr>
      <w:tr w14:paraId="5628D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2" w:hRule="atLeast"/>
        </w:trPr>
        <w:tc>
          <w:tcPr>
            <w:tcW w:w="684" w:type="dxa"/>
            <w:vMerge w:val="continue"/>
            <w:tcBorders>
              <w:top w:val="nil"/>
              <w:left w:val="single" w:color="000000" w:sz="10" w:space="0"/>
              <w:bottom w:val="nil"/>
              <w:right w:val="single" w:color="000000" w:sz="2" w:space="0"/>
            </w:tcBorders>
            <w:textDirection w:val="tbRlV"/>
            <w:vAlign w:val="top"/>
          </w:tcPr>
          <w:p w14:paraId="5D2C691E">
            <w:pPr>
              <w:jc w:val="center"/>
              <w:rPr>
                <w:rFonts w:ascii="Arial"/>
                <w:sz w:val="21"/>
              </w:rPr>
            </w:pPr>
          </w:p>
        </w:tc>
        <w:tc>
          <w:tcPr>
            <w:tcW w:w="1759" w:type="dxa"/>
            <w:tcBorders>
              <w:left w:val="single" w:color="000000" w:sz="2" w:space="0"/>
            </w:tcBorders>
            <w:vAlign w:val="top"/>
          </w:tcPr>
          <w:p w14:paraId="0736BF9A">
            <w:pPr>
              <w:pStyle w:val="175"/>
              <w:spacing w:before="246" w:line="163" w:lineRule="auto"/>
              <w:ind w:left="0" w:leftChars="0" w:firstLine="0" w:firstLineChars="0"/>
              <w:jc w:val="center"/>
              <w:rPr>
                <w:sz w:val="21"/>
                <w:szCs w:val="21"/>
              </w:rPr>
            </w:pPr>
            <w:r>
              <w:rPr>
                <w:spacing w:val="-2"/>
                <w:sz w:val="21"/>
                <w:szCs w:val="21"/>
              </w:rPr>
              <w:t>桥东镇</w:t>
            </w:r>
          </w:p>
        </w:tc>
        <w:tc>
          <w:tcPr>
            <w:tcW w:w="1995" w:type="dxa"/>
            <w:vAlign w:val="top"/>
          </w:tcPr>
          <w:p w14:paraId="4E18D14C">
            <w:pPr>
              <w:pStyle w:val="175"/>
              <w:spacing w:before="246" w:line="163" w:lineRule="auto"/>
              <w:ind w:left="0" w:leftChars="0" w:firstLine="0" w:firstLineChars="0"/>
              <w:jc w:val="center"/>
              <w:rPr>
                <w:sz w:val="21"/>
                <w:szCs w:val="21"/>
              </w:rPr>
            </w:pPr>
            <w:r>
              <w:rPr>
                <w:b/>
                <w:bCs/>
                <w:spacing w:val="-3"/>
                <w:sz w:val="21"/>
                <w:szCs w:val="21"/>
              </w:rPr>
              <w:t>K125+530-K131+765</w:t>
            </w:r>
          </w:p>
        </w:tc>
        <w:tc>
          <w:tcPr>
            <w:tcW w:w="565" w:type="dxa"/>
            <w:vMerge w:val="continue"/>
            <w:tcBorders>
              <w:top w:val="nil"/>
              <w:bottom w:val="nil"/>
            </w:tcBorders>
            <w:vAlign w:val="top"/>
          </w:tcPr>
          <w:p w14:paraId="1ED9DC8B">
            <w:pPr>
              <w:jc w:val="center"/>
              <w:rPr>
                <w:rFonts w:ascii="Arial"/>
                <w:sz w:val="21"/>
              </w:rPr>
            </w:pPr>
          </w:p>
        </w:tc>
        <w:tc>
          <w:tcPr>
            <w:tcW w:w="1847" w:type="dxa"/>
            <w:vAlign w:val="top"/>
          </w:tcPr>
          <w:p w14:paraId="3D3240D7">
            <w:pPr>
              <w:pStyle w:val="175"/>
              <w:spacing w:before="246" w:line="163" w:lineRule="auto"/>
              <w:ind w:left="0" w:leftChars="0" w:firstLine="0" w:firstLineChars="0"/>
              <w:jc w:val="center"/>
              <w:rPr>
                <w:sz w:val="21"/>
                <w:szCs w:val="21"/>
              </w:rPr>
            </w:pPr>
            <w:r>
              <w:rPr>
                <w:b/>
                <w:bCs/>
                <w:spacing w:val="-5"/>
                <w:sz w:val="21"/>
                <w:szCs w:val="21"/>
              </w:rPr>
              <w:t>0.40</w:t>
            </w:r>
          </w:p>
        </w:tc>
        <w:tc>
          <w:tcPr>
            <w:tcW w:w="1553" w:type="dxa"/>
            <w:tcBorders>
              <w:right w:val="single" w:color="000000" w:sz="10" w:space="0"/>
            </w:tcBorders>
            <w:vAlign w:val="top"/>
          </w:tcPr>
          <w:p w14:paraId="20F4692C">
            <w:pPr>
              <w:pStyle w:val="175"/>
              <w:spacing w:before="246" w:line="163" w:lineRule="auto"/>
              <w:ind w:left="0" w:leftChars="0" w:firstLine="0" w:firstLineChars="0"/>
              <w:jc w:val="center"/>
              <w:rPr>
                <w:sz w:val="21"/>
                <w:szCs w:val="21"/>
              </w:rPr>
            </w:pPr>
            <w:r>
              <w:rPr>
                <w:b/>
                <w:bCs/>
                <w:spacing w:val="-5"/>
                <w:sz w:val="21"/>
                <w:szCs w:val="21"/>
              </w:rPr>
              <w:t>0.15</w:t>
            </w:r>
          </w:p>
        </w:tc>
      </w:tr>
      <w:tr w14:paraId="64A77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atLeast"/>
        </w:trPr>
        <w:tc>
          <w:tcPr>
            <w:tcW w:w="684" w:type="dxa"/>
            <w:vMerge w:val="continue"/>
            <w:tcBorders>
              <w:top w:val="nil"/>
              <w:left w:val="single" w:color="000000" w:sz="10" w:space="0"/>
              <w:bottom w:val="single" w:color="000000" w:sz="10" w:space="0"/>
              <w:right w:val="single" w:color="000000" w:sz="2" w:space="0"/>
            </w:tcBorders>
            <w:textDirection w:val="tbRlV"/>
            <w:vAlign w:val="top"/>
          </w:tcPr>
          <w:p w14:paraId="1061EC12">
            <w:pPr>
              <w:jc w:val="center"/>
              <w:rPr>
                <w:rFonts w:ascii="Arial"/>
                <w:sz w:val="21"/>
              </w:rPr>
            </w:pPr>
          </w:p>
        </w:tc>
        <w:tc>
          <w:tcPr>
            <w:tcW w:w="1759" w:type="dxa"/>
            <w:tcBorders>
              <w:left w:val="single" w:color="000000" w:sz="2" w:space="0"/>
              <w:bottom w:val="single" w:color="000000" w:sz="10" w:space="0"/>
            </w:tcBorders>
            <w:vAlign w:val="top"/>
          </w:tcPr>
          <w:p w14:paraId="7C7663C3">
            <w:pPr>
              <w:pStyle w:val="175"/>
              <w:spacing w:before="245" w:line="183" w:lineRule="auto"/>
              <w:ind w:left="0" w:leftChars="0" w:firstLine="0" w:firstLineChars="0"/>
              <w:jc w:val="center"/>
              <w:rPr>
                <w:sz w:val="21"/>
                <w:szCs w:val="21"/>
              </w:rPr>
            </w:pPr>
            <w:r>
              <w:rPr>
                <w:spacing w:val="-2"/>
                <w:sz w:val="21"/>
                <w:szCs w:val="21"/>
              </w:rPr>
              <w:t>深桥镇</w:t>
            </w:r>
          </w:p>
        </w:tc>
        <w:tc>
          <w:tcPr>
            <w:tcW w:w="1995" w:type="dxa"/>
            <w:tcBorders>
              <w:bottom w:val="single" w:color="000000" w:sz="10" w:space="0"/>
            </w:tcBorders>
            <w:vAlign w:val="top"/>
          </w:tcPr>
          <w:p w14:paraId="7667837B">
            <w:pPr>
              <w:pStyle w:val="175"/>
              <w:spacing w:before="245" w:line="183" w:lineRule="auto"/>
              <w:ind w:left="0" w:leftChars="0" w:firstLine="0" w:firstLineChars="0"/>
              <w:jc w:val="center"/>
              <w:rPr>
                <w:sz w:val="21"/>
                <w:szCs w:val="21"/>
              </w:rPr>
            </w:pPr>
            <w:r>
              <w:rPr>
                <w:b/>
                <w:bCs/>
                <w:spacing w:val="-3"/>
                <w:sz w:val="21"/>
                <w:szCs w:val="21"/>
              </w:rPr>
              <w:t>K131+765-K146+612</w:t>
            </w:r>
          </w:p>
        </w:tc>
        <w:tc>
          <w:tcPr>
            <w:tcW w:w="565" w:type="dxa"/>
            <w:vMerge w:val="continue"/>
            <w:tcBorders>
              <w:top w:val="nil"/>
              <w:bottom w:val="single" w:color="000000" w:sz="10" w:space="0"/>
            </w:tcBorders>
            <w:vAlign w:val="top"/>
          </w:tcPr>
          <w:p w14:paraId="7CE76FA4">
            <w:pPr>
              <w:jc w:val="center"/>
              <w:rPr>
                <w:rFonts w:ascii="Arial"/>
                <w:sz w:val="21"/>
              </w:rPr>
            </w:pPr>
          </w:p>
        </w:tc>
        <w:tc>
          <w:tcPr>
            <w:tcW w:w="1847" w:type="dxa"/>
            <w:tcBorders>
              <w:bottom w:val="single" w:color="000000" w:sz="10" w:space="0"/>
            </w:tcBorders>
            <w:vAlign w:val="top"/>
          </w:tcPr>
          <w:p w14:paraId="7B9CB155">
            <w:pPr>
              <w:pStyle w:val="175"/>
              <w:spacing w:before="245" w:line="183" w:lineRule="auto"/>
              <w:ind w:left="0" w:leftChars="0" w:firstLine="0" w:firstLineChars="0"/>
              <w:jc w:val="center"/>
              <w:rPr>
                <w:sz w:val="21"/>
                <w:szCs w:val="21"/>
              </w:rPr>
            </w:pPr>
            <w:r>
              <w:rPr>
                <w:b/>
                <w:bCs/>
                <w:spacing w:val="-5"/>
                <w:sz w:val="21"/>
                <w:szCs w:val="21"/>
              </w:rPr>
              <w:t>0.40</w:t>
            </w:r>
          </w:p>
        </w:tc>
        <w:tc>
          <w:tcPr>
            <w:tcW w:w="1553" w:type="dxa"/>
            <w:tcBorders>
              <w:bottom w:val="single" w:color="000000" w:sz="10" w:space="0"/>
              <w:right w:val="single" w:color="000000" w:sz="10" w:space="0"/>
            </w:tcBorders>
            <w:vAlign w:val="top"/>
          </w:tcPr>
          <w:p w14:paraId="4F86486E">
            <w:pPr>
              <w:pStyle w:val="175"/>
              <w:spacing w:before="245" w:line="183" w:lineRule="auto"/>
              <w:ind w:left="0" w:leftChars="0" w:firstLine="0" w:firstLineChars="0"/>
              <w:jc w:val="center"/>
              <w:rPr>
                <w:sz w:val="21"/>
                <w:szCs w:val="21"/>
              </w:rPr>
            </w:pPr>
            <w:r>
              <w:rPr>
                <w:b/>
                <w:bCs/>
                <w:spacing w:val="-5"/>
                <w:sz w:val="21"/>
                <w:szCs w:val="21"/>
              </w:rPr>
              <w:t>0.15</w:t>
            </w:r>
          </w:p>
        </w:tc>
      </w:tr>
    </w:tbl>
    <w:p w14:paraId="136B792E">
      <w:pPr>
        <w:pStyle w:val="22"/>
        <w:spacing w:line="220" w:lineRule="auto"/>
        <w:ind w:left="0" w:leftChars="0" w:firstLine="0" w:firstLineChars="0"/>
        <w:jc w:val="center"/>
        <w:rPr>
          <w:b/>
          <w:bCs/>
          <w:spacing w:val="-4"/>
          <w:sz w:val="24"/>
          <w:szCs w:val="24"/>
        </w:rPr>
      </w:pPr>
    </w:p>
    <w:p w14:paraId="4BEEE35B">
      <w:pPr>
        <w:pStyle w:val="153"/>
        <w:rPr>
          <w:rFonts w:hint="eastAsia" w:ascii="宋体" w:hAnsi="宋体" w:eastAsia="宋体" w:cs="宋体"/>
          <w:szCs w:val="24"/>
        </w:rPr>
      </w:pPr>
      <w:r>
        <w:rPr>
          <w:rFonts w:hint="eastAsia" w:ascii="宋体" w:hAnsi="宋体" w:eastAsia="宋体" w:cs="宋体"/>
          <w:szCs w:val="24"/>
        </w:rPr>
        <w:t>（3）线路场地震害效应综合评价</w:t>
      </w:r>
    </w:p>
    <w:p w14:paraId="482E8504">
      <w:pPr>
        <w:pStyle w:val="153"/>
        <w:rPr>
          <w:rFonts w:hint="eastAsia" w:ascii="宋体" w:hAnsi="宋体" w:eastAsia="宋体" w:cs="宋体"/>
          <w:szCs w:val="24"/>
        </w:rPr>
      </w:pPr>
      <w:r>
        <w:rPr>
          <w:rFonts w:hint="eastAsia" w:ascii="宋体" w:hAnsi="宋体" w:eastAsia="宋体" w:cs="宋体"/>
          <w:szCs w:val="24"/>
        </w:rPr>
        <w:t>路线全线抗震基本烈度为 7 度，需考虑软土震陷及砂土液化问题，但根据场地剪切 波测试成果，本项目的软土等效剪切波波速大于90m/s，不考虑软土震陷效应；沿线不存在地震断层效应，可能存在边坡地震效应。</w:t>
      </w:r>
    </w:p>
    <w:p w14:paraId="75267FB9">
      <w:pPr>
        <w:pStyle w:val="153"/>
        <w:rPr>
          <w:rFonts w:hint="eastAsia" w:ascii="宋体" w:hAnsi="宋体" w:eastAsia="宋体" w:cs="宋体"/>
          <w:szCs w:val="24"/>
        </w:rPr>
      </w:pPr>
      <w:r>
        <w:rPr>
          <w:rFonts w:hint="eastAsia" w:ascii="宋体" w:hAnsi="宋体" w:eastAsia="宋体" w:cs="宋体"/>
          <w:szCs w:val="24"/>
        </w:rPr>
        <w:t>（4）线路场地稳定性及适宜性评价</w:t>
      </w:r>
    </w:p>
    <w:p w14:paraId="5EE5764A">
      <w:pPr>
        <w:pStyle w:val="153"/>
        <w:rPr>
          <w:rFonts w:hint="eastAsia" w:ascii="宋体" w:hAnsi="宋体" w:eastAsia="宋体" w:cs="宋体"/>
          <w:szCs w:val="24"/>
        </w:rPr>
      </w:pPr>
      <w:r>
        <w:rPr>
          <w:rFonts w:hint="eastAsia" w:ascii="宋体" w:hAnsi="宋体" w:eastAsia="宋体" w:cs="宋体"/>
          <w:szCs w:val="24"/>
        </w:rPr>
        <w:t>本次勘察除软土、高液限土、小型崩塌滑坡外，未见危及线路安全的大型崩塌、滑 坡及泥石流等不良地质现象,亦未见对线路安全有明显影响的活动性大构造或大断裂，新 构造运动较为微弱，地质构造活动进入相对稳定时期，场区现状整体相对稳定，总体适宜高速公路的建设。</w:t>
      </w:r>
    </w:p>
    <w:p w14:paraId="221E5E7E">
      <w:pPr>
        <w:pStyle w:val="4"/>
        <w:bidi w:val="0"/>
        <w:rPr>
          <w:rFonts w:hint="default" w:ascii="宋体" w:hAnsi="宋体" w:eastAsia="宋体" w:cs="宋体"/>
          <w:szCs w:val="24"/>
          <w:lang w:val="en-US"/>
        </w:rPr>
      </w:pPr>
      <w:bookmarkStart w:id="239" w:name="_Toc16358"/>
      <w:r>
        <w:rPr>
          <w:rFonts w:hint="default" w:ascii="Arial" w:hAnsi="Arial" w:eastAsia="宋体" w:cs="宋体"/>
          <w:color w:val="auto"/>
          <w:lang w:val="en-US" w:eastAsia="zh-CN"/>
        </w:rPr>
        <w:t>3.</w:t>
      </w:r>
      <w:r>
        <w:rPr>
          <w:rFonts w:hint="eastAsia" w:cs="宋体"/>
          <w:color w:val="auto"/>
          <w:lang w:val="en-US" w:eastAsia="zh-CN"/>
        </w:rPr>
        <w:t>8</w:t>
      </w:r>
      <w:r>
        <w:rPr>
          <w:rFonts w:hint="default" w:ascii="Arial" w:hAnsi="Arial" w:eastAsia="宋体" w:cs="宋体"/>
          <w:color w:val="auto"/>
          <w:lang w:val="en-US" w:eastAsia="zh-CN"/>
        </w:rPr>
        <w:t>.</w:t>
      </w:r>
      <w:r>
        <w:rPr>
          <w:rFonts w:hint="eastAsia" w:cs="宋体"/>
          <w:color w:val="auto"/>
          <w:lang w:val="en-US" w:eastAsia="zh-CN"/>
        </w:rPr>
        <w:t>沿线筑路材料</w:t>
      </w:r>
      <w:bookmarkEnd w:id="239"/>
    </w:p>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14:paraId="4297A010">
      <w:pPr>
        <w:pStyle w:val="5"/>
        <w:numPr>
          <w:ilvl w:val="2"/>
          <w:numId w:val="0"/>
        </w:numPr>
        <w:spacing w:line="360" w:lineRule="auto"/>
        <w:ind w:left="720" w:leftChars="0" w:hanging="720" w:firstLineChars="0"/>
        <w:rPr>
          <w:rFonts w:hint="eastAsia" w:ascii="宋体" w:hAnsi="宋体" w:eastAsia="宋体" w:cs="宋体"/>
          <w:color w:val="auto"/>
          <w:lang w:val="en-US" w:eastAsia="zh-CN"/>
        </w:rPr>
      </w:pPr>
      <w:bookmarkStart w:id="240" w:name="_Toc14053"/>
      <w:r>
        <w:rPr>
          <w:rFonts w:hint="default" w:ascii="宋体" w:hAnsi="宋体" w:eastAsia="宋体" w:cs="Times New Roman"/>
          <w:b/>
          <w:bCs/>
          <w:color w:val="auto"/>
          <w:kern w:val="2"/>
          <w:sz w:val="30"/>
          <w:szCs w:val="32"/>
          <w:lang w:val="en-US" w:eastAsia="zh-CN" w:bidi="ar-SA"/>
        </w:rPr>
        <w:t>3.</w:t>
      </w:r>
      <w:r>
        <w:rPr>
          <w:rFonts w:hint="eastAsia" w:ascii="宋体" w:hAnsi="宋体" w:cs="Times New Roman"/>
          <w:b/>
          <w:bCs/>
          <w:color w:val="auto"/>
          <w:kern w:val="2"/>
          <w:sz w:val="30"/>
          <w:szCs w:val="32"/>
          <w:lang w:val="en-US" w:eastAsia="zh-CN" w:bidi="ar-SA"/>
        </w:rPr>
        <w:t>8</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1</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宋体"/>
          <w:color w:val="auto"/>
          <w:lang w:val="en-US" w:eastAsia="zh-CN"/>
        </w:rPr>
        <w:t>沿线</w:t>
      </w:r>
      <w:r>
        <w:rPr>
          <w:rFonts w:hint="eastAsia" w:ascii="宋体" w:hAnsi="宋体" w:cs="宋体"/>
          <w:color w:val="auto"/>
          <w:lang w:val="en-US" w:eastAsia="zh-CN"/>
        </w:rPr>
        <w:t>筑路材料</w:t>
      </w:r>
      <w:bookmarkEnd w:id="240"/>
    </w:p>
    <w:p w14:paraId="28E46368">
      <w:pPr>
        <w:pStyle w:val="153"/>
        <w:rPr>
          <w:rFonts w:hint="eastAsia" w:ascii="宋体" w:hAnsi="宋体" w:eastAsia="宋体" w:cs="宋体"/>
          <w:szCs w:val="24"/>
        </w:rPr>
      </w:pPr>
      <w:r>
        <w:rPr>
          <w:rFonts w:hint="eastAsia" w:cs="宋体"/>
          <w:szCs w:val="24"/>
          <w:lang w:val="en-US" w:eastAsia="zh-CN"/>
        </w:rPr>
        <w:t>3.8.1.1</w:t>
      </w:r>
      <w:r>
        <w:rPr>
          <w:rFonts w:hint="eastAsia" w:ascii="宋体" w:hAnsi="宋体" w:eastAsia="宋体" w:cs="宋体"/>
          <w:szCs w:val="24"/>
        </w:rPr>
        <w:t>建筑材料</w:t>
      </w:r>
    </w:p>
    <w:p w14:paraId="0CB240E7">
      <w:pPr>
        <w:pStyle w:val="153"/>
        <w:rPr>
          <w:rFonts w:hint="eastAsia" w:ascii="宋体" w:hAnsi="宋体" w:eastAsia="宋体" w:cs="宋体"/>
          <w:szCs w:val="24"/>
        </w:rPr>
      </w:pPr>
      <w:r>
        <w:rPr>
          <w:rFonts w:hint="eastAsia" w:ascii="宋体" w:hAnsi="宋体" w:eastAsia="宋体" w:cs="宋体"/>
          <w:szCs w:val="24"/>
        </w:rPr>
        <w:t>拟建公路沿线建筑材料，分布广，采运条件较方便。石料、砂砾料、粘土料较为丰富。路面面层石料较缺乏。</w:t>
      </w:r>
    </w:p>
    <w:p w14:paraId="5FC4BE3E">
      <w:pPr>
        <w:pStyle w:val="153"/>
        <w:rPr>
          <w:rFonts w:hint="eastAsia" w:ascii="宋体" w:hAnsi="宋体" w:eastAsia="宋体" w:cs="宋体"/>
          <w:szCs w:val="24"/>
        </w:rPr>
      </w:pPr>
      <w:r>
        <w:rPr>
          <w:rFonts w:hint="eastAsia" w:ascii="宋体" w:hAnsi="宋体" w:eastAsia="宋体" w:cs="宋体"/>
          <w:szCs w:val="24"/>
        </w:rPr>
        <w:t>1、石料</w:t>
      </w:r>
    </w:p>
    <w:p w14:paraId="483E2C66">
      <w:pPr>
        <w:pStyle w:val="153"/>
        <w:rPr>
          <w:rFonts w:hint="eastAsia" w:ascii="宋体" w:hAnsi="宋体" w:eastAsia="宋体" w:cs="宋体"/>
          <w:szCs w:val="24"/>
        </w:rPr>
      </w:pPr>
      <w:r>
        <w:rPr>
          <w:rFonts w:hint="eastAsia" w:ascii="宋体" w:hAnsi="宋体" w:eastAsia="宋体" w:cs="宋体"/>
          <w:szCs w:val="24"/>
        </w:rPr>
        <w:t>沿线花岗岩类、凝灰岩等分布较广，质硬，可作为块石和一般碎石料，预测储量丰富。经调查，石料场一般分布于沿线附近约在1~10km，且储量较丰富，沿线路网发达，运输条件较好,各隧道及基岩路堑边坡开挖地段也是石料的供应源，可以就近开采加工，但应注意解决好石料场开采过程中与生态环境影响的矛盾，要统筹规划，将对开采区植被等环境的不利影响减少至最低限度。</w:t>
      </w:r>
    </w:p>
    <w:p w14:paraId="32816824">
      <w:pPr>
        <w:pStyle w:val="153"/>
        <w:rPr>
          <w:rFonts w:hint="eastAsia" w:ascii="宋体" w:hAnsi="宋体" w:eastAsia="宋体" w:cs="宋体"/>
          <w:szCs w:val="24"/>
        </w:rPr>
      </w:pPr>
      <w:r>
        <w:rPr>
          <w:rFonts w:hint="eastAsia" w:ascii="宋体" w:hAnsi="宋体" w:eastAsia="宋体" w:cs="宋体"/>
          <w:szCs w:val="24"/>
        </w:rPr>
        <w:t>2、土料</w:t>
      </w:r>
    </w:p>
    <w:p w14:paraId="11E708C4">
      <w:pPr>
        <w:pStyle w:val="153"/>
        <w:rPr>
          <w:rFonts w:hint="eastAsia" w:ascii="宋体" w:hAnsi="宋体" w:eastAsia="宋体" w:cs="宋体"/>
          <w:szCs w:val="24"/>
        </w:rPr>
      </w:pPr>
      <w:r>
        <w:rPr>
          <w:rFonts w:hint="eastAsia" w:ascii="宋体" w:hAnsi="宋体" w:eastAsia="宋体" w:cs="宋体"/>
          <w:szCs w:val="24"/>
        </w:rPr>
        <w:t>区内道路场区的残积台地、坡地残坡积土层及基岩风化层和冲洪积粘性土分布范围较广,尤其是微丘地带厚度较大，部分地段构成Ⅱ级阶地，场区基岩风化层储量十分丰富，可供其筑路材料选用。但部分路段存在高液限土，建议土层如需做为路基填料使用，均应预先做 CBR 试验以最终确定是否能作为路基填料。</w:t>
      </w:r>
    </w:p>
    <w:p w14:paraId="6D9BB60C">
      <w:pPr>
        <w:pStyle w:val="153"/>
        <w:rPr>
          <w:rFonts w:hint="eastAsia" w:ascii="宋体" w:hAnsi="宋体" w:eastAsia="宋体" w:cs="宋体"/>
          <w:szCs w:val="24"/>
        </w:rPr>
      </w:pPr>
      <w:r>
        <w:rPr>
          <w:rFonts w:hint="eastAsia" w:ascii="宋体" w:hAnsi="宋体" w:eastAsia="宋体" w:cs="宋体"/>
          <w:szCs w:val="24"/>
        </w:rPr>
        <w:t>3、砂、砾料</w:t>
      </w:r>
    </w:p>
    <w:p w14:paraId="18CA29E3">
      <w:pPr>
        <w:pStyle w:val="153"/>
        <w:rPr>
          <w:rFonts w:hint="eastAsia" w:ascii="宋体" w:hAnsi="宋体" w:eastAsia="宋体" w:cs="宋体"/>
          <w:szCs w:val="24"/>
        </w:rPr>
      </w:pPr>
      <w:r>
        <w:rPr>
          <w:rFonts w:hint="eastAsia" w:ascii="宋体" w:hAnsi="宋体" w:eastAsia="宋体" w:cs="宋体"/>
          <w:szCs w:val="24"/>
        </w:rPr>
        <w:t>拟建项目沿线所经河流主要河流有漳江水系等,有大量砂料分布,可满足工程建设用砂需要。且运输条件良好。</w:t>
      </w:r>
    </w:p>
    <w:p w14:paraId="485144FA">
      <w:pPr>
        <w:pStyle w:val="153"/>
        <w:rPr>
          <w:rFonts w:hint="eastAsia" w:ascii="宋体" w:hAnsi="宋体" w:eastAsia="宋体" w:cs="宋体"/>
          <w:szCs w:val="24"/>
        </w:rPr>
      </w:pPr>
      <w:r>
        <w:rPr>
          <w:rFonts w:hint="eastAsia" w:ascii="宋体" w:hAnsi="宋体" w:eastAsia="宋体" w:cs="宋体"/>
          <w:szCs w:val="24"/>
        </w:rPr>
        <w:t>4、路面沥青骨料</w:t>
      </w:r>
    </w:p>
    <w:p w14:paraId="38A0FCCF">
      <w:pPr>
        <w:pStyle w:val="153"/>
        <w:rPr>
          <w:rFonts w:hint="eastAsia" w:ascii="宋体" w:hAnsi="宋体" w:eastAsia="宋体" w:cs="宋体"/>
          <w:szCs w:val="24"/>
        </w:rPr>
      </w:pPr>
      <w:r>
        <w:rPr>
          <w:rFonts w:hint="eastAsia" w:ascii="宋体" w:hAnsi="宋体" w:eastAsia="宋体" w:cs="宋体"/>
          <w:szCs w:val="24"/>
        </w:rPr>
        <w:t>本段高速路的路面沥青骨料料场由设计部门专项委托，其内容详见设计文件。</w:t>
      </w:r>
    </w:p>
    <w:p w14:paraId="1012B26D">
      <w:pPr>
        <w:pStyle w:val="153"/>
        <w:rPr>
          <w:rFonts w:hint="eastAsia" w:ascii="宋体" w:hAnsi="宋体" w:eastAsia="宋体" w:cs="宋体"/>
          <w:szCs w:val="24"/>
        </w:rPr>
      </w:pPr>
      <w:r>
        <w:rPr>
          <w:rFonts w:hint="eastAsia" w:cs="宋体"/>
          <w:szCs w:val="24"/>
          <w:lang w:val="en-US" w:eastAsia="zh-CN"/>
        </w:rPr>
        <w:t>3.8.1.2</w:t>
      </w:r>
      <w:r>
        <w:rPr>
          <w:rFonts w:hint="eastAsia" w:ascii="宋体" w:hAnsi="宋体" w:eastAsia="宋体" w:cs="宋体"/>
          <w:szCs w:val="24"/>
        </w:rPr>
        <w:t>运输条件</w:t>
      </w:r>
    </w:p>
    <w:p w14:paraId="5ED64C0B">
      <w:pPr>
        <w:pStyle w:val="153"/>
        <w:rPr>
          <w:rFonts w:hint="eastAsia" w:ascii="宋体" w:hAnsi="宋体" w:eastAsia="宋体" w:cs="宋体"/>
          <w:szCs w:val="24"/>
        </w:rPr>
      </w:pPr>
      <w:r>
        <w:rPr>
          <w:rFonts w:hint="eastAsia" w:ascii="宋体" w:hAnsi="宋体" w:eastAsia="宋体" w:cs="宋体"/>
          <w:szCs w:val="24"/>
        </w:rPr>
        <w:t>项目临近市现有沈海高速、东山联络线、G324、S329、S201、S210、X561以及其他县乡公路等。运输条件整体较好，交通便利，有利于高速公路的建设，运输条件整体较好，交通便利。个别山区路段，需修建施工便道。</w:t>
      </w:r>
    </w:p>
    <w:p w14:paraId="1479CC50">
      <w:pPr>
        <w:pStyle w:val="153"/>
        <w:rPr>
          <w:rFonts w:hint="eastAsia" w:ascii="宋体" w:hAnsi="宋体" w:eastAsia="宋体" w:cs="宋体"/>
          <w:szCs w:val="24"/>
        </w:rPr>
      </w:pPr>
      <w:r>
        <w:rPr>
          <w:rFonts w:hint="eastAsia" w:cs="宋体"/>
          <w:szCs w:val="24"/>
          <w:lang w:val="en-US" w:eastAsia="zh-CN"/>
        </w:rPr>
        <w:t>3.8.1.3</w:t>
      </w:r>
      <w:r>
        <w:rPr>
          <w:rFonts w:hint="eastAsia" w:ascii="宋体" w:hAnsi="宋体" w:eastAsia="宋体" w:cs="宋体"/>
          <w:szCs w:val="24"/>
        </w:rPr>
        <w:t>水资源</w:t>
      </w:r>
    </w:p>
    <w:p w14:paraId="6F43673C">
      <w:pPr>
        <w:pStyle w:val="153"/>
        <w:rPr>
          <w:rFonts w:hint="eastAsia" w:ascii="宋体" w:hAnsi="宋体" w:eastAsia="宋体" w:cs="宋体"/>
          <w:szCs w:val="24"/>
        </w:rPr>
      </w:pPr>
      <w:r>
        <w:rPr>
          <w:rFonts w:hint="eastAsia" w:ascii="宋体" w:hAnsi="宋体" w:eastAsia="宋体" w:cs="宋体"/>
          <w:szCs w:val="24"/>
        </w:rPr>
        <w:t>沿线水资源丰富，水质良好，矿化度低。工程用水主要由漳江水系等提供，沿线的溪流及水库等供应，均可满足要求。但施工中应注意水资源的保护，严防对沿线居民用水的污染。勘察期间，结合构造物及地貌单元，对地表水、地下水进行水样简分析，根据《公路工程地质勘察规范》(JTGC20-2011)附录K判定，大部分路段所测的地表水、地下水值对混凝土及混凝土的钢筋具微-强腐蚀性。建议若作为工程用水，在使用前需进行相关实验以确定水源的可用性。</w:t>
      </w:r>
    </w:p>
    <w:p w14:paraId="52CF2F3E">
      <w:pPr>
        <w:pStyle w:val="153"/>
        <w:rPr>
          <w:rFonts w:hint="eastAsia" w:ascii="宋体" w:hAnsi="宋体" w:eastAsia="宋体" w:cs="宋体"/>
          <w:szCs w:val="24"/>
        </w:rPr>
      </w:pPr>
    </w:p>
    <w:p w14:paraId="264B3927">
      <w:pPr>
        <w:pStyle w:val="153"/>
        <w:rPr>
          <w:rFonts w:hint="eastAsia" w:ascii="宋体" w:hAnsi="宋体" w:eastAsia="宋体" w:cs="宋体"/>
          <w:szCs w:val="24"/>
        </w:rPr>
      </w:pPr>
    </w:p>
    <w:bookmarkEnd w:id="210"/>
    <w:bookmarkEnd w:id="211"/>
    <w:bookmarkEnd w:id="212"/>
    <w:bookmarkEnd w:id="213"/>
    <w:bookmarkEnd w:id="214"/>
    <w:bookmarkEnd w:id="215"/>
    <w:bookmarkEnd w:id="216"/>
    <w:bookmarkEnd w:id="217"/>
    <w:bookmarkEnd w:id="218"/>
    <w:bookmarkEnd w:id="219"/>
    <w:p w14:paraId="4916B4B7">
      <w:pPr>
        <w:pStyle w:val="2"/>
        <w:numPr>
          <w:ilvl w:val="0"/>
          <w:numId w:val="0"/>
        </w:numPr>
        <w:bidi w:val="0"/>
        <w:ind w:leftChars="0"/>
        <w:jc w:val="center"/>
        <w:rPr>
          <w:rFonts w:hint="default" w:eastAsia="宋体"/>
          <w:color w:val="auto"/>
          <w:lang w:val="en-US" w:eastAsia="zh-CN"/>
        </w:rPr>
      </w:pPr>
      <w:bookmarkStart w:id="241" w:name="_Toc17524"/>
      <w:bookmarkStart w:id="242" w:name="_Toc24385"/>
      <w:bookmarkStart w:id="243" w:name="_Toc26877"/>
      <w:bookmarkStart w:id="244" w:name="_Toc31358"/>
      <w:bookmarkStart w:id="245" w:name="_Toc28608"/>
      <w:bookmarkStart w:id="246" w:name="_Toc392933477"/>
      <w:bookmarkStart w:id="247" w:name="_Toc29301"/>
      <w:bookmarkStart w:id="248" w:name="_Toc232929189"/>
      <w:bookmarkStart w:id="249" w:name="_Toc1191"/>
      <w:bookmarkStart w:id="250" w:name="_Toc392165589"/>
      <w:bookmarkStart w:id="251" w:name="_Toc29105"/>
      <w:bookmarkStart w:id="252" w:name="_Toc260037161"/>
      <w:bookmarkStart w:id="253" w:name="_Toc3142"/>
      <w:bookmarkStart w:id="254" w:name="_Toc260036552"/>
      <w:bookmarkStart w:id="255" w:name="_Toc15740"/>
      <w:bookmarkStart w:id="256" w:name="_Toc21087"/>
      <w:bookmarkStart w:id="257" w:name="_Toc28106"/>
      <w:r>
        <w:rPr>
          <w:rFonts w:hint="eastAsia"/>
          <w:color w:val="auto"/>
        </w:rPr>
        <w:t>第</w:t>
      </w:r>
      <w:r>
        <w:rPr>
          <w:rFonts w:hint="eastAsia"/>
          <w:color w:val="auto"/>
          <w:lang w:val="en-US" w:eastAsia="zh-CN"/>
        </w:rPr>
        <w:t>四</w:t>
      </w:r>
      <w:r>
        <w:rPr>
          <w:rFonts w:hint="eastAsia"/>
          <w:color w:val="auto"/>
        </w:rPr>
        <w:t xml:space="preserve">章  </w:t>
      </w:r>
      <w:r>
        <w:rPr>
          <w:rFonts w:hint="eastAsia"/>
          <w:color w:val="auto"/>
          <w:lang w:val="en-US" w:eastAsia="zh-CN"/>
        </w:rPr>
        <w:t>前期准备工作</w:t>
      </w:r>
      <w:bookmarkEnd w:id="241"/>
    </w:p>
    <w:p w14:paraId="5AD68D28">
      <w:pPr>
        <w:pStyle w:val="4"/>
        <w:numPr>
          <w:ilvl w:val="1"/>
          <w:numId w:val="0"/>
        </w:numPr>
        <w:spacing w:line="360" w:lineRule="auto"/>
        <w:ind w:firstLine="0" w:firstLineChars="0"/>
        <w:rPr>
          <w:rFonts w:hint="eastAsia" w:ascii="宋体" w:hAnsi="宋体" w:eastAsia="宋体" w:cs="宋体"/>
          <w:color w:val="auto"/>
        </w:rPr>
      </w:pPr>
      <w:bookmarkStart w:id="258" w:name="_Toc30418"/>
      <w:r>
        <w:rPr>
          <w:rFonts w:hint="default" w:ascii="宋体" w:hAnsi="宋体" w:eastAsia="宋体" w:cs="Times New Roman"/>
          <w:b/>
          <w:bCs/>
          <w:color w:val="auto"/>
          <w:kern w:val="2"/>
          <w:sz w:val="32"/>
          <w:szCs w:val="32"/>
          <w:lang w:val="en-US" w:eastAsia="zh-CN" w:bidi="ar-SA"/>
        </w:rPr>
        <w:t>4.1.</w:t>
      </w:r>
      <w:r>
        <w:rPr>
          <w:rFonts w:hint="eastAsia" w:ascii="宋体" w:hAnsi="宋体" w:eastAsia="宋体" w:cs="宋体"/>
          <w:color w:val="auto"/>
        </w:rPr>
        <w:t>前期准备工作程序流程</w:t>
      </w:r>
      <w:bookmarkEnd w:id="242"/>
      <w:bookmarkEnd w:id="243"/>
      <w:bookmarkEnd w:id="244"/>
      <w:bookmarkEnd w:id="245"/>
      <w:bookmarkEnd w:id="258"/>
    </w:p>
    <w:p w14:paraId="239D122F">
      <w:pPr>
        <w:pStyle w:val="22"/>
        <w:ind w:left="0" w:leftChars="0" w:firstLine="0" w:firstLineChars="0"/>
        <w:jc w:val="both"/>
        <w:rPr>
          <w:rFonts w:hint="eastAsia" w:ascii="宋体" w:hAnsi="宋体" w:eastAsia="宋体" w:cs="宋体"/>
        </w:rPr>
      </w:pPr>
      <w:r>
        <mc:AlternateContent>
          <mc:Choice Requires="wpg">
            <w:drawing>
              <wp:inline distT="0" distB="0" distL="114300" distR="114300">
                <wp:extent cx="5758180" cy="5384800"/>
                <wp:effectExtent l="4445" t="5080" r="13335" b="5080"/>
                <wp:docPr id="58" name="组合 4"/>
                <wp:cNvGraphicFramePr/>
                <a:graphic xmlns:a="http://schemas.openxmlformats.org/drawingml/2006/main">
                  <a:graphicData uri="http://schemas.microsoft.com/office/word/2010/wordprocessingGroup">
                    <wpg:wgp>
                      <wpg:cNvGrpSpPr/>
                      <wpg:grpSpPr>
                        <a:xfrm>
                          <a:off x="0" y="0"/>
                          <a:ext cx="5758180" cy="5384800"/>
                          <a:chOff x="6459" y="996237"/>
                          <a:chExt cx="9190" cy="9098"/>
                        </a:xfrm>
                      </wpg:grpSpPr>
                      <wps:wsp>
                        <wps:cNvPr id="1" name="Rectangle 456"/>
                        <wps:cNvSpPr/>
                        <wps:spPr>
                          <a:xfrm>
                            <a:off x="10126" y="1000766"/>
                            <a:ext cx="624" cy="3427"/>
                          </a:xfrm>
                          <a:prstGeom prst="rect">
                            <a:avLst/>
                          </a:prstGeom>
                          <a:noFill/>
                          <a:ln w="3175" cap="flat" cmpd="sng">
                            <a:solidFill>
                              <a:srgbClr val="000000"/>
                            </a:solidFill>
                            <a:prstDash val="solid"/>
                            <a:miter/>
                            <a:headEnd type="none" w="med" len="med"/>
                            <a:tailEnd type="none" w="med" len="med"/>
                          </a:ln>
                        </wps:spPr>
                        <wps:txbx>
                          <w:txbxContent>
                            <w:p w14:paraId="3EA7F94D">
                              <w:pPr>
                                <w:pStyle w:val="19"/>
                              </w:pPr>
                              <w:r>
                                <w:rPr>
                                  <w:rFonts w:hint="eastAsia"/>
                                </w:rPr>
                                <w:t>交通导改方案确定报审</w:t>
                              </w:r>
                            </w:p>
                          </w:txbxContent>
                        </wps:txbx>
                        <wps:bodyPr upright="1"/>
                      </wps:wsp>
                      <wpg:grpSp>
                        <wpg:cNvPr id="57" name="组合 1190"/>
                        <wpg:cNvGrpSpPr/>
                        <wpg:grpSpPr>
                          <a:xfrm>
                            <a:off x="6459" y="996237"/>
                            <a:ext cx="9190" cy="9098"/>
                            <a:chOff x="3884" y="996237"/>
                            <a:chExt cx="9190" cy="9098"/>
                          </a:xfrm>
                        </wpg:grpSpPr>
                        <wpg:grpSp>
                          <wpg:cNvPr id="5" name="组合 1177"/>
                          <wpg:cNvGrpSpPr/>
                          <wpg:grpSpPr>
                            <a:xfrm>
                              <a:off x="6738" y="1000398"/>
                              <a:ext cx="624" cy="4146"/>
                              <a:chOff x="5501" y="1000360"/>
                              <a:chExt cx="624" cy="4146"/>
                            </a:xfrm>
                          </wpg:grpSpPr>
                          <wps:wsp>
                            <wps:cNvPr id="2" name="Line 455"/>
                            <wps:cNvCnPr/>
                            <wps:spPr>
                              <a:xfrm>
                                <a:off x="5866" y="1000360"/>
                                <a:ext cx="0" cy="361"/>
                              </a:xfrm>
                              <a:prstGeom prst="line">
                                <a:avLst/>
                              </a:prstGeom>
                              <a:ln w="3175" cap="flat" cmpd="sng">
                                <a:solidFill>
                                  <a:srgbClr val="000000"/>
                                </a:solidFill>
                                <a:prstDash val="solid"/>
                                <a:headEnd type="none" w="med" len="med"/>
                                <a:tailEnd type="none" w="med" len="med"/>
                              </a:ln>
                            </wps:spPr>
                            <wps:bodyPr upright="1"/>
                          </wps:wsp>
                          <wps:wsp>
                            <wps:cNvPr id="3" name="Rectangle 456"/>
                            <wps:cNvSpPr/>
                            <wps:spPr>
                              <a:xfrm>
                                <a:off x="5501" y="1000720"/>
                                <a:ext cx="624" cy="3427"/>
                              </a:xfrm>
                              <a:prstGeom prst="rect">
                                <a:avLst/>
                              </a:prstGeom>
                              <a:noFill/>
                              <a:ln w="3175" cap="flat" cmpd="sng">
                                <a:solidFill>
                                  <a:srgbClr val="000000"/>
                                </a:solidFill>
                                <a:prstDash val="solid"/>
                                <a:miter/>
                                <a:headEnd type="none" w="med" len="med"/>
                                <a:tailEnd type="none" w="med" len="med"/>
                              </a:ln>
                            </wps:spPr>
                            <wps:txbx>
                              <w:txbxContent>
                                <w:p w14:paraId="1947AFB4">
                                  <w:pPr>
                                    <w:pStyle w:val="19"/>
                                  </w:pPr>
                                  <w:r>
                                    <w:rPr>
                                      <w:rFonts w:hint="eastAsia"/>
                                    </w:rPr>
                                    <w:t>临时设</w:t>
                                  </w:r>
                                  <w:r>
                                    <w:rPr>
                                      <w:rFonts w:hint="eastAsia"/>
                                      <w:lang w:val="en-US" w:eastAsia="zh-CN"/>
                                    </w:rPr>
                                    <w:t xml:space="preserve"> </w:t>
                                  </w:r>
                                  <w:r>
                                    <w:rPr>
                                      <w:rFonts w:hint="eastAsia"/>
                                    </w:rPr>
                                    <w:t>施、生活设施搭设</w:t>
                                  </w:r>
                                </w:p>
                              </w:txbxContent>
                            </wps:txbx>
                            <wps:bodyPr upright="1"/>
                          </wps:wsp>
                          <wps:wsp>
                            <wps:cNvPr id="4" name="直线 1687"/>
                            <wps:cNvCnPr/>
                            <wps:spPr>
                              <a:xfrm>
                                <a:off x="5866" y="1004146"/>
                                <a:ext cx="0" cy="361"/>
                              </a:xfrm>
                              <a:prstGeom prst="line">
                                <a:avLst/>
                              </a:prstGeom>
                              <a:ln w="3175" cap="flat" cmpd="sng">
                                <a:solidFill>
                                  <a:srgbClr val="000000"/>
                                </a:solidFill>
                                <a:prstDash val="solid"/>
                                <a:headEnd type="none" w="med" len="med"/>
                                <a:tailEnd type="none" w="med" len="med"/>
                              </a:ln>
                            </wps:spPr>
                            <wps:bodyPr upright="1"/>
                          </wps:wsp>
                        </wpg:grpSp>
                        <wpg:grpSp>
                          <wpg:cNvPr id="9" name="组合 1184"/>
                          <wpg:cNvGrpSpPr/>
                          <wpg:grpSpPr>
                            <a:xfrm>
                              <a:off x="9368" y="1000412"/>
                              <a:ext cx="765" cy="4150"/>
                              <a:chOff x="9177" y="1000385"/>
                              <a:chExt cx="765" cy="4150"/>
                            </a:xfrm>
                          </wpg:grpSpPr>
                          <wps:wsp>
                            <wps:cNvPr id="6" name="Line 459"/>
                            <wps:cNvCnPr/>
                            <wps:spPr>
                              <a:xfrm>
                                <a:off x="9542" y="1000385"/>
                                <a:ext cx="1" cy="361"/>
                              </a:xfrm>
                              <a:prstGeom prst="line">
                                <a:avLst/>
                              </a:prstGeom>
                              <a:ln w="3175" cap="flat" cmpd="sng">
                                <a:solidFill>
                                  <a:srgbClr val="000000"/>
                                </a:solidFill>
                                <a:prstDash val="solid"/>
                                <a:headEnd type="none" w="med" len="med"/>
                                <a:tailEnd type="none" w="med" len="med"/>
                              </a:ln>
                            </wps:spPr>
                            <wps:bodyPr upright="1"/>
                          </wps:wsp>
                          <wps:wsp>
                            <wps:cNvPr id="7" name="Rectangle 460"/>
                            <wps:cNvSpPr/>
                            <wps:spPr>
                              <a:xfrm>
                                <a:off x="9177" y="1000745"/>
                                <a:ext cx="765" cy="3427"/>
                              </a:xfrm>
                              <a:prstGeom prst="rect">
                                <a:avLst/>
                              </a:prstGeom>
                              <a:noFill/>
                              <a:ln w="3175" cap="flat" cmpd="sng">
                                <a:solidFill>
                                  <a:srgbClr val="000000"/>
                                </a:solidFill>
                                <a:prstDash val="solid"/>
                                <a:miter/>
                                <a:headEnd type="none" w="med" len="med"/>
                                <a:tailEnd type="none" w="med" len="med"/>
                              </a:ln>
                            </wps:spPr>
                            <wps:txbx>
                              <w:txbxContent>
                                <w:p w14:paraId="1B5879D2">
                                  <w:pPr>
                                    <w:pStyle w:val="19"/>
                                  </w:pPr>
                                  <w:r>
                                    <w:rPr>
                                      <w:rFonts w:hint="eastAsia"/>
                                    </w:rPr>
                                    <w:t>编制实施性施工组织设计并报审报批</w:t>
                                  </w:r>
                                </w:p>
                              </w:txbxContent>
                            </wps:txbx>
                            <wps:bodyPr upright="1"/>
                          </wps:wsp>
                          <wps:wsp>
                            <wps:cNvPr id="8" name="Line 470"/>
                            <wps:cNvCnPr/>
                            <wps:spPr>
                              <a:xfrm>
                                <a:off x="9542" y="1004174"/>
                                <a:ext cx="1" cy="361"/>
                              </a:xfrm>
                              <a:prstGeom prst="line">
                                <a:avLst/>
                              </a:prstGeom>
                              <a:ln w="3175" cap="flat" cmpd="sng">
                                <a:solidFill>
                                  <a:srgbClr val="000000"/>
                                </a:solidFill>
                                <a:prstDash val="solid"/>
                                <a:headEnd type="none" w="med" len="med"/>
                                <a:tailEnd type="none" w="med" len="med"/>
                              </a:ln>
                            </wps:spPr>
                            <wps:bodyPr upright="1"/>
                          </wps:wsp>
                        </wpg:grpSp>
                        <wpg:grpSp>
                          <wpg:cNvPr id="13" name="组合 1176"/>
                          <wpg:cNvGrpSpPr/>
                          <wpg:grpSpPr>
                            <a:xfrm>
                              <a:off x="4998" y="1000383"/>
                              <a:ext cx="624" cy="4146"/>
                              <a:chOff x="4223" y="1000360"/>
                              <a:chExt cx="624" cy="4146"/>
                            </a:xfrm>
                          </wpg:grpSpPr>
                          <wps:wsp>
                            <wps:cNvPr id="10" name="Rectangle 454"/>
                            <wps:cNvSpPr/>
                            <wps:spPr>
                              <a:xfrm>
                                <a:off x="4223" y="1000720"/>
                                <a:ext cx="624" cy="3427"/>
                              </a:xfrm>
                              <a:prstGeom prst="rect">
                                <a:avLst/>
                              </a:prstGeom>
                              <a:noFill/>
                              <a:ln w="3175" cap="flat" cmpd="sng">
                                <a:solidFill>
                                  <a:srgbClr val="000000"/>
                                </a:solidFill>
                                <a:prstDash val="solid"/>
                                <a:miter/>
                                <a:headEnd type="none" w="med" len="med"/>
                                <a:tailEnd type="none" w="med" len="med"/>
                              </a:ln>
                            </wps:spPr>
                            <wps:txbx>
                              <w:txbxContent>
                                <w:p w14:paraId="3E53C125">
                                  <w:pPr>
                                    <w:pStyle w:val="19"/>
                                  </w:pPr>
                                  <w:r>
                                    <w:rPr>
                                      <w:rFonts w:hint="eastAsia"/>
                                    </w:rPr>
                                    <w:t>控制桩复核结果确认</w:t>
                                  </w:r>
                                </w:p>
                              </w:txbxContent>
                            </wps:txbx>
                            <wps:bodyPr upright="1"/>
                          </wps:wsp>
                          <wps:wsp>
                            <wps:cNvPr id="11" name="Line 453"/>
                            <wps:cNvCnPr/>
                            <wps:spPr>
                              <a:xfrm>
                                <a:off x="4588" y="1000360"/>
                                <a:ext cx="1" cy="361"/>
                              </a:xfrm>
                              <a:prstGeom prst="line">
                                <a:avLst/>
                              </a:prstGeom>
                              <a:ln w="3175" cap="flat" cmpd="sng">
                                <a:solidFill>
                                  <a:srgbClr val="000000"/>
                                </a:solidFill>
                                <a:prstDash val="solid"/>
                                <a:headEnd type="none" w="med" len="med"/>
                                <a:tailEnd type="none" w="med" len="med"/>
                              </a:ln>
                            </wps:spPr>
                            <wps:bodyPr upright="1"/>
                          </wps:wsp>
                          <wps:wsp>
                            <wps:cNvPr id="12" name="Line 467"/>
                            <wps:cNvCnPr/>
                            <wps:spPr>
                              <a:xfrm>
                                <a:off x="4588" y="1004146"/>
                                <a:ext cx="1" cy="361"/>
                              </a:xfrm>
                              <a:prstGeom prst="line">
                                <a:avLst/>
                              </a:prstGeom>
                              <a:ln w="3175" cap="flat" cmpd="sng">
                                <a:solidFill>
                                  <a:srgbClr val="000000"/>
                                </a:solidFill>
                                <a:prstDash val="solid"/>
                                <a:headEnd type="none" w="med" len="med"/>
                                <a:tailEnd type="none" w="med" len="med"/>
                              </a:ln>
                            </wps:spPr>
                            <wps:bodyPr upright="1"/>
                          </wps:wsp>
                        </wpg:grpSp>
                        <wpg:grpSp>
                          <wpg:cNvPr id="17" name="组合 1185"/>
                          <wpg:cNvGrpSpPr/>
                          <wpg:grpSpPr>
                            <a:xfrm>
                              <a:off x="8378" y="1000385"/>
                              <a:ext cx="765" cy="4146"/>
                              <a:chOff x="7900" y="1000385"/>
                              <a:chExt cx="794" cy="4146"/>
                            </a:xfrm>
                          </wpg:grpSpPr>
                          <wps:wsp>
                            <wps:cNvPr id="14" name="Line 457"/>
                            <wps:cNvCnPr/>
                            <wps:spPr>
                              <a:xfrm>
                                <a:off x="8265" y="1000385"/>
                                <a:ext cx="1" cy="361"/>
                              </a:xfrm>
                              <a:prstGeom prst="line">
                                <a:avLst/>
                              </a:prstGeom>
                              <a:ln w="3175" cap="flat" cmpd="sng">
                                <a:solidFill>
                                  <a:srgbClr val="000000"/>
                                </a:solidFill>
                                <a:prstDash val="solid"/>
                                <a:headEnd type="none" w="med" len="med"/>
                                <a:tailEnd type="none" w="med" len="med"/>
                              </a:ln>
                            </wps:spPr>
                            <wps:bodyPr upright="1"/>
                          </wps:wsp>
                          <wps:wsp>
                            <wps:cNvPr id="15" name="Rectangle 458"/>
                            <wps:cNvSpPr/>
                            <wps:spPr>
                              <a:xfrm>
                                <a:off x="7900" y="1000745"/>
                                <a:ext cx="794" cy="3427"/>
                              </a:xfrm>
                              <a:prstGeom prst="rect">
                                <a:avLst/>
                              </a:prstGeom>
                              <a:noFill/>
                              <a:ln w="3175" cap="flat" cmpd="sng">
                                <a:solidFill>
                                  <a:srgbClr val="000000"/>
                                </a:solidFill>
                                <a:prstDash val="solid"/>
                                <a:miter/>
                                <a:headEnd type="none" w="med" len="med"/>
                                <a:tailEnd type="none" w="med" len="med"/>
                              </a:ln>
                            </wps:spPr>
                            <wps:txbx>
                              <w:txbxContent>
                                <w:p w14:paraId="54E90634">
                                  <w:pPr>
                                    <w:pStyle w:val="19"/>
                                  </w:pPr>
                                  <w:r>
                                    <w:rPr>
                                      <w:rFonts w:hint="eastAsia"/>
                                    </w:rPr>
                                    <w:t>施工机械设备进场试运行并报审</w:t>
                                  </w:r>
                                </w:p>
                              </w:txbxContent>
                            </wps:txbx>
                            <wps:bodyPr upright="1"/>
                          </wps:wsp>
                          <wps:wsp>
                            <wps:cNvPr id="16" name="Line 469"/>
                            <wps:cNvCnPr/>
                            <wps:spPr>
                              <a:xfrm>
                                <a:off x="8265" y="1004171"/>
                                <a:ext cx="1" cy="361"/>
                              </a:xfrm>
                              <a:prstGeom prst="line">
                                <a:avLst/>
                              </a:prstGeom>
                              <a:ln w="3175" cap="flat" cmpd="sng">
                                <a:solidFill>
                                  <a:srgbClr val="000000"/>
                                </a:solidFill>
                                <a:prstDash val="solid"/>
                                <a:headEnd type="none" w="med" len="med"/>
                                <a:tailEnd type="none" w="med" len="med"/>
                              </a:ln>
                            </wps:spPr>
                            <wps:bodyPr upright="1"/>
                          </wps:wsp>
                        </wpg:grpSp>
                        <wpg:grpSp>
                          <wpg:cNvPr id="21" name="组合 22"/>
                          <wpg:cNvGrpSpPr/>
                          <wpg:grpSpPr>
                            <a:xfrm>
                              <a:off x="5882" y="1000375"/>
                              <a:ext cx="624" cy="4146"/>
                              <a:chOff x="5501" y="1000360"/>
                              <a:chExt cx="624" cy="4146"/>
                            </a:xfrm>
                          </wpg:grpSpPr>
                          <wps:wsp>
                            <wps:cNvPr id="18" name="Line 455"/>
                            <wps:cNvCnPr/>
                            <wps:spPr>
                              <a:xfrm>
                                <a:off x="5866" y="1000360"/>
                                <a:ext cx="0" cy="361"/>
                              </a:xfrm>
                              <a:prstGeom prst="line">
                                <a:avLst/>
                              </a:prstGeom>
                              <a:ln w="3175" cap="flat" cmpd="sng">
                                <a:solidFill>
                                  <a:srgbClr val="000000"/>
                                </a:solidFill>
                                <a:prstDash val="solid"/>
                                <a:headEnd type="none" w="med" len="med"/>
                                <a:tailEnd type="none" w="med" len="med"/>
                              </a:ln>
                            </wps:spPr>
                            <wps:bodyPr upright="1"/>
                          </wps:wsp>
                          <wps:wsp>
                            <wps:cNvPr id="19" name="Rectangle 456"/>
                            <wps:cNvSpPr/>
                            <wps:spPr>
                              <a:xfrm>
                                <a:off x="5501" y="1000720"/>
                                <a:ext cx="624" cy="3427"/>
                              </a:xfrm>
                              <a:prstGeom prst="rect">
                                <a:avLst/>
                              </a:prstGeom>
                              <a:noFill/>
                              <a:ln w="3175" cap="flat" cmpd="sng">
                                <a:solidFill>
                                  <a:srgbClr val="000000"/>
                                </a:solidFill>
                                <a:prstDash val="solid"/>
                                <a:miter/>
                                <a:headEnd type="none" w="med" len="med"/>
                                <a:tailEnd type="none" w="med" len="med"/>
                              </a:ln>
                            </wps:spPr>
                            <wps:txbx>
                              <w:txbxContent>
                                <w:p w14:paraId="4DA4B5F2">
                                  <w:pPr>
                                    <w:pStyle w:val="19"/>
                                  </w:pPr>
                                  <w:r>
                                    <w:rPr>
                                      <w:rFonts w:hint="eastAsia"/>
                                    </w:rPr>
                                    <w:t>征拆及管线调查</w:t>
                                  </w:r>
                                </w:p>
                              </w:txbxContent>
                            </wps:txbx>
                            <wps:bodyPr upright="1"/>
                          </wps:wsp>
                          <wps:wsp>
                            <wps:cNvPr id="20" name="直线 1703"/>
                            <wps:cNvCnPr/>
                            <wps:spPr>
                              <a:xfrm>
                                <a:off x="5866" y="1004146"/>
                                <a:ext cx="0" cy="361"/>
                              </a:xfrm>
                              <a:prstGeom prst="line">
                                <a:avLst/>
                              </a:prstGeom>
                              <a:ln w="3175" cap="flat" cmpd="sng">
                                <a:solidFill>
                                  <a:srgbClr val="000000"/>
                                </a:solidFill>
                                <a:prstDash val="solid"/>
                                <a:headEnd type="none" w="med" len="med"/>
                                <a:tailEnd type="none" w="med" len="med"/>
                              </a:ln>
                            </wps:spPr>
                            <wps:bodyPr upright="1"/>
                          </wps:wsp>
                        </wpg:grpSp>
                        <wpg:grpSp>
                          <wpg:cNvPr id="55" name="组合 1183"/>
                          <wpg:cNvGrpSpPr/>
                          <wpg:grpSpPr>
                            <a:xfrm>
                              <a:off x="3884" y="996237"/>
                              <a:ext cx="9190" cy="9098"/>
                              <a:chOff x="3884" y="996237"/>
                              <a:chExt cx="9190" cy="9098"/>
                            </a:xfrm>
                          </wpg:grpSpPr>
                          <wps:wsp>
                            <wps:cNvPr id="22" name="Rectangle 430"/>
                            <wps:cNvSpPr/>
                            <wps:spPr>
                              <a:xfrm>
                                <a:off x="7352" y="996237"/>
                                <a:ext cx="2555" cy="541"/>
                              </a:xfrm>
                              <a:prstGeom prst="rect">
                                <a:avLst/>
                              </a:prstGeom>
                              <a:noFill/>
                              <a:ln w="3175" cap="flat" cmpd="sng">
                                <a:solidFill>
                                  <a:srgbClr val="000000"/>
                                </a:solidFill>
                                <a:prstDash val="solid"/>
                                <a:miter/>
                                <a:headEnd type="none" w="med" len="med"/>
                                <a:tailEnd type="none" w="med" len="med"/>
                              </a:ln>
                            </wps:spPr>
                            <wps:txbx>
                              <w:txbxContent>
                                <w:p w14:paraId="411A89EE">
                                  <w:pPr>
                                    <w:pStyle w:val="19"/>
                                  </w:pPr>
                                  <w:r>
                                    <w:rPr>
                                      <w:rFonts w:hint="eastAsia"/>
                                    </w:rPr>
                                    <w:t>签订工程施工合同文件</w:t>
                                  </w:r>
                                </w:p>
                              </w:txbxContent>
                            </wps:txbx>
                            <wps:bodyPr upright="1"/>
                          </wps:wsp>
                          <wps:wsp>
                            <wps:cNvPr id="23" name="Line 431"/>
                            <wps:cNvCnPr/>
                            <wps:spPr>
                              <a:xfrm>
                                <a:off x="8630" y="996778"/>
                                <a:ext cx="1" cy="361"/>
                              </a:xfrm>
                              <a:prstGeom prst="line">
                                <a:avLst/>
                              </a:prstGeom>
                              <a:ln w="3175" cap="flat" cmpd="sng">
                                <a:solidFill>
                                  <a:srgbClr val="000000"/>
                                </a:solidFill>
                                <a:prstDash val="solid"/>
                                <a:headEnd type="none" w="med" len="med"/>
                                <a:tailEnd type="triangle" w="med" len="med"/>
                              </a:ln>
                            </wps:spPr>
                            <wps:bodyPr upright="1"/>
                          </wps:wsp>
                          <wps:wsp>
                            <wps:cNvPr id="24" name="Rectangle 432"/>
                            <wps:cNvSpPr/>
                            <wps:spPr>
                              <a:xfrm>
                                <a:off x="6804" y="997139"/>
                                <a:ext cx="4016" cy="902"/>
                              </a:xfrm>
                              <a:prstGeom prst="rect">
                                <a:avLst/>
                              </a:prstGeom>
                              <a:noFill/>
                              <a:ln w="3175" cap="flat" cmpd="sng">
                                <a:solidFill>
                                  <a:srgbClr val="000000"/>
                                </a:solidFill>
                                <a:prstDash val="solid"/>
                                <a:miter/>
                                <a:headEnd type="none" w="med" len="med"/>
                                <a:tailEnd type="none" w="med" len="med"/>
                              </a:ln>
                            </wps:spPr>
                            <wps:txbx>
                              <w:txbxContent>
                                <w:p w14:paraId="78353FE7">
                                  <w:pPr>
                                    <w:pStyle w:val="19"/>
                                  </w:pPr>
                                  <w:r>
                                    <w:rPr>
                                      <w:rFonts w:hint="eastAsia"/>
                                    </w:rPr>
                                    <w:t>建立与建设单位、设计、监理及施工单位及相关单位及人员的联系网</w:t>
                                  </w:r>
                                </w:p>
                              </w:txbxContent>
                            </wps:txbx>
                            <wps:bodyPr upright="1"/>
                          </wps:wsp>
                          <wps:wsp>
                            <wps:cNvPr id="25" name="Line 433"/>
                            <wps:cNvCnPr/>
                            <wps:spPr>
                              <a:xfrm>
                                <a:off x="8630" y="998041"/>
                                <a:ext cx="1" cy="361"/>
                              </a:xfrm>
                              <a:prstGeom prst="line">
                                <a:avLst/>
                              </a:prstGeom>
                              <a:ln w="3175" cap="flat" cmpd="sng">
                                <a:solidFill>
                                  <a:srgbClr val="000000"/>
                                </a:solidFill>
                                <a:prstDash val="solid"/>
                                <a:headEnd type="none" w="med" len="med"/>
                                <a:tailEnd type="triangle" w="med" len="med"/>
                              </a:ln>
                            </wps:spPr>
                            <wps:bodyPr upright="1"/>
                          </wps:wsp>
                          <wps:wsp>
                            <wps:cNvPr id="26" name="Rectangle 437"/>
                            <wps:cNvSpPr/>
                            <wps:spPr>
                              <a:xfrm>
                                <a:off x="4979" y="998762"/>
                                <a:ext cx="1530" cy="902"/>
                              </a:xfrm>
                              <a:prstGeom prst="rect">
                                <a:avLst/>
                              </a:prstGeom>
                              <a:noFill/>
                              <a:ln w="3175" cap="flat" cmpd="sng">
                                <a:solidFill>
                                  <a:srgbClr val="000000"/>
                                </a:solidFill>
                                <a:prstDash val="solid"/>
                                <a:miter/>
                                <a:headEnd type="none" w="med" len="med"/>
                                <a:tailEnd type="none" w="med" len="med"/>
                              </a:ln>
                            </wps:spPr>
                            <wps:txbx>
                              <w:txbxContent>
                                <w:p w14:paraId="604FE1B9">
                                  <w:pPr>
                                    <w:pStyle w:val="19"/>
                                  </w:pPr>
                                  <w:r>
                                    <w:rPr>
                                      <w:rFonts w:hint="eastAsia"/>
                                    </w:rPr>
                                    <w:t>设计及技术交底</w:t>
                                  </w:r>
                                </w:p>
                              </w:txbxContent>
                            </wps:txbx>
                            <wps:bodyPr upright="1"/>
                          </wps:wsp>
                          <wps:wsp>
                            <wps:cNvPr id="27" name="Line 443"/>
                            <wps:cNvCnPr/>
                            <wps:spPr>
                              <a:xfrm>
                                <a:off x="10455" y="998402"/>
                                <a:ext cx="1" cy="361"/>
                              </a:xfrm>
                              <a:prstGeom prst="line">
                                <a:avLst/>
                              </a:prstGeom>
                              <a:ln w="3175" cap="flat" cmpd="sng">
                                <a:solidFill>
                                  <a:srgbClr val="000000"/>
                                </a:solidFill>
                                <a:prstDash val="solid"/>
                                <a:headEnd type="none" w="med" len="med"/>
                                <a:tailEnd type="none" w="med" len="med"/>
                              </a:ln>
                            </wps:spPr>
                            <wps:bodyPr upright="1"/>
                          </wps:wsp>
                          <wps:wsp>
                            <wps:cNvPr id="28" name="Line 441"/>
                            <wps:cNvCnPr/>
                            <wps:spPr>
                              <a:xfrm>
                                <a:off x="8995" y="998402"/>
                                <a:ext cx="1" cy="361"/>
                              </a:xfrm>
                              <a:prstGeom prst="line">
                                <a:avLst/>
                              </a:prstGeom>
                              <a:ln w="3175" cap="flat" cmpd="sng">
                                <a:solidFill>
                                  <a:srgbClr val="000000"/>
                                </a:solidFill>
                                <a:prstDash val="solid"/>
                                <a:headEnd type="none" w="med" len="med"/>
                                <a:tailEnd type="none" w="med" len="med"/>
                              </a:ln>
                            </wps:spPr>
                            <wps:bodyPr upright="1"/>
                          </wps:wsp>
                          <wps:wsp>
                            <wps:cNvPr id="29" name="Line 438"/>
                            <wps:cNvCnPr/>
                            <wps:spPr>
                              <a:xfrm>
                                <a:off x="7352" y="998402"/>
                                <a:ext cx="1" cy="361"/>
                              </a:xfrm>
                              <a:prstGeom prst="line">
                                <a:avLst/>
                              </a:prstGeom>
                              <a:ln w="3175" cap="flat" cmpd="sng">
                                <a:solidFill>
                                  <a:srgbClr val="000000"/>
                                </a:solidFill>
                                <a:prstDash val="solid"/>
                                <a:headEnd type="none" w="med" len="med"/>
                                <a:tailEnd type="none" w="med" len="med"/>
                              </a:ln>
                            </wps:spPr>
                            <wps:bodyPr upright="1"/>
                          </wps:wsp>
                          <wps:wsp>
                            <wps:cNvPr id="30" name="Line 436"/>
                            <wps:cNvCnPr/>
                            <wps:spPr>
                              <a:xfrm>
                                <a:off x="5709" y="998402"/>
                                <a:ext cx="1" cy="361"/>
                              </a:xfrm>
                              <a:prstGeom prst="line">
                                <a:avLst/>
                              </a:prstGeom>
                              <a:ln w="3175" cap="flat" cmpd="sng">
                                <a:solidFill>
                                  <a:srgbClr val="000000"/>
                                </a:solidFill>
                                <a:prstDash val="solid"/>
                                <a:headEnd type="none" w="med" len="med"/>
                                <a:tailEnd type="none" w="med" len="med"/>
                              </a:ln>
                            </wps:spPr>
                            <wps:bodyPr upright="1"/>
                          </wps:wsp>
                          <wps:wsp>
                            <wps:cNvPr id="31" name="FreeForm 434"/>
                            <wps:cNvSpPr/>
                            <wps:spPr>
                              <a:xfrm>
                                <a:off x="4432" y="998402"/>
                                <a:ext cx="7849" cy="361"/>
                              </a:xfrm>
                              <a:custGeom>
                                <a:avLst/>
                                <a:gdLst/>
                                <a:ahLst/>
                                <a:cxnLst/>
                                <a:pathLst>
                                  <a:path w="7560" h="468">
                                    <a:moveTo>
                                      <a:pt x="0" y="468"/>
                                    </a:moveTo>
                                    <a:lnTo>
                                      <a:pt x="0" y="0"/>
                                    </a:lnTo>
                                    <a:lnTo>
                                      <a:pt x="7560" y="0"/>
                                    </a:lnTo>
                                    <a:lnTo>
                                      <a:pt x="7560" y="468"/>
                                    </a:lnTo>
                                  </a:path>
                                </a:pathLst>
                              </a:custGeom>
                              <a:noFill/>
                              <a:ln w="3175" cap="flat" cmpd="sng">
                                <a:solidFill>
                                  <a:srgbClr val="000000"/>
                                </a:solidFill>
                                <a:prstDash val="solid"/>
                                <a:headEnd type="none" w="med" len="med"/>
                                <a:tailEnd type="none" w="med" len="med"/>
                              </a:ln>
                            </wps:spPr>
                            <wps:bodyPr upright="1"/>
                          </wps:wsp>
                          <wps:wsp>
                            <wps:cNvPr id="32" name="Rectangle 435"/>
                            <wps:cNvSpPr/>
                            <wps:spPr>
                              <a:xfrm>
                                <a:off x="3884" y="998762"/>
                                <a:ext cx="1020" cy="907"/>
                              </a:xfrm>
                              <a:prstGeom prst="rect">
                                <a:avLst/>
                              </a:prstGeom>
                              <a:noFill/>
                              <a:ln w="3175" cap="flat" cmpd="sng">
                                <a:solidFill>
                                  <a:srgbClr val="000000"/>
                                </a:solidFill>
                                <a:prstDash val="solid"/>
                                <a:miter/>
                                <a:headEnd type="none" w="med" len="med"/>
                                <a:tailEnd type="none" w="med" len="med"/>
                              </a:ln>
                            </wps:spPr>
                            <wps:txbx>
                              <w:txbxContent>
                                <w:p w14:paraId="7AA287D2">
                                  <w:pPr>
                                    <w:pStyle w:val="19"/>
                                  </w:pPr>
                                  <w:r>
                                    <w:rPr>
                                      <w:rFonts w:hint="eastAsia"/>
                                    </w:rPr>
                                    <w:t>办理开工报告</w:t>
                                  </w:r>
                                </w:p>
                              </w:txbxContent>
                            </wps:txbx>
                            <wps:bodyPr upright="1"/>
                          </wps:wsp>
                          <wps:wsp>
                            <wps:cNvPr id="33" name="Rectangle 439"/>
                            <wps:cNvSpPr/>
                            <wps:spPr>
                              <a:xfrm>
                                <a:off x="6622" y="998762"/>
                                <a:ext cx="1643" cy="902"/>
                              </a:xfrm>
                              <a:prstGeom prst="rect">
                                <a:avLst/>
                              </a:prstGeom>
                              <a:noFill/>
                              <a:ln w="3175" cap="flat" cmpd="sng">
                                <a:solidFill>
                                  <a:srgbClr val="000000"/>
                                </a:solidFill>
                                <a:prstDash val="solid"/>
                                <a:miter/>
                                <a:headEnd type="none" w="med" len="med"/>
                                <a:tailEnd type="none" w="med" len="med"/>
                              </a:ln>
                            </wps:spPr>
                            <wps:txbx>
                              <w:txbxContent>
                                <w:p w14:paraId="79DE692E">
                                  <w:pPr>
                                    <w:pStyle w:val="19"/>
                                  </w:pPr>
                                  <w:r>
                                    <w:rPr>
                                      <w:rFonts w:hint="eastAsia"/>
                                    </w:rPr>
                                    <w:t>工程控制桩坐标及高程复核</w:t>
                                  </w:r>
                                </w:p>
                              </w:txbxContent>
                            </wps:txbx>
                            <wps:bodyPr upright="1"/>
                          </wps:wsp>
                          <wps:wsp>
                            <wps:cNvPr id="34" name="Rectangle 440"/>
                            <wps:cNvSpPr/>
                            <wps:spPr>
                              <a:xfrm>
                                <a:off x="8447" y="998762"/>
                                <a:ext cx="1278" cy="902"/>
                              </a:xfrm>
                              <a:prstGeom prst="rect">
                                <a:avLst/>
                              </a:prstGeom>
                              <a:noFill/>
                              <a:ln w="3175" cap="flat" cmpd="sng">
                                <a:solidFill>
                                  <a:srgbClr val="000000"/>
                                </a:solidFill>
                                <a:prstDash val="solid"/>
                                <a:miter/>
                                <a:headEnd type="none" w="med" len="med"/>
                                <a:tailEnd type="none" w="med" len="med"/>
                              </a:ln>
                            </wps:spPr>
                            <wps:txbx>
                              <w:txbxContent>
                                <w:p w14:paraId="05287290">
                                  <w:pPr>
                                    <w:pStyle w:val="19"/>
                                  </w:pPr>
                                  <w:r>
                                    <w:rPr>
                                      <w:rFonts w:hint="eastAsia"/>
                                    </w:rPr>
                                    <w:t>项目部第一次会议</w:t>
                                  </w:r>
                                </w:p>
                              </w:txbxContent>
                            </wps:txbx>
                            <wps:bodyPr upright="1"/>
                          </wps:wsp>
                          <wps:wsp>
                            <wps:cNvPr id="35" name="Rectangle 442"/>
                            <wps:cNvSpPr/>
                            <wps:spPr>
                              <a:xfrm>
                                <a:off x="9907" y="998762"/>
                                <a:ext cx="1278" cy="902"/>
                              </a:xfrm>
                              <a:prstGeom prst="rect">
                                <a:avLst/>
                              </a:prstGeom>
                              <a:noFill/>
                              <a:ln w="3175" cap="flat" cmpd="sng">
                                <a:solidFill>
                                  <a:srgbClr val="000000"/>
                                </a:solidFill>
                                <a:prstDash val="solid"/>
                                <a:miter/>
                                <a:headEnd type="none" w="med" len="med"/>
                                <a:tailEnd type="none" w="med" len="med"/>
                              </a:ln>
                            </wps:spPr>
                            <wps:txbx>
                              <w:txbxContent>
                                <w:p w14:paraId="7DF7831A">
                                  <w:pPr>
                                    <w:pStyle w:val="19"/>
                                  </w:pPr>
                                  <w:r>
                                    <w:rPr>
                                      <w:rFonts w:hint="eastAsia"/>
                                    </w:rPr>
                                    <w:t>资金筹备</w:t>
                                  </w:r>
                                </w:p>
                              </w:txbxContent>
                            </wps:txbx>
                            <wps:bodyPr upright="1"/>
                          </wps:wsp>
                          <wps:wsp>
                            <wps:cNvPr id="36" name="Rectangle 444"/>
                            <wps:cNvSpPr/>
                            <wps:spPr>
                              <a:xfrm>
                                <a:off x="11550" y="998762"/>
                                <a:ext cx="1460" cy="902"/>
                              </a:xfrm>
                              <a:prstGeom prst="rect">
                                <a:avLst/>
                              </a:prstGeom>
                              <a:noFill/>
                              <a:ln w="3175" cap="flat" cmpd="sng">
                                <a:solidFill>
                                  <a:srgbClr val="000000"/>
                                </a:solidFill>
                                <a:prstDash val="solid"/>
                                <a:miter/>
                                <a:headEnd type="none" w="med" len="med"/>
                                <a:tailEnd type="none" w="med" len="med"/>
                              </a:ln>
                            </wps:spPr>
                            <wps:txbx>
                              <w:txbxContent>
                                <w:p w14:paraId="74581B68">
                                  <w:pPr>
                                    <w:pStyle w:val="19"/>
                                  </w:pPr>
                                  <w:r>
                                    <w:rPr>
                                      <w:rFonts w:hint="eastAsia"/>
                                    </w:rPr>
                                    <w:t>可预见干扰因素协调</w:t>
                                  </w:r>
                                </w:p>
                              </w:txbxContent>
                            </wps:txbx>
                            <wps:bodyPr upright="1"/>
                          </wps:wsp>
                          <wps:wsp>
                            <wps:cNvPr id="37" name="Line 450"/>
                            <wps:cNvCnPr/>
                            <wps:spPr>
                              <a:xfrm>
                                <a:off x="8630" y="1000024"/>
                                <a:ext cx="1" cy="361"/>
                              </a:xfrm>
                              <a:prstGeom prst="line">
                                <a:avLst/>
                              </a:prstGeom>
                              <a:ln w="3175" cap="flat" cmpd="sng">
                                <a:solidFill>
                                  <a:srgbClr val="000000"/>
                                </a:solidFill>
                                <a:prstDash val="solid"/>
                                <a:headEnd type="none" w="med" len="med"/>
                                <a:tailEnd type="triangle" w="med" len="med"/>
                              </a:ln>
                            </wps:spPr>
                            <wps:bodyPr upright="1"/>
                          </wps:wsp>
                          <wps:wsp>
                            <wps:cNvPr id="38" name="Line 446"/>
                            <wps:cNvCnPr/>
                            <wps:spPr>
                              <a:xfrm>
                                <a:off x="5709" y="999663"/>
                                <a:ext cx="1" cy="361"/>
                              </a:xfrm>
                              <a:prstGeom prst="line">
                                <a:avLst/>
                              </a:prstGeom>
                              <a:ln w="3175" cap="flat" cmpd="sng">
                                <a:solidFill>
                                  <a:srgbClr val="000000"/>
                                </a:solidFill>
                                <a:prstDash val="solid"/>
                                <a:headEnd type="none" w="med" len="med"/>
                                <a:tailEnd type="none" w="med" len="med"/>
                              </a:ln>
                            </wps:spPr>
                            <wps:bodyPr upright="1"/>
                          </wps:wsp>
                          <wps:wsp>
                            <wps:cNvPr id="39" name="Line 447"/>
                            <wps:cNvCnPr/>
                            <wps:spPr>
                              <a:xfrm>
                                <a:off x="7352" y="999663"/>
                                <a:ext cx="1" cy="361"/>
                              </a:xfrm>
                              <a:prstGeom prst="line">
                                <a:avLst/>
                              </a:prstGeom>
                              <a:ln w="3175" cap="flat" cmpd="sng">
                                <a:solidFill>
                                  <a:srgbClr val="000000"/>
                                </a:solidFill>
                                <a:prstDash val="solid"/>
                                <a:headEnd type="none" w="med" len="med"/>
                                <a:tailEnd type="none" w="med" len="med"/>
                              </a:ln>
                            </wps:spPr>
                            <wps:bodyPr upright="1"/>
                          </wps:wsp>
                          <wps:wsp>
                            <wps:cNvPr id="40" name="Line 448"/>
                            <wps:cNvCnPr/>
                            <wps:spPr>
                              <a:xfrm>
                                <a:off x="8995" y="999663"/>
                                <a:ext cx="1" cy="361"/>
                              </a:xfrm>
                              <a:prstGeom prst="line">
                                <a:avLst/>
                              </a:prstGeom>
                              <a:ln w="3175" cap="flat" cmpd="sng">
                                <a:solidFill>
                                  <a:srgbClr val="000000"/>
                                </a:solidFill>
                                <a:prstDash val="solid"/>
                                <a:headEnd type="none" w="med" len="med"/>
                                <a:tailEnd type="none" w="med" len="med"/>
                              </a:ln>
                            </wps:spPr>
                            <wps:bodyPr upright="1"/>
                          </wps:wsp>
                          <wps:wsp>
                            <wps:cNvPr id="41" name="Line 449"/>
                            <wps:cNvCnPr/>
                            <wps:spPr>
                              <a:xfrm>
                                <a:off x="10455" y="999663"/>
                                <a:ext cx="1" cy="361"/>
                              </a:xfrm>
                              <a:prstGeom prst="line">
                                <a:avLst/>
                              </a:prstGeom>
                              <a:ln w="3175" cap="flat" cmpd="sng">
                                <a:solidFill>
                                  <a:srgbClr val="000000"/>
                                </a:solidFill>
                                <a:prstDash val="solid"/>
                                <a:headEnd type="none" w="med" len="med"/>
                                <a:tailEnd type="none" w="med" len="med"/>
                              </a:ln>
                            </wps:spPr>
                            <wps:bodyPr upright="1"/>
                          </wps:wsp>
                          <wps:wsp>
                            <wps:cNvPr id="42" name="FreeForm 445"/>
                            <wps:cNvSpPr/>
                            <wps:spPr>
                              <a:xfrm flipV="1">
                                <a:off x="4432" y="999663"/>
                                <a:ext cx="7849" cy="361"/>
                              </a:xfrm>
                              <a:custGeom>
                                <a:avLst/>
                                <a:gdLst/>
                                <a:ahLst/>
                                <a:cxnLst/>
                                <a:pathLst>
                                  <a:path w="7560" h="468">
                                    <a:moveTo>
                                      <a:pt x="0" y="468"/>
                                    </a:moveTo>
                                    <a:lnTo>
                                      <a:pt x="0" y="0"/>
                                    </a:lnTo>
                                    <a:lnTo>
                                      <a:pt x="7560" y="0"/>
                                    </a:lnTo>
                                    <a:lnTo>
                                      <a:pt x="7560" y="468"/>
                                    </a:lnTo>
                                  </a:path>
                                </a:pathLst>
                              </a:custGeom>
                              <a:noFill/>
                              <a:ln w="3175" cap="flat" cmpd="sng">
                                <a:solidFill>
                                  <a:srgbClr val="000000"/>
                                </a:solidFill>
                                <a:prstDash val="solid"/>
                                <a:headEnd type="none" w="med" len="med"/>
                                <a:tailEnd type="none" w="med" len="med"/>
                              </a:ln>
                            </wps:spPr>
                            <wps:bodyPr upright="1"/>
                          </wps:wsp>
                          <wps:wsp>
                            <wps:cNvPr id="43" name="Rectangle 465"/>
                            <wps:cNvSpPr/>
                            <wps:spPr>
                              <a:xfrm>
                                <a:off x="12280" y="1000745"/>
                                <a:ext cx="794" cy="3427"/>
                              </a:xfrm>
                              <a:prstGeom prst="rect">
                                <a:avLst/>
                              </a:prstGeom>
                              <a:noFill/>
                              <a:ln w="3175" cap="flat" cmpd="sng">
                                <a:solidFill>
                                  <a:srgbClr val="000000"/>
                                </a:solidFill>
                                <a:prstDash val="solid"/>
                                <a:miter/>
                                <a:headEnd type="none" w="med" len="med"/>
                                <a:tailEnd type="none" w="med" len="med"/>
                              </a:ln>
                            </wps:spPr>
                            <wps:txbx>
                              <w:txbxContent>
                                <w:p w14:paraId="368EEDEB">
                                  <w:pPr>
                                    <w:pStyle w:val="19"/>
                                  </w:pPr>
                                  <w:r>
                                    <w:rPr>
                                      <w:rFonts w:hint="eastAsia"/>
                                    </w:rPr>
                                    <w:t>预制构件加工及大宗材料订购协议签订</w:t>
                                  </w:r>
                                </w:p>
                              </w:txbxContent>
                            </wps:txbx>
                            <wps:bodyPr upright="1"/>
                          </wps:wsp>
                          <wps:wsp>
                            <wps:cNvPr id="44" name="Line 463"/>
                            <wps:cNvCnPr/>
                            <wps:spPr>
                              <a:xfrm>
                                <a:off x="11550" y="1000385"/>
                                <a:ext cx="1" cy="361"/>
                              </a:xfrm>
                              <a:prstGeom prst="line">
                                <a:avLst/>
                              </a:prstGeom>
                              <a:ln w="3175" cap="flat" cmpd="sng">
                                <a:solidFill>
                                  <a:srgbClr val="000000"/>
                                </a:solidFill>
                                <a:prstDash val="solid"/>
                                <a:headEnd type="none" w="med" len="med"/>
                                <a:tailEnd type="none" w="med" len="med"/>
                              </a:ln>
                            </wps:spPr>
                            <wps:bodyPr upright="1"/>
                          </wps:wsp>
                          <wps:wsp>
                            <wps:cNvPr id="45" name="Line 461"/>
                            <wps:cNvCnPr/>
                            <wps:spPr>
                              <a:xfrm>
                                <a:off x="10638" y="1000385"/>
                                <a:ext cx="1" cy="361"/>
                              </a:xfrm>
                              <a:prstGeom prst="line">
                                <a:avLst/>
                              </a:prstGeom>
                              <a:ln w="3175" cap="flat" cmpd="sng">
                                <a:solidFill>
                                  <a:srgbClr val="000000"/>
                                </a:solidFill>
                                <a:prstDash val="solid"/>
                                <a:headEnd type="none" w="med" len="med"/>
                                <a:tailEnd type="none" w="med" len="med"/>
                              </a:ln>
                            </wps:spPr>
                            <wps:bodyPr upright="1"/>
                          </wps:wsp>
                          <wps:wsp>
                            <wps:cNvPr id="46" name="Rectangle 462"/>
                            <wps:cNvSpPr/>
                            <wps:spPr>
                              <a:xfrm>
                                <a:off x="10455" y="1000745"/>
                                <a:ext cx="548" cy="3427"/>
                              </a:xfrm>
                              <a:prstGeom prst="rect">
                                <a:avLst/>
                              </a:prstGeom>
                              <a:noFill/>
                              <a:ln w="3175" cap="flat" cmpd="sng">
                                <a:solidFill>
                                  <a:srgbClr val="000000"/>
                                </a:solidFill>
                                <a:prstDash val="solid"/>
                                <a:miter/>
                                <a:headEnd type="none" w="med" len="med"/>
                                <a:tailEnd type="none" w="med" len="med"/>
                              </a:ln>
                            </wps:spPr>
                            <wps:txbx>
                              <w:txbxContent>
                                <w:p w14:paraId="79BD0AD8">
                                  <w:pPr>
                                    <w:pStyle w:val="19"/>
                                  </w:pPr>
                                  <w:r>
                                    <w:rPr>
                                      <w:rFonts w:hint="eastAsia"/>
                                    </w:rPr>
                                    <w:t>施工队伍进场</w:t>
                                  </w:r>
                                </w:p>
                              </w:txbxContent>
                            </wps:txbx>
                            <wps:bodyPr upright="1"/>
                          </wps:wsp>
                          <wps:wsp>
                            <wps:cNvPr id="47" name="Rectangle 464"/>
                            <wps:cNvSpPr/>
                            <wps:spPr>
                              <a:xfrm>
                                <a:off x="11368" y="1000745"/>
                                <a:ext cx="548" cy="3427"/>
                              </a:xfrm>
                              <a:prstGeom prst="rect">
                                <a:avLst/>
                              </a:prstGeom>
                              <a:noFill/>
                              <a:ln w="3175" cap="flat" cmpd="sng">
                                <a:solidFill>
                                  <a:srgbClr val="000000"/>
                                </a:solidFill>
                                <a:prstDash val="solid"/>
                                <a:miter/>
                                <a:headEnd type="none" w="med" len="med"/>
                                <a:tailEnd type="none" w="med" len="med"/>
                              </a:ln>
                            </wps:spPr>
                            <wps:txbx>
                              <w:txbxContent>
                                <w:p w14:paraId="74ADE153">
                                  <w:pPr>
                                    <w:pStyle w:val="19"/>
                                  </w:pPr>
                                  <w:r>
                                    <w:rPr>
                                      <w:rFonts w:hint="eastAsia"/>
                                    </w:rPr>
                                    <w:t>组织材料进场并报验</w:t>
                                  </w:r>
                                </w:p>
                              </w:txbxContent>
                            </wps:txbx>
                            <wps:bodyPr upright="1"/>
                          </wps:wsp>
                          <wps:wsp>
                            <wps:cNvPr id="48" name="Rectangle 452"/>
                            <wps:cNvSpPr/>
                            <wps:spPr>
                              <a:xfrm>
                                <a:off x="4067" y="1000745"/>
                                <a:ext cx="680" cy="3427"/>
                              </a:xfrm>
                              <a:prstGeom prst="rect">
                                <a:avLst/>
                              </a:prstGeom>
                              <a:noFill/>
                              <a:ln w="3175" cap="flat" cmpd="sng">
                                <a:solidFill>
                                  <a:srgbClr val="000000"/>
                                </a:solidFill>
                                <a:prstDash val="solid"/>
                                <a:miter/>
                                <a:headEnd type="none" w="med" len="med"/>
                                <a:tailEnd type="none" w="med" len="med"/>
                              </a:ln>
                            </wps:spPr>
                            <wps:txbx>
                              <w:txbxContent>
                                <w:p w14:paraId="5A6A20BA">
                                  <w:pPr>
                                    <w:pStyle w:val="19"/>
                                  </w:pPr>
                                  <w:r>
                                    <w:rPr>
                                      <w:rFonts w:hint="eastAsia"/>
                                    </w:rPr>
                                    <w:t>设计文件技术反馈确认</w:t>
                                  </w:r>
                                </w:p>
                              </w:txbxContent>
                            </wps:txbx>
                            <wps:bodyPr upright="1"/>
                          </wps:wsp>
                          <wps:wsp>
                            <wps:cNvPr id="49" name="FreeForm 451"/>
                            <wps:cNvSpPr/>
                            <wps:spPr>
                              <a:xfrm>
                                <a:off x="4432" y="1000385"/>
                                <a:ext cx="8031" cy="361"/>
                              </a:xfrm>
                              <a:custGeom>
                                <a:avLst/>
                                <a:gdLst/>
                                <a:ahLst/>
                                <a:cxnLst/>
                                <a:pathLst>
                                  <a:path w="7560" h="468">
                                    <a:moveTo>
                                      <a:pt x="0" y="468"/>
                                    </a:moveTo>
                                    <a:lnTo>
                                      <a:pt x="0" y="0"/>
                                    </a:lnTo>
                                    <a:lnTo>
                                      <a:pt x="7560" y="0"/>
                                    </a:lnTo>
                                    <a:lnTo>
                                      <a:pt x="7560" y="468"/>
                                    </a:lnTo>
                                  </a:path>
                                </a:pathLst>
                              </a:custGeom>
                              <a:noFill/>
                              <a:ln w="3175" cap="flat" cmpd="sng">
                                <a:solidFill>
                                  <a:srgbClr val="000000"/>
                                </a:solidFill>
                                <a:prstDash val="solid"/>
                                <a:headEnd type="none" w="med" len="med"/>
                                <a:tailEnd type="none" w="med" len="med"/>
                              </a:ln>
                            </wps:spPr>
                            <wps:bodyPr upright="1"/>
                          </wps:wsp>
                          <wps:wsp>
                            <wps:cNvPr id="50" name="Line 473"/>
                            <wps:cNvCnPr/>
                            <wps:spPr>
                              <a:xfrm>
                                <a:off x="8812" y="1004532"/>
                                <a:ext cx="1" cy="361"/>
                              </a:xfrm>
                              <a:prstGeom prst="line">
                                <a:avLst/>
                              </a:prstGeom>
                              <a:ln w="3175" cap="flat" cmpd="sng">
                                <a:solidFill>
                                  <a:srgbClr val="000000"/>
                                </a:solidFill>
                                <a:prstDash val="solid"/>
                                <a:headEnd type="none" w="med" len="med"/>
                                <a:tailEnd type="triangle" w="med" len="med"/>
                              </a:ln>
                            </wps:spPr>
                            <wps:bodyPr upright="1"/>
                          </wps:wsp>
                          <wps:wsp>
                            <wps:cNvPr id="51" name="Line 472"/>
                            <wps:cNvCnPr/>
                            <wps:spPr>
                              <a:xfrm>
                                <a:off x="11550" y="1004171"/>
                                <a:ext cx="1" cy="361"/>
                              </a:xfrm>
                              <a:prstGeom prst="line">
                                <a:avLst/>
                              </a:prstGeom>
                              <a:ln w="3175" cap="flat" cmpd="sng">
                                <a:solidFill>
                                  <a:srgbClr val="000000"/>
                                </a:solidFill>
                                <a:prstDash val="solid"/>
                                <a:headEnd type="none" w="med" len="med"/>
                                <a:tailEnd type="none" w="med" len="med"/>
                              </a:ln>
                            </wps:spPr>
                            <wps:bodyPr upright="1"/>
                          </wps:wsp>
                          <wps:wsp>
                            <wps:cNvPr id="52" name="Line 471"/>
                            <wps:cNvCnPr/>
                            <wps:spPr>
                              <a:xfrm>
                                <a:off x="10638" y="1004171"/>
                                <a:ext cx="1" cy="361"/>
                              </a:xfrm>
                              <a:prstGeom prst="line">
                                <a:avLst/>
                              </a:prstGeom>
                              <a:ln w="3175" cap="flat" cmpd="sng">
                                <a:solidFill>
                                  <a:srgbClr val="000000"/>
                                </a:solidFill>
                                <a:prstDash val="solid"/>
                                <a:headEnd type="none" w="med" len="med"/>
                                <a:tailEnd type="none" w="med" len="med"/>
                              </a:ln>
                            </wps:spPr>
                            <wps:bodyPr upright="1"/>
                          </wps:wsp>
                          <wps:wsp>
                            <wps:cNvPr id="53" name="FreeForm 466"/>
                            <wps:cNvSpPr/>
                            <wps:spPr>
                              <a:xfrm flipV="1">
                                <a:off x="4432" y="1004171"/>
                                <a:ext cx="8214" cy="361"/>
                              </a:xfrm>
                              <a:custGeom>
                                <a:avLst/>
                                <a:gdLst/>
                                <a:ahLst/>
                                <a:cxnLst/>
                                <a:pathLst>
                                  <a:path w="7560" h="468">
                                    <a:moveTo>
                                      <a:pt x="0" y="468"/>
                                    </a:moveTo>
                                    <a:lnTo>
                                      <a:pt x="0" y="0"/>
                                    </a:lnTo>
                                    <a:lnTo>
                                      <a:pt x="7560" y="0"/>
                                    </a:lnTo>
                                    <a:lnTo>
                                      <a:pt x="7560" y="468"/>
                                    </a:lnTo>
                                  </a:path>
                                </a:pathLst>
                              </a:custGeom>
                              <a:noFill/>
                              <a:ln w="3175" cap="flat" cmpd="sng">
                                <a:solidFill>
                                  <a:srgbClr val="000000"/>
                                </a:solidFill>
                                <a:prstDash val="solid"/>
                                <a:headEnd type="none" w="med" len="med"/>
                                <a:tailEnd type="none" w="med" len="med"/>
                              </a:ln>
                            </wps:spPr>
                            <wps:bodyPr upright="1"/>
                          </wps:wsp>
                          <wps:wsp>
                            <wps:cNvPr id="54" name="Rectangle 474"/>
                            <wps:cNvSpPr/>
                            <wps:spPr>
                              <a:xfrm>
                                <a:off x="8082" y="1004893"/>
                                <a:ext cx="1436" cy="442"/>
                              </a:xfrm>
                              <a:prstGeom prst="rect">
                                <a:avLst/>
                              </a:prstGeom>
                              <a:noFill/>
                              <a:ln w="3175" cap="flat" cmpd="sng">
                                <a:solidFill>
                                  <a:srgbClr val="000000"/>
                                </a:solidFill>
                                <a:prstDash val="solid"/>
                                <a:miter/>
                                <a:headEnd type="none" w="med" len="med"/>
                                <a:tailEnd type="none" w="med" len="med"/>
                              </a:ln>
                            </wps:spPr>
                            <wps:txbx>
                              <w:txbxContent>
                                <w:p w14:paraId="0F7FA728">
                                  <w:pPr>
                                    <w:pStyle w:val="19"/>
                                  </w:pPr>
                                  <w:r>
                                    <w:rPr>
                                      <w:rFonts w:hint="eastAsia"/>
                                    </w:rPr>
                                    <w:t>施工阶段</w:t>
                                  </w:r>
                                </w:p>
                              </w:txbxContent>
                            </wps:txbx>
                            <wps:bodyPr upright="1"/>
                          </wps:wsp>
                        </wpg:grpSp>
                        <wps:wsp>
                          <wps:cNvPr id="56" name="Line 455"/>
                          <wps:cNvCnPr/>
                          <wps:spPr>
                            <a:xfrm>
                              <a:off x="7861" y="1000392"/>
                              <a:ext cx="0" cy="361"/>
                            </a:xfrm>
                            <a:prstGeom prst="line">
                              <a:avLst/>
                            </a:prstGeom>
                            <a:ln w="3175" cap="flat" cmpd="sng">
                              <a:solidFill>
                                <a:srgbClr val="000000"/>
                              </a:solidFill>
                              <a:prstDash val="solid"/>
                              <a:headEnd type="none" w="med" len="med"/>
                              <a:tailEnd type="none" w="med" len="med"/>
                            </a:ln>
                          </wps:spPr>
                          <wps:bodyPr upright="1"/>
                        </wps:wsp>
                      </wpg:grpSp>
                    </wpg:wgp>
                  </a:graphicData>
                </a:graphic>
              </wp:inline>
            </w:drawing>
          </mc:Choice>
          <mc:Fallback>
            <w:pict>
              <v:group id="组合 4" o:spid="_x0000_s1026" o:spt="203" style="height:424pt;width:453.4pt;" coordorigin="6459,996237" coordsize="9190,9098" o:gfxdata="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">
                <o:lock v:ext="edit" aspectratio="f"/>
                <v:rect id="Rectangle 456" o:spid="_x0000_s1026" o:spt="1" style="position:absolute;left:10126;top:1000766;height:3427;width:624;" filled="f" stroked="t" coordsize="21600,21600" o:gfxdata="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Tyy6O2AAAA2gAAAA8A&#10;AAAAAAAAAQAgAAAAIgAAAGRycy9kb3ducmV2LnhtbFBLAQIUABQAAAAIAIdO4kAzLwWeOwAAADkA&#10;AAAQAAAAAAAAAAEAIAAAAAUBAABkcnMvc2hhcGV4bWwueG1sUEsFBgAAAAAGAAYAWwEAAK8DAAAA&#10;AA==&#10;">
                  <v:fill on="f" focussize="0,0"/>
                  <v:stroke weight="0.25pt" color="#000000" joinstyle="miter"/>
                  <v:imagedata o:title=""/>
                  <o:lock v:ext="edit" aspectratio="f"/>
                  <v:textbox>
                    <w:txbxContent>
                      <w:p w14:paraId="3EA7F94D">
                        <w:pPr>
                          <w:pStyle w:val="19"/>
                        </w:pPr>
                        <w:r>
                          <w:rPr>
                            <w:rFonts w:hint="eastAsia"/>
                          </w:rPr>
                          <w:t>交通导改方案确定报审</w:t>
                        </w:r>
                      </w:p>
                    </w:txbxContent>
                  </v:textbox>
                </v:rect>
                <v:group id="组合 1190" o:spid="_x0000_s1026" o:spt="203" style="position:absolute;left:6459;top:996237;height:9098;width:9190;" coordorigin="3884,996237" coordsize="9190,9098" o:gfxdata="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42wob0AAADbAAAADwAAAAAAAAABACAAAAAiAAAAZHJzL2Rvd25yZXYueG1s&#10;UEsBAhQAFAAAAAgAh07iQDMvBZ47AAAAOQAAABUAAAAAAAAAAQAgAAAADAEAAGRycy9ncm91cHNo&#10;YXBleG1sLnhtbFBLBQYAAAAABgAGAGABAADJAwAAAAA=&#10;">
                  <o:lock v:ext="edit" aspectratio="f"/>
                  <v:group id="组合 1177" o:spid="_x0000_s1026" o:spt="203" style="position:absolute;left:6738;top:1000398;height:4146;width:624;" coordorigin="5501,1000360" coordsize="624,4146" o:gfxdata="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TySXu7AAAA2gAAAA8AAAAAAAAAAQAgAAAAIgAAAGRycy9kb3ducmV2LnhtbFBL&#10;AQIUABQAAAAIAIdO4kAzLwWeOwAAADkAAAAVAAAAAAAAAAEAIAAAAAoBAABkcnMvZ3JvdXBzaGFw&#10;ZXhtbC54bWxQSwUGAAAAAAYABgBgAQAAxwMAAAAA&#10;">
                    <o:lock v:ext="edit" aspectratio="f"/>
                    <v:line id="Line 455" o:spid="_x0000_s1026" o:spt="20" style="position:absolute;left:5866;top:1000360;height:361;width:0;" filled="f" stroked="t" coordsize="21600,21600" o:gfxdata="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zAyAvQAA&#10;ANo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rect id="Rectangle 456" o:spid="_x0000_s1026" o:spt="1" style="position:absolute;left:5501;top:1000720;height:3427;width:624;" filled="f" stroked="t" coordsize="21600,21600" o:gfxdata="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bPBPugAAANoA&#10;AAAPAAAAAAAAAAEAIAAAACIAAABkcnMvZG93bnJldi54bWxQSwECFAAUAAAACACHTuJAMy8FnjsA&#10;AAA5AAAAEAAAAAAAAAABACAAAAAJAQAAZHJzL3NoYXBleG1sLnhtbFBLBQYAAAAABgAGAFsBAACz&#10;AwAAAAA=&#10;">
                      <v:fill on="f" focussize="0,0"/>
                      <v:stroke weight="0.25pt" color="#000000" joinstyle="miter"/>
                      <v:imagedata o:title=""/>
                      <o:lock v:ext="edit" aspectratio="f"/>
                      <v:textbox>
                        <w:txbxContent>
                          <w:p w14:paraId="1947AFB4">
                            <w:pPr>
                              <w:pStyle w:val="19"/>
                            </w:pPr>
                            <w:r>
                              <w:rPr>
                                <w:rFonts w:hint="eastAsia"/>
                              </w:rPr>
                              <w:t>临时设</w:t>
                            </w:r>
                            <w:r>
                              <w:rPr>
                                <w:rFonts w:hint="eastAsia"/>
                                <w:lang w:val="en-US" w:eastAsia="zh-CN"/>
                              </w:rPr>
                              <w:t xml:space="preserve"> </w:t>
                            </w:r>
                            <w:r>
                              <w:rPr>
                                <w:rFonts w:hint="eastAsia"/>
                              </w:rPr>
                              <w:t>施、生活设施搭设</w:t>
                            </w:r>
                          </w:p>
                        </w:txbxContent>
                      </v:textbox>
                    </v:rect>
                    <v:line id="直线 1687" o:spid="_x0000_s1026" o:spt="20" style="position:absolute;left:5866;top:1004146;height:361;width:0;" filled="f" stroked="t" coordsize="21600,21600" o:gfxdata="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aTFvvQAA&#10;ANo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group>
                  <v:group id="组合 1184" o:spid="_x0000_s1026" o:spt="203" style="position:absolute;left:9368;top:1000412;height:4150;width:765;" coordorigin="9177,1000385" coordsize="765,4150" o:gfxdata="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W/Q36+AAAA2gAAAA8AAAAAAAAAAQAgAAAAIgAAAGRycy9kb3ducmV2Lnht&#10;bFBLAQIUABQAAAAIAIdO4kAzLwWeOwAAADkAAAAVAAAAAAAAAAEAIAAAAA0BAABkcnMvZ3JvdXBz&#10;aGFwZXhtbC54bWxQSwUGAAAAAAYABgBgAQAAygMAAAAA&#10;">
                    <o:lock v:ext="edit" aspectratio="f"/>
                    <v:line id="Line 459" o:spid="_x0000_s1026" o:spt="20" style="position:absolute;left:9542;top:1000385;height:361;width:1;" filled="f" stroked="t" coordsize="21600,21600" o:gfxdata="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9wqDvQAA&#10;ANo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rect id="Rectangle 460" o:spid="_x0000_s1026" o:spt="1" style="position:absolute;left:9177;top:1000745;height:3427;width:765;" filled="f" stroked="t" coordsize="21600,21600" o:gfxdata="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V/ZMugAAANoA&#10;AAAPAAAAAAAAAAEAIAAAACIAAABkcnMvZG93bnJldi54bWxQSwECFAAUAAAACACHTuJAMy8FnjsA&#10;AAA5AAAAEAAAAAAAAAABACAAAAAJAQAAZHJzL3NoYXBleG1sLnhtbFBLBQYAAAAABgAGAFsBAACz&#10;AwAAAAA=&#10;">
                      <v:fill on="f" focussize="0,0"/>
                      <v:stroke weight="0.25pt" color="#000000" joinstyle="miter"/>
                      <v:imagedata o:title=""/>
                      <o:lock v:ext="edit" aspectratio="f"/>
                      <v:textbox>
                        <w:txbxContent>
                          <w:p w14:paraId="1B5879D2">
                            <w:pPr>
                              <w:pStyle w:val="19"/>
                            </w:pPr>
                            <w:r>
                              <w:rPr>
                                <w:rFonts w:hint="eastAsia"/>
                              </w:rPr>
                              <w:t>编制实施性施工组织设计并报审报批</w:t>
                            </w:r>
                          </w:p>
                        </w:txbxContent>
                      </v:textbox>
                    </v:rect>
                    <v:line id="Line 470" o:spid="_x0000_s1026" o:spt="20" style="position:absolute;left:9542;top:1004174;height:361;width:1;" filled="f" stroked="t" coordsize="21600,21600" o:gfxdata="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JDtqugAAANo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f"/>
                    </v:line>
                  </v:group>
                  <v:group id="组合 1176" o:spid="_x0000_s1026" o:spt="203" style="position:absolute;left:4998;top:1000383;height:4146;width:624;" coordorigin="4223,1000360" coordsize="624,4146" o:gfxdata="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LcD2K7AAAA2wAAAA8AAAAAAAAAAQAgAAAAIgAAAGRycy9kb3ducmV2LnhtbFBL&#10;AQIUABQAAAAIAIdO4kAzLwWeOwAAADkAAAAVAAAAAAAAAAEAIAAAAAoBAABkcnMvZ3JvdXBzaGFw&#10;ZXhtbC54bWxQSwUGAAAAAAYABgBgAQAAxwMAAAAA&#10;">
                    <o:lock v:ext="edit" aspectratio="f"/>
                    <v:rect id="Rectangle 454" o:spid="_x0000_s1026" o:spt="1" style="position:absolute;left:4223;top:1000720;height:3427;width:624;" filled="f" stroked="t" coordsize="21600,21600" o:gfxdata="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HX/Jb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3E53C125">
                            <w:pPr>
                              <w:pStyle w:val="19"/>
                            </w:pPr>
                            <w:r>
                              <w:rPr>
                                <w:rFonts w:hint="eastAsia"/>
                              </w:rPr>
                              <w:t>控制桩复核结果确认</w:t>
                            </w:r>
                          </w:p>
                        </w:txbxContent>
                      </v:textbox>
                    </v:rect>
                    <v:line id="Line 453" o:spid="_x0000_s1026" o:spt="20" style="position:absolute;left:4588;top:1000360;height:361;width:1;" filled="f" stroked="t" coordsize="21600,21600" o:gfxdata="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jxtWL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Line 467" o:spid="_x0000_s1026" o:spt="20" style="position:absolute;left:4588;top:1004146;height:361;width:1;" filled="f" stroked="t" coordsize="21600,21600" o:gfxdata="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7zL7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group>
                  <v:group id="组合 1185" o:spid="_x0000_s1026" o:spt="203" style="position:absolute;left:8378;top:1000385;height:4146;width:765;" coordorigin="7900,1000385" coordsize="794,4146" o:gfxdata="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ecJYb0AAADbAAAADwAAAAAAAAABACAAAAAiAAAAZHJzL2Rvd25yZXYueG1s&#10;UEsBAhQAFAAAAAgAh07iQDMvBZ47AAAAOQAAABUAAAAAAAAAAQAgAAAADAEAAGRycy9ncm91cHNo&#10;YXBleG1sLnhtbFBLBQYAAAAABgAGAGABAADJAwAAAAA=&#10;">
                    <o:lock v:ext="edit" aspectratio="f"/>
                    <v:line id="Line 457" o:spid="_x0000_s1026" o:spt="20" style="position:absolute;left:8265;top:1000385;height:361;width:1;" filled="f" stroked="t" coordsize="21600,21600" o:gfxdata="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kvOwL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rect id="Rectangle 458" o:spid="_x0000_s1026" o:spt="1" style="position:absolute;left:7900;top:1000745;height:3427;width:794;" filled="f" stroked="t" coordsize="21600,21600" o:gfxdata="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ACXL25AAAA2wAA&#10;AA8AAAAAAAAAAQAgAAAAIgAAAGRycy9kb3ducmV2LnhtbFBLAQIUABQAAAAIAIdO4kAzLwWeOwAA&#10;ADkAAAAQAAAAAAAAAAEAIAAAAAgBAABkcnMvc2hhcGV4bWwueG1sUEsFBgAAAAAGAAYAWwEAALID&#10;AAAAAA==&#10;">
                      <v:fill on="f" focussize="0,0"/>
                      <v:stroke weight="0.25pt" color="#000000" joinstyle="miter"/>
                      <v:imagedata o:title=""/>
                      <o:lock v:ext="edit" aspectratio="f"/>
                      <v:textbox>
                        <w:txbxContent>
                          <w:p w14:paraId="54E90634">
                            <w:pPr>
                              <w:pStyle w:val="19"/>
                            </w:pPr>
                            <w:r>
                              <w:rPr>
                                <w:rFonts w:hint="eastAsia"/>
                              </w:rPr>
                              <w:t>施工机械设备进场试运行并报审</w:t>
                            </w:r>
                          </w:p>
                        </w:txbxContent>
                      </v:textbox>
                    </v:rect>
                    <v:line id="Line 469" o:spid="_x0000_s1026" o:spt="20" style="position:absolute;left:8265;top:1004171;height:361;width:1;" filled="f" stroked="t" coordsize="21600,21600" o:gfxdata="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dX1LL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group>
                  <v:group id="组合 22" o:spid="_x0000_s1026" o:spt="203" style="position:absolute;left:5882;top:1000375;height:4146;width:624;" coordorigin="5501,1000360" coordsize="624,4146"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line id="Line 455" o:spid="_x0000_s1026" o:spt="20" style="position:absolute;left:5866;top:1000360;height:361;width:0;" filled="f" stroked="t" coordsize="21600,21600" o:gfxdata="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wbExb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rect id="Rectangle 456" o:spid="_x0000_s1026" o:spt="1" style="position:absolute;left:5501;top:1000720;height:3427;width:624;" filled="f" stroked="t" coordsize="21600,21600" o:gfxdata="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FPVri5AAAA2wAA&#10;AA8AAAAAAAAAAQAgAAAAIgAAAGRycy9kb3ducmV2LnhtbFBLAQIUABQAAAAIAIdO4kAzLwWeOwAA&#10;ADkAAAAQAAAAAAAAAAEAIAAAAAgBAABkcnMvc2hhcGV4bWwueG1sUEsFBgAAAAAGAAYAWwEAALID&#10;AAAAAA==&#10;">
                      <v:fill on="f" focussize="0,0"/>
                      <v:stroke weight="0.25pt" color="#000000" joinstyle="miter"/>
                      <v:imagedata o:title=""/>
                      <o:lock v:ext="edit" aspectratio="f"/>
                      <v:textbox>
                        <w:txbxContent>
                          <w:p w14:paraId="4DA4B5F2">
                            <w:pPr>
                              <w:pStyle w:val="19"/>
                            </w:pPr>
                            <w:r>
                              <w:rPr>
                                <w:rFonts w:hint="eastAsia"/>
                              </w:rPr>
                              <w:t>征拆及管线调查</w:t>
                            </w:r>
                          </w:p>
                        </w:txbxContent>
                      </v:textbox>
                    </v:rect>
                    <v:line id="直线 1703" o:spid="_x0000_s1026" o:spt="20" style="position:absolute;left:5866;top:1004146;height:361;width:0;" filled="f" stroked="t" coordsize="21600,21600" o:gfxdata="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HAJ+ugAAANs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f"/>
                    </v:line>
                  </v:group>
                  <v:group id="组合 1183" o:spid="_x0000_s1026" o:spt="203" style="position:absolute;left:3884;top:996237;height:9098;width:9190;" coordorigin="3884,996237" coordsize="9190,9098" o:gfxdata="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BOLTb0AAADbAAAADwAAAAAAAAABACAAAAAiAAAAZHJzL2Rvd25yZXYueG1s&#10;UEsBAhQAFAAAAAgAh07iQDMvBZ47AAAAOQAAABUAAAAAAAAAAQAgAAAADAEAAGRycy9ncm91cHNo&#10;YXBleG1sLnhtbFBLBQYAAAAABgAGAGABAADJAwAAAAA=&#10;">
                    <o:lock v:ext="edit" aspectratio="f"/>
                    <v:rect id="Rectangle 430" o:spid="_x0000_s1026" o:spt="1" style="position:absolute;left:7352;top:996237;height:541;width:2555;" filled="f" stroked="t" coordsize="21600,21600" o:gfxdata="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YcOdL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411A89EE">
                            <w:pPr>
                              <w:pStyle w:val="19"/>
                            </w:pPr>
                            <w:r>
                              <w:rPr>
                                <w:rFonts w:hint="eastAsia"/>
                              </w:rPr>
                              <w:t>签订工程施工合同文件</w:t>
                            </w:r>
                          </w:p>
                        </w:txbxContent>
                      </v:textbox>
                    </v:rect>
                    <v:line id="Line 431" o:spid="_x0000_s1026" o:spt="20" style="position:absolute;left:8630;top:996778;height:361;width:1;" filled="f" stroked="t" coordsize="21600,21600" o:gfxdata="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dhbXvQAA&#10;ANs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rect id="Rectangle 432" o:spid="_x0000_s1026" o:spt="1" style="position:absolute;left:6804;top:997139;height:902;width:4016;" filled="f" stroked="t" coordsize="21600,21600" o:gfxdata="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EiM5u8AAAA&#10;2wAAAA8AAAAAAAAAAQAgAAAAIgAAAGRycy9kb3ducmV2LnhtbFBLAQIUABQAAAAIAIdO4kAzLwWe&#10;OwAAADkAAAAQAAAAAAAAAAEAIAAAAAsBAABkcnMvc2hhcGV4bWwueG1sUEsFBgAAAAAGAAYAWwEA&#10;ALUDAAAAAA==&#10;">
                      <v:fill on="f" focussize="0,0"/>
                      <v:stroke weight="0.25pt" color="#000000" joinstyle="miter"/>
                      <v:imagedata o:title=""/>
                      <o:lock v:ext="edit" aspectratio="f"/>
                      <v:textbox>
                        <w:txbxContent>
                          <w:p w14:paraId="78353FE7">
                            <w:pPr>
                              <w:pStyle w:val="19"/>
                            </w:pPr>
                            <w:r>
                              <w:rPr>
                                <w:rFonts w:hint="eastAsia"/>
                              </w:rPr>
                              <w:t>建立与建设单位、设计、监理及施工单位及相关单位及人员的联系网</w:t>
                            </w:r>
                          </w:p>
                        </w:txbxContent>
                      </v:textbox>
                    </v:rect>
                    <v:line id="Line 433" o:spid="_x0000_s1026" o:spt="20" style="position:absolute;left:8630;top:998041;height:361;width:1;" filled="f" stroked="t" coordsize="21600,21600" o:gfxdata="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3TKzi/&#10;AAAA2w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rect id="Rectangle 437" o:spid="_x0000_s1026" o:spt="1" style="position:absolute;left:4979;top:998762;height:902;width:1530;" filled="f" stroked="t" coordsize="21600,21600" o:gfxdata="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68CHe8AAAA&#10;2wAAAA8AAAAAAAAAAQAgAAAAIgAAAGRycy9kb3ducmV2LnhtbFBLAQIUABQAAAAIAIdO4kAzLwWe&#10;OwAAADkAAAAQAAAAAAAAAAEAIAAAAAsBAABkcnMvc2hhcGV4bWwueG1sUEsFBgAAAAAGAAYAWwEA&#10;ALUDAAAAAA==&#10;">
                      <v:fill on="f" focussize="0,0"/>
                      <v:stroke weight="0.25pt" color="#000000" joinstyle="miter"/>
                      <v:imagedata o:title=""/>
                      <o:lock v:ext="edit" aspectratio="f"/>
                      <v:textbox>
                        <w:txbxContent>
                          <w:p w14:paraId="604FE1B9">
                            <w:pPr>
                              <w:pStyle w:val="19"/>
                            </w:pPr>
                            <w:r>
                              <w:rPr>
                                <w:rFonts w:hint="eastAsia"/>
                              </w:rPr>
                              <w:t>设计及技术交底</w:t>
                            </w:r>
                          </w:p>
                        </w:txbxContent>
                      </v:textbox>
                    </v:rect>
                    <v:line id="Line 443" o:spid="_x0000_s1026" o:spt="20" style="position:absolute;left:10455;top:998402;height:361;width:1;" filled="f" stroked="t" coordsize="21600,21600" o:gfxdata="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PWaCr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Line 441" o:spid="_x0000_s1026" o:spt="20" style="position:absolute;left:8995;top:998402;height:361;width:1;" filled="f" stroked="t" coordsize="21600,21600" o:gfxdata="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ag54ugAAANs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f"/>
                    </v:line>
                    <v:line id="Line 438" o:spid="_x0000_s1026" o:spt="20" style="position:absolute;left:7352;top:998402;height:361;width:1;" filled="f" stroked="t" coordsize="21600,21600" o:gfxdata="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ar47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Line 436" o:spid="_x0000_s1026" o:spt="20" style="position:absolute;left:5709;top:998402;height:361;width:1;" filled="f" stroked="t" coordsize="21600,21600" o:gfxdata="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sWUo7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shape id="FreeForm 434" o:spid="_x0000_s1026" o:spt="100" style="position:absolute;left:4432;top:998402;height:361;width:7849;" filled="f" stroked="t" coordsize="7560,468" o:gfxdata="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5uEqvQAA&#10;ANsAAAAPAAAAAAAAAAEAIAAAACIAAABkcnMvZG93bnJldi54bWxQSwECFAAUAAAACACHTuJAMy8F&#10;njsAAAA5AAAAEAAAAAAAAAABACAAAAAMAQAAZHJzL3NoYXBleG1sLnhtbFBLBQYAAAAABgAGAFsB&#10;AAC2AwAAAAA=&#10;" path="m0,468l0,0,7560,0,7560,468e">
                      <v:fill on="f" focussize="0,0"/>
                      <v:stroke weight="0.25pt" color="#000000" joinstyle="round"/>
                      <v:imagedata o:title=""/>
                      <o:lock v:ext="edit" aspectratio="f"/>
                    </v:shape>
                    <v:rect id="Rectangle 435" o:spid="_x0000_s1026" o:spt="1" style="position:absolute;left:3884;top:998762;height:907;width:1020;" filled="f" stroked="t" coordsize="21600,21600" o:gfxdata="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emKm8AAAA&#10;2wAAAA8AAAAAAAAAAQAgAAAAIgAAAGRycy9kb3ducmV2LnhtbFBLAQIUABQAAAAIAIdO4kAzLwWe&#10;OwAAADkAAAAQAAAAAAAAAAEAIAAAAAsBAABkcnMvc2hhcGV4bWwueG1sUEsFBgAAAAAGAAYAWwEA&#10;ALUDAAAAAA==&#10;">
                      <v:fill on="f" focussize="0,0"/>
                      <v:stroke weight="0.25pt" color="#000000" joinstyle="miter"/>
                      <v:imagedata o:title=""/>
                      <o:lock v:ext="edit" aspectratio="f"/>
                      <v:textbox>
                        <w:txbxContent>
                          <w:p w14:paraId="7AA287D2">
                            <w:pPr>
                              <w:pStyle w:val="19"/>
                            </w:pPr>
                            <w:r>
                              <w:rPr>
                                <w:rFonts w:hint="eastAsia"/>
                              </w:rPr>
                              <w:t>办理开工报告</w:t>
                            </w:r>
                          </w:p>
                        </w:txbxContent>
                      </v:textbox>
                    </v:rect>
                    <v:rect id="Rectangle 439" o:spid="_x0000_s1026" o:spt="1" style="position:absolute;left:6622;top:998762;height:902;width:1643;" filled="f" stroked="t" coordsize="21600,21600" o:gfxdata="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xI9Mr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79DE692E">
                            <w:pPr>
                              <w:pStyle w:val="19"/>
                            </w:pPr>
                            <w:r>
                              <w:rPr>
                                <w:rFonts w:hint="eastAsia"/>
                              </w:rPr>
                              <w:t>工程控制桩坐标及高程复核</w:t>
                            </w:r>
                          </w:p>
                        </w:txbxContent>
                      </v:textbox>
                    </v:rect>
                    <v:rect id="Rectangle 440" o:spid="_x0000_s1026" o:spt="1" style="position:absolute;left:8447;top:998762;height:902;width:1278;" filled="f" stroked="t" coordsize="21600,21600" o:gfxdata="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PulRr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05287290">
                            <w:pPr>
                              <w:pStyle w:val="19"/>
                            </w:pPr>
                            <w:r>
                              <w:rPr>
                                <w:rFonts w:hint="eastAsia"/>
                              </w:rPr>
                              <w:t>项目部第一次会议</w:t>
                            </w:r>
                          </w:p>
                        </w:txbxContent>
                      </v:textbox>
                    </v:rect>
                    <v:rect id="Rectangle 442" o:spid="_x0000_s1026" o:spt="1" style="position:absolute;left:9907;top:998762;height:902;width:1278;" filled="f" stroked="t" coordsize="21600,21600" o:gfxdata="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7cA3b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7DF7831A">
                            <w:pPr>
                              <w:pStyle w:val="19"/>
                            </w:pPr>
                            <w:r>
                              <w:rPr>
                                <w:rFonts w:hint="eastAsia"/>
                              </w:rPr>
                              <w:t>资金筹备</w:t>
                            </w:r>
                          </w:p>
                        </w:txbxContent>
                      </v:textbox>
                    </v:rect>
                    <v:rect id="Rectangle 444" o:spid="_x0000_s1026" o:spt="1" style="position:absolute;left:11550;top:998762;height:902;width:1460;" filled="f" stroked="t" coordsize="21600,21600" o:gfxdata="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2Weqr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74581B68">
                            <w:pPr>
                              <w:pStyle w:val="19"/>
                            </w:pPr>
                            <w:r>
                              <w:rPr>
                                <w:rFonts w:hint="eastAsia"/>
                              </w:rPr>
                              <w:t>可预见干扰因素协调</w:t>
                            </w:r>
                          </w:p>
                        </w:txbxContent>
                      </v:textbox>
                    </v:rect>
                    <v:line id="Line 450" o:spid="_x0000_s1026" o:spt="20" style="position:absolute;left:8630;top:1000024;height:361;width:1;" filled="f" stroked="t" coordsize="21600,21600" o:gfxdata="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Uhgm/&#10;AAAA2w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446" o:spid="_x0000_s1026" o:spt="20" style="position:absolute;left:5709;top:999663;height:361;width:1;" filled="f" stroked="t" coordsize="21600,21600" o:gfxdata="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LOYpb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Line 447" o:spid="_x0000_s1026" o:spt="20" style="position:absolute;left:7352;top:999663;height:361;width:1;" filled="f" stroked="t" coordsize="21600,21600" o:gfxdata="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89Pr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Line 448" o:spid="_x0000_s1026" o:spt="20" style="position:absolute;left:8995;top:999663;height:361;width:1;" filled="f" stroked="t" coordsize="21600,21600" o:gfxdata="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sPn3rsAAADb&#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Line 449" o:spid="_x0000_s1026" o:spt="20" style="position:absolute;left:10455;top:999663;height:361;width:1;" filled="f" stroked="t" coordsize="21600,21600" o:gfxdata="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Y9CRb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shape id="FreeForm 445" o:spid="_x0000_s1026" o:spt="100" style="position:absolute;left:4432;top:999663;flip:y;height:361;width:7849;" filled="f" stroked="t" coordsize="7560,468" o:gfxdata="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z6mu/&#10;AAAA2wAAAA8AAAAAAAAAAQAgAAAAIgAAAGRycy9kb3ducmV2LnhtbFBLAQIUABQAAAAIAIdO4kAz&#10;LwWeOwAAADkAAAAQAAAAAAAAAAEAIAAAAA4BAABkcnMvc2hhcGV4bWwueG1sUEsFBgAAAAAGAAYA&#10;WwEAALgDAAAAAA==&#10;" path="m0,468l0,0,7560,0,7560,468e">
                      <v:fill on="f" focussize="0,0"/>
                      <v:stroke weight="0.25pt" color="#000000" joinstyle="round"/>
                      <v:imagedata o:title=""/>
                      <o:lock v:ext="edit" aspectratio="f"/>
                    </v:shape>
                    <v:rect id="Rectangle 465" o:spid="_x0000_s1026" o:spt="1" style="position:absolute;left:12280;top:1000745;height:3427;width:794;" filled="f" stroked="t" coordsize="21600,21600" o:gfxdata="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xROT7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368EEDEB">
                            <w:pPr>
                              <w:pStyle w:val="19"/>
                            </w:pPr>
                            <w:r>
                              <w:rPr>
                                <w:rFonts w:hint="eastAsia"/>
                              </w:rPr>
                              <w:t>预制构件加工及大宗材料订购协议签订</w:t>
                            </w:r>
                          </w:p>
                        </w:txbxContent>
                      </v:textbox>
                    </v:rect>
                    <v:line id="Line 463" o:spid="_x0000_s1026" o:spt="20" style="position:absolute;left:11550;top:1000385;height:361;width:1;" filled="f" stroked="t" coordsize="21600,21600" o:gfxdata="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fjh3b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Line 461" o:spid="_x0000_s1026" o:spt="20" style="position:absolute;left:10638;top:1000385;height:361;width:1;" filled="f" stroked="t" coordsize="21600,21600" o:gfxdata="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RERr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rect id="Rectangle 462" o:spid="_x0000_s1026" o:spt="1" style="position:absolute;left:10455;top:1000745;height:3427;width:548;" filled="f" stroked="t" coordsize="21600,21600" o:gfxdata="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2Pt17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79BD0AD8">
                            <w:pPr>
                              <w:pStyle w:val="19"/>
                            </w:pPr>
                            <w:r>
                              <w:rPr>
                                <w:rFonts w:hint="eastAsia"/>
                              </w:rPr>
                              <w:t>施工队伍进场</w:t>
                            </w:r>
                          </w:p>
                        </w:txbxContent>
                      </v:textbox>
                    </v:rect>
                    <v:rect id="Rectangle 464" o:spid="_x0000_s1026" o:spt="1" style="position:absolute;left:11368;top:1000745;height:3427;width:548;" filled="f" stroked="t" coordsize="21600,21600" o:gfxdata="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wvSEy8AAAA&#10;2wAAAA8AAAAAAAAAAQAgAAAAIgAAAGRycy9kb3ducmV2LnhtbFBLAQIUABQAAAAIAIdO4kAzLwWe&#10;OwAAADkAAAAQAAAAAAAAAAEAIAAAAAsBAABkcnMvc2hhcGV4bWwueG1sUEsFBgAAAAAGAAYAWwEA&#10;ALUDAAAAAA==&#10;">
                      <v:fill on="f" focussize="0,0"/>
                      <v:stroke weight="0.25pt" color="#000000" joinstyle="miter"/>
                      <v:imagedata o:title=""/>
                      <o:lock v:ext="edit" aspectratio="f"/>
                      <v:textbox>
                        <w:txbxContent>
                          <w:p w14:paraId="74ADE153">
                            <w:pPr>
                              <w:pStyle w:val="19"/>
                            </w:pPr>
                            <w:r>
                              <w:rPr>
                                <w:rFonts w:hint="eastAsia"/>
                              </w:rPr>
                              <w:t>组织材料进场并报验</w:t>
                            </w:r>
                          </w:p>
                        </w:txbxContent>
                      </v:textbox>
                    </v:rect>
                    <v:rect id="Rectangle 452" o:spid="_x0000_s1026" o:spt="1" style="position:absolute;left:4067;top:1000745;height:3427;width:680;" filled="f" stroked="t" coordsize="21600,21600" o:gfxdata="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NsNw+twAAANsAAAAP&#10;AAAAAAAAAAEAIAAAACIAAABkcnMvZG93bnJldi54bWxQSwECFAAUAAAACACHTuJAMy8FnjsAAAA5&#10;AAAAEAAAAAAAAAABACAAAAAGAQAAZHJzL3NoYXBleG1sLnhtbFBLBQYAAAAABgAGAFsBAACwAwAA&#10;AAA=&#10;">
                      <v:fill on="f" focussize="0,0"/>
                      <v:stroke weight="0.25pt" color="#000000" joinstyle="miter"/>
                      <v:imagedata o:title=""/>
                      <o:lock v:ext="edit" aspectratio="f"/>
                      <v:textbox>
                        <w:txbxContent>
                          <w:p w14:paraId="5A6A20BA">
                            <w:pPr>
                              <w:pStyle w:val="19"/>
                            </w:pPr>
                            <w:r>
                              <w:rPr>
                                <w:rFonts w:hint="eastAsia"/>
                              </w:rPr>
                              <w:t>设计文件技术反馈确认</w:t>
                            </w:r>
                          </w:p>
                        </w:txbxContent>
                      </v:textbox>
                    </v:rect>
                    <v:shape id="FreeForm 451" o:spid="_x0000_s1026" o:spt="100" style="position:absolute;left:4432;top:1000385;height:361;width:8031;" filled="f" stroked="t" coordsize="7560,468" o:gfxdata="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aeUb4A&#10;AADbAAAADwAAAAAAAAABACAAAAAiAAAAZHJzL2Rvd25yZXYueG1sUEsBAhQAFAAAAAgAh07iQDMv&#10;BZ47AAAAOQAAABAAAAAAAAAAAQAgAAAADQEAAGRycy9zaGFwZXhtbC54bWxQSwUGAAAAAAYABgBb&#10;AQAAtwMAAAAA&#10;" path="m0,468l0,0,7560,0,7560,468e">
                      <v:fill on="f" focussize="0,0"/>
                      <v:stroke weight="0.25pt" color="#000000" joinstyle="round"/>
                      <v:imagedata o:title=""/>
                      <o:lock v:ext="edit" aspectratio="f"/>
                    </v:shape>
                    <v:line id="Line 473" o:spid="_x0000_s1026" o:spt="20" style="position:absolute;left:8812;top:1004532;height:361;width:1;" filled="f" stroked="t" coordsize="21600,21600" o:gfxdata="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aL73bgAAADbAAAA&#10;DwAAAAAAAAABACAAAAAiAAAAZHJzL2Rvd25yZXYueG1sUEsBAhQAFAAAAAgAh07iQDMvBZ47AAAA&#10;OQAAABAAAAAAAAAAAQAgAAAABwEAAGRycy9zaGFwZXhtbC54bWxQSwUGAAAAAAYABgBbAQAAsQMA&#10;AAAA&#10;">
                      <v:fill on="f" focussize="0,0"/>
                      <v:stroke weight="0.25pt" color="#000000" joinstyle="round" endarrow="block"/>
                      <v:imagedata o:title=""/>
                      <o:lock v:ext="edit" aspectratio="f"/>
                    </v:line>
                    <v:line id="Line 472" o:spid="_x0000_s1026" o:spt="20" style="position:absolute;left:11550;top:1004171;height:361;width:1;" filled="f" stroked="t" coordsize="21600,21600" o:gfxdata="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bUmL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Line 471" o:spid="_x0000_s1026" o:spt="20" style="position:absolute;left:10638;top:1004171;height:361;width:1;" filled="f" stroked="t" coordsize="21600,21600" o:gfxdata="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IRK77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shape id="FreeForm 466" o:spid="_x0000_s1026" o:spt="100" style="position:absolute;left:4432;top:1004171;flip:y;height:361;width:8214;" filled="f" stroked="t" coordsize="7560,468" o:gfxdata="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Ym2S2/&#10;AAAA2wAAAA8AAAAAAAAAAQAgAAAAIgAAAGRycy9kb3ducmV2LnhtbFBLAQIUABQAAAAIAIdO4kAz&#10;LwWeOwAAADkAAAAQAAAAAAAAAAEAIAAAAA4BAABkcnMvc2hhcGV4bWwueG1sUEsFBgAAAAAGAAYA&#10;WwEAALgDAAAAAA==&#10;" path="m0,468l0,0,7560,0,7560,468e">
                      <v:fill on="f" focussize="0,0"/>
                      <v:stroke weight="0.25pt" color="#000000" joinstyle="round"/>
                      <v:imagedata o:title=""/>
                      <o:lock v:ext="edit" aspectratio="f"/>
                    </v:shape>
                    <v:rect id="Rectangle 474" o:spid="_x0000_s1026" o:spt="1" style="position:absolute;left:8082;top:1004893;height:442;width:1436;" filled="f" stroked="t" coordsize="21600,21600" o:gfxdata="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SRA5rsAAADb&#10;AAAADwAAAAAAAAABACAAAAAiAAAAZHJzL2Rvd25yZXYueG1sUEsBAhQAFAAAAAgAh07iQDMvBZ47&#10;AAAAOQAAABAAAAAAAAAAAQAgAAAACgEAAGRycy9zaGFwZXhtbC54bWxQSwUGAAAAAAYABgBbAQAA&#10;tAMAAAAA&#10;">
                      <v:fill on="f" focussize="0,0"/>
                      <v:stroke weight="0.25pt" color="#000000" joinstyle="miter"/>
                      <v:imagedata o:title=""/>
                      <o:lock v:ext="edit" aspectratio="f"/>
                      <v:textbox>
                        <w:txbxContent>
                          <w:p w14:paraId="0F7FA728">
                            <w:pPr>
                              <w:pStyle w:val="19"/>
                            </w:pPr>
                            <w:r>
                              <w:rPr>
                                <w:rFonts w:hint="eastAsia"/>
                              </w:rPr>
                              <w:t>施工阶段</w:t>
                            </w:r>
                          </w:p>
                        </w:txbxContent>
                      </v:textbox>
                    </v:rect>
                  </v:group>
                  <v:line id="Line 455" o:spid="_x0000_s1026" o:spt="20" style="position:absolute;left:7861;top:1000392;height:361;width:0;" filled="f" stroked="t" coordsize="21600,21600" o:gfxdata="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79M7L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group>
                <w10:wrap type="none"/>
                <w10:anchorlock/>
              </v:group>
            </w:pict>
          </mc:Fallback>
        </mc:AlternateContent>
      </w:r>
    </w:p>
    <w:p w14:paraId="4435F917">
      <w:pPr>
        <w:pStyle w:val="5"/>
        <w:numPr>
          <w:ilvl w:val="2"/>
          <w:numId w:val="0"/>
        </w:numPr>
        <w:spacing w:line="360" w:lineRule="auto"/>
        <w:ind w:left="720" w:leftChars="0" w:hanging="720" w:firstLineChars="0"/>
        <w:rPr>
          <w:rFonts w:hint="eastAsia" w:ascii="宋体" w:hAnsi="宋体" w:eastAsia="宋体" w:cs="宋体"/>
          <w:color w:val="auto"/>
        </w:rPr>
      </w:pPr>
      <w:bookmarkStart w:id="259" w:name="_Toc26976"/>
      <w:bookmarkStart w:id="260" w:name="_Toc3307"/>
      <w:bookmarkStart w:id="261" w:name="_Toc10818"/>
      <w:bookmarkStart w:id="262" w:name="_Toc5690"/>
      <w:bookmarkStart w:id="263" w:name="_Toc7794"/>
      <w:bookmarkStart w:id="264" w:name="_Toc21884"/>
      <w:bookmarkStart w:id="265" w:name="_Toc24517"/>
      <w:bookmarkStart w:id="266" w:name="_Toc10541"/>
      <w:bookmarkStart w:id="267" w:name="_Toc18154"/>
      <w:bookmarkStart w:id="268" w:name="_Toc28320"/>
      <w:bookmarkStart w:id="269" w:name="_Toc30348"/>
      <w:r>
        <w:rPr>
          <w:rFonts w:hint="default" w:ascii="宋体" w:hAnsi="宋体" w:eastAsia="宋体" w:cs="Times New Roman"/>
          <w:b/>
          <w:bCs/>
          <w:color w:val="auto"/>
          <w:kern w:val="2"/>
          <w:sz w:val="30"/>
          <w:szCs w:val="32"/>
          <w:lang w:val="en-US" w:eastAsia="zh-CN" w:bidi="ar-SA"/>
        </w:rPr>
        <w:t>4.1.1.</w:t>
      </w:r>
      <w:r>
        <w:rPr>
          <w:rFonts w:hint="eastAsia" w:ascii="宋体" w:hAnsi="宋体" w:eastAsia="宋体" w:cs="宋体"/>
          <w:color w:val="auto"/>
        </w:rPr>
        <w:t>测量控制</w:t>
      </w:r>
      <w:bookmarkEnd w:id="259"/>
      <w:bookmarkEnd w:id="260"/>
      <w:bookmarkEnd w:id="261"/>
      <w:bookmarkEnd w:id="262"/>
      <w:bookmarkEnd w:id="263"/>
      <w:bookmarkEnd w:id="264"/>
      <w:bookmarkEnd w:id="265"/>
      <w:bookmarkEnd w:id="266"/>
      <w:bookmarkEnd w:id="267"/>
      <w:bookmarkEnd w:id="268"/>
      <w:bookmarkEnd w:id="269"/>
    </w:p>
    <w:p w14:paraId="543FA792">
      <w:pPr>
        <w:ind w:firstLine="480"/>
        <w:rPr>
          <w:rFonts w:hint="eastAsia" w:ascii="宋体" w:hAnsi="宋体" w:eastAsia="宋体" w:cs="宋体"/>
        </w:rPr>
      </w:pPr>
      <w:r>
        <w:rPr>
          <w:rFonts w:hint="eastAsia" w:ascii="宋体" w:hAnsi="宋体" w:eastAsia="宋体" w:cs="宋体"/>
        </w:rPr>
        <w:t>1、为了限制误差的累积和传播，保证测图和施工的精度及速度，测量工作必须遵循“从整体到局部，先控制后碎部”的原则。即先进行整个测区的控制测量，再进行碎部测量。控制测量的实质就是测量控制点的平面位置和高程。仪器全部经过检定部门检定合格后使用，并出具检定报告。</w:t>
      </w:r>
    </w:p>
    <w:p w14:paraId="6DDAD3D1">
      <w:pPr>
        <w:ind w:firstLine="480"/>
        <w:rPr>
          <w:rFonts w:hint="eastAsia" w:ascii="宋体" w:hAnsi="宋体" w:eastAsia="宋体" w:cs="宋体"/>
        </w:rPr>
      </w:pPr>
      <w:r>
        <w:rPr>
          <w:rFonts w:hint="eastAsia" w:ascii="宋体" w:hAnsi="宋体" w:eastAsia="宋体" w:cs="宋体"/>
        </w:rPr>
        <w:t>2、点位的布设</w:t>
      </w:r>
    </w:p>
    <w:p w14:paraId="70B6CA2A">
      <w:pPr>
        <w:ind w:firstLine="480"/>
        <w:rPr>
          <w:rFonts w:hint="eastAsia" w:ascii="宋体" w:hAnsi="宋体" w:eastAsia="宋体" w:cs="宋体"/>
        </w:rPr>
      </w:pPr>
      <w:r>
        <w:rPr>
          <w:rFonts w:hint="eastAsia" w:ascii="宋体" w:hAnsi="宋体" w:eastAsia="宋体" w:cs="宋体"/>
        </w:rPr>
        <w:t>根据设计文件及《工程测量规范》GB50026-2007的要求。本工程控制网的建立按照四等一级的技术要求实测。</w:t>
      </w:r>
    </w:p>
    <w:p w14:paraId="09A9DED2">
      <w:pPr>
        <w:ind w:firstLine="480"/>
        <w:rPr>
          <w:rFonts w:hint="eastAsia" w:ascii="宋体" w:hAnsi="宋体" w:eastAsia="宋体" w:cs="宋体"/>
        </w:rPr>
      </w:pPr>
      <w:r>
        <w:rPr>
          <w:rFonts w:hint="eastAsia" w:ascii="宋体" w:hAnsi="宋体" w:eastAsia="宋体" w:cs="宋体"/>
        </w:rPr>
        <w:t>3、本合同段按线路走向两侧交叉布点共埋设</w:t>
      </w:r>
      <w:r>
        <w:rPr>
          <w:rFonts w:hint="eastAsia" w:ascii="宋体" w:hAnsi="宋体" w:eastAsia="宋体" w:cs="宋体"/>
          <w:lang w:val="en-US" w:eastAsia="zh-CN"/>
        </w:rPr>
        <w:t>25</w:t>
      </w:r>
      <w:r>
        <w:rPr>
          <w:rFonts w:hint="eastAsia" w:ascii="宋体" w:hAnsi="宋体" w:eastAsia="宋体" w:cs="宋体"/>
        </w:rPr>
        <w:t>个加密点，坐标及高程满足精度要求。</w:t>
      </w:r>
    </w:p>
    <w:p w14:paraId="7BA755E3">
      <w:pPr>
        <w:ind w:firstLine="480"/>
        <w:rPr>
          <w:rFonts w:hint="eastAsia" w:ascii="宋体" w:hAnsi="宋体" w:eastAsia="宋体" w:cs="宋体"/>
        </w:rPr>
      </w:pPr>
      <w:r>
        <w:rPr>
          <w:rFonts w:hint="eastAsia" w:ascii="宋体" w:hAnsi="宋体" w:eastAsia="宋体" w:cs="宋体"/>
        </w:rPr>
        <w:t>4、高程控制</w:t>
      </w:r>
    </w:p>
    <w:p w14:paraId="1A71DB25">
      <w:pPr>
        <w:ind w:firstLine="480"/>
        <w:rPr>
          <w:rFonts w:hint="eastAsia" w:ascii="宋体" w:hAnsi="宋体" w:eastAsia="宋体" w:cs="宋体"/>
        </w:rPr>
      </w:pPr>
      <w:r>
        <w:rPr>
          <w:rFonts w:hint="eastAsia" w:ascii="宋体" w:hAnsi="宋体" w:eastAsia="宋体" w:cs="宋体"/>
        </w:rPr>
        <w:t>本标段按设计采用1985国家高程基准，仪器采用</w:t>
      </w:r>
      <w:r>
        <w:rPr>
          <w:rFonts w:hint="eastAsia" w:ascii="宋体" w:hAnsi="宋体" w:cs="宋体"/>
          <w:lang w:val="en-US" w:eastAsia="zh-CN"/>
        </w:rPr>
        <w:t>天宝DINI03</w:t>
      </w:r>
      <w:r>
        <w:rPr>
          <w:rFonts w:hint="eastAsia" w:ascii="宋体" w:hAnsi="宋体" w:eastAsia="宋体" w:cs="宋体"/>
        </w:rPr>
        <w:t>电子水准仪进行复测，复测前仪器都经过检定部门检定并出具检定报告。水准测量根据设计及规范要求，按照四等水准技术要求测量。</w:t>
      </w:r>
    </w:p>
    <w:p w14:paraId="4163557F">
      <w:pPr>
        <w:ind w:firstLine="480"/>
        <w:rPr>
          <w:rFonts w:hint="eastAsia" w:ascii="宋体" w:hAnsi="宋体" w:eastAsia="宋体" w:cs="宋体"/>
        </w:rPr>
      </w:pPr>
      <w:r>
        <w:rPr>
          <w:rFonts w:hint="eastAsia" w:ascii="宋体" w:hAnsi="宋体" w:eastAsia="宋体" w:cs="宋体"/>
        </w:rPr>
        <w:t>5、平差计算</w:t>
      </w:r>
    </w:p>
    <w:p w14:paraId="33DA45D6">
      <w:pPr>
        <w:ind w:firstLine="480"/>
        <w:rPr>
          <w:rFonts w:hint="eastAsia" w:ascii="宋体" w:hAnsi="宋体" w:eastAsia="宋体" w:cs="宋体"/>
        </w:rPr>
      </w:pPr>
      <w:r>
        <w:rPr>
          <w:rFonts w:hint="eastAsia" w:ascii="宋体" w:hAnsi="宋体" w:eastAsia="宋体" w:cs="宋体"/>
        </w:rPr>
        <w:t>建立</w:t>
      </w:r>
      <w:r>
        <w:rPr>
          <w:rFonts w:hint="eastAsia" w:ascii="宋体" w:hAnsi="宋体" w:eastAsia="宋体" w:cs="宋体"/>
        </w:rPr>
        <w:fldChar w:fldCharType="begin"/>
      </w:r>
      <w:r>
        <w:rPr>
          <w:rFonts w:hint="eastAsia" w:ascii="宋体" w:hAnsi="宋体" w:eastAsia="宋体" w:cs="宋体"/>
        </w:rPr>
        <w:instrText xml:space="preserve"> HYPERLINK "https://baike.so.com/doc/6514608-6728334.html" </w:instrText>
      </w:r>
      <w:r>
        <w:rPr>
          <w:rFonts w:hint="eastAsia" w:ascii="宋体" w:hAnsi="宋体" w:eastAsia="宋体" w:cs="宋体"/>
        </w:rPr>
        <w:fldChar w:fldCharType="separate"/>
      </w:r>
      <w:r>
        <w:rPr>
          <w:rFonts w:hint="eastAsia" w:ascii="宋体" w:hAnsi="宋体" w:eastAsia="宋体" w:cs="宋体"/>
        </w:rPr>
        <w:t>平面控制网</w:t>
      </w:r>
      <w:r>
        <w:rPr>
          <w:rFonts w:hint="eastAsia" w:ascii="宋体" w:hAnsi="宋体" w:eastAsia="宋体" w:cs="宋体"/>
        </w:rPr>
        <w:fldChar w:fldCharType="end"/>
      </w:r>
      <w:r>
        <w:rPr>
          <w:rFonts w:hint="eastAsia" w:ascii="宋体" w:hAnsi="宋体" w:eastAsia="宋体" w:cs="宋体"/>
        </w:rPr>
        <w:t>和高程控制网时，为了进行检核和提高精度，常有一定数量的多余观测（见</w:t>
      </w:r>
      <w:r>
        <w:rPr>
          <w:rFonts w:hint="eastAsia" w:ascii="宋体" w:hAnsi="宋体" w:eastAsia="宋体" w:cs="宋体"/>
        </w:rPr>
        <w:fldChar w:fldCharType="begin"/>
      </w:r>
      <w:r>
        <w:rPr>
          <w:rFonts w:hint="eastAsia" w:ascii="宋体" w:hAnsi="宋体" w:eastAsia="宋体" w:cs="宋体"/>
        </w:rPr>
        <w:instrText xml:space="preserve"> HYPERLINK "https://baike.so.com/doc/6063910-6276969.html" </w:instrText>
      </w:r>
      <w:r>
        <w:rPr>
          <w:rFonts w:hint="eastAsia" w:ascii="宋体" w:hAnsi="宋体" w:eastAsia="宋体" w:cs="宋体"/>
        </w:rPr>
        <w:fldChar w:fldCharType="separate"/>
      </w:r>
      <w:r>
        <w:rPr>
          <w:rFonts w:hint="eastAsia" w:ascii="宋体" w:hAnsi="宋体" w:eastAsia="宋体" w:cs="宋体"/>
        </w:rPr>
        <w:t>测量平差）</w:t>
      </w:r>
      <w:r>
        <w:rPr>
          <w:rFonts w:hint="eastAsia" w:ascii="宋体" w:hAnsi="宋体" w:eastAsia="宋体" w:cs="宋体"/>
        </w:rPr>
        <w:fldChar w:fldCharType="end"/>
      </w:r>
      <w:r>
        <w:rPr>
          <w:rFonts w:hint="eastAsia" w:ascii="宋体" w:hAnsi="宋体" w:eastAsia="宋体" w:cs="宋体"/>
        </w:rPr>
        <w:t>。对</w:t>
      </w:r>
      <w:r>
        <w:rPr>
          <w:rFonts w:hint="eastAsia" w:ascii="宋体" w:hAnsi="宋体" w:eastAsia="宋体" w:cs="宋体"/>
        </w:rPr>
        <w:fldChar w:fldCharType="begin"/>
      </w:r>
      <w:r>
        <w:rPr>
          <w:rFonts w:hint="eastAsia" w:ascii="宋体" w:hAnsi="宋体" w:eastAsia="宋体" w:cs="宋体"/>
        </w:rPr>
        <w:instrText xml:space="preserve"> HYPERLINK "https://baike.so.com/doc/1830052-1935417.html" </w:instrText>
      </w:r>
      <w:r>
        <w:rPr>
          <w:rFonts w:hint="eastAsia" w:ascii="宋体" w:hAnsi="宋体" w:eastAsia="宋体" w:cs="宋体"/>
        </w:rPr>
        <w:fldChar w:fldCharType="separate"/>
      </w:r>
      <w:r>
        <w:rPr>
          <w:rFonts w:hint="eastAsia" w:ascii="宋体" w:hAnsi="宋体" w:eastAsia="宋体" w:cs="宋体"/>
        </w:rPr>
        <w:t>观测值</w:t>
      </w:r>
      <w:r>
        <w:rPr>
          <w:rFonts w:hint="eastAsia" w:ascii="宋体" w:hAnsi="宋体" w:eastAsia="宋体" w:cs="宋体"/>
        </w:rPr>
        <w:fldChar w:fldCharType="end"/>
      </w:r>
      <w:r>
        <w:rPr>
          <w:rFonts w:hint="eastAsia" w:ascii="宋体" w:hAnsi="宋体" w:eastAsia="宋体" w:cs="宋体"/>
        </w:rPr>
        <w:t>按最小二乘法原理进行平差计算，消除各观测值之间的矛盾，求得最可靠的结果和评定测量结果的精度。对于</w:t>
      </w:r>
      <w:r>
        <w:rPr>
          <w:rFonts w:hint="eastAsia" w:ascii="宋体" w:hAnsi="宋体" w:eastAsia="宋体" w:cs="宋体"/>
        </w:rPr>
        <w:fldChar w:fldCharType="begin"/>
      </w:r>
      <w:r>
        <w:rPr>
          <w:rFonts w:hint="eastAsia" w:ascii="宋体" w:hAnsi="宋体" w:eastAsia="宋体" w:cs="宋体"/>
        </w:rPr>
        <w:instrText xml:space="preserve"> HYPERLINK "https://baike.so.com/doc/7815943-8090038.html" </w:instrText>
      </w:r>
      <w:r>
        <w:rPr>
          <w:rFonts w:hint="eastAsia" w:ascii="宋体" w:hAnsi="宋体" w:eastAsia="宋体" w:cs="宋体"/>
        </w:rPr>
        <w:fldChar w:fldCharType="separate"/>
      </w:r>
      <w:r>
        <w:rPr>
          <w:rFonts w:hint="eastAsia" w:ascii="宋体" w:hAnsi="宋体" w:eastAsia="宋体" w:cs="宋体"/>
        </w:rPr>
        <w:t>观测精度</w:t>
      </w:r>
      <w:r>
        <w:rPr>
          <w:rFonts w:hint="eastAsia" w:ascii="宋体" w:hAnsi="宋体" w:eastAsia="宋体" w:cs="宋体"/>
        </w:rPr>
        <w:fldChar w:fldCharType="end"/>
      </w:r>
      <w:r>
        <w:rPr>
          <w:rFonts w:hint="eastAsia" w:ascii="宋体" w:hAnsi="宋体" w:eastAsia="宋体" w:cs="宋体"/>
        </w:rPr>
        <w:t>较低的控制测量，可采用近似法进行平差计算。</w:t>
      </w:r>
    </w:p>
    <w:p w14:paraId="14823CA9">
      <w:pPr>
        <w:pStyle w:val="5"/>
        <w:numPr>
          <w:ilvl w:val="2"/>
          <w:numId w:val="0"/>
        </w:numPr>
        <w:spacing w:line="360" w:lineRule="auto"/>
        <w:ind w:left="720" w:leftChars="0" w:hanging="720" w:firstLineChars="0"/>
        <w:rPr>
          <w:rFonts w:hint="eastAsia" w:ascii="宋体" w:hAnsi="宋体" w:eastAsia="宋体" w:cs="宋体"/>
          <w:color w:val="auto"/>
        </w:rPr>
      </w:pPr>
      <w:bookmarkStart w:id="270" w:name="_Toc10646"/>
      <w:bookmarkStart w:id="271" w:name="_Toc858"/>
      <w:bookmarkStart w:id="272" w:name="_Toc15632"/>
      <w:bookmarkStart w:id="273" w:name="_Toc447"/>
      <w:bookmarkStart w:id="274" w:name="_Toc31505"/>
      <w:r>
        <w:rPr>
          <w:rFonts w:hint="default" w:ascii="宋体" w:hAnsi="宋体" w:eastAsia="宋体" w:cs="Times New Roman"/>
          <w:b/>
          <w:bCs/>
          <w:color w:val="auto"/>
          <w:kern w:val="2"/>
          <w:sz w:val="30"/>
          <w:szCs w:val="32"/>
          <w:lang w:val="en-US" w:eastAsia="zh-CN" w:bidi="ar-SA"/>
        </w:rPr>
        <w:t>4.1.2.</w:t>
      </w:r>
      <w:r>
        <w:rPr>
          <w:rFonts w:hint="eastAsia" w:ascii="宋体" w:hAnsi="宋体" w:eastAsia="宋体" w:cs="宋体"/>
          <w:color w:val="auto"/>
        </w:rPr>
        <w:t>施工总平面布置</w:t>
      </w:r>
      <w:bookmarkEnd w:id="246"/>
      <w:bookmarkEnd w:id="247"/>
      <w:bookmarkEnd w:id="248"/>
      <w:bookmarkEnd w:id="249"/>
      <w:bookmarkEnd w:id="250"/>
      <w:bookmarkEnd w:id="251"/>
      <w:bookmarkEnd w:id="252"/>
      <w:bookmarkEnd w:id="253"/>
      <w:bookmarkEnd w:id="254"/>
      <w:bookmarkEnd w:id="255"/>
      <w:bookmarkEnd w:id="256"/>
      <w:bookmarkEnd w:id="257"/>
      <w:bookmarkEnd w:id="270"/>
      <w:bookmarkEnd w:id="271"/>
      <w:bookmarkEnd w:id="272"/>
      <w:bookmarkEnd w:id="273"/>
      <w:bookmarkEnd w:id="274"/>
    </w:p>
    <w:p w14:paraId="2232432A">
      <w:pPr>
        <w:ind w:firstLine="480"/>
        <w:rPr>
          <w:rFonts w:hint="eastAsia" w:ascii="宋体" w:hAnsi="宋体" w:eastAsia="宋体" w:cs="宋体"/>
        </w:rPr>
      </w:pPr>
      <w:r>
        <w:rPr>
          <w:rFonts w:hint="eastAsia" w:ascii="宋体" w:hAnsi="宋体" w:eastAsia="宋体" w:cs="宋体"/>
        </w:rPr>
        <w:t>根据施工场地具体情况，</w:t>
      </w:r>
      <w:r>
        <w:rPr>
          <w:rFonts w:hint="eastAsia" w:ascii="宋体" w:hAnsi="宋体" w:eastAsia="宋体" w:cs="宋体"/>
          <w:lang w:val="en-US" w:eastAsia="zh-CN"/>
        </w:rPr>
        <w:t>项目部</w:t>
      </w:r>
      <w:r>
        <w:rPr>
          <w:rFonts w:hint="eastAsia" w:ascii="宋体" w:hAnsi="宋体" w:cs="宋体"/>
          <w:lang w:val="en-US" w:eastAsia="zh-CN"/>
        </w:rPr>
        <w:t>、</w:t>
      </w:r>
      <w:r>
        <w:rPr>
          <w:rFonts w:hint="eastAsia" w:ascii="宋体" w:hAnsi="宋体" w:eastAsia="宋体" w:cs="宋体"/>
        </w:rPr>
        <w:t>钢筋加工厂</w:t>
      </w:r>
      <w:r>
        <w:rPr>
          <w:rFonts w:hint="eastAsia" w:ascii="宋体" w:hAnsi="宋体" w:eastAsia="宋体" w:cs="宋体"/>
          <w:lang w:eastAsia="zh-CN"/>
        </w:rPr>
        <w:t>、</w:t>
      </w:r>
      <w:r>
        <w:rPr>
          <w:rFonts w:hint="eastAsia" w:ascii="宋体" w:hAnsi="宋体" w:cs="宋体"/>
          <w:lang w:val="en-US" w:eastAsia="zh-CN"/>
        </w:rPr>
        <w:t>小型构件预制厂</w:t>
      </w:r>
      <w:r>
        <w:rPr>
          <w:rFonts w:hint="eastAsia" w:ascii="宋体" w:hAnsi="宋体" w:eastAsia="宋体" w:cs="宋体"/>
          <w:lang w:val="en-US" w:eastAsia="zh-CN"/>
        </w:rPr>
        <w:t>、拌合站现场建设</w:t>
      </w:r>
      <w:r>
        <w:rPr>
          <w:rFonts w:hint="eastAsia" w:ascii="宋体" w:hAnsi="宋体" w:eastAsia="宋体" w:cs="宋体"/>
        </w:rPr>
        <w:t>，将本工程的生产区和生活区分开布置。满足工程的正常施工，加强现场平衡调度工作，搞好环境卫生，文明施工。本工程混凝土采用</w:t>
      </w:r>
      <w:r>
        <w:rPr>
          <w:rFonts w:hint="eastAsia" w:ascii="宋体" w:hAnsi="宋体" w:eastAsia="宋体" w:cs="宋体"/>
          <w:lang w:val="en-US" w:eastAsia="zh-CN"/>
        </w:rPr>
        <w:t>自拌</w:t>
      </w:r>
      <w:r>
        <w:rPr>
          <w:rFonts w:hint="eastAsia" w:ascii="宋体" w:hAnsi="宋体" w:eastAsia="宋体" w:cs="宋体"/>
        </w:rPr>
        <w:t>混凝土</w:t>
      </w:r>
      <w:r>
        <w:rPr>
          <w:rFonts w:hint="eastAsia" w:ascii="宋体" w:hAnsi="宋体" w:cs="宋体"/>
          <w:lang w:eastAsia="zh-CN"/>
        </w:rPr>
        <w:t>，</w:t>
      </w:r>
      <w:r>
        <w:rPr>
          <w:rFonts w:hint="eastAsia" w:ascii="宋体" w:hAnsi="宋体" w:eastAsia="宋体" w:cs="宋体"/>
        </w:rPr>
        <w:t>现场临时设施均采用组合活动板房及钢结构。</w:t>
      </w:r>
    </w:p>
    <w:p w14:paraId="505CAFAE">
      <w:pPr>
        <w:ind w:firstLine="480"/>
        <w:rPr>
          <w:rFonts w:hint="eastAsia" w:ascii="宋体" w:hAnsi="宋体" w:eastAsia="宋体" w:cs="宋体"/>
        </w:rPr>
      </w:pPr>
      <w:r>
        <w:rPr>
          <w:rFonts w:hint="eastAsia" w:ascii="宋体" w:hAnsi="宋体" w:eastAsia="宋体" w:cs="宋体"/>
        </w:rPr>
        <w:t>施工场地整体按“方便施工、便于管理、少占地、环保、经济”的原则进行布置，详见</w:t>
      </w:r>
      <w:r>
        <w:rPr>
          <w:rFonts w:hint="eastAsia" w:ascii="宋体" w:hAnsi="宋体" w:eastAsia="宋体" w:cs="宋体"/>
          <w:highlight w:val="none"/>
        </w:rPr>
        <w:t>附件三《总体施工平面布置图》。</w:t>
      </w:r>
    </w:p>
    <w:p w14:paraId="0E865A35">
      <w:pPr>
        <w:pStyle w:val="5"/>
        <w:numPr>
          <w:ilvl w:val="2"/>
          <w:numId w:val="0"/>
        </w:numPr>
        <w:spacing w:line="360" w:lineRule="auto"/>
        <w:ind w:left="720" w:leftChars="0" w:hanging="720" w:firstLineChars="0"/>
        <w:rPr>
          <w:rFonts w:hint="eastAsia" w:ascii="宋体" w:hAnsi="宋体" w:eastAsia="宋体" w:cs="宋体"/>
          <w:color w:val="auto"/>
          <w:highlight w:val="none"/>
          <w:lang w:val="en-US" w:eastAsia="zh-CN"/>
        </w:rPr>
      </w:pPr>
      <w:bookmarkStart w:id="275" w:name="_Toc232929178"/>
      <w:bookmarkStart w:id="276" w:name="_Toc392933479"/>
      <w:bookmarkStart w:id="277" w:name="_Toc1664"/>
      <w:bookmarkStart w:id="278" w:name="_Toc392165591"/>
      <w:bookmarkStart w:id="279" w:name="_Toc19006"/>
      <w:bookmarkStart w:id="280" w:name="_Toc260036554"/>
      <w:bookmarkStart w:id="281" w:name="_Toc31976"/>
      <w:bookmarkStart w:id="282" w:name="_Toc30485"/>
      <w:bookmarkStart w:id="283" w:name="_Toc18768"/>
      <w:bookmarkStart w:id="284" w:name="_Toc6806"/>
      <w:bookmarkStart w:id="285" w:name="_Toc20516"/>
      <w:bookmarkStart w:id="286" w:name="_Toc260037163"/>
      <w:bookmarkStart w:id="287" w:name="_Toc32428"/>
      <w:bookmarkStart w:id="288" w:name="_Toc16484"/>
      <w:bookmarkStart w:id="289" w:name="_Toc7405"/>
      <w:bookmarkStart w:id="290" w:name="_Toc5340"/>
      <w:bookmarkStart w:id="291" w:name="_Toc18902"/>
      <w:r>
        <w:rPr>
          <w:rFonts w:hint="default" w:ascii="宋体" w:hAnsi="宋体" w:eastAsia="宋体" w:cs="Times New Roman"/>
          <w:b/>
          <w:bCs/>
          <w:color w:val="auto"/>
          <w:kern w:val="2"/>
          <w:sz w:val="30"/>
          <w:szCs w:val="32"/>
          <w:lang w:val="en-US" w:eastAsia="zh-CN" w:bidi="ar-SA"/>
        </w:rPr>
        <w:t>4.1.3.</w:t>
      </w:r>
      <w:r>
        <w:rPr>
          <w:rFonts w:hint="eastAsia" w:ascii="宋体" w:hAnsi="宋体" w:eastAsia="宋体" w:cs="宋体"/>
          <w:color w:val="auto"/>
          <w:highlight w:val="none"/>
        </w:rPr>
        <w:t>生产、</w:t>
      </w:r>
      <w:r>
        <w:rPr>
          <w:rFonts w:hint="eastAsia" w:ascii="宋体" w:hAnsi="宋体" w:eastAsia="宋体" w:cs="宋体"/>
          <w:color w:val="auto"/>
          <w:highlight w:val="none"/>
          <w:lang w:val="en-US" w:eastAsia="zh-CN"/>
        </w:rPr>
        <w:t>办公、</w:t>
      </w:r>
      <w:r>
        <w:rPr>
          <w:rFonts w:hint="eastAsia" w:ascii="宋体" w:hAnsi="宋体" w:eastAsia="宋体" w:cs="宋体"/>
          <w:color w:val="auto"/>
          <w:highlight w:val="none"/>
        </w:rPr>
        <w:t>生活</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r>
        <w:rPr>
          <w:rFonts w:hint="eastAsia" w:ascii="宋体" w:hAnsi="宋体" w:eastAsia="宋体" w:cs="宋体"/>
          <w:color w:val="auto"/>
          <w:highlight w:val="none"/>
          <w:lang w:val="en-US" w:eastAsia="zh-CN"/>
        </w:rPr>
        <w:t>用房</w:t>
      </w:r>
      <w:bookmarkEnd w:id="291"/>
    </w:p>
    <w:p w14:paraId="4A5677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rPr>
      </w:pPr>
      <w:r>
        <w:rPr>
          <w:rFonts w:hint="eastAsia" w:ascii="宋体" w:hAnsi="宋体" w:eastAsia="宋体" w:cs="宋体"/>
        </w:rPr>
        <w:t>根据工程概况和现场调查以及项目经理部人员配置情况，本着利于和业主、监理联系方便、同时指挥现场施工的原则，选择K123+000主线北500米处，占地面积约26482.1m</w:t>
      </w:r>
      <w:r>
        <w:rPr>
          <w:rFonts w:hint="eastAsia" w:ascii="宋体" w:hAnsi="宋体" w:cs="宋体"/>
          <w:lang w:val="en-US" w:eastAsia="zh-CN"/>
        </w:rPr>
        <w:t>2</w:t>
      </w:r>
      <w:r>
        <w:rPr>
          <w:rFonts w:hint="eastAsia" w:ascii="宋体" w:hAnsi="宋体" w:eastAsia="宋体" w:cs="宋体"/>
        </w:rPr>
        <w:t>，合39.7亩用作项目驻地，三集中及试验室建设场地。</w:t>
      </w:r>
      <w:r>
        <w:rPr>
          <w:rFonts w:hint="eastAsia" w:ascii="宋体" w:hAnsi="宋体" w:eastAsia="宋体" w:cs="宋体"/>
          <w:lang w:val="en-US" w:eastAsia="zh-CN"/>
        </w:rPr>
        <w:t>按照《福建省高速公路施工标准化管理指南》及《中煤矿山建设集团有限责任公司施工标准化手册》</w:t>
      </w:r>
      <w:r>
        <w:rPr>
          <w:rFonts w:hint="eastAsia" w:ascii="宋体" w:hAnsi="宋体" w:eastAsia="宋体" w:cs="宋体"/>
        </w:rPr>
        <w:t>要求进行</w:t>
      </w:r>
      <w:r>
        <w:rPr>
          <w:rFonts w:hint="eastAsia" w:ascii="宋体" w:hAnsi="宋体" w:cs="宋体"/>
          <w:lang w:val="en-US" w:eastAsia="zh-CN"/>
        </w:rPr>
        <w:t>项目驻地、场站及试验室建设。</w:t>
      </w:r>
    </w:p>
    <w:p w14:paraId="3240161F">
      <w:pPr>
        <w:pStyle w:val="22"/>
        <w:ind w:left="0" w:leftChars="0" w:firstLine="0" w:firstLineChars="0"/>
        <w:jc w:val="both"/>
      </w:pPr>
      <w:r>
        <w:rPr>
          <w:rFonts w:hint="eastAsia" w:ascii="宋体" w:hAnsi="宋体" w:eastAsia="宋体" w:cs="宋体"/>
          <w:lang w:eastAsia="zh-CN"/>
        </w:rPr>
        <w:drawing>
          <wp:inline distT="0" distB="0" distL="114300" distR="114300">
            <wp:extent cx="2907665" cy="1818005"/>
            <wp:effectExtent l="9525" t="9525" r="24130" b="16510"/>
            <wp:docPr id="1463" name="图片 10" descr="项目部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图片 10" descr="项目部位置"/>
                    <pic:cNvPicPr>
                      <a:picLocks noChangeAspect="1"/>
                    </pic:cNvPicPr>
                  </pic:nvPicPr>
                  <pic:blipFill>
                    <a:blip r:embed="rId27"/>
                    <a:stretch>
                      <a:fillRect/>
                    </a:stretch>
                  </pic:blipFill>
                  <pic:spPr>
                    <a:xfrm>
                      <a:off x="0" y="0"/>
                      <a:ext cx="2907665" cy="1818005"/>
                    </a:xfrm>
                    <a:prstGeom prst="rect">
                      <a:avLst/>
                    </a:prstGeom>
                    <a:noFill/>
                    <a:ln w="9525" cap="flat" cmpd="sng">
                      <a:solidFill>
                        <a:srgbClr val="0000FF"/>
                      </a:solidFill>
                      <a:prstDash val="solid"/>
                      <a:miter/>
                      <a:headEnd type="none" w="med" len="med"/>
                      <a:tailEnd type="none" w="med" len="med"/>
                    </a:ln>
                  </pic:spPr>
                </pic:pic>
              </a:graphicData>
            </a:graphic>
          </wp:inline>
        </w:drawing>
      </w:r>
      <w:r>
        <w:drawing>
          <wp:inline distT="0" distB="0" distL="114300" distR="114300">
            <wp:extent cx="1823085" cy="2845435"/>
            <wp:effectExtent l="9525" t="9525" r="10160" b="11430"/>
            <wp:docPr id="14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图片 11"/>
                    <pic:cNvPicPr>
                      <a:picLocks noChangeAspect="1"/>
                    </pic:cNvPicPr>
                  </pic:nvPicPr>
                  <pic:blipFill>
                    <a:blip r:embed="rId28"/>
                    <a:stretch>
                      <a:fillRect/>
                    </a:stretch>
                  </pic:blipFill>
                  <pic:spPr>
                    <a:xfrm rot="-5400000">
                      <a:off x="0" y="0"/>
                      <a:ext cx="1823085" cy="2845435"/>
                    </a:xfrm>
                    <a:prstGeom prst="rect">
                      <a:avLst/>
                    </a:prstGeom>
                    <a:noFill/>
                    <a:ln w="9525" cap="flat" cmpd="sng">
                      <a:solidFill>
                        <a:srgbClr val="0000FF"/>
                      </a:solidFill>
                      <a:prstDash val="solid"/>
                      <a:round/>
                      <a:headEnd type="none" w="med" len="med"/>
                      <a:tailEnd type="none" w="med" len="med"/>
                    </a:ln>
                  </pic:spPr>
                </pic:pic>
              </a:graphicData>
            </a:graphic>
          </wp:inline>
        </w:drawing>
      </w:r>
    </w:p>
    <w:p w14:paraId="4B631FA1">
      <w:pPr>
        <w:ind w:firstLine="199" w:firstLineChars="83"/>
        <w:jc w:val="center"/>
        <w:rPr>
          <w:rFonts w:hint="default" w:ascii="宋体" w:hAnsi="宋体" w:eastAsia="宋体" w:cs="宋体"/>
          <w:highlight w:val="none"/>
          <w:lang w:val="en-US" w:eastAsia="zh-CN"/>
        </w:rPr>
      </w:pPr>
      <w:r>
        <w:rPr>
          <w:rFonts w:hint="eastAsia" w:ascii="宋体" w:hAnsi="宋体" w:cs="宋体"/>
          <w:highlight w:val="none"/>
          <w:lang w:val="en-US" w:eastAsia="zh-CN"/>
        </w:rPr>
        <w:t>项目</w:t>
      </w:r>
      <w:r>
        <w:rPr>
          <w:rFonts w:hint="eastAsia" w:ascii="宋体" w:hAnsi="宋体" w:eastAsia="宋体" w:cs="宋体"/>
          <w:highlight w:val="none"/>
        </w:rPr>
        <w:t>驻地选址</w:t>
      </w:r>
      <w:r>
        <w:rPr>
          <w:rFonts w:hint="eastAsia" w:ascii="宋体" w:hAnsi="宋体" w:cs="宋体"/>
          <w:highlight w:val="none"/>
          <w:lang w:val="en-US" w:eastAsia="zh-CN"/>
        </w:rPr>
        <w:t>及规划</w:t>
      </w:r>
    </w:p>
    <w:p w14:paraId="6AF08E3C">
      <w:pPr>
        <w:pStyle w:val="5"/>
        <w:numPr>
          <w:ilvl w:val="2"/>
          <w:numId w:val="0"/>
        </w:numPr>
        <w:spacing w:line="360" w:lineRule="auto"/>
        <w:ind w:left="720" w:leftChars="0" w:hanging="720" w:firstLineChars="0"/>
        <w:rPr>
          <w:rFonts w:hint="default" w:ascii="宋体" w:hAnsi="宋体" w:eastAsia="宋体" w:cs="宋体"/>
          <w:color w:val="auto"/>
          <w:highlight w:val="none"/>
          <w:lang w:val="en-US" w:eastAsia="zh-CN"/>
        </w:rPr>
      </w:pPr>
      <w:bookmarkStart w:id="292" w:name="_Toc18509"/>
      <w:bookmarkStart w:id="293" w:name="_Toc2774"/>
      <w:bookmarkStart w:id="294" w:name="_Toc411"/>
      <w:bookmarkStart w:id="295" w:name="_Toc26393"/>
      <w:bookmarkStart w:id="296" w:name="_Toc21044"/>
      <w:bookmarkStart w:id="297" w:name="_Toc232929185"/>
      <w:bookmarkStart w:id="298" w:name="_Toc14744"/>
      <w:bookmarkStart w:id="299" w:name="_Toc260036555"/>
      <w:bookmarkStart w:id="300" w:name="_Toc392165592"/>
      <w:bookmarkStart w:id="301" w:name="_Toc27194"/>
      <w:bookmarkStart w:id="302" w:name="_Toc11372"/>
      <w:bookmarkStart w:id="303" w:name="_Toc16265"/>
      <w:bookmarkStart w:id="304" w:name="_Toc260037164"/>
      <w:bookmarkStart w:id="305" w:name="_Toc20049"/>
      <w:bookmarkStart w:id="306" w:name="_Toc392933480"/>
      <w:bookmarkStart w:id="307" w:name="_Toc17327"/>
      <w:bookmarkStart w:id="308" w:name="_Toc26319"/>
      <w:bookmarkStart w:id="309" w:name="_Toc16422"/>
      <w:bookmarkStart w:id="310" w:name="_Toc14492"/>
      <w:bookmarkStart w:id="311" w:name="_Toc19808"/>
      <w:bookmarkStart w:id="312" w:name="_Toc2189"/>
      <w:bookmarkStart w:id="313" w:name="_Toc232929179"/>
      <w:r>
        <w:rPr>
          <w:rFonts w:hint="default" w:ascii="宋体" w:hAnsi="宋体" w:eastAsia="宋体" w:cs="Times New Roman"/>
          <w:b/>
          <w:bCs/>
          <w:color w:val="auto"/>
          <w:kern w:val="2"/>
          <w:sz w:val="30"/>
          <w:szCs w:val="32"/>
          <w:lang w:val="en-US" w:eastAsia="zh-CN" w:bidi="ar-SA"/>
        </w:rPr>
        <w:t>4.1.</w:t>
      </w:r>
      <w:r>
        <w:rPr>
          <w:rFonts w:hint="eastAsia" w:ascii="宋体" w:hAnsi="宋体" w:cs="Times New Roman"/>
          <w:b/>
          <w:bCs/>
          <w:color w:val="auto"/>
          <w:kern w:val="2"/>
          <w:sz w:val="30"/>
          <w:szCs w:val="32"/>
          <w:lang w:val="en-US" w:eastAsia="zh-CN" w:bidi="ar-SA"/>
        </w:rPr>
        <w:t>4</w:t>
      </w:r>
      <w:r>
        <w:rPr>
          <w:rFonts w:hint="default" w:ascii="宋体" w:hAnsi="宋体" w:eastAsia="宋体" w:cs="宋体"/>
          <w:color w:val="auto"/>
          <w:highlight w:val="none"/>
          <w:lang w:val="en-US" w:eastAsia="zh-CN"/>
        </w:rPr>
        <w:t>.</w:t>
      </w:r>
      <w:r>
        <w:rPr>
          <w:rFonts w:hint="eastAsia" w:ascii="宋体" w:hAnsi="宋体" w:eastAsia="宋体" w:cs="宋体"/>
          <w:color w:val="auto"/>
          <w:highlight w:val="none"/>
          <w:lang w:val="en-US" w:eastAsia="zh-CN"/>
        </w:rPr>
        <w:t>项目驻地、</w:t>
      </w:r>
      <w:r>
        <w:rPr>
          <w:rFonts w:hint="eastAsia" w:ascii="宋体" w:hAnsi="宋体" w:eastAsia="宋体" w:cs="宋体"/>
          <w:color w:val="auto"/>
          <w:highlight w:val="none"/>
        </w:rPr>
        <w:t>拌合站、钢筋加工场</w:t>
      </w:r>
      <w:bookmarkEnd w:id="292"/>
      <w:bookmarkEnd w:id="293"/>
      <w:bookmarkEnd w:id="294"/>
      <w:bookmarkEnd w:id="295"/>
      <w:r>
        <w:rPr>
          <w:rFonts w:hint="eastAsia" w:ascii="宋体" w:hAnsi="宋体" w:cs="宋体"/>
          <w:color w:val="auto"/>
          <w:highlight w:val="none"/>
          <w:lang w:eastAsia="zh-CN"/>
        </w:rPr>
        <w:t>、</w:t>
      </w:r>
      <w:r>
        <w:rPr>
          <w:rFonts w:hint="eastAsia" w:ascii="宋体" w:hAnsi="宋体" w:cs="宋体"/>
          <w:color w:val="auto"/>
          <w:highlight w:val="none"/>
          <w:lang w:val="en-US" w:eastAsia="zh-CN"/>
        </w:rPr>
        <w:t>小型构件预制厂</w:t>
      </w:r>
      <w:bookmarkEnd w:id="296"/>
    </w:p>
    <w:p w14:paraId="4A705669">
      <w:pPr>
        <w:ind w:left="0" w:leftChars="0" w:firstLine="0" w:firstLineChars="0"/>
        <w:rPr>
          <w:rFonts w:hint="eastAsia"/>
        </w:rPr>
      </w:pPr>
      <w:r>
        <w:drawing>
          <wp:inline distT="0" distB="0" distL="114300" distR="114300">
            <wp:extent cx="6002020" cy="3374390"/>
            <wp:effectExtent l="0" t="0" r="2540" b="8890"/>
            <wp:docPr id="1465" name="图片 12" descr="6222732718428f66b3409607d2f4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图片 12" descr="6222732718428f66b3409607d2f42534"/>
                    <pic:cNvPicPr>
                      <a:picLocks noChangeAspect="1"/>
                    </pic:cNvPicPr>
                  </pic:nvPicPr>
                  <pic:blipFill>
                    <a:blip r:embed="rId29"/>
                    <a:stretch>
                      <a:fillRect/>
                    </a:stretch>
                  </pic:blipFill>
                  <pic:spPr>
                    <a:xfrm>
                      <a:off x="0" y="0"/>
                      <a:ext cx="6002020" cy="3374390"/>
                    </a:xfrm>
                    <a:prstGeom prst="rect">
                      <a:avLst/>
                    </a:prstGeom>
                    <a:noFill/>
                    <a:ln>
                      <a:noFill/>
                    </a:ln>
                  </pic:spPr>
                </pic:pic>
              </a:graphicData>
            </a:graphic>
          </wp:inline>
        </w:drawing>
      </w:r>
    </w:p>
    <w:p w14:paraId="3CA019F5">
      <w:pPr>
        <w:ind w:firstLine="480"/>
        <w:rPr>
          <w:rFonts w:hint="eastAsia" w:ascii="宋体" w:hAnsi="宋体" w:cs="宋体"/>
          <w:highlight w:val="none"/>
          <w:lang w:val="en-US" w:eastAsia="zh-CN"/>
        </w:rPr>
      </w:pPr>
      <w:r>
        <w:rPr>
          <w:rFonts w:hint="eastAsia" w:ascii="宋体" w:hAnsi="宋体" w:cs="宋体"/>
          <w:highlight w:val="none"/>
          <w:lang w:val="en-US" w:eastAsia="zh-CN"/>
        </w:rPr>
        <w:t>项目驻地及三集中选址建设在主线K123+000北侧500米，占地面积约17703m²，该处为金星乡金都工业园区，场地平整，地质条件较好，周边200米范围内无居民居住，周边没有河流。</w:t>
      </w:r>
    </w:p>
    <w:p w14:paraId="6DFF7CDD">
      <w:pPr>
        <w:ind w:firstLine="480"/>
        <w:rPr>
          <w:rFonts w:hint="eastAsia" w:ascii="宋体" w:hAnsi="宋体" w:cs="宋体"/>
          <w:highlight w:val="none"/>
          <w:lang w:val="en-US" w:eastAsia="zh-CN"/>
        </w:rPr>
      </w:pPr>
      <w:r>
        <w:rPr>
          <w:rFonts w:hint="eastAsia" w:ascii="宋体" w:hAnsi="宋体" w:cs="宋体"/>
          <w:highlight w:val="none"/>
          <w:lang w:val="en-US" w:eastAsia="zh-CN"/>
        </w:rPr>
        <w:t>4.6.1.1项目驻地占地面积4314.6m²，统一采用打包箱。设办公区、食堂区、生活区，院内设置篮球场、旗台、绿化及宣传栏，办公区设办公室、会议室、党建室、文化活动室、档案室等。</w:t>
      </w:r>
    </w:p>
    <w:p w14:paraId="73E842A5">
      <w:pPr>
        <w:ind w:firstLine="480"/>
        <w:rPr>
          <w:rFonts w:hint="eastAsia" w:ascii="宋体" w:hAnsi="宋体" w:cs="宋体"/>
          <w:highlight w:val="none"/>
          <w:lang w:val="en-US" w:eastAsia="zh-CN"/>
        </w:rPr>
      </w:pPr>
      <w:r>
        <w:rPr>
          <w:rFonts w:hint="eastAsia" w:ascii="宋体" w:hAnsi="宋体" w:cs="宋体"/>
          <w:highlight w:val="none"/>
          <w:lang w:val="en-US" w:eastAsia="zh-CN"/>
        </w:rPr>
        <w:t>4.6.1.2拌合站占地面积8440m²，采用钢结构搭建。本标段混凝土约20万方，采用2台HZS120型机组，配备10个料仓。</w:t>
      </w:r>
    </w:p>
    <w:p w14:paraId="4DC4D798">
      <w:pPr>
        <w:ind w:firstLine="480"/>
        <w:rPr>
          <w:rFonts w:hint="eastAsia" w:ascii="宋体" w:hAnsi="宋体" w:cs="宋体"/>
          <w:highlight w:val="none"/>
          <w:lang w:val="en-US" w:eastAsia="zh-CN"/>
        </w:rPr>
      </w:pPr>
      <w:r>
        <w:rPr>
          <w:rFonts w:hint="eastAsia" w:ascii="宋体" w:hAnsi="宋体" w:cs="宋体"/>
          <w:highlight w:val="none"/>
          <w:lang w:val="en-US" w:eastAsia="zh-CN"/>
        </w:rPr>
        <w:t>4.6.1.3钢筋加工场占地面积3834m²，轻型门式钢屋架结构大棚。本标段钢筋约1.4万吨，</w:t>
      </w:r>
      <w:r>
        <w:rPr>
          <w:rFonts w:hint="eastAsia"/>
        </w:rPr>
        <w:t>按照其使用功能分为原材料堆放区、钢筋下料区、加工制作区、半成品堆放区、废料区、休息区等</w:t>
      </w:r>
      <w:r>
        <w:rPr>
          <w:rFonts w:hint="eastAsia"/>
          <w:lang w:eastAsia="zh-CN"/>
        </w:rPr>
        <w:t>，</w:t>
      </w:r>
      <w:r>
        <w:rPr>
          <w:rFonts w:hint="eastAsia"/>
          <w:lang w:val="en-US" w:eastAsia="zh-CN"/>
        </w:rPr>
        <w:t>并</w:t>
      </w:r>
      <w:r>
        <w:rPr>
          <w:rFonts w:hint="eastAsia"/>
        </w:rPr>
        <w:t>设置安全检查通道。</w:t>
      </w:r>
      <w:r>
        <w:rPr>
          <w:rFonts w:hint="eastAsia"/>
          <w:lang w:val="en-US" w:eastAsia="zh-CN"/>
        </w:rPr>
        <w:t>配套设置</w:t>
      </w:r>
      <w:r>
        <w:rPr>
          <w:rFonts w:hint="eastAsia"/>
        </w:rPr>
        <w:t>用水、用电、环境卫生、排水</w:t>
      </w:r>
      <w:r>
        <w:rPr>
          <w:rFonts w:hint="eastAsia"/>
          <w:lang w:eastAsia="zh-CN"/>
        </w:rPr>
        <w:t>、</w:t>
      </w:r>
      <w:r>
        <w:rPr>
          <w:rFonts w:hint="eastAsia"/>
          <w:lang w:val="en-US" w:eastAsia="zh-CN"/>
        </w:rPr>
        <w:t>消防</w:t>
      </w:r>
      <w:r>
        <w:rPr>
          <w:rFonts w:hint="eastAsia"/>
        </w:rPr>
        <w:t>等基础设施</w:t>
      </w:r>
      <w:r>
        <w:rPr>
          <w:rFonts w:hint="eastAsia" w:ascii="宋体" w:hAnsi="宋体" w:cs="宋体"/>
          <w:highlight w:val="none"/>
          <w:lang w:val="en-US" w:eastAsia="zh-CN"/>
        </w:rPr>
        <w:t>。</w:t>
      </w:r>
    </w:p>
    <w:p w14:paraId="763A02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宋体"/>
          <w:b/>
          <w:szCs w:val="21"/>
          <w:highlight w:val="none"/>
        </w:rPr>
      </w:pPr>
      <w:r>
        <w:rPr>
          <w:rFonts w:hint="eastAsia" w:ascii="宋体" w:hAnsi="宋体"/>
          <w:b/>
          <w:szCs w:val="21"/>
          <w:highlight w:val="none"/>
        </w:rPr>
        <w:t xml:space="preserve"> </w:t>
      </w:r>
      <w:r>
        <w:rPr>
          <w:rFonts w:hint="eastAsia" w:ascii="宋体" w:hAnsi="宋体"/>
          <w:b/>
          <w:szCs w:val="21"/>
          <w:highlight w:val="none"/>
          <w:lang w:val="en-US" w:eastAsia="zh-CN"/>
        </w:rPr>
        <w:t>钢筋加工场</w:t>
      </w:r>
      <w:r>
        <w:rPr>
          <w:rFonts w:hint="eastAsia" w:ascii="宋体" w:hAnsi="宋体"/>
          <w:b/>
          <w:szCs w:val="21"/>
          <w:highlight w:val="none"/>
        </w:rPr>
        <w:t>拟投入机械设备</w:t>
      </w:r>
    </w:p>
    <w:tbl>
      <w:tblPr>
        <w:tblStyle w:val="47"/>
        <w:tblW w:w="7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0"/>
        <w:gridCol w:w="2457"/>
        <w:gridCol w:w="2075"/>
        <w:gridCol w:w="2075"/>
      </w:tblGrid>
      <w:tr w14:paraId="704ED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35BB0C52">
            <w:pPr>
              <w:ind w:firstLine="0" w:firstLineChars="0"/>
              <w:jc w:val="center"/>
              <w:rPr>
                <w:rFonts w:ascii="宋体"/>
                <w:sz w:val="24"/>
                <w:highlight w:val="none"/>
              </w:rPr>
            </w:pPr>
            <w:r>
              <w:rPr>
                <w:rFonts w:hint="eastAsia" w:ascii="宋体" w:hAnsi="宋体"/>
                <w:sz w:val="24"/>
                <w:highlight w:val="none"/>
              </w:rPr>
              <w:t>序号</w:t>
            </w:r>
          </w:p>
        </w:tc>
        <w:tc>
          <w:tcPr>
            <w:tcW w:w="2457" w:type="dxa"/>
            <w:vAlign w:val="center"/>
          </w:tcPr>
          <w:p w14:paraId="69631DFC">
            <w:pPr>
              <w:ind w:firstLine="0" w:firstLineChars="0"/>
              <w:jc w:val="center"/>
              <w:rPr>
                <w:rFonts w:ascii="宋体"/>
                <w:sz w:val="24"/>
                <w:highlight w:val="none"/>
              </w:rPr>
            </w:pPr>
            <w:r>
              <w:rPr>
                <w:rFonts w:hint="eastAsia" w:ascii="宋体" w:hAnsi="宋体"/>
                <w:sz w:val="24"/>
                <w:highlight w:val="none"/>
              </w:rPr>
              <w:t>设备名称</w:t>
            </w:r>
          </w:p>
        </w:tc>
        <w:tc>
          <w:tcPr>
            <w:tcW w:w="2075" w:type="dxa"/>
            <w:vAlign w:val="center"/>
          </w:tcPr>
          <w:p w14:paraId="17C1FE5C">
            <w:pPr>
              <w:ind w:firstLine="0" w:firstLineChars="0"/>
              <w:jc w:val="center"/>
              <w:rPr>
                <w:rFonts w:ascii="宋体"/>
                <w:sz w:val="24"/>
                <w:highlight w:val="none"/>
              </w:rPr>
            </w:pPr>
            <w:r>
              <w:rPr>
                <w:rFonts w:hint="eastAsia" w:ascii="宋体" w:hAnsi="宋体"/>
                <w:sz w:val="24"/>
                <w:highlight w:val="none"/>
              </w:rPr>
              <w:t>数量</w:t>
            </w:r>
          </w:p>
        </w:tc>
        <w:tc>
          <w:tcPr>
            <w:tcW w:w="2075" w:type="dxa"/>
            <w:vAlign w:val="center"/>
          </w:tcPr>
          <w:p w14:paraId="0DF0FBED">
            <w:pPr>
              <w:ind w:firstLine="0" w:firstLineChars="0"/>
              <w:jc w:val="center"/>
              <w:rPr>
                <w:rFonts w:hint="eastAsia" w:ascii="宋体" w:hAnsi="宋体" w:eastAsia="宋体"/>
                <w:sz w:val="24"/>
                <w:highlight w:val="none"/>
                <w:lang w:val="en-US" w:eastAsia="zh-CN"/>
              </w:rPr>
            </w:pPr>
            <w:r>
              <w:rPr>
                <w:rFonts w:hint="eastAsia" w:ascii="宋体" w:hAnsi="宋体"/>
                <w:sz w:val="24"/>
                <w:highlight w:val="none"/>
                <w:lang w:val="en-US" w:eastAsia="zh-CN"/>
              </w:rPr>
              <w:t>备注</w:t>
            </w:r>
          </w:p>
        </w:tc>
      </w:tr>
      <w:tr w14:paraId="6A67D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392F1E71">
            <w:pPr>
              <w:ind w:firstLine="0" w:firstLineChars="0"/>
              <w:jc w:val="center"/>
              <w:rPr>
                <w:rFonts w:ascii="宋体"/>
                <w:sz w:val="24"/>
                <w:highlight w:val="none"/>
              </w:rPr>
            </w:pPr>
            <w:r>
              <w:rPr>
                <w:rFonts w:ascii="宋体" w:hAnsi="宋体"/>
                <w:sz w:val="24"/>
                <w:highlight w:val="none"/>
              </w:rPr>
              <w:t>1</w:t>
            </w:r>
          </w:p>
        </w:tc>
        <w:tc>
          <w:tcPr>
            <w:tcW w:w="2457" w:type="dxa"/>
            <w:vAlign w:val="center"/>
          </w:tcPr>
          <w:p w14:paraId="61DE479C">
            <w:pPr>
              <w:ind w:firstLine="0" w:firstLineChars="0"/>
              <w:jc w:val="center"/>
              <w:rPr>
                <w:rFonts w:hint="eastAsia" w:ascii="宋体" w:eastAsia="宋体"/>
                <w:sz w:val="24"/>
                <w:highlight w:val="none"/>
                <w:lang w:val="en-US" w:eastAsia="zh-CN"/>
              </w:rPr>
            </w:pPr>
            <w:r>
              <w:rPr>
                <w:rFonts w:hint="eastAsia" w:ascii="宋体"/>
                <w:sz w:val="24"/>
                <w:highlight w:val="none"/>
                <w:lang w:val="en-US" w:eastAsia="zh-CN"/>
              </w:rPr>
              <w:t>桁  吊</w:t>
            </w:r>
          </w:p>
        </w:tc>
        <w:tc>
          <w:tcPr>
            <w:tcW w:w="2075" w:type="dxa"/>
            <w:vAlign w:val="center"/>
          </w:tcPr>
          <w:p w14:paraId="38482525">
            <w:pPr>
              <w:ind w:firstLine="0" w:firstLineChars="0"/>
              <w:jc w:val="center"/>
              <w:rPr>
                <w:rFonts w:hint="default" w:ascii="宋体" w:eastAsia="宋体"/>
                <w:sz w:val="24"/>
                <w:highlight w:val="none"/>
                <w:lang w:val="en-US" w:eastAsia="zh-CN"/>
              </w:rPr>
            </w:pPr>
            <w:r>
              <w:rPr>
                <w:rFonts w:hint="eastAsia" w:ascii="宋体"/>
                <w:sz w:val="24"/>
                <w:highlight w:val="none"/>
                <w:lang w:val="en-US" w:eastAsia="zh-CN"/>
              </w:rPr>
              <w:t>2台</w:t>
            </w:r>
          </w:p>
        </w:tc>
        <w:tc>
          <w:tcPr>
            <w:tcW w:w="2075" w:type="dxa"/>
            <w:vAlign w:val="center"/>
          </w:tcPr>
          <w:p w14:paraId="577A4210">
            <w:pPr>
              <w:ind w:firstLine="0" w:firstLineChars="0"/>
              <w:jc w:val="center"/>
              <w:rPr>
                <w:rFonts w:ascii="宋体" w:hAnsi="宋体"/>
                <w:sz w:val="24"/>
                <w:highlight w:val="none"/>
              </w:rPr>
            </w:pPr>
          </w:p>
        </w:tc>
      </w:tr>
      <w:tr w14:paraId="70709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1599BF95">
            <w:pPr>
              <w:ind w:firstLine="0" w:firstLineChars="0"/>
              <w:jc w:val="center"/>
              <w:rPr>
                <w:rFonts w:ascii="宋体"/>
                <w:sz w:val="24"/>
                <w:highlight w:val="none"/>
              </w:rPr>
            </w:pPr>
            <w:r>
              <w:rPr>
                <w:rFonts w:hint="eastAsia" w:ascii="宋体"/>
                <w:sz w:val="24"/>
                <w:highlight w:val="none"/>
              </w:rPr>
              <w:t>2</w:t>
            </w:r>
          </w:p>
        </w:tc>
        <w:tc>
          <w:tcPr>
            <w:tcW w:w="2457" w:type="dxa"/>
            <w:vAlign w:val="center"/>
          </w:tcPr>
          <w:p w14:paraId="51931393">
            <w:pPr>
              <w:ind w:firstLine="0" w:firstLineChars="0"/>
              <w:jc w:val="center"/>
              <w:rPr>
                <w:rFonts w:hint="default" w:ascii="宋体" w:hAnsi="Times New Roman" w:eastAsia="宋体" w:cs="Times New Roman"/>
                <w:kern w:val="2"/>
                <w:sz w:val="24"/>
                <w:szCs w:val="24"/>
                <w:highlight w:val="none"/>
                <w:lang w:val="en-US" w:eastAsia="zh-CN" w:bidi="ar-SA"/>
              </w:rPr>
            </w:pPr>
            <w:r>
              <w:rPr>
                <w:rFonts w:hint="eastAsia" w:ascii="宋体"/>
                <w:sz w:val="24"/>
                <w:highlight w:val="none"/>
                <w:lang w:val="en-US" w:eastAsia="zh-CN"/>
              </w:rPr>
              <w:t>钢筋笼滚焊机</w:t>
            </w:r>
          </w:p>
        </w:tc>
        <w:tc>
          <w:tcPr>
            <w:tcW w:w="2075" w:type="dxa"/>
            <w:vAlign w:val="center"/>
          </w:tcPr>
          <w:p w14:paraId="63ED2DAD">
            <w:pPr>
              <w:ind w:firstLine="0" w:firstLineChars="0"/>
              <w:jc w:val="center"/>
              <w:rPr>
                <w:rFonts w:hint="eastAsia" w:ascii="宋体" w:hAnsi="Times New Roman" w:eastAsia="宋体" w:cs="Times New Roman"/>
                <w:kern w:val="2"/>
                <w:sz w:val="24"/>
                <w:szCs w:val="24"/>
                <w:highlight w:val="none"/>
                <w:lang w:val="en-US" w:eastAsia="zh-CN" w:bidi="ar-SA"/>
              </w:rPr>
            </w:pPr>
            <w:r>
              <w:rPr>
                <w:rFonts w:hint="eastAsia" w:ascii="宋体"/>
                <w:sz w:val="24"/>
                <w:highlight w:val="none"/>
                <w:lang w:val="en-US" w:eastAsia="zh-CN"/>
              </w:rPr>
              <w:t>1台</w:t>
            </w:r>
          </w:p>
        </w:tc>
        <w:tc>
          <w:tcPr>
            <w:tcW w:w="2075" w:type="dxa"/>
            <w:vAlign w:val="center"/>
          </w:tcPr>
          <w:p w14:paraId="340F0DF5">
            <w:pPr>
              <w:ind w:firstLine="0" w:firstLineChars="0"/>
              <w:jc w:val="center"/>
              <w:rPr>
                <w:rFonts w:hint="eastAsia" w:ascii="宋体" w:hAnsi="宋体"/>
                <w:sz w:val="24"/>
                <w:highlight w:val="none"/>
                <w:lang w:val="en-US" w:eastAsia="zh-CN"/>
              </w:rPr>
            </w:pPr>
          </w:p>
        </w:tc>
      </w:tr>
      <w:tr w14:paraId="381E4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38BDCE97">
            <w:pPr>
              <w:ind w:firstLine="0" w:firstLineChars="0"/>
              <w:jc w:val="center"/>
              <w:rPr>
                <w:rFonts w:ascii="宋体"/>
                <w:sz w:val="24"/>
                <w:highlight w:val="none"/>
              </w:rPr>
            </w:pPr>
            <w:r>
              <w:rPr>
                <w:rFonts w:ascii="宋体" w:hAnsi="宋体"/>
                <w:sz w:val="24"/>
                <w:highlight w:val="none"/>
              </w:rPr>
              <w:t>3</w:t>
            </w:r>
          </w:p>
        </w:tc>
        <w:tc>
          <w:tcPr>
            <w:tcW w:w="2457" w:type="dxa"/>
            <w:vAlign w:val="center"/>
          </w:tcPr>
          <w:p w14:paraId="59EFC8C7">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sz w:val="24"/>
                <w:highlight w:val="none"/>
                <w:lang w:val="en-US" w:eastAsia="zh-CN"/>
              </w:rPr>
              <w:t>锯切机</w:t>
            </w:r>
          </w:p>
        </w:tc>
        <w:tc>
          <w:tcPr>
            <w:tcW w:w="2075" w:type="dxa"/>
            <w:vAlign w:val="center"/>
          </w:tcPr>
          <w:p w14:paraId="0974D6C4">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sz w:val="24"/>
                <w:highlight w:val="none"/>
                <w:lang w:val="en-US" w:eastAsia="zh-CN"/>
              </w:rPr>
              <w:t>1台</w:t>
            </w:r>
          </w:p>
        </w:tc>
        <w:tc>
          <w:tcPr>
            <w:tcW w:w="2075" w:type="dxa"/>
            <w:vAlign w:val="center"/>
          </w:tcPr>
          <w:p w14:paraId="094F1D70">
            <w:pPr>
              <w:ind w:firstLine="0" w:firstLineChars="0"/>
              <w:jc w:val="center"/>
              <w:rPr>
                <w:rFonts w:hint="eastAsia" w:ascii="宋体" w:hAnsi="宋体"/>
                <w:sz w:val="24"/>
                <w:highlight w:val="none"/>
                <w:lang w:val="en-US" w:eastAsia="zh-CN"/>
              </w:rPr>
            </w:pPr>
          </w:p>
        </w:tc>
      </w:tr>
      <w:tr w14:paraId="740DC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08AC3540">
            <w:pPr>
              <w:ind w:firstLine="0" w:firstLineChars="0"/>
              <w:jc w:val="center"/>
              <w:rPr>
                <w:rFonts w:hint="eastAsia" w:ascii="宋体" w:hAnsi="宋体" w:eastAsia="宋体"/>
                <w:sz w:val="24"/>
                <w:highlight w:val="none"/>
                <w:lang w:val="en-US" w:eastAsia="zh-CN"/>
              </w:rPr>
            </w:pPr>
            <w:r>
              <w:rPr>
                <w:rFonts w:hint="eastAsia" w:ascii="宋体" w:hAnsi="宋体"/>
                <w:sz w:val="24"/>
                <w:highlight w:val="none"/>
                <w:lang w:val="en-US" w:eastAsia="zh-CN"/>
              </w:rPr>
              <w:t>4</w:t>
            </w:r>
          </w:p>
        </w:tc>
        <w:tc>
          <w:tcPr>
            <w:tcW w:w="2457" w:type="dxa"/>
            <w:vAlign w:val="center"/>
          </w:tcPr>
          <w:p w14:paraId="0A00703D">
            <w:pPr>
              <w:ind w:firstLine="0" w:firstLineChars="0"/>
              <w:jc w:val="center"/>
              <w:rPr>
                <w:rFonts w:hint="eastAsia" w:ascii="宋体" w:hAnsi="Times New Roman" w:eastAsia="宋体" w:cs="Times New Roman"/>
                <w:kern w:val="2"/>
                <w:sz w:val="24"/>
                <w:szCs w:val="24"/>
                <w:highlight w:val="none"/>
                <w:lang w:val="en-US" w:eastAsia="zh-CN" w:bidi="ar-SA"/>
              </w:rPr>
            </w:pPr>
            <w:r>
              <w:rPr>
                <w:rFonts w:hint="eastAsia" w:ascii="宋体" w:hAnsi="宋体"/>
                <w:sz w:val="24"/>
                <w:highlight w:val="none"/>
              </w:rPr>
              <w:t>数控弯箍机</w:t>
            </w:r>
          </w:p>
        </w:tc>
        <w:tc>
          <w:tcPr>
            <w:tcW w:w="2075" w:type="dxa"/>
            <w:vAlign w:val="center"/>
          </w:tcPr>
          <w:p w14:paraId="49950565">
            <w:pPr>
              <w:ind w:firstLine="0" w:firstLineChars="0"/>
              <w:jc w:val="center"/>
              <w:rPr>
                <w:rFonts w:ascii="宋体" w:hAnsi="Times New Roman" w:eastAsia="宋体" w:cs="Times New Roman"/>
                <w:kern w:val="2"/>
                <w:sz w:val="24"/>
                <w:szCs w:val="24"/>
                <w:highlight w:val="none"/>
                <w:lang w:val="en-US" w:eastAsia="zh-CN" w:bidi="ar-SA"/>
              </w:rPr>
            </w:pPr>
            <w:r>
              <w:rPr>
                <w:rFonts w:hint="eastAsia" w:ascii="宋体" w:hAnsi="宋体"/>
                <w:sz w:val="24"/>
                <w:highlight w:val="none"/>
                <w:lang w:val="en-US" w:eastAsia="zh-CN"/>
              </w:rPr>
              <w:t>1</w:t>
            </w:r>
            <w:r>
              <w:rPr>
                <w:rFonts w:hint="eastAsia" w:ascii="宋体" w:hAnsi="宋体"/>
                <w:sz w:val="24"/>
                <w:highlight w:val="none"/>
              </w:rPr>
              <w:t>台</w:t>
            </w:r>
          </w:p>
        </w:tc>
        <w:tc>
          <w:tcPr>
            <w:tcW w:w="2075" w:type="dxa"/>
            <w:vAlign w:val="center"/>
          </w:tcPr>
          <w:p w14:paraId="614531F0">
            <w:pPr>
              <w:ind w:firstLine="0" w:firstLineChars="0"/>
              <w:jc w:val="center"/>
              <w:rPr>
                <w:rFonts w:hint="eastAsia" w:ascii="宋体" w:hAnsi="宋体"/>
                <w:sz w:val="24"/>
                <w:highlight w:val="none"/>
                <w:lang w:val="en-US" w:eastAsia="zh-CN"/>
              </w:rPr>
            </w:pPr>
          </w:p>
        </w:tc>
      </w:tr>
      <w:tr w14:paraId="60B93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09BDEA59">
            <w:pPr>
              <w:ind w:firstLine="0" w:firstLineChars="0"/>
              <w:jc w:val="center"/>
              <w:rPr>
                <w:rFonts w:hint="eastAsia" w:ascii="宋体" w:hAnsi="宋体" w:eastAsia="宋体"/>
                <w:sz w:val="24"/>
                <w:highlight w:val="none"/>
                <w:lang w:val="en-US" w:eastAsia="zh-CN"/>
              </w:rPr>
            </w:pPr>
            <w:r>
              <w:rPr>
                <w:rFonts w:hint="eastAsia" w:ascii="宋体" w:hAnsi="宋体"/>
                <w:sz w:val="24"/>
                <w:highlight w:val="none"/>
                <w:lang w:val="en-US" w:eastAsia="zh-CN"/>
              </w:rPr>
              <w:t>5</w:t>
            </w:r>
          </w:p>
        </w:tc>
        <w:tc>
          <w:tcPr>
            <w:tcW w:w="2457" w:type="dxa"/>
            <w:vAlign w:val="center"/>
          </w:tcPr>
          <w:p w14:paraId="0BBB944F">
            <w:pPr>
              <w:ind w:firstLine="0" w:firstLineChars="0"/>
              <w:jc w:val="center"/>
              <w:rPr>
                <w:rFonts w:hint="eastAsia" w:ascii="宋体" w:hAnsi="宋体" w:eastAsia="宋体" w:cs="Times New Roman"/>
                <w:kern w:val="2"/>
                <w:sz w:val="24"/>
                <w:szCs w:val="24"/>
                <w:highlight w:val="none"/>
                <w:lang w:val="en-US" w:eastAsia="zh-CN" w:bidi="ar-SA"/>
              </w:rPr>
            </w:pPr>
            <w:r>
              <w:rPr>
                <w:rFonts w:hint="eastAsia" w:ascii="宋体" w:hAnsi="宋体"/>
                <w:sz w:val="24"/>
                <w:highlight w:val="none"/>
                <w:lang w:val="en-US" w:eastAsia="zh-CN"/>
              </w:rPr>
              <w:t>钢筋镦粗机</w:t>
            </w:r>
          </w:p>
        </w:tc>
        <w:tc>
          <w:tcPr>
            <w:tcW w:w="2075" w:type="dxa"/>
            <w:vAlign w:val="center"/>
          </w:tcPr>
          <w:p w14:paraId="69F25040">
            <w:pPr>
              <w:ind w:firstLine="0" w:firstLineChars="0"/>
              <w:jc w:val="center"/>
              <w:rPr>
                <w:rFonts w:hint="eastAsia" w:ascii="宋体" w:hAnsi="宋体" w:eastAsia="宋体" w:cs="Times New Roman"/>
                <w:kern w:val="2"/>
                <w:sz w:val="24"/>
                <w:szCs w:val="24"/>
                <w:highlight w:val="none"/>
                <w:lang w:val="en-US" w:eastAsia="zh-CN" w:bidi="ar-SA"/>
              </w:rPr>
            </w:pPr>
            <w:r>
              <w:rPr>
                <w:rFonts w:hint="eastAsia" w:ascii="宋体" w:hAnsi="宋体"/>
                <w:sz w:val="24"/>
                <w:highlight w:val="none"/>
                <w:lang w:val="en-US" w:eastAsia="zh-CN"/>
              </w:rPr>
              <w:t>1台</w:t>
            </w:r>
          </w:p>
        </w:tc>
        <w:tc>
          <w:tcPr>
            <w:tcW w:w="2075" w:type="dxa"/>
            <w:vAlign w:val="center"/>
          </w:tcPr>
          <w:p w14:paraId="34562B80">
            <w:pPr>
              <w:ind w:firstLine="0" w:firstLineChars="0"/>
              <w:jc w:val="center"/>
              <w:rPr>
                <w:rFonts w:hint="eastAsia" w:ascii="宋体" w:hAnsi="宋体"/>
                <w:sz w:val="24"/>
                <w:highlight w:val="none"/>
                <w:lang w:val="en-US" w:eastAsia="zh-CN"/>
              </w:rPr>
            </w:pPr>
          </w:p>
        </w:tc>
      </w:tr>
      <w:tr w14:paraId="1622E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7B00DEC8">
            <w:pPr>
              <w:ind w:firstLine="0" w:firstLineChars="0"/>
              <w:jc w:val="center"/>
              <w:rPr>
                <w:rFonts w:hint="eastAsia" w:ascii="宋体" w:eastAsia="宋体"/>
                <w:sz w:val="24"/>
                <w:highlight w:val="none"/>
                <w:lang w:eastAsia="zh-CN"/>
              </w:rPr>
            </w:pPr>
            <w:r>
              <w:rPr>
                <w:rFonts w:hint="eastAsia" w:ascii="宋体" w:hAnsi="宋体"/>
                <w:sz w:val="24"/>
                <w:highlight w:val="none"/>
                <w:lang w:val="en-US" w:eastAsia="zh-CN"/>
              </w:rPr>
              <w:t>6</w:t>
            </w:r>
          </w:p>
        </w:tc>
        <w:tc>
          <w:tcPr>
            <w:tcW w:w="2457" w:type="dxa"/>
            <w:vAlign w:val="center"/>
          </w:tcPr>
          <w:p w14:paraId="64415DCD">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sz w:val="24"/>
                <w:highlight w:val="none"/>
              </w:rPr>
              <w:t>数控弯曲中心</w:t>
            </w:r>
          </w:p>
        </w:tc>
        <w:tc>
          <w:tcPr>
            <w:tcW w:w="2075" w:type="dxa"/>
            <w:vAlign w:val="center"/>
          </w:tcPr>
          <w:p w14:paraId="7574B97D">
            <w:pPr>
              <w:ind w:firstLine="0" w:firstLineChars="0"/>
              <w:jc w:val="center"/>
              <w:rPr>
                <w:rFonts w:hint="eastAsia" w:ascii="宋体" w:hAnsi="宋体" w:eastAsia="宋体" w:cs="Times New Roman"/>
                <w:kern w:val="2"/>
                <w:sz w:val="24"/>
                <w:szCs w:val="24"/>
                <w:highlight w:val="none"/>
                <w:lang w:val="en-US" w:eastAsia="zh-CN" w:bidi="ar-SA"/>
              </w:rPr>
            </w:pPr>
            <w:r>
              <w:rPr>
                <w:rFonts w:hint="eastAsia" w:ascii="宋体" w:hAnsi="宋体"/>
                <w:sz w:val="24"/>
                <w:highlight w:val="none"/>
                <w:lang w:val="en-US" w:eastAsia="zh-CN"/>
              </w:rPr>
              <w:t>2</w:t>
            </w:r>
            <w:r>
              <w:rPr>
                <w:rFonts w:hint="eastAsia" w:ascii="宋体" w:hAnsi="宋体"/>
                <w:sz w:val="24"/>
                <w:highlight w:val="none"/>
              </w:rPr>
              <w:t>台</w:t>
            </w:r>
          </w:p>
        </w:tc>
        <w:tc>
          <w:tcPr>
            <w:tcW w:w="2075" w:type="dxa"/>
            <w:vAlign w:val="center"/>
          </w:tcPr>
          <w:p w14:paraId="42FAE0A3">
            <w:pPr>
              <w:ind w:firstLine="0" w:firstLineChars="0"/>
              <w:jc w:val="center"/>
              <w:rPr>
                <w:rFonts w:hint="eastAsia" w:ascii="宋体" w:hAnsi="宋体"/>
                <w:sz w:val="24"/>
                <w:highlight w:val="none"/>
                <w:lang w:val="en-US" w:eastAsia="zh-CN"/>
              </w:rPr>
            </w:pPr>
          </w:p>
        </w:tc>
      </w:tr>
      <w:tr w14:paraId="76D04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5D7CCFF1">
            <w:pPr>
              <w:ind w:firstLine="0" w:firstLineChars="0"/>
              <w:jc w:val="center"/>
              <w:rPr>
                <w:rFonts w:hint="eastAsia" w:ascii="宋体" w:hAnsi="宋体" w:eastAsia="宋体"/>
                <w:sz w:val="24"/>
                <w:highlight w:val="none"/>
                <w:lang w:val="en-US" w:eastAsia="zh-CN"/>
              </w:rPr>
            </w:pPr>
            <w:r>
              <w:rPr>
                <w:rFonts w:hint="eastAsia" w:ascii="宋体" w:hAnsi="宋体"/>
                <w:sz w:val="24"/>
                <w:highlight w:val="none"/>
                <w:lang w:val="en-US" w:eastAsia="zh-CN"/>
              </w:rPr>
              <w:t>7</w:t>
            </w:r>
          </w:p>
        </w:tc>
        <w:tc>
          <w:tcPr>
            <w:tcW w:w="2457" w:type="dxa"/>
            <w:vAlign w:val="center"/>
          </w:tcPr>
          <w:p w14:paraId="0C738A5F">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sz w:val="24"/>
                <w:highlight w:val="none"/>
              </w:rPr>
              <w:t>数控调直机</w:t>
            </w:r>
          </w:p>
        </w:tc>
        <w:tc>
          <w:tcPr>
            <w:tcW w:w="2075" w:type="dxa"/>
            <w:vAlign w:val="center"/>
          </w:tcPr>
          <w:p w14:paraId="62F3B862">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sz w:val="24"/>
                <w:highlight w:val="none"/>
              </w:rPr>
              <w:t>1台</w:t>
            </w:r>
          </w:p>
        </w:tc>
        <w:tc>
          <w:tcPr>
            <w:tcW w:w="2075" w:type="dxa"/>
            <w:vAlign w:val="center"/>
          </w:tcPr>
          <w:p w14:paraId="4BA19BC3">
            <w:pPr>
              <w:ind w:firstLine="0" w:firstLineChars="0"/>
              <w:jc w:val="center"/>
              <w:rPr>
                <w:rFonts w:hint="eastAsia" w:ascii="宋体" w:hAnsi="宋体"/>
                <w:sz w:val="24"/>
                <w:highlight w:val="none"/>
                <w:lang w:val="en-US" w:eastAsia="zh-CN"/>
              </w:rPr>
            </w:pPr>
          </w:p>
        </w:tc>
      </w:tr>
      <w:tr w14:paraId="4739B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57782368">
            <w:pPr>
              <w:ind w:firstLine="0" w:firstLineChars="0"/>
              <w:jc w:val="center"/>
              <w:rPr>
                <w:rFonts w:hint="eastAsia" w:ascii="宋体" w:eastAsia="宋体"/>
                <w:sz w:val="24"/>
                <w:highlight w:val="none"/>
                <w:lang w:eastAsia="zh-CN"/>
              </w:rPr>
            </w:pPr>
            <w:r>
              <w:rPr>
                <w:rFonts w:hint="eastAsia" w:ascii="宋体" w:hAnsi="宋体"/>
                <w:sz w:val="24"/>
                <w:highlight w:val="none"/>
                <w:lang w:val="en-US" w:eastAsia="zh-CN"/>
              </w:rPr>
              <w:t>8</w:t>
            </w:r>
          </w:p>
        </w:tc>
        <w:tc>
          <w:tcPr>
            <w:tcW w:w="2457" w:type="dxa"/>
            <w:vAlign w:val="center"/>
          </w:tcPr>
          <w:p w14:paraId="47E2CFAD">
            <w:pPr>
              <w:ind w:firstLine="0" w:firstLineChars="0"/>
              <w:jc w:val="center"/>
              <w:rPr>
                <w:rFonts w:ascii="宋体" w:hAnsi="宋体" w:eastAsia="宋体" w:cs="Times New Roman"/>
                <w:kern w:val="2"/>
                <w:sz w:val="24"/>
                <w:szCs w:val="24"/>
                <w:highlight w:val="none"/>
                <w:lang w:val="en-US" w:eastAsia="zh-CN" w:bidi="ar-SA"/>
              </w:rPr>
            </w:pPr>
            <w:r>
              <w:rPr>
                <w:rFonts w:hint="eastAsia" w:ascii="宋体" w:hAnsi="宋体"/>
                <w:sz w:val="24"/>
                <w:highlight w:val="none"/>
              </w:rPr>
              <w:t>切断机</w:t>
            </w:r>
          </w:p>
        </w:tc>
        <w:tc>
          <w:tcPr>
            <w:tcW w:w="2075" w:type="dxa"/>
            <w:vAlign w:val="center"/>
          </w:tcPr>
          <w:p w14:paraId="641D2329">
            <w:pPr>
              <w:ind w:firstLine="0" w:firstLineChars="0"/>
              <w:jc w:val="center"/>
              <w:rPr>
                <w:rFonts w:ascii="宋体" w:hAnsi="宋体" w:eastAsia="宋体" w:cs="Times New Roman"/>
                <w:kern w:val="2"/>
                <w:sz w:val="24"/>
                <w:szCs w:val="24"/>
                <w:highlight w:val="none"/>
                <w:lang w:val="en-US" w:eastAsia="zh-CN" w:bidi="ar-SA"/>
              </w:rPr>
            </w:pPr>
            <w:r>
              <w:rPr>
                <w:rFonts w:hint="eastAsia" w:ascii="宋体" w:hAnsi="宋体"/>
                <w:sz w:val="24"/>
                <w:highlight w:val="none"/>
                <w:lang w:val="en-US" w:eastAsia="zh-CN"/>
              </w:rPr>
              <w:t>3</w:t>
            </w:r>
            <w:r>
              <w:rPr>
                <w:rFonts w:hint="eastAsia" w:ascii="宋体" w:hAnsi="宋体"/>
                <w:sz w:val="24"/>
                <w:highlight w:val="none"/>
              </w:rPr>
              <w:t>台</w:t>
            </w:r>
          </w:p>
        </w:tc>
        <w:tc>
          <w:tcPr>
            <w:tcW w:w="2075" w:type="dxa"/>
            <w:vAlign w:val="center"/>
          </w:tcPr>
          <w:p w14:paraId="0ED90B52">
            <w:pPr>
              <w:ind w:firstLine="0" w:firstLineChars="0"/>
              <w:jc w:val="center"/>
              <w:rPr>
                <w:rFonts w:ascii="宋体" w:hAnsi="宋体"/>
                <w:sz w:val="24"/>
                <w:highlight w:val="none"/>
              </w:rPr>
            </w:pPr>
          </w:p>
        </w:tc>
      </w:tr>
      <w:tr w14:paraId="19574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3D0146D9">
            <w:pPr>
              <w:ind w:firstLine="0" w:firstLineChars="0"/>
              <w:jc w:val="center"/>
              <w:rPr>
                <w:rFonts w:ascii="宋体" w:hAnsi="宋体" w:eastAsia="宋体" w:cs="Times New Roman"/>
                <w:kern w:val="2"/>
                <w:sz w:val="24"/>
                <w:szCs w:val="24"/>
                <w:highlight w:val="none"/>
                <w:lang w:val="en-US" w:eastAsia="zh-CN" w:bidi="ar-SA"/>
              </w:rPr>
            </w:pPr>
            <w:r>
              <w:rPr>
                <w:rFonts w:hint="eastAsia" w:ascii="宋体" w:hAnsi="宋体"/>
                <w:sz w:val="24"/>
                <w:highlight w:val="none"/>
              </w:rPr>
              <w:t>9</w:t>
            </w:r>
          </w:p>
        </w:tc>
        <w:tc>
          <w:tcPr>
            <w:tcW w:w="2457" w:type="dxa"/>
            <w:vAlign w:val="center"/>
          </w:tcPr>
          <w:p w14:paraId="08FFBF4C">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cs="Times New Roman"/>
                <w:kern w:val="2"/>
                <w:sz w:val="24"/>
                <w:szCs w:val="24"/>
                <w:highlight w:val="none"/>
                <w:lang w:val="en-US" w:eastAsia="zh-CN" w:bidi="ar-SA"/>
              </w:rPr>
              <w:t>钢筋弯弧机</w:t>
            </w:r>
          </w:p>
        </w:tc>
        <w:tc>
          <w:tcPr>
            <w:tcW w:w="2075" w:type="dxa"/>
            <w:vAlign w:val="center"/>
          </w:tcPr>
          <w:p w14:paraId="146DE012">
            <w:pPr>
              <w:ind w:firstLine="0" w:firstLineChars="0"/>
              <w:jc w:val="center"/>
              <w:rPr>
                <w:rFonts w:hint="default" w:ascii="宋体" w:hAnsi="宋体" w:eastAsia="宋体" w:cs="Times New Roman"/>
                <w:kern w:val="2"/>
                <w:sz w:val="24"/>
                <w:szCs w:val="24"/>
                <w:highlight w:val="none"/>
                <w:lang w:val="en-US" w:eastAsia="zh-CN" w:bidi="ar-SA"/>
              </w:rPr>
            </w:pPr>
            <w:r>
              <w:rPr>
                <w:rFonts w:hint="eastAsia" w:ascii="宋体" w:hAnsi="宋体"/>
                <w:sz w:val="24"/>
                <w:highlight w:val="none"/>
              </w:rPr>
              <w:t>1台</w:t>
            </w:r>
          </w:p>
        </w:tc>
        <w:tc>
          <w:tcPr>
            <w:tcW w:w="2075" w:type="dxa"/>
            <w:vAlign w:val="center"/>
          </w:tcPr>
          <w:p w14:paraId="79F872B2">
            <w:pPr>
              <w:ind w:firstLine="0" w:firstLineChars="0"/>
              <w:jc w:val="center"/>
              <w:rPr>
                <w:rFonts w:hint="eastAsia" w:ascii="宋体" w:hAnsi="宋体"/>
                <w:sz w:val="24"/>
                <w:highlight w:val="none"/>
              </w:rPr>
            </w:pPr>
          </w:p>
        </w:tc>
      </w:tr>
      <w:tr w14:paraId="36918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00" w:type="dxa"/>
            <w:vAlign w:val="center"/>
          </w:tcPr>
          <w:p w14:paraId="70DA52C8">
            <w:pPr>
              <w:ind w:firstLine="0" w:firstLineChars="0"/>
              <w:jc w:val="center"/>
              <w:rPr>
                <w:rFonts w:hint="default" w:ascii="宋体" w:hAnsi="宋体" w:eastAsia="宋体"/>
                <w:sz w:val="24"/>
                <w:highlight w:val="none"/>
                <w:lang w:val="en-US" w:eastAsia="zh-CN"/>
              </w:rPr>
            </w:pPr>
            <w:r>
              <w:rPr>
                <w:rFonts w:hint="eastAsia" w:ascii="宋体" w:hAnsi="宋体"/>
                <w:sz w:val="24"/>
                <w:highlight w:val="none"/>
                <w:lang w:val="en-US" w:eastAsia="zh-CN"/>
              </w:rPr>
              <w:t>10</w:t>
            </w:r>
          </w:p>
        </w:tc>
        <w:tc>
          <w:tcPr>
            <w:tcW w:w="2457" w:type="dxa"/>
            <w:vAlign w:val="center"/>
          </w:tcPr>
          <w:p w14:paraId="70B4262B">
            <w:pPr>
              <w:ind w:firstLine="0" w:firstLineChars="0"/>
              <w:jc w:val="center"/>
              <w:rPr>
                <w:rFonts w:hint="default" w:ascii="宋体" w:hAnsi="宋体" w:cs="Times New Roman"/>
                <w:kern w:val="2"/>
                <w:sz w:val="24"/>
                <w:szCs w:val="24"/>
                <w:highlight w:val="none"/>
                <w:lang w:val="en-US" w:eastAsia="zh-CN" w:bidi="ar-SA"/>
              </w:rPr>
            </w:pPr>
            <w:r>
              <w:rPr>
                <w:rFonts w:hint="eastAsia" w:ascii="宋体" w:hAnsi="宋体" w:cs="Times New Roman"/>
                <w:kern w:val="2"/>
                <w:sz w:val="24"/>
                <w:szCs w:val="24"/>
                <w:highlight w:val="none"/>
                <w:lang w:val="en-US" w:eastAsia="zh-CN" w:bidi="ar-SA"/>
              </w:rPr>
              <w:t>运输车</w:t>
            </w:r>
          </w:p>
        </w:tc>
        <w:tc>
          <w:tcPr>
            <w:tcW w:w="2075" w:type="dxa"/>
            <w:vAlign w:val="center"/>
          </w:tcPr>
          <w:p w14:paraId="113A2993">
            <w:pPr>
              <w:ind w:firstLine="0" w:firstLineChars="0"/>
              <w:jc w:val="center"/>
              <w:rPr>
                <w:rFonts w:hint="default" w:ascii="宋体" w:hAnsi="宋体" w:eastAsia="宋体"/>
                <w:sz w:val="24"/>
                <w:highlight w:val="none"/>
                <w:lang w:val="en-US" w:eastAsia="zh-CN"/>
              </w:rPr>
            </w:pPr>
            <w:r>
              <w:rPr>
                <w:rFonts w:hint="eastAsia" w:ascii="宋体" w:hAnsi="宋体"/>
                <w:sz w:val="24"/>
                <w:highlight w:val="none"/>
                <w:lang w:val="en-US" w:eastAsia="zh-CN"/>
              </w:rPr>
              <w:t>2台</w:t>
            </w:r>
          </w:p>
        </w:tc>
        <w:tc>
          <w:tcPr>
            <w:tcW w:w="2075" w:type="dxa"/>
            <w:vAlign w:val="center"/>
          </w:tcPr>
          <w:p w14:paraId="47551227">
            <w:pPr>
              <w:ind w:firstLine="0" w:firstLineChars="0"/>
              <w:jc w:val="center"/>
              <w:rPr>
                <w:rFonts w:hint="eastAsia" w:ascii="宋体" w:hAnsi="宋体"/>
                <w:sz w:val="24"/>
                <w:highlight w:val="none"/>
              </w:rPr>
            </w:pPr>
          </w:p>
        </w:tc>
      </w:tr>
    </w:tbl>
    <w:p w14:paraId="088D5D00">
      <w:pPr>
        <w:pStyle w:val="5"/>
        <w:numPr>
          <w:ilvl w:val="2"/>
          <w:numId w:val="0"/>
        </w:numPr>
        <w:spacing w:line="360" w:lineRule="auto"/>
        <w:ind w:left="720" w:leftChars="0" w:hanging="720" w:firstLineChars="0"/>
        <w:rPr>
          <w:rFonts w:hint="eastAsia" w:ascii="宋体" w:hAnsi="宋体" w:eastAsia="宋体" w:cs="宋体"/>
          <w:color w:val="auto"/>
          <w:highlight w:val="none"/>
        </w:rPr>
      </w:pPr>
      <w:bookmarkStart w:id="314" w:name="_Toc32264"/>
      <w:r>
        <w:rPr>
          <w:rFonts w:hint="default" w:ascii="宋体" w:hAnsi="宋体" w:eastAsia="宋体" w:cs="Times New Roman"/>
          <w:b/>
          <w:bCs/>
          <w:color w:val="auto"/>
          <w:kern w:val="2"/>
          <w:sz w:val="30"/>
          <w:szCs w:val="32"/>
          <w:lang w:val="en-US" w:eastAsia="zh-CN" w:bidi="ar-SA"/>
        </w:rPr>
        <w:t>4.1.</w:t>
      </w:r>
      <w:r>
        <w:rPr>
          <w:rFonts w:hint="eastAsia" w:ascii="宋体" w:hAnsi="宋体" w:cs="Times New Roman"/>
          <w:b/>
          <w:bCs/>
          <w:color w:val="auto"/>
          <w:kern w:val="2"/>
          <w:sz w:val="30"/>
          <w:szCs w:val="32"/>
          <w:lang w:val="en-US" w:eastAsia="zh-CN" w:bidi="ar-SA"/>
        </w:rPr>
        <w:t>5</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宋体"/>
          <w:color w:val="auto"/>
          <w:highlight w:val="none"/>
          <w:lang w:val="en-US" w:eastAsia="zh-CN"/>
        </w:rPr>
        <w:t>试验室建设</w:t>
      </w:r>
      <w:bookmarkEnd w:id="314"/>
    </w:p>
    <w:p w14:paraId="322144BB">
      <w:pPr>
        <w:ind w:firstLine="480"/>
        <w:rPr>
          <w:rFonts w:hint="eastAsia" w:ascii="宋体" w:hAnsi="宋体" w:cs="宋体"/>
          <w:highlight w:val="none"/>
          <w:lang w:val="en-US" w:eastAsia="zh-CN"/>
        </w:rPr>
      </w:pPr>
      <w:r>
        <w:rPr>
          <w:rFonts w:hint="eastAsia" w:ascii="宋体" w:hAnsi="宋体" w:cs="宋体"/>
          <w:highlight w:val="none"/>
          <w:lang w:val="en-US" w:eastAsia="zh-CN"/>
        </w:rPr>
        <w:t>1、试验室选址与建设</w:t>
      </w:r>
    </w:p>
    <w:p w14:paraId="3AA538AB">
      <w:pPr>
        <w:ind w:firstLine="480"/>
        <w:rPr>
          <w:rFonts w:hint="eastAsia" w:ascii="仿宋" w:hAnsi="仿宋" w:eastAsia="仿宋" w:cs="仿宋"/>
          <w:kern w:val="0"/>
          <w:sz w:val="30"/>
          <w:szCs w:val="30"/>
          <w:highlight w:val="none"/>
          <w:lang w:eastAsia="zh-CN"/>
        </w:rPr>
      </w:pPr>
      <w:r>
        <w:rPr>
          <w:rFonts w:hint="eastAsia" w:ascii="宋体" w:hAnsi="宋体" w:cs="宋体"/>
          <w:highlight w:val="none"/>
          <w:lang w:val="en-US" w:eastAsia="zh-CN"/>
        </w:rPr>
        <w:t>工地试验室总占地面积约</w:t>
      </w:r>
      <w:r>
        <w:rPr>
          <w:rFonts w:hint="eastAsia" w:ascii="宋体" w:hAnsi="宋体" w:eastAsia="宋体" w:cs="宋体"/>
          <w:highlight w:val="none"/>
          <w:lang w:val="en-US" w:eastAsia="zh-CN"/>
        </w:rPr>
        <w:t>630㎡</w:t>
      </w:r>
      <w:r>
        <w:rPr>
          <w:rFonts w:hint="eastAsia" w:ascii="宋体" w:hAnsi="宋体" w:cs="宋体"/>
          <w:highlight w:val="none"/>
          <w:lang w:val="en-US" w:eastAsia="zh-CN"/>
        </w:rPr>
        <w:t>，采用活动板房阻燃材料拼建而成，结构坚固。位于拌合站内，独立区域。按照标准化施工要求和招标要求进行建设，按照功能区划分办公室，资料室，留样室，土工室，化学分析室，外检室，石料室，集料室，水泥室，水泥混凝土室，力学室，标养室等组成。各功能试验室内地面铺设地板砖，操作台铺设高档瓷砖台面，全部安装空调，墙面悬挂相应的各种管理制度、操作规程等。其中标养室设置环形水槽，便于室内水排向室外。标养室采用喷雾加湿养生，以保证试块养生效果。</w:t>
      </w:r>
    </w:p>
    <w:p w14:paraId="5B2E687D">
      <w:pPr>
        <w:ind w:firstLine="480"/>
        <w:jc w:val="center"/>
        <w:rPr>
          <w:rFonts w:hint="eastAsia" w:ascii="宋体" w:hAnsi="宋体" w:cs="宋体"/>
          <w:highlight w:val="none"/>
          <w:lang w:val="en-US" w:eastAsia="zh-CN"/>
        </w:rPr>
      </w:pPr>
      <w:r>
        <w:rPr>
          <w:rFonts w:hint="eastAsia" w:ascii="宋体" w:hAnsi="宋体" w:cs="宋体"/>
          <w:highlight w:val="none"/>
          <w:lang w:val="en-US" w:eastAsia="zh-CN"/>
        </w:rPr>
        <w:t>各功能室面积一览表：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2769"/>
        <w:gridCol w:w="2269"/>
        <w:gridCol w:w="1505"/>
        <w:gridCol w:w="1005"/>
      </w:tblGrid>
      <w:tr w14:paraId="00E5E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exact"/>
          <w:jc w:val="center"/>
        </w:trPr>
        <w:tc>
          <w:tcPr>
            <w:tcW w:w="1164" w:type="dxa"/>
            <w:noWrap w:val="0"/>
            <w:vAlign w:val="center"/>
          </w:tcPr>
          <w:p w14:paraId="1EDB4B04">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序号</w:t>
            </w:r>
          </w:p>
        </w:tc>
        <w:tc>
          <w:tcPr>
            <w:tcW w:w="2769" w:type="dxa"/>
            <w:noWrap w:val="0"/>
            <w:vAlign w:val="center"/>
          </w:tcPr>
          <w:p w14:paraId="777E41C5">
            <w:pPr>
              <w:spacing w:line="360" w:lineRule="auto"/>
              <w:jc w:val="center"/>
              <w:rPr>
                <w:rFonts w:hint="eastAsia" w:ascii="宋体" w:hAnsi="宋体" w:eastAsia="宋体" w:cs="宋体"/>
                <w:sz w:val="24"/>
                <w:highlight w:val="none"/>
              </w:rPr>
            </w:pPr>
            <w:r>
              <w:rPr>
                <w:rFonts w:hint="eastAsia" w:ascii="宋体" w:hAnsi="宋体" w:eastAsia="宋体" w:cs="宋体"/>
                <w:sz w:val="24"/>
                <w:highlight w:val="none"/>
              </w:rPr>
              <w:t>名称</w:t>
            </w:r>
          </w:p>
        </w:tc>
        <w:tc>
          <w:tcPr>
            <w:tcW w:w="2269" w:type="dxa"/>
            <w:noWrap w:val="0"/>
            <w:vAlign w:val="center"/>
          </w:tcPr>
          <w:p w14:paraId="218FA932">
            <w:pPr>
              <w:spacing w:line="360" w:lineRule="auto"/>
              <w:jc w:val="center"/>
              <w:rPr>
                <w:rFonts w:hint="eastAsia" w:ascii="宋体" w:hAnsi="宋体" w:eastAsia="宋体" w:cs="宋体"/>
                <w:sz w:val="24"/>
                <w:highlight w:val="none"/>
              </w:rPr>
            </w:pPr>
            <w:r>
              <w:rPr>
                <w:rFonts w:hint="eastAsia" w:ascii="宋体" w:hAnsi="宋体" w:eastAsia="宋体" w:cs="宋体"/>
                <w:sz w:val="24"/>
                <w:highlight w:val="none"/>
              </w:rPr>
              <w:t>面积（㎡）</w:t>
            </w:r>
          </w:p>
        </w:tc>
        <w:tc>
          <w:tcPr>
            <w:tcW w:w="1505" w:type="dxa"/>
            <w:noWrap w:val="0"/>
            <w:vAlign w:val="center"/>
          </w:tcPr>
          <w:p w14:paraId="3D6F962C">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要求（㎡）</w:t>
            </w:r>
          </w:p>
        </w:tc>
        <w:tc>
          <w:tcPr>
            <w:tcW w:w="1005" w:type="dxa"/>
            <w:noWrap w:val="0"/>
            <w:vAlign w:val="center"/>
          </w:tcPr>
          <w:p w14:paraId="0A6FF564">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备注</w:t>
            </w:r>
          </w:p>
        </w:tc>
      </w:tr>
      <w:tr w14:paraId="5997C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1A9490CD">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1</w:t>
            </w:r>
          </w:p>
        </w:tc>
        <w:tc>
          <w:tcPr>
            <w:tcW w:w="2769" w:type="dxa"/>
            <w:noWrap w:val="0"/>
            <w:vAlign w:val="center"/>
          </w:tcPr>
          <w:p w14:paraId="523E6DA0">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lang w:val="en-US" w:eastAsia="zh-CN"/>
              </w:rPr>
              <w:t>主任</w:t>
            </w:r>
            <w:r>
              <w:rPr>
                <w:rFonts w:hint="eastAsia" w:ascii="宋体" w:hAnsi="宋体" w:eastAsia="宋体" w:cs="宋体"/>
                <w:sz w:val="24"/>
                <w:highlight w:val="none"/>
              </w:rPr>
              <w:t>办公室</w:t>
            </w:r>
          </w:p>
        </w:tc>
        <w:tc>
          <w:tcPr>
            <w:tcW w:w="2269" w:type="dxa"/>
            <w:noWrap w:val="0"/>
            <w:vAlign w:val="center"/>
          </w:tcPr>
          <w:p w14:paraId="3B4F0A7D">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cs="宋体"/>
                <w:sz w:val="24"/>
                <w:highlight w:val="none"/>
                <w:lang w:val="en-US" w:eastAsia="zh-CN"/>
              </w:rPr>
              <w:t>19.8</w:t>
            </w:r>
          </w:p>
        </w:tc>
        <w:tc>
          <w:tcPr>
            <w:tcW w:w="1505" w:type="dxa"/>
            <w:noWrap w:val="0"/>
            <w:vAlign w:val="center"/>
          </w:tcPr>
          <w:p w14:paraId="3D215DA8">
            <w:pPr>
              <w:spacing w:line="360" w:lineRule="auto"/>
              <w:ind w:left="0" w:leftChars="0" w:firstLine="0" w:firstLineChars="0"/>
              <w:jc w:val="center"/>
              <w:rPr>
                <w:rFonts w:hint="eastAsia" w:ascii="宋体" w:hAnsi="宋体" w:eastAsia="宋体" w:cs="宋体"/>
                <w:sz w:val="24"/>
                <w:highlight w:val="none"/>
                <w:lang w:val="en-US" w:eastAsia="zh-CN"/>
              </w:rPr>
            </w:pPr>
          </w:p>
        </w:tc>
        <w:tc>
          <w:tcPr>
            <w:tcW w:w="1005" w:type="dxa"/>
            <w:noWrap w:val="0"/>
            <w:vAlign w:val="center"/>
          </w:tcPr>
          <w:p w14:paraId="11CB7A83">
            <w:pPr>
              <w:spacing w:line="360" w:lineRule="auto"/>
              <w:jc w:val="center"/>
              <w:rPr>
                <w:rFonts w:hint="eastAsia" w:ascii="宋体" w:hAnsi="宋体" w:eastAsia="宋体" w:cs="宋体"/>
                <w:sz w:val="24"/>
                <w:highlight w:val="none"/>
              </w:rPr>
            </w:pPr>
          </w:p>
        </w:tc>
      </w:tr>
      <w:tr w14:paraId="1EDB8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3DA515BE">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2</w:t>
            </w:r>
          </w:p>
        </w:tc>
        <w:tc>
          <w:tcPr>
            <w:tcW w:w="2769" w:type="dxa"/>
            <w:noWrap w:val="0"/>
            <w:vAlign w:val="center"/>
          </w:tcPr>
          <w:p w14:paraId="291AAB3C">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办公室</w:t>
            </w:r>
          </w:p>
        </w:tc>
        <w:tc>
          <w:tcPr>
            <w:tcW w:w="2269" w:type="dxa"/>
            <w:noWrap w:val="0"/>
            <w:vAlign w:val="center"/>
          </w:tcPr>
          <w:p w14:paraId="3072CDAF">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cs="宋体"/>
                <w:sz w:val="24"/>
                <w:highlight w:val="none"/>
                <w:lang w:val="en-US" w:eastAsia="zh-CN"/>
              </w:rPr>
              <w:t>39.6</w:t>
            </w:r>
          </w:p>
        </w:tc>
        <w:tc>
          <w:tcPr>
            <w:tcW w:w="1505" w:type="dxa"/>
            <w:noWrap w:val="0"/>
            <w:vAlign w:val="center"/>
          </w:tcPr>
          <w:p w14:paraId="54C58703">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rPr>
              <w:t>≧</w:t>
            </w:r>
            <w:r>
              <w:rPr>
                <w:rFonts w:hint="eastAsia" w:ascii="宋体" w:hAnsi="宋体" w:cs="宋体"/>
                <w:sz w:val="24"/>
                <w:highlight w:val="none"/>
                <w:lang w:val="en-US" w:eastAsia="zh-CN"/>
              </w:rPr>
              <w:t>30</w:t>
            </w:r>
          </w:p>
        </w:tc>
        <w:tc>
          <w:tcPr>
            <w:tcW w:w="1005" w:type="dxa"/>
            <w:noWrap w:val="0"/>
            <w:vAlign w:val="center"/>
          </w:tcPr>
          <w:p w14:paraId="73892359">
            <w:pPr>
              <w:spacing w:line="360" w:lineRule="auto"/>
              <w:jc w:val="center"/>
              <w:rPr>
                <w:rFonts w:hint="eastAsia" w:ascii="宋体" w:hAnsi="宋体" w:eastAsia="宋体" w:cs="宋体"/>
                <w:sz w:val="24"/>
                <w:highlight w:val="none"/>
              </w:rPr>
            </w:pPr>
          </w:p>
        </w:tc>
      </w:tr>
      <w:tr w14:paraId="7C017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243EC3D3">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3</w:t>
            </w:r>
          </w:p>
        </w:tc>
        <w:tc>
          <w:tcPr>
            <w:tcW w:w="2769" w:type="dxa"/>
            <w:noWrap w:val="0"/>
            <w:vAlign w:val="center"/>
          </w:tcPr>
          <w:p w14:paraId="1F4C6E34">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资料档案室</w:t>
            </w:r>
          </w:p>
        </w:tc>
        <w:tc>
          <w:tcPr>
            <w:tcW w:w="2269" w:type="dxa"/>
            <w:noWrap w:val="0"/>
            <w:vAlign w:val="center"/>
          </w:tcPr>
          <w:p w14:paraId="76AB9AB5">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cs="宋体"/>
                <w:sz w:val="24"/>
                <w:highlight w:val="none"/>
                <w:lang w:val="en-US" w:eastAsia="zh-CN"/>
              </w:rPr>
              <w:t>19.8</w:t>
            </w:r>
          </w:p>
        </w:tc>
        <w:tc>
          <w:tcPr>
            <w:tcW w:w="1505" w:type="dxa"/>
            <w:noWrap w:val="0"/>
            <w:vAlign w:val="center"/>
          </w:tcPr>
          <w:p w14:paraId="349FD384">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rPr>
              <w:t>≧</w:t>
            </w:r>
            <w:r>
              <w:rPr>
                <w:rFonts w:hint="eastAsia" w:ascii="宋体" w:hAnsi="宋体" w:eastAsia="宋体" w:cs="宋体"/>
                <w:sz w:val="24"/>
                <w:highlight w:val="none"/>
                <w:lang w:val="en-US" w:eastAsia="zh-CN"/>
              </w:rPr>
              <w:t>15</w:t>
            </w:r>
          </w:p>
        </w:tc>
        <w:tc>
          <w:tcPr>
            <w:tcW w:w="1005" w:type="dxa"/>
            <w:noWrap w:val="0"/>
            <w:vAlign w:val="center"/>
          </w:tcPr>
          <w:p w14:paraId="2B62AD4B">
            <w:pPr>
              <w:spacing w:line="360" w:lineRule="auto"/>
              <w:jc w:val="center"/>
              <w:rPr>
                <w:rFonts w:hint="eastAsia" w:ascii="宋体" w:hAnsi="宋体" w:eastAsia="宋体" w:cs="宋体"/>
                <w:sz w:val="24"/>
                <w:highlight w:val="none"/>
              </w:rPr>
            </w:pPr>
          </w:p>
        </w:tc>
      </w:tr>
      <w:tr w14:paraId="5CFE9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66DB910D">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4</w:t>
            </w:r>
          </w:p>
          <w:p w14:paraId="7A11D443">
            <w:pPr>
              <w:spacing w:line="360" w:lineRule="auto"/>
              <w:jc w:val="center"/>
              <w:rPr>
                <w:rFonts w:hint="eastAsia" w:ascii="宋体" w:hAnsi="宋体" w:eastAsia="宋体" w:cs="宋体"/>
                <w:sz w:val="24"/>
                <w:highlight w:val="none"/>
              </w:rPr>
            </w:pPr>
          </w:p>
          <w:p w14:paraId="38B1A2F2">
            <w:pPr>
              <w:spacing w:line="360" w:lineRule="auto"/>
              <w:jc w:val="center"/>
              <w:rPr>
                <w:rFonts w:hint="eastAsia" w:ascii="宋体" w:hAnsi="宋体" w:eastAsia="宋体" w:cs="宋体"/>
                <w:sz w:val="24"/>
                <w:highlight w:val="none"/>
              </w:rPr>
            </w:pPr>
          </w:p>
          <w:p w14:paraId="7DA838EF">
            <w:pPr>
              <w:spacing w:line="360" w:lineRule="auto"/>
              <w:jc w:val="center"/>
              <w:rPr>
                <w:rFonts w:hint="eastAsia" w:ascii="宋体" w:hAnsi="宋体" w:eastAsia="宋体" w:cs="宋体"/>
                <w:sz w:val="24"/>
                <w:highlight w:val="none"/>
              </w:rPr>
            </w:pPr>
          </w:p>
        </w:tc>
        <w:tc>
          <w:tcPr>
            <w:tcW w:w="2769" w:type="dxa"/>
            <w:noWrap w:val="0"/>
            <w:vAlign w:val="center"/>
          </w:tcPr>
          <w:p w14:paraId="746F6477">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留样室</w:t>
            </w:r>
          </w:p>
        </w:tc>
        <w:tc>
          <w:tcPr>
            <w:tcW w:w="2269" w:type="dxa"/>
            <w:noWrap w:val="0"/>
            <w:vAlign w:val="center"/>
          </w:tcPr>
          <w:p w14:paraId="00FE8E96">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19.8</w:t>
            </w:r>
          </w:p>
        </w:tc>
        <w:tc>
          <w:tcPr>
            <w:tcW w:w="1505" w:type="dxa"/>
            <w:noWrap w:val="0"/>
            <w:vAlign w:val="center"/>
          </w:tcPr>
          <w:p w14:paraId="44651BD7">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rPr>
              <w:t>≧</w:t>
            </w:r>
            <w:r>
              <w:rPr>
                <w:rFonts w:hint="eastAsia" w:ascii="宋体" w:hAnsi="宋体" w:eastAsia="宋体" w:cs="宋体"/>
                <w:sz w:val="24"/>
                <w:highlight w:val="none"/>
                <w:lang w:val="en-US" w:eastAsia="zh-CN"/>
              </w:rPr>
              <w:t>15</w:t>
            </w:r>
          </w:p>
        </w:tc>
        <w:tc>
          <w:tcPr>
            <w:tcW w:w="1005" w:type="dxa"/>
            <w:noWrap w:val="0"/>
            <w:vAlign w:val="center"/>
          </w:tcPr>
          <w:p w14:paraId="2D03F8A3">
            <w:pPr>
              <w:spacing w:line="360" w:lineRule="auto"/>
              <w:jc w:val="center"/>
              <w:rPr>
                <w:rFonts w:hint="eastAsia" w:ascii="宋体" w:hAnsi="宋体" w:eastAsia="宋体" w:cs="宋体"/>
                <w:sz w:val="24"/>
                <w:highlight w:val="none"/>
              </w:rPr>
            </w:pPr>
          </w:p>
        </w:tc>
      </w:tr>
      <w:tr w14:paraId="4749C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39C4AC69">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5</w:t>
            </w:r>
          </w:p>
        </w:tc>
        <w:tc>
          <w:tcPr>
            <w:tcW w:w="2769" w:type="dxa"/>
            <w:shd w:val="clear" w:color="auto" w:fill="auto"/>
            <w:noWrap w:val="0"/>
            <w:vAlign w:val="center"/>
          </w:tcPr>
          <w:p w14:paraId="1EF11032">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土工室</w:t>
            </w:r>
          </w:p>
        </w:tc>
        <w:tc>
          <w:tcPr>
            <w:tcW w:w="2269" w:type="dxa"/>
            <w:shd w:val="clear" w:color="auto" w:fill="auto"/>
            <w:noWrap w:val="0"/>
            <w:vAlign w:val="center"/>
          </w:tcPr>
          <w:p w14:paraId="2BE77447">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cs="宋体"/>
                <w:sz w:val="24"/>
                <w:highlight w:val="none"/>
                <w:lang w:val="en-US" w:eastAsia="zh-CN"/>
              </w:rPr>
              <w:t>20</w:t>
            </w:r>
          </w:p>
        </w:tc>
        <w:tc>
          <w:tcPr>
            <w:tcW w:w="1505" w:type="dxa"/>
            <w:shd w:val="clear" w:color="auto" w:fill="auto"/>
            <w:noWrap w:val="0"/>
            <w:vAlign w:val="center"/>
          </w:tcPr>
          <w:p w14:paraId="47B3258E">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rPr>
              <w:t>≧</w:t>
            </w:r>
            <w:r>
              <w:rPr>
                <w:rFonts w:hint="eastAsia" w:ascii="宋体" w:hAnsi="宋体" w:cs="宋体"/>
                <w:sz w:val="24"/>
                <w:highlight w:val="none"/>
                <w:lang w:val="en-US" w:eastAsia="zh-CN"/>
              </w:rPr>
              <w:t>20</w:t>
            </w:r>
          </w:p>
        </w:tc>
        <w:tc>
          <w:tcPr>
            <w:tcW w:w="1005" w:type="dxa"/>
            <w:noWrap w:val="0"/>
            <w:vAlign w:val="center"/>
          </w:tcPr>
          <w:p w14:paraId="699BED4D">
            <w:pPr>
              <w:spacing w:line="360" w:lineRule="auto"/>
              <w:jc w:val="center"/>
              <w:rPr>
                <w:rFonts w:hint="eastAsia" w:ascii="宋体" w:hAnsi="宋体" w:eastAsia="宋体" w:cs="宋体"/>
                <w:sz w:val="24"/>
                <w:highlight w:val="none"/>
              </w:rPr>
            </w:pPr>
          </w:p>
        </w:tc>
      </w:tr>
      <w:tr w14:paraId="3E1CD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0ED8D965">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6</w:t>
            </w:r>
          </w:p>
        </w:tc>
        <w:tc>
          <w:tcPr>
            <w:tcW w:w="2769" w:type="dxa"/>
            <w:shd w:val="clear" w:color="auto" w:fill="auto"/>
            <w:noWrap w:val="0"/>
            <w:vAlign w:val="center"/>
          </w:tcPr>
          <w:p w14:paraId="6BBE7037">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化学分析室</w:t>
            </w:r>
          </w:p>
        </w:tc>
        <w:tc>
          <w:tcPr>
            <w:tcW w:w="2269" w:type="dxa"/>
            <w:shd w:val="clear" w:color="auto" w:fill="auto"/>
            <w:noWrap w:val="0"/>
            <w:vAlign w:val="center"/>
          </w:tcPr>
          <w:p w14:paraId="19768DD1">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cs="宋体"/>
                <w:sz w:val="24"/>
                <w:highlight w:val="none"/>
                <w:lang w:val="en-US" w:eastAsia="zh-CN"/>
              </w:rPr>
              <w:t>19.8</w:t>
            </w:r>
          </w:p>
        </w:tc>
        <w:tc>
          <w:tcPr>
            <w:tcW w:w="1505" w:type="dxa"/>
            <w:shd w:val="clear" w:color="auto" w:fill="auto"/>
            <w:noWrap w:val="0"/>
            <w:vAlign w:val="center"/>
          </w:tcPr>
          <w:p w14:paraId="7198A5A8">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w:t>
            </w:r>
          </w:p>
        </w:tc>
        <w:tc>
          <w:tcPr>
            <w:tcW w:w="1005" w:type="dxa"/>
            <w:shd w:val="clear" w:color="auto" w:fill="auto"/>
            <w:noWrap w:val="0"/>
            <w:vAlign w:val="center"/>
          </w:tcPr>
          <w:p w14:paraId="04D83737">
            <w:pPr>
              <w:spacing w:line="360" w:lineRule="auto"/>
              <w:ind w:firstLine="480" w:firstLineChars="200"/>
              <w:jc w:val="center"/>
              <w:rPr>
                <w:rFonts w:hint="eastAsia" w:ascii="宋体" w:hAnsi="宋体" w:eastAsia="宋体" w:cs="宋体"/>
                <w:kern w:val="2"/>
                <w:sz w:val="24"/>
                <w:szCs w:val="21"/>
                <w:highlight w:val="none"/>
                <w:lang w:val="en-US" w:eastAsia="zh-CN" w:bidi="ar-SA"/>
              </w:rPr>
            </w:pPr>
          </w:p>
        </w:tc>
      </w:tr>
      <w:tr w14:paraId="04569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44D52A81">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7</w:t>
            </w:r>
          </w:p>
        </w:tc>
        <w:tc>
          <w:tcPr>
            <w:tcW w:w="2769" w:type="dxa"/>
            <w:shd w:val="clear" w:color="auto" w:fill="auto"/>
            <w:noWrap w:val="0"/>
            <w:vAlign w:val="center"/>
          </w:tcPr>
          <w:p w14:paraId="7B0A3802">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外检</w:t>
            </w:r>
            <w:r>
              <w:rPr>
                <w:rFonts w:hint="eastAsia" w:ascii="宋体" w:hAnsi="宋体" w:eastAsia="宋体" w:cs="宋体"/>
                <w:sz w:val="24"/>
                <w:highlight w:val="none"/>
              </w:rPr>
              <w:t>室</w:t>
            </w:r>
          </w:p>
        </w:tc>
        <w:tc>
          <w:tcPr>
            <w:tcW w:w="2269" w:type="dxa"/>
            <w:shd w:val="clear" w:color="auto" w:fill="auto"/>
            <w:noWrap w:val="0"/>
            <w:vAlign w:val="center"/>
          </w:tcPr>
          <w:p w14:paraId="5706881C">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21.6</w:t>
            </w:r>
          </w:p>
        </w:tc>
        <w:tc>
          <w:tcPr>
            <w:tcW w:w="1505" w:type="dxa"/>
            <w:shd w:val="clear" w:color="auto" w:fill="auto"/>
            <w:noWrap w:val="0"/>
            <w:vAlign w:val="center"/>
          </w:tcPr>
          <w:p w14:paraId="4A602D88">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w:t>
            </w:r>
          </w:p>
        </w:tc>
        <w:tc>
          <w:tcPr>
            <w:tcW w:w="1005" w:type="dxa"/>
            <w:shd w:val="clear" w:color="auto" w:fill="auto"/>
            <w:noWrap w:val="0"/>
            <w:vAlign w:val="center"/>
          </w:tcPr>
          <w:p w14:paraId="77E1D9FF">
            <w:pPr>
              <w:spacing w:line="360" w:lineRule="auto"/>
              <w:ind w:firstLine="480" w:firstLineChars="200"/>
              <w:jc w:val="center"/>
              <w:rPr>
                <w:rFonts w:hint="eastAsia" w:ascii="宋体" w:hAnsi="宋体" w:eastAsia="宋体" w:cs="宋体"/>
                <w:kern w:val="2"/>
                <w:sz w:val="24"/>
                <w:szCs w:val="21"/>
                <w:highlight w:val="none"/>
                <w:lang w:val="en-US" w:eastAsia="zh-CN" w:bidi="ar-SA"/>
              </w:rPr>
            </w:pPr>
          </w:p>
        </w:tc>
      </w:tr>
      <w:tr w14:paraId="001D3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78CD0257">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8</w:t>
            </w:r>
          </w:p>
        </w:tc>
        <w:tc>
          <w:tcPr>
            <w:tcW w:w="2769" w:type="dxa"/>
            <w:shd w:val="clear" w:color="auto" w:fill="auto"/>
            <w:noWrap w:val="0"/>
            <w:vAlign w:val="center"/>
          </w:tcPr>
          <w:p w14:paraId="136A6F9F">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石料室</w:t>
            </w:r>
          </w:p>
        </w:tc>
        <w:tc>
          <w:tcPr>
            <w:tcW w:w="2269" w:type="dxa"/>
            <w:shd w:val="clear" w:color="auto" w:fill="auto"/>
            <w:noWrap w:val="0"/>
            <w:vAlign w:val="center"/>
          </w:tcPr>
          <w:p w14:paraId="4707E177">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19.8</w:t>
            </w:r>
          </w:p>
        </w:tc>
        <w:tc>
          <w:tcPr>
            <w:tcW w:w="1505" w:type="dxa"/>
            <w:shd w:val="clear" w:color="auto" w:fill="auto"/>
            <w:noWrap w:val="0"/>
            <w:vAlign w:val="center"/>
          </w:tcPr>
          <w:p w14:paraId="09593087">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w:t>
            </w:r>
          </w:p>
        </w:tc>
        <w:tc>
          <w:tcPr>
            <w:tcW w:w="1005" w:type="dxa"/>
            <w:shd w:val="clear" w:color="auto" w:fill="auto"/>
            <w:noWrap w:val="0"/>
            <w:vAlign w:val="center"/>
          </w:tcPr>
          <w:p w14:paraId="6E3437DD">
            <w:pPr>
              <w:spacing w:line="360" w:lineRule="auto"/>
              <w:ind w:firstLine="480" w:firstLineChars="200"/>
              <w:jc w:val="center"/>
              <w:rPr>
                <w:rFonts w:hint="eastAsia" w:ascii="宋体" w:hAnsi="宋体" w:eastAsia="宋体" w:cs="宋体"/>
                <w:kern w:val="2"/>
                <w:sz w:val="24"/>
                <w:szCs w:val="21"/>
                <w:highlight w:val="none"/>
                <w:lang w:val="en-US" w:eastAsia="zh-CN" w:bidi="ar-SA"/>
              </w:rPr>
            </w:pPr>
          </w:p>
        </w:tc>
      </w:tr>
      <w:tr w14:paraId="536D8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1E29F04D">
            <w:pPr>
              <w:spacing w:line="360" w:lineRule="auto"/>
              <w:ind w:left="0" w:leftChars="0" w:firstLine="0" w:firstLineChars="0"/>
              <w:jc w:val="center"/>
              <w:rPr>
                <w:rFonts w:hint="eastAsia" w:ascii="宋体" w:hAnsi="宋体" w:eastAsia="宋体" w:cs="宋体"/>
                <w:sz w:val="24"/>
                <w:highlight w:val="none"/>
                <w:lang w:eastAsia="zh-CN"/>
              </w:rPr>
            </w:pPr>
            <w:r>
              <w:rPr>
                <w:rFonts w:hint="eastAsia" w:ascii="宋体" w:hAnsi="宋体" w:cs="宋体"/>
                <w:sz w:val="24"/>
                <w:highlight w:val="none"/>
                <w:lang w:val="en-US" w:eastAsia="zh-CN"/>
              </w:rPr>
              <w:t>9</w:t>
            </w:r>
          </w:p>
        </w:tc>
        <w:tc>
          <w:tcPr>
            <w:tcW w:w="2769" w:type="dxa"/>
            <w:noWrap w:val="0"/>
            <w:vAlign w:val="center"/>
          </w:tcPr>
          <w:p w14:paraId="4A3AEC82">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集料室</w:t>
            </w:r>
          </w:p>
        </w:tc>
        <w:tc>
          <w:tcPr>
            <w:tcW w:w="2269" w:type="dxa"/>
            <w:noWrap w:val="0"/>
            <w:vAlign w:val="center"/>
          </w:tcPr>
          <w:p w14:paraId="20F9AD5C">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19.8</w:t>
            </w:r>
          </w:p>
        </w:tc>
        <w:tc>
          <w:tcPr>
            <w:tcW w:w="1505" w:type="dxa"/>
            <w:noWrap w:val="0"/>
            <w:vAlign w:val="center"/>
          </w:tcPr>
          <w:p w14:paraId="3A07F495">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≧15</w:t>
            </w:r>
          </w:p>
        </w:tc>
        <w:tc>
          <w:tcPr>
            <w:tcW w:w="1005" w:type="dxa"/>
            <w:noWrap w:val="0"/>
            <w:vAlign w:val="center"/>
          </w:tcPr>
          <w:p w14:paraId="189D969E">
            <w:pPr>
              <w:spacing w:line="360" w:lineRule="auto"/>
              <w:jc w:val="center"/>
              <w:rPr>
                <w:rFonts w:hint="eastAsia" w:ascii="宋体" w:hAnsi="宋体" w:eastAsia="宋体" w:cs="宋体"/>
                <w:sz w:val="24"/>
                <w:highlight w:val="none"/>
              </w:rPr>
            </w:pPr>
          </w:p>
        </w:tc>
      </w:tr>
      <w:tr w14:paraId="75E7F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5F75A451">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cs="宋体"/>
                <w:sz w:val="24"/>
                <w:highlight w:val="none"/>
                <w:lang w:val="en-US" w:eastAsia="zh-CN"/>
              </w:rPr>
              <w:t>10</w:t>
            </w:r>
          </w:p>
        </w:tc>
        <w:tc>
          <w:tcPr>
            <w:tcW w:w="2769" w:type="dxa"/>
            <w:noWrap w:val="0"/>
            <w:vAlign w:val="center"/>
          </w:tcPr>
          <w:p w14:paraId="6E65399B">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水泥室</w:t>
            </w:r>
          </w:p>
        </w:tc>
        <w:tc>
          <w:tcPr>
            <w:tcW w:w="2269" w:type="dxa"/>
            <w:noWrap w:val="0"/>
            <w:vAlign w:val="center"/>
          </w:tcPr>
          <w:p w14:paraId="516509D5">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39.6</w:t>
            </w:r>
          </w:p>
        </w:tc>
        <w:tc>
          <w:tcPr>
            <w:tcW w:w="1505" w:type="dxa"/>
            <w:noWrap w:val="0"/>
            <w:vAlign w:val="center"/>
          </w:tcPr>
          <w:p w14:paraId="1A949318">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rPr>
              <w:t>≧</w:t>
            </w:r>
            <w:r>
              <w:rPr>
                <w:rFonts w:hint="eastAsia" w:ascii="宋体" w:hAnsi="宋体" w:cs="宋体"/>
                <w:sz w:val="24"/>
                <w:highlight w:val="none"/>
                <w:lang w:val="en-US" w:eastAsia="zh-CN"/>
              </w:rPr>
              <w:t>20</w:t>
            </w:r>
          </w:p>
        </w:tc>
        <w:tc>
          <w:tcPr>
            <w:tcW w:w="1005" w:type="dxa"/>
            <w:noWrap w:val="0"/>
            <w:vAlign w:val="center"/>
          </w:tcPr>
          <w:p w14:paraId="27C973CB">
            <w:pPr>
              <w:spacing w:line="360" w:lineRule="auto"/>
              <w:jc w:val="center"/>
              <w:rPr>
                <w:rFonts w:hint="eastAsia" w:ascii="宋体" w:hAnsi="宋体" w:eastAsia="宋体" w:cs="宋体"/>
                <w:sz w:val="24"/>
                <w:highlight w:val="none"/>
              </w:rPr>
            </w:pPr>
          </w:p>
        </w:tc>
      </w:tr>
      <w:tr w14:paraId="57756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29FFA9E9">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cs="宋体"/>
                <w:sz w:val="24"/>
                <w:highlight w:val="none"/>
                <w:lang w:val="en-US" w:eastAsia="zh-CN"/>
              </w:rPr>
              <w:t>11</w:t>
            </w:r>
          </w:p>
        </w:tc>
        <w:tc>
          <w:tcPr>
            <w:tcW w:w="2769" w:type="dxa"/>
            <w:noWrap w:val="0"/>
            <w:vAlign w:val="center"/>
          </w:tcPr>
          <w:p w14:paraId="48D41454">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水泥混凝土室</w:t>
            </w:r>
          </w:p>
        </w:tc>
        <w:tc>
          <w:tcPr>
            <w:tcW w:w="2269" w:type="dxa"/>
            <w:noWrap w:val="0"/>
            <w:vAlign w:val="center"/>
          </w:tcPr>
          <w:p w14:paraId="190AAC42">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39.6</w:t>
            </w:r>
          </w:p>
        </w:tc>
        <w:tc>
          <w:tcPr>
            <w:tcW w:w="1505" w:type="dxa"/>
            <w:noWrap w:val="0"/>
            <w:vAlign w:val="center"/>
          </w:tcPr>
          <w:p w14:paraId="00F9A09B">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rPr>
              <w:t>≧</w:t>
            </w:r>
            <w:r>
              <w:rPr>
                <w:rFonts w:hint="eastAsia" w:ascii="宋体" w:hAnsi="宋体" w:cs="宋体"/>
                <w:sz w:val="24"/>
                <w:highlight w:val="none"/>
                <w:lang w:val="en-US" w:eastAsia="zh-CN"/>
              </w:rPr>
              <w:t>20</w:t>
            </w:r>
          </w:p>
        </w:tc>
        <w:tc>
          <w:tcPr>
            <w:tcW w:w="1005" w:type="dxa"/>
            <w:noWrap w:val="0"/>
            <w:vAlign w:val="center"/>
          </w:tcPr>
          <w:p w14:paraId="3A0DCC95">
            <w:pPr>
              <w:spacing w:line="360" w:lineRule="auto"/>
              <w:jc w:val="center"/>
              <w:rPr>
                <w:rFonts w:hint="eastAsia" w:ascii="宋体" w:hAnsi="宋体" w:eastAsia="宋体" w:cs="宋体"/>
                <w:sz w:val="24"/>
                <w:highlight w:val="none"/>
              </w:rPr>
            </w:pPr>
          </w:p>
        </w:tc>
      </w:tr>
      <w:tr w14:paraId="6278F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noWrap w:val="0"/>
            <w:vAlign w:val="center"/>
          </w:tcPr>
          <w:p w14:paraId="51C992AA">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cs="宋体"/>
                <w:sz w:val="24"/>
                <w:highlight w:val="none"/>
                <w:lang w:val="en-US" w:eastAsia="zh-CN"/>
              </w:rPr>
              <w:t>12</w:t>
            </w:r>
          </w:p>
        </w:tc>
        <w:tc>
          <w:tcPr>
            <w:tcW w:w="2769" w:type="dxa"/>
            <w:noWrap w:val="0"/>
            <w:vAlign w:val="center"/>
          </w:tcPr>
          <w:p w14:paraId="5DD019DB">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力学室</w:t>
            </w:r>
          </w:p>
        </w:tc>
        <w:tc>
          <w:tcPr>
            <w:tcW w:w="2269" w:type="dxa"/>
            <w:noWrap w:val="0"/>
            <w:vAlign w:val="center"/>
          </w:tcPr>
          <w:p w14:paraId="20B7084E">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cs="宋体"/>
                <w:sz w:val="24"/>
                <w:highlight w:val="none"/>
                <w:lang w:val="en-US" w:eastAsia="zh-CN"/>
              </w:rPr>
              <w:t>39.6</w:t>
            </w:r>
          </w:p>
        </w:tc>
        <w:tc>
          <w:tcPr>
            <w:tcW w:w="1505" w:type="dxa"/>
            <w:noWrap w:val="0"/>
            <w:vAlign w:val="center"/>
          </w:tcPr>
          <w:p w14:paraId="5E9EF109">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rPr>
              <w:t>≧</w:t>
            </w:r>
            <w:r>
              <w:rPr>
                <w:rFonts w:hint="eastAsia" w:ascii="宋体" w:hAnsi="宋体" w:eastAsia="宋体" w:cs="宋体"/>
                <w:sz w:val="24"/>
                <w:highlight w:val="none"/>
                <w:lang w:val="en-US" w:eastAsia="zh-CN"/>
              </w:rPr>
              <w:t>20</w:t>
            </w:r>
          </w:p>
        </w:tc>
        <w:tc>
          <w:tcPr>
            <w:tcW w:w="1005" w:type="dxa"/>
            <w:noWrap w:val="0"/>
            <w:vAlign w:val="center"/>
          </w:tcPr>
          <w:p w14:paraId="41D7D7FA">
            <w:pPr>
              <w:spacing w:line="360" w:lineRule="auto"/>
              <w:jc w:val="center"/>
              <w:rPr>
                <w:rFonts w:hint="eastAsia" w:ascii="宋体" w:hAnsi="宋体" w:eastAsia="宋体" w:cs="宋体"/>
                <w:sz w:val="24"/>
                <w:highlight w:val="none"/>
              </w:rPr>
            </w:pPr>
          </w:p>
        </w:tc>
      </w:tr>
      <w:tr w14:paraId="526FF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2BF142B0">
            <w:pPr>
              <w:spacing w:line="360" w:lineRule="auto"/>
              <w:ind w:left="0" w:leftChars="0" w:firstLine="0" w:firstLineChars="0"/>
              <w:jc w:val="center"/>
              <w:rPr>
                <w:rFonts w:hint="default" w:ascii="宋体" w:hAnsi="宋体" w:eastAsia="宋体" w:cs="宋体"/>
                <w:kern w:val="2"/>
                <w:sz w:val="24"/>
                <w:szCs w:val="21"/>
                <w:highlight w:val="none"/>
                <w:lang w:val="en-US" w:eastAsia="zh-CN" w:bidi="ar-SA"/>
              </w:rPr>
            </w:pPr>
            <w:r>
              <w:rPr>
                <w:rFonts w:hint="eastAsia" w:ascii="宋体" w:hAnsi="宋体" w:eastAsia="宋体" w:cs="宋体"/>
                <w:sz w:val="24"/>
                <w:highlight w:val="none"/>
                <w:lang w:val="en-US" w:eastAsia="zh-CN"/>
              </w:rPr>
              <w:t>13</w:t>
            </w:r>
          </w:p>
        </w:tc>
        <w:tc>
          <w:tcPr>
            <w:tcW w:w="2769" w:type="dxa"/>
            <w:shd w:val="clear" w:color="auto" w:fill="auto"/>
            <w:noWrap w:val="0"/>
            <w:vAlign w:val="center"/>
          </w:tcPr>
          <w:p w14:paraId="0BC33CBC">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rPr>
              <w:t>标养室</w:t>
            </w:r>
          </w:p>
        </w:tc>
        <w:tc>
          <w:tcPr>
            <w:tcW w:w="2269" w:type="dxa"/>
            <w:shd w:val="clear" w:color="auto" w:fill="auto"/>
            <w:noWrap w:val="0"/>
            <w:vAlign w:val="center"/>
          </w:tcPr>
          <w:p w14:paraId="2E927C00">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cs="宋体"/>
                <w:sz w:val="24"/>
                <w:highlight w:val="none"/>
                <w:lang w:val="en-US" w:eastAsia="zh-CN"/>
              </w:rPr>
              <w:t>39.6</w:t>
            </w:r>
          </w:p>
        </w:tc>
        <w:tc>
          <w:tcPr>
            <w:tcW w:w="1505" w:type="dxa"/>
            <w:shd w:val="clear" w:color="auto" w:fill="auto"/>
            <w:noWrap w:val="0"/>
            <w:vAlign w:val="center"/>
          </w:tcPr>
          <w:p w14:paraId="6210C5A4">
            <w:pPr>
              <w:spacing w:line="360" w:lineRule="auto"/>
              <w:ind w:left="0" w:leftChars="0" w:firstLine="0" w:firstLineChars="0"/>
              <w:jc w:val="center"/>
              <w:rPr>
                <w:rFonts w:hint="eastAsia" w:ascii="宋体" w:hAnsi="宋体" w:eastAsia="宋体" w:cs="宋体"/>
                <w:kern w:val="2"/>
                <w:sz w:val="24"/>
                <w:szCs w:val="21"/>
                <w:highlight w:val="none"/>
                <w:lang w:val="en-US" w:eastAsia="zh-CN" w:bidi="ar-SA"/>
              </w:rPr>
            </w:pPr>
            <w:r>
              <w:rPr>
                <w:rFonts w:hint="eastAsia" w:ascii="宋体" w:hAnsi="宋体" w:eastAsia="宋体" w:cs="宋体"/>
                <w:sz w:val="24"/>
                <w:highlight w:val="none"/>
              </w:rPr>
              <w:t>≧</w:t>
            </w:r>
            <w:r>
              <w:rPr>
                <w:rFonts w:hint="eastAsia" w:ascii="宋体" w:hAnsi="宋体" w:cs="宋体"/>
                <w:sz w:val="24"/>
                <w:highlight w:val="none"/>
                <w:lang w:val="en-US" w:eastAsia="zh-CN"/>
              </w:rPr>
              <w:t>25</w:t>
            </w:r>
          </w:p>
        </w:tc>
        <w:tc>
          <w:tcPr>
            <w:tcW w:w="1005" w:type="dxa"/>
            <w:shd w:val="clear" w:color="auto" w:fill="auto"/>
            <w:noWrap w:val="0"/>
            <w:vAlign w:val="center"/>
          </w:tcPr>
          <w:p w14:paraId="0C8C09DF">
            <w:pPr>
              <w:spacing w:line="360" w:lineRule="auto"/>
              <w:ind w:firstLine="480" w:firstLineChars="200"/>
              <w:jc w:val="center"/>
              <w:rPr>
                <w:rFonts w:hint="eastAsia" w:ascii="宋体" w:hAnsi="宋体" w:eastAsia="宋体" w:cs="宋体"/>
                <w:kern w:val="2"/>
                <w:sz w:val="24"/>
                <w:szCs w:val="21"/>
                <w:highlight w:val="none"/>
                <w:lang w:val="en-US" w:eastAsia="zh-CN" w:bidi="ar-SA"/>
              </w:rPr>
            </w:pPr>
          </w:p>
        </w:tc>
      </w:tr>
      <w:tr w14:paraId="63D35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0706FAC4">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14</w:t>
            </w:r>
          </w:p>
        </w:tc>
        <w:tc>
          <w:tcPr>
            <w:tcW w:w="2769" w:type="dxa"/>
            <w:shd w:val="clear" w:color="auto" w:fill="auto"/>
            <w:noWrap w:val="0"/>
            <w:vAlign w:val="center"/>
          </w:tcPr>
          <w:p w14:paraId="12209DE4">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卫生间</w:t>
            </w:r>
          </w:p>
        </w:tc>
        <w:tc>
          <w:tcPr>
            <w:tcW w:w="2269" w:type="dxa"/>
            <w:shd w:val="clear" w:color="auto" w:fill="auto"/>
            <w:noWrap w:val="0"/>
            <w:vAlign w:val="center"/>
          </w:tcPr>
          <w:p w14:paraId="0E6B8B27">
            <w:pPr>
              <w:spacing w:line="360" w:lineRule="auto"/>
              <w:ind w:left="0" w:leftChars="0" w:firstLine="0" w:firstLineChars="0"/>
              <w:jc w:val="center"/>
              <w:rPr>
                <w:rFonts w:hint="default" w:ascii="宋体" w:hAnsi="宋体" w:cs="宋体"/>
                <w:sz w:val="24"/>
                <w:highlight w:val="none"/>
                <w:lang w:val="en-US" w:eastAsia="zh-CN"/>
              </w:rPr>
            </w:pPr>
            <w:r>
              <w:rPr>
                <w:rFonts w:hint="eastAsia" w:ascii="宋体" w:hAnsi="宋体" w:cs="宋体"/>
                <w:sz w:val="24"/>
                <w:highlight w:val="none"/>
                <w:lang w:val="en-US" w:eastAsia="zh-CN"/>
              </w:rPr>
              <w:t>19.8</w:t>
            </w:r>
          </w:p>
        </w:tc>
        <w:tc>
          <w:tcPr>
            <w:tcW w:w="1505" w:type="dxa"/>
            <w:shd w:val="clear" w:color="auto" w:fill="auto"/>
            <w:noWrap w:val="0"/>
            <w:vAlign w:val="center"/>
          </w:tcPr>
          <w:p w14:paraId="26E30016">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w:t>
            </w:r>
          </w:p>
        </w:tc>
        <w:tc>
          <w:tcPr>
            <w:tcW w:w="1005" w:type="dxa"/>
            <w:shd w:val="clear" w:color="auto" w:fill="auto"/>
            <w:noWrap w:val="0"/>
            <w:vAlign w:val="center"/>
          </w:tcPr>
          <w:p w14:paraId="381ADE46">
            <w:pPr>
              <w:spacing w:line="360" w:lineRule="auto"/>
              <w:ind w:firstLine="480" w:firstLineChars="200"/>
              <w:jc w:val="center"/>
              <w:rPr>
                <w:rFonts w:hint="eastAsia" w:ascii="宋体" w:hAnsi="宋体" w:eastAsia="宋体" w:cs="宋体"/>
                <w:kern w:val="2"/>
                <w:sz w:val="24"/>
                <w:szCs w:val="21"/>
                <w:highlight w:val="none"/>
                <w:lang w:val="en-US" w:eastAsia="zh-CN" w:bidi="ar-SA"/>
              </w:rPr>
            </w:pPr>
          </w:p>
        </w:tc>
      </w:tr>
      <w:tr w14:paraId="0E35C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164" w:type="dxa"/>
            <w:shd w:val="clear" w:color="auto" w:fill="auto"/>
            <w:noWrap w:val="0"/>
            <w:vAlign w:val="center"/>
          </w:tcPr>
          <w:p w14:paraId="0C38C695">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15</w:t>
            </w:r>
          </w:p>
        </w:tc>
        <w:tc>
          <w:tcPr>
            <w:tcW w:w="2769" w:type="dxa"/>
            <w:shd w:val="clear" w:color="auto" w:fill="auto"/>
            <w:noWrap w:val="0"/>
            <w:vAlign w:val="center"/>
          </w:tcPr>
          <w:p w14:paraId="2D4DA6CE">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预留室</w:t>
            </w:r>
          </w:p>
        </w:tc>
        <w:tc>
          <w:tcPr>
            <w:tcW w:w="2269" w:type="dxa"/>
            <w:shd w:val="clear" w:color="auto" w:fill="auto"/>
            <w:noWrap w:val="0"/>
            <w:vAlign w:val="center"/>
          </w:tcPr>
          <w:p w14:paraId="3BD19B40">
            <w:pPr>
              <w:spacing w:line="360" w:lineRule="auto"/>
              <w:ind w:left="0" w:leftChars="0" w:firstLine="0" w:firstLineChars="0"/>
              <w:jc w:val="center"/>
              <w:rPr>
                <w:rFonts w:hint="eastAsia" w:ascii="宋体" w:hAnsi="宋体" w:cs="宋体"/>
                <w:sz w:val="24"/>
                <w:highlight w:val="none"/>
                <w:lang w:val="en-US" w:eastAsia="zh-CN"/>
              </w:rPr>
            </w:pPr>
            <w:r>
              <w:rPr>
                <w:rFonts w:hint="eastAsia" w:ascii="宋体" w:hAnsi="宋体" w:cs="宋体"/>
                <w:sz w:val="24"/>
                <w:highlight w:val="none"/>
                <w:lang w:val="en-US" w:eastAsia="zh-CN"/>
              </w:rPr>
              <w:t>19.8</w:t>
            </w:r>
          </w:p>
        </w:tc>
        <w:tc>
          <w:tcPr>
            <w:tcW w:w="1505" w:type="dxa"/>
            <w:shd w:val="clear" w:color="auto" w:fill="auto"/>
            <w:noWrap w:val="0"/>
            <w:vAlign w:val="center"/>
          </w:tcPr>
          <w:p w14:paraId="24CDD701">
            <w:pPr>
              <w:spacing w:line="360" w:lineRule="auto"/>
              <w:ind w:left="0" w:leftChars="0" w:firstLine="0" w:firstLineChars="0"/>
              <w:jc w:val="center"/>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w:t>
            </w:r>
          </w:p>
        </w:tc>
        <w:tc>
          <w:tcPr>
            <w:tcW w:w="1005" w:type="dxa"/>
            <w:shd w:val="clear" w:color="auto" w:fill="auto"/>
            <w:noWrap w:val="0"/>
            <w:vAlign w:val="center"/>
          </w:tcPr>
          <w:p w14:paraId="4C79EADE">
            <w:pPr>
              <w:spacing w:line="360" w:lineRule="auto"/>
              <w:ind w:firstLine="480" w:firstLineChars="200"/>
              <w:jc w:val="center"/>
              <w:rPr>
                <w:rFonts w:hint="eastAsia" w:ascii="宋体" w:hAnsi="宋体" w:eastAsia="宋体" w:cs="宋体"/>
                <w:kern w:val="2"/>
                <w:sz w:val="24"/>
                <w:szCs w:val="21"/>
                <w:highlight w:val="none"/>
                <w:lang w:val="en-US" w:eastAsia="zh-CN" w:bidi="ar-SA"/>
              </w:rPr>
            </w:pPr>
          </w:p>
        </w:tc>
      </w:tr>
      <w:tr w14:paraId="29A4F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3933" w:type="dxa"/>
            <w:gridSpan w:val="2"/>
            <w:noWrap w:val="0"/>
            <w:vAlign w:val="center"/>
          </w:tcPr>
          <w:p w14:paraId="095A756E">
            <w:pPr>
              <w:spacing w:line="360" w:lineRule="auto"/>
              <w:ind w:left="0" w:leftChars="0" w:firstLine="0" w:firstLineChars="0"/>
              <w:jc w:val="center"/>
              <w:rPr>
                <w:rFonts w:hint="eastAsia" w:ascii="宋体" w:hAnsi="宋体" w:eastAsia="宋体" w:cs="宋体"/>
                <w:sz w:val="24"/>
                <w:highlight w:val="none"/>
              </w:rPr>
            </w:pPr>
            <w:r>
              <w:rPr>
                <w:rFonts w:hint="eastAsia" w:ascii="宋体" w:hAnsi="宋体" w:eastAsia="宋体" w:cs="宋体"/>
                <w:sz w:val="24"/>
                <w:highlight w:val="none"/>
              </w:rPr>
              <w:t>合计</w:t>
            </w:r>
          </w:p>
        </w:tc>
        <w:tc>
          <w:tcPr>
            <w:tcW w:w="2269" w:type="dxa"/>
            <w:noWrap w:val="0"/>
            <w:vAlign w:val="center"/>
          </w:tcPr>
          <w:p w14:paraId="1AD0F6FE">
            <w:pPr>
              <w:spacing w:line="360" w:lineRule="auto"/>
              <w:ind w:left="0" w:leftChars="0" w:firstLine="0" w:firstLineChars="0"/>
              <w:jc w:val="center"/>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39</w:t>
            </w:r>
            <w:r>
              <w:rPr>
                <w:rFonts w:hint="eastAsia" w:ascii="宋体" w:hAnsi="宋体" w:cs="宋体"/>
                <w:sz w:val="24"/>
                <w:highlight w:val="none"/>
                <w:lang w:val="en-US" w:eastAsia="zh-CN"/>
              </w:rPr>
              <w:t>8</w:t>
            </w:r>
            <w:r>
              <w:rPr>
                <w:rFonts w:hint="eastAsia" w:ascii="宋体" w:hAnsi="宋体" w:eastAsia="宋体" w:cs="宋体"/>
                <w:sz w:val="24"/>
                <w:highlight w:val="none"/>
                <w:lang w:val="en-US" w:eastAsia="zh-CN"/>
              </w:rPr>
              <w:t>.0</w:t>
            </w:r>
          </w:p>
        </w:tc>
        <w:tc>
          <w:tcPr>
            <w:tcW w:w="1505" w:type="dxa"/>
            <w:noWrap w:val="0"/>
            <w:vAlign w:val="center"/>
          </w:tcPr>
          <w:p w14:paraId="0A4F7969">
            <w:pPr>
              <w:spacing w:line="360" w:lineRule="auto"/>
              <w:jc w:val="center"/>
              <w:rPr>
                <w:rFonts w:hint="eastAsia" w:ascii="宋体" w:hAnsi="宋体" w:eastAsia="宋体" w:cs="宋体"/>
                <w:sz w:val="24"/>
                <w:highlight w:val="none"/>
              </w:rPr>
            </w:pPr>
          </w:p>
        </w:tc>
        <w:tc>
          <w:tcPr>
            <w:tcW w:w="1005" w:type="dxa"/>
            <w:noWrap w:val="0"/>
            <w:vAlign w:val="center"/>
          </w:tcPr>
          <w:p w14:paraId="3AC32AEC">
            <w:pPr>
              <w:spacing w:line="360" w:lineRule="auto"/>
              <w:jc w:val="center"/>
              <w:rPr>
                <w:rFonts w:hint="eastAsia" w:ascii="宋体" w:hAnsi="宋体" w:eastAsia="宋体" w:cs="宋体"/>
                <w:sz w:val="24"/>
                <w:highlight w:val="none"/>
              </w:rPr>
            </w:pPr>
          </w:p>
        </w:tc>
      </w:tr>
    </w:tbl>
    <w:p w14:paraId="0CC160E4">
      <w:pPr>
        <w:ind w:firstLine="480"/>
        <w:rPr>
          <w:rFonts w:hint="eastAsia" w:ascii="宋体" w:hAnsi="宋体" w:cs="宋体"/>
          <w:highlight w:val="none"/>
          <w:lang w:val="en-US" w:eastAsia="zh-CN"/>
        </w:rPr>
      </w:pPr>
      <w:r>
        <w:rPr>
          <w:rFonts w:hint="eastAsia" w:ascii="宋体" w:hAnsi="宋体" w:cs="宋体"/>
          <w:highlight w:val="none"/>
          <w:lang w:val="en-US" w:eastAsia="zh-CN"/>
        </w:rPr>
        <w:t>工地试验室用房，室内通风、采光好。试验室不同功能区单独设置。试验室电路为独立的专用线，做到三级配电两级保护。试验室办公区域及各功能室有防火、防盗等安全措施。试验室（含办公区域）外窗安装防盗网，防止设备和各种档案资料失窃影响检测工作正常开展。消防设施按以下要求配置：不大于40㎡配置1个灭火器，消防设施合理分布在试验室各功能室及办公区域外。</w:t>
      </w:r>
    </w:p>
    <w:p w14:paraId="6D747979">
      <w:pPr>
        <w:pStyle w:val="5"/>
        <w:numPr>
          <w:ilvl w:val="2"/>
          <w:numId w:val="0"/>
        </w:numPr>
        <w:spacing w:line="360" w:lineRule="auto"/>
        <w:ind w:left="720" w:leftChars="0" w:hanging="720" w:firstLineChars="0"/>
        <w:rPr>
          <w:rFonts w:hint="eastAsia" w:ascii="宋体" w:hAnsi="宋体" w:eastAsia="宋体" w:cs="Times New Roman"/>
          <w:b/>
          <w:bCs/>
          <w:color w:val="auto"/>
          <w:kern w:val="2"/>
          <w:sz w:val="30"/>
          <w:szCs w:val="32"/>
          <w:lang w:val="en-US" w:eastAsia="zh-CN" w:bidi="ar-SA"/>
        </w:rPr>
      </w:pPr>
      <w:bookmarkStart w:id="315" w:name="_Toc759"/>
      <w:r>
        <w:rPr>
          <w:rFonts w:hint="default" w:ascii="宋体" w:hAnsi="宋体" w:eastAsia="宋体" w:cs="Times New Roman"/>
          <w:b/>
          <w:bCs/>
          <w:color w:val="auto"/>
          <w:kern w:val="2"/>
          <w:sz w:val="30"/>
          <w:szCs w:val="32"/>
          <w:lang w:val="en-US" w:eastAsia="zh-CN" w:bidi="ar-SA"/>
        </w:rPr>
        <w:t>4.1.</w:t>
      </w:r>
      <w:r>
        <w:rPr>
          <w:rFonts w:hint="eastAsia" w:ascii="宋体" w:hAnsi="宋体" w:cs="Times New Roman"/>
          <w:b/>
          <w:bCs/>
          <w:color w:val="auto"/>
          <w:kern w:val="2"/>
          <w:sz w:val="30"/>
          <w:szCs w:val="32"/>
          <w:lang w:val="en-US" w:eastAsia="zh-CN" w:bidi="ar-SA"/>
        </w:rPr>
        <w:t>6</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Times New Roman"/>
          <w:b/>
          <w:bCs/>
          <w:color w:val="auto"/>
          <w:kern w:val="2"/>
          <w:sz w:val="30"/>
          <w:szCs w:val="32"/>
          <w:lang w:val="en-US" w:eastAsia="zh-CN" w:bidi="ar-SA"/>
        </w:rPr>
        <w:t>施工</w:t>
      </w:r>
      <w:bookmarkEnd w:id="297"/>
      <w:r>
        <w:rPr>
          <w:rFonts w:hint="eastAsia" w:ascii="宋体" w:hAnsi="宋体" w:eastAsia="宋体" w:cs="Times New Roman"/>
          <w:b/>
          <w:bCs/>
          <w:color w:val="auto"/>
          <w:kern w:val="2"/>
          <w:sz w:val="30"/>
          <w:szCs w:val="32"/>
          <w:lang w:val="en-US" w:eastAsia="zh-CN" w:bidi="ar-SA"/>
        </w:rPr>
        <w:t>用水</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5"/>
    </w:p>
    <w:p w14:paraId="2AF3941B">
      <w:pPr>
        <w:keepNext w:val="0"/>
        <w:keepLines w:val="0"/>
        <w:widowControl/>
        <w:suppressLineNumbers w:val="0"/>
        <w:jc w:val="left"/>
        <w:rPr>
          <w:rFonts w:hint="eastAsia" w:ascii="宋体" w:hAnsi="宋体" w:eastAsia="宋体" w:cs="宋体"/>
          <w:highlight w:val="none"/>
        </w:rPr>
      </w:pPr>
      <w:r>
        <w:rPr>
          <w:rFonts w:hint="eastAsia" w:ascii="宋体" w:hAnsi="宋体" w:eastAsia="宋体" w:cs="宋体"/>
          <w:highlight w:val="none"/>
        </w:rPr>
        <w:t>本项目</w:t>
      </w:r>
      <w:r>
        <w:rPr>
          <w:rFonts w:hint="eastAsia" w:ascii="宋体" w:hAnsi="宋体" w:eastAsia="宋体" w:cs="宋体"/>
          <w:color w:val="000000"/>
          <w:kern w:val="0"/>
          <w:sz w:val="24"/>
          <w:szCs w:val="24"/>
          <w:lang w:val="en-US" w:eastAsia="zh-CN" w:bidi="ar"/>
        </w:rPr>
        <w:t>工程用水：本项目穿越山岭丘陵地带，水系发达，水源丰富，水质好可直接作为工程用水</w:t>
      </w:r>
      <w:r>
        <w:rPr>
          <w:rFonts w:hint="eastAsia" w:ascii="宋体" w:hAnsi="宋体" w:eastAsia="宋体" w:cs="宋体"/>
          <w:highlight w:val="none"/>
        </w:rPr>
        <w:t>。</w:t>
      </w:r>
    </w:p>
    <w:p w14:paraId="608F353F">
      <w:pPr>
        <w:pStyle w:val="5"/>
        <w:numPr>
          <w:ilvl w:val="2"/>
          <w:numId w:val="0"/>
        </w:numPr>
        <w:spacing w:line="360" w:lineRule="auto"/>
        <w:ind w:left="720" w:leftChars="0" w:hanging="720" w:firstLineChars="0"/>
        <w:rPr>
          <w:rFonts w:hint="eastAsia" w:ascii="宋体" w:hAnsi="宋体" w:eastAsia="宋体" w:cs="Times New Roman"/>
          <w:b/>
          <w:bCs/>
          <w:color w:val="auto"/>
          <w:kern w:val="2"/>
          <w:sz w:val="30"/>
          <w:szCs w:val="32"/>
          <w:lang w:val="en-US" w:eastAsia="zh-CN" w:bidi="ar-SA"/>
        </w:rPr>
      </w:pPr>
      <w:bookmarkStart w:id="316" w:name="_Toc15702"/>
      <w:bookmarkStart w:id="317" w:name="_Toc392933481"/>
      <w:bookmarkStart w:id="318" w:name="_Toc18177"/>
      <w:bookmarkStart w:id="319" w:name="_Toc8950"/>
      <w:bookmarkStart w:id="320" w:name="_Toc32105"/>
      <w:bookmarkStart w:id="321" w:name="_Toc15714"/>
      <w:bookmarkStart w:id="322" w:name="_Toc11098"/>
      <w:bookmarkStart w:id="323" w:name="_Toc10494"/>
      <w:bookmarkStart w:id="324" w:name="_Toc29626"/>
      <w:bookmarkStart w:id="325" w:name="_Toc19846"/>
      <w:bookmarkStart w:id="326" w:name="_Toc14490"/>
      <w:bookmarkStart w:id="327" w:name="_Toc9369"/>
      <w:bookmarkStart w:id="328" w:name="_Toc5461"/>
      <w:r>
        <w:rPr>
          <w:rFonts w:hint="default" w:ascii="宋体" w:hAnsi="宋体" w:eastAsia="宋体" w:cs="Times New Roman"/>
          <w:b/>
          <w:bCs/>
          <w:color w:val="auto"/>
          <w:kern w:val="2"/>
          <w:sz w:val="30"/>
          <w:szCs w:val="32"/>
          <w:lang w:val="en-US" w:eastAsia="zh-CN" w:bidi="ar-SA"/>
        </w:rPr>
        <w:t>4.1.</w:t>
      </w:r>
      <w:r>
        <w:rPr>
          <w:rFonts w:hint="eastAsia" w:ascii="宋体" w:hAnsi="宋体" w:cs="Times New Roman"/>
          <w:b/>
          <w:bCs/>
          <w:color w:val="auto"/>
          <w:kern w:val="2"/>
          <w:sz w:val="30"/>
          <w:szCs w:val="32"/>
          <w:lang w:val="en-US" w:eastAsia="zh-CN" w:bidi="ar-SA"/>
        </w:rPr>
        <w:t>7</w:t>
      </w:r>
      <w:r>
        <w:rPr>
          <w:rFonts w:hint="default" w:ascii="宋体" w:hAnsi="宋体" w:eastAsia="宋体" w:cs="Times New Roman"/>
          <w:b/>
          <w:bCs/>
          <w:color w:val="auto"/>
          <w:kern w:val="2"/>
          <w:sz w:val="30"/>
          <w:szCs w:val="32"/>
          <w:lang w:val="en-US" w:eastAsia="zh-CN" w:bidi="ar-SA"/>
        </w:rPr>
        <w:t>.</w:t>
      </w:r>
      <w:r>
        <w:rPr>
          <w:rFonts w:hint="eastAsia" w:ascii="宋体" w:hAnsi="宋体" w:eastAsia="宋体" w:cs="Times New Roman"/>
          <w:b/>
          <w:bCs/>
          <w:color w:val="auto"/>
          <w:kern w:val="2"/>
          <w:sz w:val="30"/>
          <w:szCs w:val="32"/>
          <w:lang w:val="en-US" w:eastAsia="zh-CN" w:bidi="ar-SA"/>
        </w:rPr>
        <w:t>临时用电</w:t>
      </w:r>
      <w:bookmarkEnd w:id="316"/>
      <w:bookmarkEnd w:id="317"/>
      <w:bookmarkEnd w:id="318"/>
      <w:bookmarkEnd w:id="319"/>
      <w:bookmarkEnd w:id="320"/>
      <w:bookmarkEnd w:id="321"/>
      <w:bookmarkEnd w:id="322"/>
      <w:bookmarkEnd w:id="323"/>
      <w:bookmarkEnd w:id="324"/>
      <w:bookmarkEnd w:id="325"/>
      <w:bookmarkEnd w:id="326"/>
      <w:bookmarkEnd w:id="327"/>
      <w:bookmarkEnd w:id="328"/>
    </w:p>
    <w:p w14:paraId="382B4470">
      <w:pPr>
        <w:ind w:firstLine="480"/>
        <w:rPr>
          <w:rFonts w:hint="eastAsia" w:ascii="宋体" w:hAnsi="宋体" w:cs="宋体"/>
          <w:highlight w:val="none"/>
          <w:lang w:val="en-US" w:eastAsia="zh-CN"/>
        </w:rPr>
      </w:pPr>
      <w:r>
        <w:rPr>
          <w:rFonts w:hint="eastAsia" w:ascii="宋体" w:hAnsi="宋体" w:cs="宋体"/>
          <w:highlight w:val="none"/>
          <w:lang w:val="en-US" w:eastAsia="zh-CN"/>
        </w:rPr>
        <w:t>拟在各个施工作业点设置箱变接入当地高压电网，架设临时供电线路为施工现场供电，并配备充足的发电机备用。</w:t>
      </w:r>
    </w:p>
    <w:p w14:paraId="5C396A20">
      <w:pPr>
        <w:ind w:firstLine="480"/>
        <w:rPr>
          <w:rFonts w:hint="eastAsia" w:ascii="宋体" w:hAnsi="宋体" w:cs="宋体"/>
          <w:highlight w:val="none"/>
          <w:lang w:val="en-US" w:eastAsia="zh-CN"/>
        </w:rPr>
      </w:pPr>
      <w:bookmarkStart w:id="329" w:name="_Toc391818281"/>
      <w:r>
        <w:rPr>
          <w:rFonts w:hint="eastAsia" w:ascii="宋体" w:hAnsi="宋体" w:cs="宋体"/>
          <w:highlight w:val="none"/>
          <w:lang w:val="en-US" w:eastAsia="zh-CN"/>
        </w:rPr>
        <w:t>在K117+000设立1台400KVA箱变，供港口大桥施工需要。</w:t>
      </w:r>
    </w:p>
    <w:p w14:paraId="00CE7792">
      <w:pPr>
        <w:ind w:firstLine="480"/>
        <w:rPr>
          <w:rFonts w:hint="eastAsia" w:ascii="宋体" w:hAnsi="宋体" w:cs="宋体"/>
          <w:highlight w:val="none"/>
          <w:lang w:val="en-US" w:eastAsia="zh-CN"/>
        </w:rPr>
      </w:pPr>
      <w:r>
        <w:rPr>
          <w:rFonts w:hint="eastAsia" w:ascii="宋体" w:hAnsi="宋体" w:cs="宋体"/>
          <w:highlight w:val="none"/>
          <w:lang w:val="en-US" w:eastAsia="zh-CN"/>
        </w:rPr>
        <w:t>在K118+100设立1台315KVA箱变，供</w:t>
      </w:r>
      <w:r>
        <w:rPr>
          <w:rFonts w:hint="eastAsia" w:ascii="宋体" w:hAnsi="宋体" w:eastAsia="宋体" w:cs="宋体"/>
          <w:highlight w:val="none"/>
          <w:lang w:val="en-US" w:eastAsia="zh-CN"/>
        </w:rPr>
        <w:t>大梧分离式立交</w:t>
      </w:r>
      <w:r>
        <w:rPr>
          <w:rFonts w:hint="eastAsia" w:ascii="宋体" w:hAnsi="宋体" w:cs="宋体"/>
          <w:highlight w:val="none"/>
          <w:lang w:val="en-US" w:eastAsia="zh-CN"/>
        </w:rPr>
        <w:t>和大梧小桥施工需要。</w:t>
      </w:r>
    </w:p>
    <w:p w14:paraId="1E04951F">
      <w:pPr>
        <w:ind w:firstLine="480"/>
        <w:rPr>
          <w:rFonts w:hint="eastAsia" w:ascii="宋体" w:hAnsi="宋体" w:cs="宋体"/>
          <w:highlight w:val="none"/>
          <w:lang w:val="en-US" w:eastAsia="zh-CN"/>
        </w:rPr>
      </w:pPr>
      <w:r>
        <w:rPr>
          <w:rFonts w:hint="eastAsia" w:ascii="宋体" w:hAnsi="宋体" w:cs="宋体"/>
          <w:highlight w:val="none"/>
          <w:lang w:val="en-US" w:eastAsia="zh-CN"/>
        </w:rPr>
        <w:t>在K120+600设立1台630KVA箱变，供金星乡互通桥梁（中寨分离式中桥、浔寮中桥、田朴通道小桥、A匝道桥、D匝道桥、E匝道1号桥、E匝道2号桥）和软土路基施工需要。</w:t>
      </w:r>
    </w:p>
    <w:p w14:paraId="0C5FFEB6">
      <w:pPr>
        <w:ind w:firstLine="480"/>
        <w:rPr>
          <w:rFonts w:hint="eastAsia" w:ascii="宋体" w:hAnsi="宋体" w:cs="宋体"/>
          <w:highlight w:val="none"/>
          <w:lang w:val="en-US" w:eastAsia="zh-CN"/>
        </w:rPr>
      </w:pPr>
      <w:r>
        <w:drawing>
          <wp:inline distT="0" distB="0" distL="114300" distR="114300">
            <wp:extent cx="5273040" cy="3125470"/>
            <wp:effectExtent l="0" t="0" r="0" b="13970"/>
            <wp:docPr id="14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图片 13"/>
                    <pic:cNvPicPr>
                      <a:picLocks noChangeAspect="1"/>
                    </pic:cNvPicPr>
                  </pic:nvPicPr>
                  <pic:blipFill>
                    <a:blip r:embed="rId30"/>
                    <a:stretch>
                      <a:fillRect/>
                    </a:stretch>
                  </pic:blipFill>
                  <pic:spPr>
                    <a:xfrm>
                      <a:off x="0" y="0"/>
                      <a:ext cx="5273040" cy="3125470"/>
                    </a:xfrm>
                    <a:prstGeom prst="rect">
                      <a:avLst/>
                    </a:prstGeom>
                    <a:noFill/>
                    <a:ln>
                      <a:noFill/>
                    </a:ln>
                  </pic:spPr>
                </pic:pic>
              </a:graphicData>
            </a:graphic>
          </wp:inline>
        </w:drawing>
      </w:r>
    </w:p>
    <w:p w14:paraId="598FC010">
      <w:pPr>
        <w:ind w:firstLine="480"/>
        <w:rPr>
          <w:rFonts w:hint="eastAsia" w:ascii="宋体" w:hAnsi="宋体" w:cs="宋体"/>
          <w:highlight w:val="none"/>
          <w:lang w:val="en-US" w:eastAsia="zh-CN"/>
        </w:rPr>
      </w:pPr>
      <w:r>
        <w:rPr>
          <w:rFonts w:hint="eastAsia" w:ascii="宋体" w:hAnsi="宋体" w:cs="宋体"/>
          <w:highlight w:val="none"/>
          <w:lang w:val="en-US" w:eastAsia="zh-CN"/>
        </w:rPr>
        <w:t>在K122+500设立1台315KVA箱变，供</w:t>
      </w:r>
      <w:r>
        <w:rPr>
          <w:rFonts w:hint="eastAsia" w:ascii="宋体" w:hAnsi="宋体" w:eastAsia="宋体" w:cs="宋体"/>
          <w:highlight w:val="none"/>
          <w:lang w:val="en-US" w:eastAsia="zh-CN"/>
        </w:rPr>
        <w:t>院前1号分离式立交、院前中桥、院前2号分离式立交</w:t>
      </w:r>
      <w:r>
        <w:rPr>
          <w:rFonts w:hint="eastAsia" w:ascii="宋体" w:hAnsi="宋体" w:cs="宋体"/>
          <w:highlight w:val="none"/>
          <w:lang w:val="en-US" w:eastAsia="zh-CN"/>
        </w:rPr>
        <w:t>施工需要。</w:t>
      </w:r>
    </w:p>
    <w:p w14:paraId="4F74D95E">
      <w:pPr>
        <w:ind w:firstLine="480"/>
        <w:rPr>
          <w:rFonts w:hint="eastAsia" w:ascii="宋体" w:hAnsi="宋体" w:cs="宋体"/>
          <w:highlight w:val="none"/>
          <w:lang w:val="en-US" w:eastAsia="zh-CN"/>
        </w:rPr>
      </w:pPr>
      <w:r>
        <w:rPr>
          <w:rFonts w:hint="eastAsia" w:ascii="宋体" w:hAnsi="宋体" w:cs="宋体"/>
          <w:highlight w:val="none"/>
          <w:lang w:val="en-US" w:eastAsia="zh-CN"/>
        </w:rPr>
        <w:t>在K123+800设立1台315KVA箱变，供</w:t>
      </w:r>
      <w:r>
        <w:rPr>
          <w:rFonts w:hint="eastAsia" w:ascii="宋体" w:hAnsi="宋体" w:eastAsia="宋体" w:cs="宋体"/>
          <w:highlight w:val="none"/>
          <w:lang w:val="en-US" w:eastAsia="zh-CN"/>
        </w:rPr>
        <w:t>周厝1#中桥、周厝2#中桥和邱城分离式小桥</w:t>
      </w:r>
      <w:r>
        <w:rPr>
          <w:rFonts w:hint="eastAsia" w:ascii="宋体" w:hAnsi="宋体" w:cs="宋体"/>
          <w:highlight w:val="none"/>
          <w:lang w:val="en-US" w:eastAsia="zh-CN"/>
        </w:rPr>
        <w:t>施工需要。</w:t>
      </w:r>
    </w:p>
    <w:p w14:paraId="3BEFFD52">
      <w:pPr>
        <w:ind w:firstLine="480"/>
        <w:rPr>
          <w:rFonts w:hint="eastAsia" w:ascii="宋体" w:hAnsi="宋体" w:cs="宋体"/>
          <w:highlight w:val="none"/>
          <w:lang w:val="en-US" w:eastAsia="zh-CN"/>
        </w:rPr>
      </w:pPr>
      <w:r>
        <w:rPr>
          <w:rFonts w:hint="eastAsia" w:ascii="宋体" w:hAnsi="宋体" w:cs="宋体"/>
          <w:highlight w:val="none"/>
          <w:lang w:val="en-US" w:eastAsia="zh-CN"/>
        </w:rPr>
        <w:t>在K126+200设立1台315KVA箱变，供诏安东互通和</w:t>
      </w:r>
      <w:r>
        <w:rPr>
          <w:rFonts w:hint="eastAsia" w:ascii="宋体" w:hAnsi="宋体" w:eastAsia="宋体" w:cs="宋体"/>
          <w:highlight w:val="none"/>
          <w:lang w:val="en-US" w:eastAsia="zh-CN"/>
        </w:rPr>
        <w:t>西山分离式中桥</w:t>
      </w:r>
      <w:r>
        <w:rPr>
          <w:rFonts w:hint="eastAsia" w:ascii="宋体" w:hAnsi="宋体" w:cs="宋体"/>
          <w:highlight w:val="none"/>
          <w:lang w:val="en-US" w:eastAsia="zh-CN"/>
        </w:rPr>
        <w:t>施工需要。</w:t>
      </w:r>
    </w:p>
    <w:p w14:paraId="0F38D74D">
      <w:pPr>
        <w:ind w:firstLine="480"/>
        <w:rPr>
          <w:rFonts w:hint="eastAsia" w:ascii="宋体" w:hAnsi="宋体" w:cs="宋体"/>
          <w:highlight w:val="none"/>
          <w:lang w:val="en-US" w:eastAsia="zh-CN"/>
        </w:rPr>
      </w:pPr>
      <w:r>
        <w:drawing>
          <wp:inline distT="0" distB="0" distL="114300" distR="114300">
            <wp:extent cx="5273675" cy="1525905"/>
            <wp:effectExtent l="0" t="0" r="14605" b="13335"/>
            <wp:docPr id="14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图片 14"/>
                    <pic:cNvPicPr>
                      <a:picLocks noChangeAspect="1"/>
                    </pic:cNvPicPr>
                  </pic:nvPicPr>
                  <pic:blipFill>
                    <a:blip r:embed="rId31"/>
                    <a:stretch>
                      <a:fillRect/>
                    </a:stretch>
                  </pic:blipFill>
                  <pic:spPr>
                    <a:xfrm>
                      <a:off x="0" y="0"/>
                      <a:ext cx="5273675" cy="1525905"/>
                    </a:xfrm>
                    <a:prstGeom prst="rect">
                      <a:avLst/>
                    </a:prstGeom>
                    <a:noFill/>
                    <a:ln>
                      <a:noFill/>
                    </a:ln>
                  </pic:spPr>
                </pic:pic>
              </a:graphicData>
            </a:graphic>
          </wp:inline>
        </w:drawing>
      </w:r>
    </w:p>
    <w:p w14:paraId="28CD3E9A">
      <w:pPr>
        <w:ind w:firstLine="480"/>
        <w:rPr>
          <w:rFonts w:hint="eastAsia" w:ascii="宋体" w:hAnsi="宋体" w:cs="宋体"/>
          <w:highlight w:val="none"/>
          <w:lang w:val="en-US" w:eastAsia="zh-CN"/>
        </w:rPr>
      </w:pPr>
      <w:r>
        <w:rPr>
          <w:rFonts w:hint="eastAsia" w:ascii="宋体" w:hAnsi="宋体" w:cs="宋体"/>
          <w:highlight w:val="none"/>
          <w:lang w:val="en-US" w:eastAsia="zh-CN"/>
        </w:rPr>
        <w:t>在K127+500设立1台400KVA箱变，供K127+000-K128+200段软土路基和外凤楼中桥施工需要。</w:t>
      </w:r>
    </w:p>
    <w:p w14:paraId="4ECC46BB">
      <w:pPr>
        <w:ind w:firstLine="480"/>
        <w:rPr>
          <w:rFonts w:hint="eastAsia" w:ascii="宋体" w:hAnsi="宋体" w:cs="宋体"/>
          <w:highlight w:val="none"/>
          <w:lang w:val="en-US" w:eastAsia="zh-CN"/>
        </w:rPr>
      </w:pPr>
      <w:r>
        <w:rPr>
          <w:rFonts w:hint="eastAsia" w:ascii="宋体" w:hAnsi="宋体" w:cs="宋体"/>
          <w:highlight w:val="none"/>
          <w:lang w:val="en-US" w:eastAsia="zh-CN"/>
        </w:rPr>
        <w:t>在K128+800设立1台400KVA箱变，供K128+200-K129+500段软土路基和外凤楼大桥施工需要。</w:t>
      </w:r>
    </w:p>
    <w:p w14:paraId="2FEC3F78">
      <w:pPr>
        <w:ind w:firstLine="480"/>
        <w:rPr>
          <w:rFonts w:hint="eastAsia" w:ascii="宋体" w:hAnsi="宋体" w:cs="宋体"/>
          <w:highlight w:val="none"/>
          <w:lang w:val="en-US" w:eastAsia="zh-CN"/>
        </w:rPr>
      </w:pPr>
      <w:r>
        <w:rPr>
          <w:rFonts w:hint="eastAsia" w:ascii="宋体" w:hAnsi="宋体" w:cs="宋体"/>
          <w:highlight w:val="none"/>
          <w:lang w:val="en-US" w:eastAsia="zh-CN"/>
        </w:rPr>
        <w:t>在K130+700设立1台400KVA箱变，供K130+850-K131+000段软土路基、甲州中桥和沃仔头中桥施工需要。</w:t>
      </w:r>
    </w:p>
    <w:p w14:paraId="34BB7DF6">
      <w:pPr>
        <w:ind w:firstLine="480"/>
        <w:rPr>
          <w:rFonts w:hint="eastAsia" w:ascii="宋体" w:hAnsi="宋体" w:cs="宋体"/>
          <w:highlight w:val="none"/>
          <w:lang w:val="en-US" w:eastAsia="zh-CN"/>
        </w:rPr>
      </w:pPr>
      <w:r>
        <w:rPr>
          <w:rFonts w:hint="eastAsia" w:ascii="宋体" w:hAnsi="宋体" w:cs="宋体"/>
          <w:highlight w:val="none"/>
          <w:lang w:val="en-US" w:eastAsia="zh-CN"/>
        </w:rPr>
        <w:t>在K131+800设立1台400KVA箱变，供沃仔头大桥、</w:t>
      </w:r>
      <w:r>
        <w:rPr>
          <w:rFonts w:hint="eastAsia" w:ascii="宋体" w:hAnsi="宋体" w:eastAsia="宋体" w:cs="宋体"/>
          <w:highlight w:val="none"/>
          <w:lang w:val="en-US" w:eastAsia="zh-CN"/>
        </w:rPr>
        <w:t>溪边园分离式立交中桥和软土路基</w:t>
      </w:r>
      <w:r>
        <w:rPr>
          <w:rFonts w:hint="eastAsia" w:ascii="宋体" w:hAnsi="宋体" w:cs="宋体"/>
          <w:highlight w:val="none"/>
          <w:lang w:val="en-US" w:eastAsia="zh-CN"/>
        </w:rPr>
        <w:t>施工需要。</w:t>
      </w:r>
    </w:p>
    <w:p w14:paraId="0E195A60">
      <w:pPr>
        <w:ind w:firstLine="480"/>
        <w:rPr>
          <w:rFonts w:hint="eastAsia" w:ascii="宋体" w:hAnsi="宋体" w:cs="宋体"/>
          <w:highlight w:val="none"/>
          <w:lang w:val="en-US" w:eastAsia="zh-CN"/>
        </w:rPr>
      </w:pPr>
      <w:r>
        <w:rPr>
          <w:rFonts w:hint="eastAsia" w:ascii="宋体" w:hAnsi="宋体" w:cs="宋体"/>
          <w:highlight w:val="none"/>
          <w:lang w:val="en-US" w:eastAsia="zh-CN"/>
        </w:rPr>
        <w:t>在K133+000设立1台400KVA箱变，供仕江大桥和</w:t>
      </w:r>
      <w:r>
        <w:rPr>
          <w:rFonts w:hint="eastAsia" w:ascii="宋体" w:hAnsi="宋体" w:eastAsia="宋体" w:cs="宋体"/>
          <w:highlight w:val="none"/>
          <w:lang w:val="en-US" w:eastAsia="zh-CN"/>
        </w:rPr>
        <w:t>软土路基</w:t>
      </w:r>
      <w:r>
        <w:rPr>
          <w:rFonts w:hint="eastAsia" w:ascii="宋体" w:hAnsi="宋体" w:cs="宋体"/>
          <w:highlight w:val="none"/>
          <w:lang w:val="en-US" w:eastAsia="zh-CN"/>
        </w:rPr>
        <w:t>施工需要。</w:t>
      </w:r>
    </w:p>
    <w:p w14:paraId="4E4D4BB1">
      <w:pPr>
        <w:ind w:firstLine="480"/>
        <w:rPr>
          <w:rFonts w:hint="eastAsia" w:ascii="宋体" w:hAnsi="宋体" w:cs="宋体"/>
          <w:highlight w:val="none"/>
          <w:lang w:val="en-US" w:eastAsia="zh-CN"/>
        </w:rPr>
      </w:pPr>
      <w:r>
        <w:rPr>
          <w:rFonts w:hint="eastAsia" w:ascii="宋体" w:hAnsi="宋体" w:cs="宋体"/>
          <w:highlight w:val="none"/>
          <w:lang w:val="en-US" w:eastAsia="zh-CN"/>
        </w:rPr>
        <w:t>从本项目设置的箱变位置采用电缆线引至本工程施工现场一级箱，并由一级箱引至施工区、加工作业区、生活区及办公区等，各设二级配电箱，均采用三相五线TN-S制供电。施工现场防止触电施工发生，应加强日常用电巡查。详见根据本项目施工用电特点编制详细的施工临时用电专项施工方案。</w:t>
      </w:r>
    </w:p>
    <w:p w14:paraId="74337294">
      <w:pPr>
        <w:ind w:firstLine="480"/>
        <w:jc w:val="center"/>
        <w:rPr>
          <w:rFonts w:hint="eastAsia"/>
          <w:highlight w:val="none"/>
        </w:rPr>
      </w:pPr>
      <w:r>
        <w:rPr>
          <w:rFonts w:hint="eastAsia"/>
          <w:highlight w:val="none"/>
        </w:rPr>
        <w:t>箱变位置表</w:t>
      </w:r>
    </w:p>
    <w:tbl>
      <w:tblPr>
        <w:tblStyle w:val="47"/>
        <w:tblW w:w="89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683"/>
        <w:gridCol w:w="1105"/>
        <w:gridCol w:w="1154"/>
        <w:gridCol w:w="1018"/>
        <w:gridCol w:w="5018"/>
      </w:tblGrid>
      <w:tr w14:paraId="392FF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78" w:hRule="atLeast"/>
          <w:jc w:val="center"/>
        </w:trPr>
        <w:tc>
          <w:tcPr>
            <w:tcW w:w="683" w:type="dxa"/>
            <w:shd w:val="clear" w:color="auto" w:fill="FFFFFF"/>
            <w:vAlign w:val="center"/>
          </w:tcPr>
          <w:p w14:paraId="5D5D2706">
            <w:pPr>
              <w:ind w:left="0" w:leftChars="0" w:firstLine="0" w:firstLineChars="0"/>
              <w:jc w:val="center"/>
              <w:rPr>
                <w:rFonts w:hint="eastAsia"/>
                <w:sz w:val="21"/>
                <w:szCs w:val="21"/>
                <w:highlight w:val="none"/>
              </w:rPr>
            </w:pPr>
            <w:r>
              <w:rPr>
                <w:rFonts w:hint="eastAsia"/>
                <w:sz w:val="21"/>
                <w:szCs w:val="21"/>
                <w:highlight w:val="none"/>
              </w:rPr>
              <w:t>序号</w:t>
            </w:r>
          </w:p>
        </w:tc>
        <w:tc>
          <w:tcPr>
            <w:tcW w:w="1105" w:type="dxa"/>
            <w:shd w:val="clear" w:color="auto" w:fill="FFFFFF"/>
            <w:vAlign w:val="center"/>
          </w:tcPr>
          <w:p w14:paraId="620A862A">
            <w:pPr>
              <w:ind w:left="0" w:leftChars="0" w:firstLine="0" w:firstLineChars="0"/>
              <w:jc w:val="center"/>
              <w:rPr>
                <w:rFonts w:hint="eastAsia"/>
                <w:sz w:val="21"/>
                <w:szCs w:val="21"/>
                <w:highlight w:val="none"/>
              </w:rPr>
            </w:pPr>
            <w:r>
              <w:rPr>
                <w:rFonts w:hint="eastAsia"/>
                <w:sz w:val="21"/>
                <w:szCs w:val="21"/>
                <w:highlight w:val="none"/>
              </w:rPr>
              <w:t>里程</w:t>
            </w:r>
          </w:p>
        </w:tc>
        <w:tc>
          <w:tcPr>
            <w:tcW w:w="1154" w:type="dxa"/>
            <w:shd w:val="clear" w:color="auto" w:fill="FFFFFF"/>
            <w:vAlign w:val="center"/>
          </w:tcPr>
          <w:p w14:paraId="0B30C44E">
            <w:pPr>
              <w:ind w:left="0" w:leftChars="0" w:firstLine="0" w:firstLineChars="0"/>
              <w:jc w:val="center"/>
              <w:rPr>
                <w:rFonts w:hint="eastAsia"/>
                <w:sz w:val="21"/>
                <w:szCs w:val="21"/>
                <w:highlight w:val="none"/>
              </w:rPr>
            </w:pPr>
            <w:r>
              <w:rPr>
                <w:rFonts w:hint="eastAsia"/>
                <w:sz w:val="21"/>
                <w:szCs w:val="21"/>
                <w:highlight w:val="none"/>
              </w:rPr>
              <w:t>箱变</w:t>
            </w:r>
          </w:p>
          <w:p w14:paraId="20ACE164">
            <w:pPr>
              <w:ind w:left="0" w:leftChars="0" w:firstLine="0" w:firstLineChars="0"/>
              <w:jc w:val="center"/>
              <w:rPr>
                <w:rFonts w:hint="eastAsia"/>
                <w:sz w:val="21"/>
                <w:szCs w:val="21"/>
                <w:highlight w:val="none"/>
              </w:rPr>
            </w:pPr>
            <w:r>
              <w:rPr>
                <w:rFonts w:hint="eastAsia"/>
                <w:sz w:val="21"/>
                <w:szCs w:val="21"/>
                <w:highlight w:val="none"/>
              </w:rPr>
              <w:t>型号</w:t>
            </w:r>
          </w:p>
        </w:tc>
        <w:tc>
          <w:tcPr>
            <w:tcW w:w="1018" w:type="dxa"/>
            <w:shd w:val="clear" w:color="auto" w:fill="FFFFFF"/>
            <w:vAlign w:val="center"/>
          </w:tcPr>
          <w:p w14:paraId="338D66AA">
            <w:pPr>
              <w:ind w:left="0" w:leftChars="0" w:firstLine="0" w:firstLineChars="0"/>
              <w:jc w:val="center"/>
              <w:rPr>
                <w:rFonts w:hint="eastAsia"/>
                <w:sz w:val="21"/>
                <w:szCs w:val="21"/>
                <w:highlight w:val="none"/>
                <w:lang w:val="en-US" w:eastAsia="zh-CN"/>
              </w:rPr>
            </w:pPr>
            <w:r>
              <w:rPr>
                <w:rFonts w:hint="eastAsia"/>
                <w:sz w:val="21"/>
                <w:szCs w:val="21"/>
                <w:highlight w:val="none"/>
                <w:lang w:val="en-US" w:eastAsia="zh-CN"/>
              </w:rPr>
              <w:t>数量</w:t>
            </w:r>
          </w:p>
        </w:tc>
        <w:tc>
          <w:tcPr>
            <w:tcW w:w="5018" w:type="dxa"/>
            <w:shd w:val="clear" w:color="auto" w:fill="FFFFFF"/>
            <w:vAlign w:val="center"/>
          </w:tcPr>
          <w:p w14:paraId="398AD5EE">
            <w:pPr>
              <w:ind w:firstLine="480"/>
              <w:jc w:val="center"/>
              <w:rPr>
                <w:rFonts w:hint="eastAsia"/>
                <w:sz w:val="21"/>
                <w:szCs w:val="21"/>
                <w:highlight w:val="none"/>
                <w:lang w:val="en-US" w:eastAsia="zh-CN"/>
              </w:rPr>
            </w:pPr>
            <w:r>
              <w:rPr>
                <w:rFonts w:hint="eastAsia"/>
                <w:sz w:val="21"/>
                <w:szCs w:val="21"/>
                <w:highlight w:val="none"/>
                <w:lang w:val="en-US" w:eastAsia="zh-CN"/>
              </w:rPr>
              <w:t>备注</w:t>
            </w:r>
          </w:p>
        </w:tc>
      </w:tr>
      <w:tr w14:paraId="30E08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2" w:hRule="atLeast"/>
          <w:jc w:val="center"/>
        </w:trPr>
        <w:tc>
          <w:tcPr>
            <w:tcW w:w="683" w:type="dxa"/>
            <w:shd w:val="clear" w:color="auto" w:fill="FFFFFF"/>
            <w:vAlign w:val="center"/>
          </w:tcPr>
          <w:p w14:paraId="64301E7A">
            <w:pPr>
              <w:ind w:left="0" w:leftChars="0" w:firstLine="0" w:firstLineChars="0"/>
              <w:jc w:val="center"/>
              <w:rPr>
                <w:rFonts w:hint="eastAsia"/>
                <w:sz w:val="21"/>
                <w:szCs w:val="21"/>
                <w:highlight w:val="none"/>
              </w:rPr>
            </w:pPr>
            <w:r>
              <w:rPr>
                <w:rFonts w:hint="eastAsia"/>
                <w:sz w:val="21"/>
                <w:szCs w:val="21"/>
                <w:highlight w:val="none"/>
              </w:rPr>
              <w:t>1</w:t>
            </w:r>
          </w:p>
        </w:tc>
        <w:tc>
          <w:tcPr>
            <w:tcW w:w="1105" w:type="dxa"/>
            <w:shd w:val="clear" w:color="auto" w:fill="FFFFFF"/>
            <w:vAlign w:val="center"/>
          </w:tcPr>
          <w:p w14:paraId="72FC229C">
            <w:pPr>
              <w:ind w:left="0" w:leftChars="0" w:firstLine="0" w:firstLineChars="0"/>
              <w:jc w:val="center"/>
              <w:rPr>
                <w:rFonts w:hint="eastAsia"/>
                <w:sz w:val="21"/>
                <w:szCs w:val="21"/>
                <w:highlight w:val="none"/>
              </w:rPr>
            </w:pPr>
            <w:r>
              <w:rPr>
                <w:rFonts w:hint="eastAsia"/>
                <w:sz w:val="21"/>
                <w:szCs w:val="21"/>
                <w:highlight w:val="none"/>
              </w:rPr>
              <w:t>K</w:t>
            </w:r>
            <w:r>
              <w:rPr>
                <w:rFonts w:hint="eastAsia"/>
                <w:sz w:val="21"/>
                <w:szCs w:val="21"/>
                <w:highlight w:val="none"/>
                <w:lang w:val="en-US" w:eastAsia="zh-CN"/>
              </w:rPr>
              <w:t>117</w:t>
            </w:r>
            <w:r>
              <w:rPr>
                <w:rFonts w:hint="eastAsia"/>
                <w:sz w:val="21"/>
                <w:szCs w:val="21"/>
                <w:highlight w:val="none"/>
              </w:rPr>
              <w:t>+</w:t>
            </w:r>
            <w:r>
              <w:rPr>
                <w:rFonts w:hint="eastAsia"/>
                <w:sz w:val="21"/>
                <w:szCs w:val="21"/>
                <w:highlight w:val="none"/>
                <w:lang w:val="en-US" w:eastAsia="zh-CN"/>
              </w:rPr>
              <w:t>00</w:t>
            </w:r>
            <w:r>
              <w:rPr>
                <w:rFonts w:hint="eastAsia"/>
                <w:sz w:val="21"/>
                <w:szCs w:val="21"/>
                <w:highlight w:val="none"/>
              </w:rPr>
              <w:t>0</w:t>
            </w:r>
          </w:p>
        </w:tc>
        <w:tc>
          <w:tcPr>
            <w:tcW w:w="1154" w:type="dxa"/>
            <w:shd w:val="clear" w:color="auto" w:fill="FFFFFF"/>
            <w:vAlign w:val="center"/>
          </w:tcPr>
          <w:p w14:paraId="084F33DE">
            <w:pPr>
              <w:ind w:left="0" w:leftChars="0" w:firstLine="0" w:firstLineChars="0"/>
              <w:jc w:val="center"/>
              <w:rPr>
                <w:rFonts w:hint="eastAsia"/>
                <w:sz w:val="21"/>
                <w:szCs w:val="21"/>
                <w:highlight w:val="none"/>
              </w:rPr>
            </w:pPr>
            <w:r>
              <w:rPr>
                <w:rFonts w:hint="eastAsia"/>
                <w:sz w:val="21"/>
                <w:szCs w:val="21"/>
                <w:highlight w:val="none"/>
                <w:lang w:val="en-US" w:eastAsia="zh-CN"/>
              </w:rPr>
              <w:t>400</w:t>
            </w:r>
            <w:r>
              <w:rPr>
                <w:rFonts w:hint="eastAsia"/>
                <w:sz w:val="21"/>
                <w:szCs w:val="21"/>
                <w:highlight w:val="none"/>
              </w:rPr>
              <w:t>KV</w:t>
            </w:r>
            <w:r>
              <w:rPr>
                <w:rFonts w:hint="eastAsia"/>
                <w:sz w:val="21"/>
                <w:szCs w:val="21"/>
                <w:highlight w:val="none"/>
                <w:lang w:val="en-US" w:eastAsia="zh-CN"/>
              </w:rPr>
              <w:t>A</w:t>
            </w:r>
          </w:p>
        </w:tc>
        <w:tc>
          <w:tcPr>
            <w:tcW w:w="1018" w:type="dxa"/>
            <w:shd w:val="clear" w:color="auto" w:fill="FFFFFF"/>
            <w:vAlign w:val="center"/>
          </w:tcPr>
          <w:p w14:paraId="36077027">
            <w:pPr>
              <w:ind w:left="0" w:leftChars="0" w:firstLine="0" w:firstLineChars="0"/>
              <w:jc w:val="center"/>
              <w:rPr>
                <w:rFonts w:hint="default"/>
                <w:sz w:val="21"/>
                <w:szCs w:val="21"/>
                <w:highlight w:val="none"/>
                <w:lang w:val="en-US" w:eastAsia="zh-CN"/>
              </w:rPr>
            </w:pPr>
            <w:r>
              <w:rPr>
                <w:rFonts w:hint="eastAsia"/>
                <w:sz w:val="21"/>
                <w:szCs w:val="21"/>
                <w:highlight w:val="none"/>
                <w:lang w:val="en-US" w:eastAsia="zh-CN"/>
              </w:rPr>
              <w:t>1</w:t>
            </w:r>
          </w:p>
        </w:tc>
        <w:tc>
          <w:tcPr>
            <w:tcW w:w="5018" w:type="dxa"/>
            <w:shd w:val="clear" w:color="auto" w:fill="FFFFFF"/>
            <w:vAlign w:val="center"/>
          </w:tcPr>
          <w:p w14:paraId="735AA9DF">
            <w:pPr>
              <w:ind w:left="0" w:leftChars="0" w:firstLine="0" w:firstLineChars="0"/>
              <w:jc w:val="center"/>
              <w:rPr>
                <w:rFonts w:hint="eastAsia"/>
                <w:sz w:val="21"/>
                <w:szCs w:val="21"/>
                <w:highlight w:val="none"/>
              </w:rPr>
            </w:pPr>
            <w:r>
              <w:rPr>
                <w:rFonts w:hint="eastAsia"/>
                <w:sz w:val="21"/>
                <w:szCs w:val="21"/>
                <w:highlight w:val="none"/>
              </w:rPr>
              <w:t>供</w:t>
            </w:r>
            <w:r>
              <w:rPr>
                <w:rFonts w:hint="eastAsia" w:eastAsia="宋体"/>
                <w:sz w:val="21"/>
                <w:szCs w:val="21"/>
                <w:highlight w:val="none"/>
                <w:lang w:val="en-US" w:eastAsia="zh-CN"/>
              </w:rPr>
              <w:t>港口大桥</w:t>
            </w:r>
            <w:r>
              <w:rPr>
                <w:rFonts w:hint="eastAsia"/>
                <w:sz w:val="21"/>
                <w:szCs w:val="21"/>
                <w:highlight w:val="none"/>
              </w:rPr>
              <w:t>施工需要</w:t>
            </w:r>
          </w:p>
        </w:tc>
      </w:tr>
      <w:tr w14:paraId="7C43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4" w:hRule="atLeast"/>
          <w:jc w:val="center"/>
        </w:trPr>
        <w:tc>
          <w:tcPr>
            <w:tcW w:w="683" w:type="dxa"/>
            <w:shd w:val="clear" w:color="auto" w:fill="FFFFFF"/>
            <w:vAlign w:val="center"/>
          </w:tcPr>
          <w:p w14:paraId="73A8280B">
            <w:pPr>
              <w:ind w:left="0" w:leftChars="0" w:firstLine="0" w:firstLineChars="0"/>
              <w:jc w:val="center"/>
              <w:rPr>
                <w:rFonts w:hint="eastAsia" w:eastAsia="宋体"/>
                <w:sz w:val="21"/>
                <w:szCs w:val="21"/>
                <w:highlight w:val="none"/>
              </w:rPr>
            </w:pPr>
            <w:r>
              <w:rPr>
                <w:rFonts w:hint="eastAsia" w:eastAsia="宋体"/>
                <w:sz w:val="21"/>
                <w:szCs w:val="21"/>
                <w:highlight w:val="none"/>
              </w:rPr>
              <w:t>2</w:t>
            </w:r>
          </w:p>
        </w:tc>
        <w:tc>
          <w:tcPr>
            <w:tcW w:w="1105" w:type="dxa"/>
            <w:shd w:val="clear" w:color="auto" w:fill="FFFFFF"/>
            <w:vAlign w:val="center"/>
          </w:tcPr>
          <w:p w14:paraId="4B7045F5">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K118+100</w:t>
            </w:r>
          </w:p>
        </w:tc>
        <w:tc>
          <w:tcPr>
            <w:tcW w:w="1154" w:type="dxa"/>
            <w:shd w:val="clear" w:color="auto" w:fill="FFFFFF"/>
            <w:vAlign w:val="center"/>
          </w:tcPr>
          <w:p w14:paraId="1C4567A1">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315</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203BC21F">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1D0465C6">
            <w:pPr>
              <w:ind w:left="0" w:leftChars="0" w:firstLine="0" w:firstLineChars="0"/>
              <w:jc w:val="center"/>
              <w:rPr>
                <w:rFonts w:hint="eastAsia" w:eastAsia="宋体"/>
                <w:sz w:val="21"/>
                <w:szCs w:val="21"/>
                <w:highlight w:val="none"/>
              </w:rPr>
            </w:pPr>
            <w:r>
              <w:rPr>
                <w:rFonts w:hint="eastAsia" w:eastAsia="宋体"/>
                <w:sz w:val="21"/>
                <w:szCs w:val="21"/>
                <w:highlight w:val="none"/>
              </w:rPr>
              <w:t>供</w:t>
            </w:r>
            <w:r>
              <w:rPr>
                <w:rFonts w:hint="eastAsia" w:eastAsia="宋体"/>
                <w:sz w:val="21"/>
                <w:szCs w:val="21"/>
                <w:highlight w:val="none"/>
                <w:lang w:val="en-US" w:eastAsia="zh-CN"/>
              </w:rPr>
              <w:t>大梧分离式立交和大梧小桥</w:t>
            </w:r>
            <w:r>
              <w:rPr>
                <w:rFonts w:hint="eastAsia" w:eastAsia="宋体"/>
                <w:sz w:val="21"/>
                <w:szCs w:val="21"/>
                <w:highlight w:val="none"/>
              </w:rPr>
              <w:t>施工需要</w:t>
            </w:r>
          </w:p>
        </w:tc>
      </w:tr>
      <w:tr w14:paraId="1DC96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4" w:hRule="atLeast"/>
          <w:jc w:val="center"/>
        </w:trPr>
        <w:tc>
          <w:tcPr>
            <w:tcW w:w="683" w:type="dxa"/>
            <w:shd w:val="clear" w:color="auto" w:fill="FFFFFF"/>
            <w:vAlign w:val="center"/>
          </w:tcPr>
          <w:p w14:paraId="275C03DF">
            <w:pPr>
              <w:ind w:left="0" w:leftChars="0" w:firstLine="0" w:firstLineChars="0"/>
              <w:jc w:val="center"/>
              <w:rPr>
                <w:rFonts w:hint="eastAsia" w:eastAsia="宋体"/>
                <w:sz w:val="21"/>
                <w:szCs w:val="21"/>
                <w:highlight w:val="none"/>
              </w:rPr>
            </w:pPr>
            <w:r>
              <w:rPr>
                <w:rFonts w:hint="eastAsia" w:eastAsia="宋体"/>
                <w:sz w:val="21"/>
                <w:szCs w:val="21"/>
                <w:highlight w:val="none"/>
              </w:rPr>
              <w:t>3</w:t>
            </w:r>
          </w:p>
        </w:tc>
        <w:tc>
          <w:tcPr>
            <w:tcW w:w="1105" w:type="dxa"/>
            <w:shd w:val="clear" w:color="auto" w:fill="FFFFFF"/>
            <w:vAlign w:val="center"/>
          </w:tcPr>
          <w:p w14:paraId="2A883681">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K120+600</w:t>
            </w:r>
          </w:p>
        </w:tc>
        <w:tc>
          <w:tcPr>
            <w:tcW w:w="1154" w:type="dxa"/>
            <w:shd w:val="clear" w:color="auto" w:fill="FFFFFF"/>
            <w:vAlign w:val="center"/>
          </w:tcPr>
          <w:p w14:paraId="5584236B">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630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5B303EA9">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786F751F">
            <w:pPr>
              <w:ind w:left="0" w:leftChars="0" w:firstLine="0" w:firstLineChars="0"/>
              <w:jc w:val="center"/>
              <w:rPr>
                <w:rFonts w:hint="eastAsia" w:eastAsia="宋体"/>
                <w:sz w:val="21"/>
                <w:szCs w:val="21"/>
                <w:highlight w:val="none"/>
              </w:rPr>
            </w:pPr>
            <w:r>
              <w:rPr>
                <w:rFonts w:hint="eastAsia" w:eastAsia="宋体"/>
                <w:sz w:val="21"/>
                <w:szCs w:val="21"/>
                <w:highlight w:val="none"/>
              </w:rPr>
              <w:t>供</w:t>
            </w:r>
            <w:r>
              <w:rPr>
                <w:rFonts w:hint="eastAsia" w:eastAsia="宋体"/>
                <w:sz w:val="21"/>
                <w:szCs w:val="21"/>
                <w:highlight w:val="none"/>
                <w:lang w:val="en-US" w:eastAsia="zh-CN"/>
              </w:rPr>
              <w:t>金星乡互通桥梁和软土路基</w:t>
            </w:r>
            <w:r>
              <w:rPr>
                <w:rFonts w:hint="eastAsia" w:eastAsia="宋体"/>
                <w:sz w:val="21"/>
                <w:szCs w:val="21"/>
                <w:highlight w:val="none"/>
              </w:rPr>
              <w:t>施工需要</w:t>
            </w:r>
          </w:p>
        </w:tc>
      </w:tr>
      <w:tr w14:paraId="743DD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4" w:hRule="atLeast"/>
          <w:jc w:val="center"/>
        </w:trPr>
        <w:tc>
          <w:tcPr>
            <w:tcW w:w="683" w:type="dxa"/>
            <w:shd w:val="clear" w:color="auto" w:fill="FFFFFF"/>
            <w:vAlign w:val="center"/>
          </w:tcPr>
          <w:p w14:paraId="3FD334EF">
            <w:pPr>
              <w:ind w:left="0" w:leftChars="0" w:firstLine="0" w:firstLineChars="0"/>
              <w:jc w:val="center"/>
              <w:rPr>
                <w:rFonts w:hint="eastAsia" w:eastAsia="宋体"/>
                <w:sz w:val="21"/>
                <w:szCs w:val="21"/>
                <w:highlight w:val="none"/>
              </w:rPr>
            </w:pPr>
            <w:r>
              <w:rPr>
                <w:rFonts w:hint="eastAsia" w:eastAsia="宋体"/>
                <w:sz w:val="21"/>
                <w:szCs w:val="21"/>
                <w:highlight w:val="none"/>
              </w:rPr>
              <w:t>4</w:t>
            </w:r>
          </w:p>
        </w:tc>
        <w:tc>
          <w:tcPr>
            <w:tcW w:w="1105" w:type="dxa"/>
            <w:shd w:val="clear" w:color="auto" w:fill="FFFFFF"/>
            <w:vAlign w:val="center"/>
          </w:tcPr>
          <w:p w14:paraId="172CCD10">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K122+500</w:t>
            </w:r>
          </w:p>
        </w:tc>
        <w:tc>
          <w:tcPr>
            <w:tcW w:w="1154" w:type="dxa"/>
            <w:shd w:val="clear" w:color="auto" w:fill="FFFFFF"/>
            <w:vAlign w:val="center"/>
          </w:tcPr>
          <w:p w14:paraId="1129A830">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315</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5ACCB9C5">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1454592E">
            <w:pPr>
              <w:ind w:left="0" w:leftChars="0" w:firstLine="0" w:firstLineChars="0"/>
              <w:jc w:val="center"/>
              <w:rPr>
                <w:rFonts w:hint="eastAsia" w:eastAsia="宋体"/>
                <w:sz w:val="21"/>
                <w:szCs w:val="21"/>
                <w:highlight w:val="none"/>
              </w:rPr>
            </w:pPr>
            <w:r>
              <w:rPr>
                <w:rFonts w:hint="eastAsia" w:eastAsia="宋体"/>
                <w:sz w:val="21"/>
                <w:szCs w:val="21"/>
                <w:highlight w:val="none"/>
              </w:rPr>
              <w:t>供</w:t>
            </w:r>
            <w:r>
              <w:rPr>
                <w:rFonts w:hint="eastAsia" w:eastAsia="宋体"/>
                <w:sz w:val="21"/>
                <w:szCs w:val="21"/>
                <w:highlight w:val="none"/>
                <w:lang w:val="en-US" w:eastAsia="zh-CN"/>
              </w:rPr>
              <w:t>院前1号分离式立交、院前中桥、院前2号分离式立交</w:t>
            </w:r>
            <w:r>
              <w:rPr>
                <w:rFonts w:hint="eastAsia" w:eastAsia="宋体"/>
                <w:sz w:val="21"/>
                <w:szCs w:val="21"/>
                <w:highlight w:val="none"/>
              </w:rPr>
              <w:t>施工需要</w:t>
            </w:r>
          </w:p>
        </w:tc>
      </w:tr>
      <w:tr w14:paraId="1BA13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4" w:hRule="atLeast"/>
          <w:jc w:val="center"/>
        </w:trPr>
        <w:tc>
          <w:tcPr>
            <w:tcW w:w="683" w:type="dxa"/>
            <w:shd w:val="clear" w:color="auto" w:fill="FFFFFF"/>
            <w:vAlign w:val="center"/>
          </w:tcPr>
          <w:p w14:paraId="35C78528">
            <w:pPr>
              <w:ind w:left="0" w:leftChars="0" w:firstLine="0" w:firstLineChars="0"/>
              <w:jc w:val="center"/>
              <w:rPr>
                <w:rFonts w:hint="eastAsia" w:eastAsia="宋体"/>
                <w:sz w:val="21"/>
                <w:szCs w:val="21"/>
                <w:highlight w:val="none"/>
              </w:rPr>
            </w:pPr>
            <w:r>
              <w:rPr>
                <w:rFonts w:hint="eastAsia" w:eastAsia="宋体"/>
                <w:sz w:val="21"/>
                <w:szCs w:val="21"/>
                <w:highlight w:val="none"/>
              </w:rPr>
              <w:t>5</w:t>
            </w:r>
          </w:p>
        </w:tc>
        <w:tc>
          <w:tcPr>
            <w:tcW w:w="1105" w:type="dxa"/>
            <w:shd w:val="clear" w:color="auto" w:fill="FFFFFF"/>
            <w:vAlign w:val="center"/>
          </w:tcPr>
          <w:p w14:paraId="1119CDA2">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K123+800</w:t>
            </w:r>
          </w:p>
        </w:tc>
        <w:tc>
          <w:tcPr>
            <w:tcW w:w="1154" w:type="dxa"/>
            <w:shd w:val="clear" w:color="auto" w:fill="FFFFFF"/>
            <w:vAlign w:val="center"/>
          </w:tcPr>
          <w:p w14:paraId="668D65F9">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315</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43047475">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52B1B4F3">
            <w:pPr>
              <w:ind w:left="0" w:leftChars="0" w:firstLine="0" w:firstLineChars="0"/>
              <w:jc w:val="center"/>
              <w:rPr>
                <w:rFonts w:hint="eastAsia" w:eastAsia="宋体"/>
                <w:sz w:val="21"/>
                <w:szCs w:val="21"/>
                <w:highlight w:val="none"/>
              </w:rPr>
            </w:pPr>
            <w:r>
              <w:rPr>
                <w:rFonts w:hint="eastAsia" w:eastAsia="宋体"/>
                <w:sz w:val="21"/>
                <w:szCs w:val="21"/>
                <w:highlight w:val="none"/>
              </w:rPr>
              <w:t>供</w:t>
            </w:r>
            <w:r>
              <w:rPr>
                <w:rFonts w:hint="eastAsia" w:eastAsia="宋体"/>
                <w:sz w:val="21"/>
                <w:szCs w:val="21"/>
                <w:highlight w:val="none"/>
                <w:lang w:val="en-US" w:eastAsia="zh-CN"/>
              </w:rPr>
              <w:t>周厝1#中桥、周厝2#中桥和邱城分离式小桥</w:t>
            </w:r>
            <w:r>
              <w:rPr>
                <w:rFonts w:hint="eastAsia" w:eastAsia="宋体"/>
                <w:sz w:val="21"/>
                <w:szCs w:val="21"/>
                <w:highlight w:val="none"/>
              </w:rPr>
              <w:t>施工需要</w:t>
            </w:r>
          </w:p>
        </w:tc>
      </w:tr>
      <w:tr w14:paraId="3F553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84" w:hRule="atLeast"/>
          <w:jc w:val="center"/>
        </w:trPr>
        <w:tc>
          <w:tcPr>
            <w:tcW w:w="683" w:type="dxa"/>
            <w:shd w:val="clear" w:color="auto" w:fill="FFFFFF"/>
            <w:vAlign w:val="center"/>
          </w:tcPr>
          <w:p w14:paraId="707DBED8">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6</w:t>
            </w:r>
          </w:p>
        </w:tc>
        <w:tc>
          <w:tcPr>
            <w:tcW w:w="1105" w:type="dxa"/>
            <w:shd w:val="clear" w:color="auto" w:fill="FFFFFF"/>
            <w:vAlign w:val="center"/>
          </w:tcPr>
          <w:p w14:paraId="16DB19B9">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K126+200</w:t>
            </w:r>
          </w:p>
        </w:tc>
        <w:tc>
          <w:tcPr>
            <w:tcW w:w="1154" w:type="dxa"/>
            <w:shd w:val="clear" w:color="auto" w:fill="FFFFFF"/>
            <w:vAlign w:val="center"/>
          </w:tcPr>
          <w:p w14:paraId="34B62100">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315</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1C7F749C">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6C15945E">
            <w:pPr>
              <w:ind w:left="0" w:leftChars="0" w:firstLine="0" w:firstLineChars="0"/>
              <w:jc w:val="center"/>
              <w:rPr>
                <w:rFonts w:hint="eastAsia" w:eastAsia="宋体"/>
                <w:sz w:val="21"/>
                <w:szCs w:val="21"/>
                <w:highlight w:val="none"/>
              </w:rPr>
            </w:pPr>
            <w:r>
              <w:rPr>
                <w:rFonts w:hint="eastAsia" w:eastAsia="宋体"/>
                <w:sz w:val="21"/>
                <w:szCs w:val="21"/>
                <w:highlight w:val="none"/>
              </w:rPr>
              <w:t>供</w:t>
            </w:r>
            <w:r>
              <w:rPr>
                <w:rFonts w:hint="eastAsia" w:eastAsia="宋体"/>
                <w:sz w:val="21"/>
                <w:szCs w:val="21"/>
                <w:highlight w:val="none"/>
                <w:lang w:val="en-US" w:eastAsia="zh-CN"/>
              </w:rPr>
              <w:t>诏安东互通和西山分离式中桥</w:t>
            </w:r>
            <w:r>
              <w:rPr>
                <w:rFonts w:hint="eastAsia" w:eastAsia="宋体"/>
                <w:sz w:val="21"/>
                <w:szCs w:val="21"/>
                <w:highlight w:val="none"/>
              </w:rPr>
              <w:t>施工需要</w:t>
            </w:r>
          </w:p>
        </w:tc>
      </w:tr>
      <w:tr w14:paraId="11FDF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49" w:hRule="atLeast"/>
          <w:jc w:val="center"/>
        </w:trPr>
        <w:tc>
          <w:tcPr>
            <w:tcW w:w="683" w:type="dxa"/>
            <w:shd w:val="clear" w:color="auto" w:fill="FFFFFF"/>
            <w:vAlign w:val="center"/>
          </w:tcPr>
          <w:p w14:paraId="46278275">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7</w:t>
            </w:r>
          </w:p>
        </w:tc>
        <w:tc>
          <w:tcPr>
            <w:tcW w:w="1105" w:type="dxa"/>
            <w:shd w:val="clear" w:color="auto" w:fill="FFFFFF"/>
            <w:vAlign w:val="center"/>
          </w:tcPr>
          <w:p w14:paraId="27B02B3B">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K127+500</w:t>
            </w:r>
          </w:p>
        </w:tc>
        <w:tc>
          <w:tcPr>
            <w:tcW w:w="1154" w:type="dxa"/>
            <w:shd w:val="clear" w:color="auto" w:fill="FFFFFF"/>
            <w:vAlign w:val="center"/>
          </w:tcPr>
          <w:p w14:paraId="3D1D2C9E">
            <w:pPr>
              <w:ind w:left="0" w:leftChars="0" w:firstLine="0" w:firstLineChars="0"/>
              <w:jc w:val="center"/>
              <w:rPr>
                <w:rFonts w:hint="eastAsia" w:eastAsia="宋体"/>
                <w:sz w:val="21"/>
                <w:szCs w:val="21"/>
                <w:highlight w:val="none"/>
              </w:rPr>
            </w:pPr>
            <w:r>
              <w:rPr>
                <w:rFonts w:hint="eastAsia" w:eastAsia="宋体"/>
                <w:sz w:val="21"/>
                <w:szCs w:val="21"/>
                <w:highlight w:val="none"/>
                <w:lang w:val="en-US" w:eastAsia="zh-CN"/>
              </w:rPr>
              <w:t>400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57F937F0">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1A12FF93">
            <w:pPr>
              <w:ind w:left="0" w:leftChars="0" w:firstLine="0" w:firstLineChars="0"/>
              <w:jc w:val="center"/>
              <w:rPr>
                <w:rFonts w:hint="eastAsia" w:eastAsia="宋体"/>
                <w:sz w:val="21"/>
                <w:szCs w:val="21"/>
                <w:highlight w:val="none"/>
              </w:rPr>
            </w:pPr>
            <w:r>
              <w:rPr>
                <w:rFonts w:hint="eastAsia" w:eastAsia="宋体"/>
                <w:sz w:val="21"/>
                <w:szCs w:val="21"/>
                <w:highlight w:val="none"/>
              </w:rPr>
              <w:t>供</w:t>
            </w:r>
            <w:r>
              <w:rPr>
                <w:rFonts w:hint="eastAsia" w:eastAsia="宋体"/>
                <w:sz w:val="21"/>
                <w:szCs w:val="21"/>
                <w:highlight w:val="none"/>
                <w:lang w:val="en-US" w:eastAsia="zh-CN"/>
              </w:rPr>
              <w:t>K127+000-K128+200段软土路基和外凤楼中桥</w:t>
            </w:r>
            <w:r>
              <w:rPr>
                <w:rFonts w:hint="eastAsia" w:eastAsia="宋体"/>
                <w:sz w:val="21"/>
                <w:szCs w:val="21"/>
                <w:highlight w:val="none"/>
              </w:rPr>
              <w:t>施工需要</w:t>
            </w:r>
          </w:p>
        </w:tc>
      </w:tr>
      <w:tr w14:paraId="2A242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49" w:hRule="atLeast"/>
          <w:jc w:val="center"/>
        </w:trPr>
        <w:tc>
          <w:tcPr>
            <w:tcW w:w="683" w:type="dxa"/>
            <w:shd w:val="clear" w:color="auto" w:fill="FFFFFF"/>
            <w:vAlign w:val="center"/>
          </w:tcPr>
          <w:p w14:paraId="3E9A990C">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lang w:val="en-US" w:eastAsia="zh-CN"/>
              </w:rPr>
              <w:t>8</w:t>
            </w:r>
          </w:p>
        </w:tc>
        <w:tc>
          <w:tcPr>
            <w:tcW w:w="1105" w:type="dxa"/>
            <w:shd w:val="clear" w:color="auto" w:fill="FFFFFF"/>
            <w:vAlign w:val="center"/>
          </w:tcPr>
          <w:p w14:paraId="603CC4C3">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K128+800</w:t>
            </w:r>
          </w:p>
        </w:tc>
        <w:tc>
          <w:tcPr>
            <w:tcW w:w="1154" w:type="dxa"/>
            <w:shd w:val="clear" w:color="auto" w:fill="FFFFFF"/>
            <w:vAlign w:val="center"/>
          </w:tcPr>
          <w:p w14:paraId="4A757412">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400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536AE643">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71EAC2BB">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rPr>
              <w:t>供</w:t>
            </w:r>
            <w:r>
              <w:rPr>
                <w:rFonts w:hint="eastAsia" w:eastAsia="宋体"/>
                <w:sz w:val="21"/>
                <w:szCs w:val="21"/>
                <w:highlight w:val="none"/>
                <w:lang w:val="en-US" w:eastAsia="zh-CN"/>
              </w:rPr>
              <w:t>K128+200-K129+500段软土路基和外凤楼大桥</w:t>
            </w:r>
            <w:r>
              <w:rPr>
                <w:rFonts w:hint="eastAsia" w:eastAsia="宋体"/>
                <w:sz w:val="21"/>
                <w:szCs w:val="21"/>
                <w:highlight w:val="none"/>
              </w:rPr>
              <w:t>施工需要</w:t>
            </w:r>
          </w:p>
        </w:tc>
      </w:tr>
      <w:tr w14:paraId="08E42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49" w:hRule="atLeast"/>
          <w:jc w:val="center"/>
        </w:trPr>
        <w:tc>
          <w:tcPr>
            <w:tcW w:w="683" w:type="dxa"/>
            <w:shd w:val="clear" w:color="auto" w:fill="FFFFFF"/>
            <w:vAlign w:val="center"/>
          </w:tcPr>
          <w:p w14:paraId="5B2782A5">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lang w:val="en-US" w:eastAsia="zh-CN"/>
              </w:rPr>
              <w:t>9</w:t>
            </w:r>
          </w:p>
        </w:tc>
        <w:tc>
          <w:tcPr>
            <w:tcW w:w="1105" w:type="dxa"/>
            <w:shd w:val="clear" w:color="auto" w:fill="FFFFFF"/>
            <w:vAlign w:val="center"/>
          </w:tcPr>
          <w:p w14:paraId="30408347">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K130+700</w:t>
            </w:r>
          </w:p>
        </w:tc>
        <w:tc>
          <w:tcPr>
            <w:tcW w:w="1154" w:type="dxa"/>
            <w:shd w:val="clear" w:color="auto" w:fill="FFFFFF"/>
            <w:vAlign w:val="center"/>
          </w:tcPr>
          <w:p w14:paraId="55A3965F">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400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2A3A144E">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409FA3FC">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rPr>
              <w:t>供</w:t>
            </w:r>
            <w:r>
              <w:rPr>
                <w:rFonts w:hint="eastAsia" w:eastAsia="宋体"/>
                <w:sz w:val="21"/>
                <w:szCs w:val="21"/>
                <w:highlight w:val="none"/>
                <w:lang w:val="en-US" w:eastAsia="zh-CN"/>
              </w:rPr>
              <w:t>KK130+850-K131+000段软土路基、甲州中桥和沃仔头中桥</w:t>
            </w:r>
            <w:r>
              <w:rPr>
                <w:rFonts w:hint="eastAsia" w:eastAsia="宋体"/>
                <w:sz w:val="21"/>
                <w:szCs w:val="21"/>
                <w:highlight w:val="none"/>
              </w:rPr>
              <w:t>施工需要</w:t>
            </w:r>
          </w:p>
        </w:tc>
      </w:tr>
      <w:tr w14:paraId="67303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49" w:hRule="atLeast"/>
          <w:jc w:val="center"/>
        </w:trPr>
        <w:tc>
          <w:tcPr>
            <w:tcW w:w="683" w:type="dxa"/>
            <w:shd w:val="clear" w:color="auto" w:fill="FFFFFF"/>
            <w:vAlign w:val="center"/>
          </w:tcPr>
          <w:p w14:paraId="4B76AFB1">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lang w:val="en-US" w:eastAsia="zh-CN"/>
              </w:rPr>
              <w:t>10</w:t>
            </w:r>
          </w:p>
        </w:tc>
        <w:tc>
          <w:tcPr>
            <w:tcW w:w="1105" w:type="dxa"/>
            <w:shd w:val="clear" w:color="auto" w:fill="FFFFFF"/>
            <w:vAlign w:val="center"/>
          </w:tcPr>
          <w:p w14:paraId="445C8317">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K131+800</w:t>
            </w:r>
          </w:p>
        </w:tc>
        <w:tc>
          <w:tcPr>
            <w:tcW w:w="1154" w:type="dxa"/>
            <w:shd w:val="clear" w:color="auto" w:fill="FFFFFF"/>
            <w:vAlign w:val="center"/>
          </w:tcPr>
          <w:p w14:paraId="0B69C7E4">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400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27728493">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0947B269">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rPr>
              <w:t>供</w:t>
            </w:r>
            <w:r>
              <w:rPr>
                <w:rFonts w:hint="eastAsia" w:eastAsia="宋体"/>
                <w:sz w:val="21"/>
                <w:szCs w:val="21"/>
                <w:highlight w:val="none"/>
                <w:lang w:val="en-US" w:eastAsia="zh-CN"/>
              </w:rPr>
              <w:t>沃仔头大桥、溪边园分离式立交中桥和软土路基</w:t>
            </w:r>
            <w:r>
              <w:rPr>
                <w:rFonts w:hint="eastAsia" w:eastAsia="宋体"/>
                <w:sz w:val="21"/>
                <w:szCs w:val="21"/>
                <w:highlight w:val="none"/>
              </w:rPr>
              <w:t>施工需要</w:t>
            </w:r>
          </w:p>
        </w:tc>
      </w:tr>
      <w:tr w14:paraId="2EEE5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49" w:hRule="atLeast"/>
          <w:jc w:val="center"/>
        </w:trPr>
        <w:tc>
          <w:tcPr>
            <w:tcW w:w="683" w:type="dxa"/>
            <w:shd w:val="clear" w:color="auto" w:fill="FFFFFF"/>
            <w:vAlign w:val="center"/>
          </w:tcPr>
          <w:p w14:paraId="15B1B661">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lang w:val="en-US" w:eastAsia="zh-CN"/>
              </w:rPr>
              <w:t>11</w:t>
            </w:r>
          </w:p>
        </w:tc>
        <w:tc>
          <w:tcPr>
            <w:tcW w:w="1105" w:type="dxa"/>
            <w:shd w:val="clear" w:color="auto" w:fill="FFFFFF"/>
            <w:vAlign w:val="center"/>
          </w:tcPr>
          <w:p w14:paraId="0A87CAA1">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K133+000</w:t>
            </w:r>
          </w:p>
        </w:tc>
        <w:tc>
          <w:tcPr>
            <w:tcW w:w="1154" w:type="dxa"/>
            <w:shd w:val="clear" w:color="auto" w:fill="FFFFFF"/>
            <w:vAlign w:val="center"/>
          </w:tcPr>
          <w:p w14:paraId="5EC4D3F3">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400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6AEE7ABC">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1CFA7238">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rPr>
              <w:t>供</w:t>
            </w:r>
            <w:r>
              <w:rPr>
                <w:rFonts w:hint="eastAsia" w:eastAsia="宋体"/>
                <w:sz w:val="21"/>
                <w:szCs w:val="21"/>
                <w:highlight w:val="none"/>
                <w:lang w:val="en-US" w:eastAsia="zh-CN"/>
              </w:rPr>
              <w:t>仕江大桥和软土路基</w:t>
            </w:r>
            <w:r>
              <w:rPr>
                <w:rFonts w:hint="eastAsia" w:eastAsia="宋体"/>
                <w:sz w:val="21"/>
                <w:szCs w:val="21"/>
                <w:highlight w:val="none"/>
              </w:rPr>
              <w:t>施工需要</w:t>
            </w:r>
          </w:p>
        </w:tc>
      </w:tr>
      <w:tr w14:paraId="6BB16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49" w:hRule="atLeast"/>
          <w:jc w:val="center"/>
        </w:trPr>
        <w:tc>
          <w:tcPr>
            <w:tcW w:w="683" w:type="dxa"/>
            <w:shd w:val="clear" w:color="auto" w:fill="FFFFFF"/>
            <w:vAlign w:val="center"/>
          </w:tcPr>
          <w:p w14:paraId="1AAA87F4">
            <w:pPr>
              <w:ind w:left="0" w:leftChars="0" w:firstLine="0" w:firstLineChars="0"/>
              <w:jc w:val="center"/>
              <w:rPr>
                <w:rFonts w:hint="default" w:eastAsia="宋体"/>
                <w:sz w:val="21"/>
                <w:szCs w:val="21"/>
                <w:highlight w:val="none"/>
                <w:lang w:val="en-US" w:eastAsia="zh-CN"/>
              </w:rPr>
            </w:pPr>
            <w:r>
              <w:rPr>
                <w:rFonts w:hint="eastAsia" w:eastAsia="宋体"/>
                <w:sz w:val="21"/>
                <w:szCs w:val="21"/>
                <w:highlight w:val="none"/>
                <w:lang w:val="en-US" w:eastAsia="zh-CN"/>
              </w:rPr>
              <w:t>12</w:t>
            </w:r>
          </w:p>
        </w:tc>
        <w:tc>
          <w:tcPr>
            <w:tcW w:w="1105" w:type="dxa"/>
            <w:shd w:val="clear" w:color="auto" w:fill="FFFFFF"/>
            <w:vAlign w:val="center"/>
          </w:tcPr>
          <w:p w14:paraId="4E6C6B6F">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四集中</w:t>
            </w:r>
          </w:p>
        </w:tc>
        <w:tc>
          <w:tcPr>
            <w:tcW w:w="1154" w:type="dxa"/>
            <w:shd w:val="clear" w:color="auto" w:fill="FFFFFF"/>
            <w:vAlign w:val="center"/>
          </w:tcPr>
          <w:p w14:paraId="388F32D5">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800</w:t>
            </w:r>
            <w:r>
              <w:rPr>
                <w:rFonts w:hint="eastAsia" w:eastAsia="宋体"/>
                <w:sz w:val="21"/>
                <w:szCs w:val="21"/>
                <w:highlight w:val="none"/>
              </w:rPr>
              <w:t>KV</w:t>
            </w:r>
            <w:r>
              <w:rPr>
                <w:rFonts w:hint="eastAsia" w:eastAsia="宋体"/>
                <w:sz w:val="21"/>
                <w:szCs w:val="21"/>
                <w:highlight w:val="none"/>
                <w:lang w:val="en-US" w:eastAsia="zh-CN"/>
              </w:rPr>
              <w:t>A</w:t>
            </w:r>
          </w:p>
        </w:tc>
        <w:tc>
          <w:tcPr>
            <w:tcW w:w="1018" w:type="dxa"/>
            <w:shd w:val="clear" w:color="auto" w:fill="FFFFFF"/>
            <w:vAlign w:val="center"/>
          </w:tcPr>
          <w:p w14:paraId="19104753">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1</w:t>
            </w:r>
          </w:p>
        </w:tc>
        <w:tc>
          <w:tcPr>
            <w:tcW w:w="5018" w:type="dxa"/>
            <w:shd w:val="clear" w:color="auto" w:fill="FFFFFF"/>
            <w:vAlign w:val="center"/>
          </w:tcPr>
          <w:p w14:paraId="2807409A">
            <w:pPr>
              <w:ind w:left="0" w:leftChars="0"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拌合站、钢筋加工、小型构件预制、项目部用电</w:t>
            </w:r>
          </w:p>
        </w:tc>
      </w:tr>
      <w:bookmarkEnd w:id="329"/>
    </w:tbl>
    <w:p w14:paraId="07993EC4">
      <w:pPr>
        <w:ind w:firstLine="480"/>
        <w:rPr>
          <w:rFonts w:hint="eastAsia"/>
          <w:highlight w:val="none"/>
        </w:rPr>
      </w:pPr>
      <w:r>
        <w:rPr>
          <w:rFonts w:hint="eastAsia"/>
          <w:highlight w:val="none"/>
        </w:rPr>
        <w:t>施工现场配置</w:t>
      </w:r>
      <w:r>
        <w:rPr>
          <w:rFonts w:hint="eastAsia"/>
          <w:highlight w:val="none"/>
          <w:lang w:val="en-US" w:eastAsia="zh-CN"/>
        </w:rPr>
        <w:t>4</w:t>
      </w:r>
      <w:r>
        <w:rPr>
          <w:rFonts w:hint="eastAsia"/>
          <w:highlight w:val="none"/>
        </w:rPr>
        <w:t>台</w:t>
      </w:r>
      <w:r>
        <w:rPr>
          <w:rFonts w:hint="eastAsia"/>
          <w:highlight w:val="none"/>
          <w:lang w:val="en-US" w:eastAsia="zh-CN"/>
        </w:rPr>
        <w:t>315</w:t>
      </w:r>
      <w:r>
        <w:rPr>
          <w:rFonts w:hint="eastAsia"/>
          <w:highlight w:val="none"/>
        </w:rPr>
        <w:t>KVA</w:t>
      </w:r>
      <w:r>
        <w:rPr>
          <w:rFonts w:hint="eastAsia"/>
          <w:highlight w:val="none"/>
          <w:lang w:eastAsia="zh-CN"/>
        </w:rPr>
        <w:t>、</w:t>
      </w:r>
      <w:r>
        <w:rPr>
          <w:rFonts w:hint="eastAsia"/>
          <w:highlight w:val="none"/>
          <w:lang w:val="en-US" w:eastAsia="zh-CN"/>
        </w:rPr>
        <w:t>6</w:t>
      </w:r>
      <w:r>
        <w:rPr>
          <w:rFonts w:hint="eastAsia"/>
          <w:highlight w:val="none"/>
        </w:rPr>
        <w:t>台</w:t>
      </w:r>
      <w:r>
        <w:rPr>
          <w:rFonts w:hint="eastAsia"/>
          <w:highlight w:val="none"/>
          <w:lang w:val="en-US" w:eastAsia="zh-CN"/>
        </w:rPr>
        <w:t>400</w:t>
      </w:r>
      <w:r>
        <w:rPr>
          <w:rFonts w:hint="eastAsia"/>
          <w:highlight w:val="none"/>
        </w:rPr>
        <w:t>KVA、</w:t>
      </w:r>
      <w:r>
        <w:rPr>
          <w:rFonts w:hint="eastAsia"/>
          <w:highlight w:val="none"/>
          <w:lang w:val="en-US" w:eastAsia="zh-CN"/>
        </w:rPr>
        <w:t>1</w:t>
      </w:r>
      <w:r>
        <w:rPr>
          <w:rFonts w:hint="eastAsia"/>
          <w:highlight w:val="none"/>
        </w:rPr>
        <w:t>台630KVA、</w:t>
      </w:r>
      <w:r>
        <w:rPr>
          <w:rFonts w:hint="eastAsia"/>
          <w:highlight w:val="none"/>
          <w:lang w:val="en-US" w:eastAsia="zh-CN"/>
        </w:rPr>
        <w:t>1</w:t>
      </w:r>
      <w:r>
        <w:rPr>
          <w:rFonts w:hint="eastAsia"/>
          <w:highlight w:val="none"/>
        </w:rPr>
        <w:t>台</w:t>
      </w:r>
      <w:r>
        <w:rPr>
          <w:rFonts w:hint="eastAsia"/>
          <w:highlight w:val="none"/>
          <w:lang w:val="en-US" w:eastAsia="zh-CN"/>
        </w:rPr>
        <w:t>800</w:t>
      </w:r>
      <w:r>
        <w:rPr>
          <w:rFonts w:hint="eastAsia"/>
          <w:highlight w:val="none"/>
        </w:rPr>
        <w:t>KVA变压器，可满足要求。</w:t>
      </w:r>
    </w:p>
    <w:p w14:paraId="7A050226">
      <w:pPr>
        <w:pStyle w:val="5"/>
        <w:numPr>
          <w:ilvl w:val="2"/>
          <w:numId w:val="0"/>
        </w:numPr>
        <w:spacing w:line="360" w:lineRule="auto"/>
        <w:ind w:left="720" w:leftChars="0" w:hanging="720" w:firstLineChars="0"/>
        <w:rPr>
          <w:rFonts w:hint="eastAsia" w:ascii="宋体" w:hAnsi="宋体" w:eastAsia="宋体" w:cs="宋体"/>
          <w:color w:val="auto"/>
          <w:highlight w:val="yellow"/>
          <w:lang w:val="en-US" w:eastAsia="zh-CN"/>
        </w:rPr>
      </w:pPr>
      <w:bookmarkStart w:id="330" w:name="_Toc2919"/>
      <w:r>
        <w:rPr>
          <w:rFonts w:hint="default" w:ascii="宋体" w:hAnsi="宋体" w:eastAsia="宋体" w:cs="Times New Roman"/>
          <w:b/>
          <w:bCs/>
          <w:color w:val="auto"/>
          <w:kern w:val="2"/>
          <w:sz w:val="30"/>
          <w:szCs w:val="32"/>
          <w:lang w:val="en-US" w:eastAsia="zh-CN" w:bidi="ar-SA"/>
        </w:rPr>
        <w:t>4.1.8.</w:t>
      </w:r>
      <w:r>
        <w:rPr>
          <w:rFonts w:hint="eastAsia" w:ascii="宋体" w:hAnsi="宋体" w:eastAsia="宋体" w:cs="宋体"/>
          <w:color w:val="auto"/>
          <w:highlight w:val="none"/>
          <w:lang w:val="en-US" w:eastAsia="zh-CN"/>
        </w:rPr>
        <w:t>施工便道、钢栈桥</w:t>
      </w:r>
      <w:bookmarkEnd w:id="330"/>
    </w:p>
    <w:p w14:paraId="550AC6F7">
      <w:pPr>
        <w:ind w:firstLine="480"/>
        <w:rPr>
          <w:rFonts w:hint="default" w:ascii="宋体" w:hAnsi="宋体" w:cs="宋体"/>
          <w:highlight w:val="none"/>
          <w:lang w:val="en-US" w:eastAsia="zh-CN"/>
        </w:rPr>
      </w:pPr>
      <w:r>
        <w:rPr>
          <w:rFonts w:hint="eastAsia" w:ascii="宋体" w:hAnsi="宋体" w:cs="宋体"/>
          <w:highlight w:val="none"/>
          <w:lang w:val="en-US" w:eastAsia="zh-CN"/>
        </w:rPr>
        <w:t>4.1.8.1根据现场地形地貌并结合荷载使用要求，经过现场勘察施工需要便道、便桥见下表：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2916"/>
        <w:gridCol w:w="1528"/>
        <w:gridCol w:w="1529"/>
        <w:gridCol w:w="1435"/>
      </w:tblGrid>
      <w:tr w14:paraId="0B0A8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2CB9E568">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序号</w:t>
            </w:r>
          </w:p>
        </w:tc>
        <w:tc>
          <w:tcPr>
            <w:tcW w:w="2916" w:type="dxa"/>
            <w:noWrap w:val="0"/>
            <w:vAlign w:val="center"/>
          </w:tcPr>
          <w:p w14:paraId="2C6768C2">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起讫桩号</w:t>
            </w:r>
          </w:p>
        </w:tc>
        <w:tc>
          <w:tcPr>
            <w:tcW w:w="1528" w:type="dxa"/>
            <w:noWrap w:val="0"/>
            <w:vAlign w:val="center"/>
          </w:tcPr>
          <w:p w14:paraId="452D2BA3">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长度（m）</w:t>
            </w:r>
          </w:p>
        </w:tc>
        <w:tc>
          <w:tcPr>
            <w:tcW w:w="1529" w:type="dxa"/>
            <w:noWrap w:val="0"/>
            <w:vAlign w:val="center"/>
          </w:tcPr>
          <w:p w14:paraId="2643395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宽度（m）</w:t>
            </w:r>
          </w:p>
        </w:tc>
        <w:tc>
          <w:tcPr>
            <w:tcW w:w="1435" w:type="dxa"/>
            <w:noWrap w:val="0"/>
            <w:vAlign w:val="center"/>
          </w:tcPr>
          <w:p w14:paraId="1AB46BBC">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备注</w:t>
            </w:r>
          </w:p>
        </w:tc>
      </w:tr>
      <w:tr w14:paraId="59451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0DCFD3E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1</w:t>
            </w:r>
          </w:p>
        </w:tc>
        <w:tc>
          <w:tcPr>
            <w:tcW w:w="2916" w:type="dxa"/>
            <w:noWrap w:val="0"/>
            <w:vAlign w:val="center"/>
          </w:tcPr>
          <w:p w14:paraId="43BAEEB1">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港口大桥5-16跨两侧</w:t>
            </w:r>
          </w:p>
        </w:tc>
        <w:tc>
          <w:tcPr>
            <w:tcW w:w="1528" w:type="dxa"/>
            <w:noWrap w:val="0"/>
            <w:vAlign w:val="center"/>
          </w:tcPr>
          <w:p w14:paraId="2047E461">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360*2</w:t>
            </w:r>
          </w:p>
        </w:tc>
        <w:tc>
          <w:tcPr>
            <w:tcW w:w="1529" w:type="dxa"/>
            <w:noWrap w:val="0"/>
            <w:vAlign w:val="center"/>
          </w:tcPr>
          <w:p w14:paraId="1D436EE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6</w:t>
            </w:r>
          </w:p>
        </w:tc>
        <w:tc>
          <w:tcPr>
            <w:tcW w:w="1435" w:type="dxa"/>
            <w:noWrap w:val="0"/>
            <w:vAlign w:val="center"/>
          </w:tcPr>
          <w:p w14:paraId="2878B5E4">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钢栈桥</w:t>
            </w:r>
          </w:p>
        </w:tc>
      </w:tr>
      <w:tr w14:paraId="564B3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6EAB46F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2</w:t>
            </w:r>
          </w:p>
        </w:tc>
        <w:tc>
          <w:tcPr>
            <w:tcW w:w="2916" w:type="dxa"/>
            <w:noWrap w:val="0"/>
            <w:vAlign w:val="center"/>
          </w:tcPr>
          <w:p w14:paraId="35368CF7">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沃仔头大桥8-13跨</w:t>
            </w:r>
          </w:p>
        </w:tc>
        <w:tc>
          <w:tcPr>
            <w:tcW w:w="1528" w:type="dxa"/>
            <w:noWrap w:val="0"/>
            <w:vAlign w:val="center"/>
          </w:tcPr>
          <w:p w14:paraId="31548BC1">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180</w:t>
            </w:r>
          </w:p>
        </w:tc>
        <w:tc>
          <w:tcPr>
            <w:tcW w:w="1529" w:type="dxa"/>
            <w:noWrap w:val="0"/>
            <w:vAlign w:val="center"/>
          </w:tcPr>
          <w:p w14:paraId="0CCADA27">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6</w:t>
            </w:r>
          </w:p>
        </w:tc>
        <w:tc>
          <w:tcPr>
            <w:tcW w:w="1435" w:type="dxa"/>
            <w:noWrap w:val="0"/>
            <w:vAlign w:val="center"/>
          </w:tcPr>
          <w:p w14:paraId="53DE7E4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钢栈桥</w:t>
            </w:r>
          </w:p>
        </w:tc>
      </w:tr>
      <w:tr w14:paraId="16338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753069AC">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3</w:t>
            </w:r>
          </w:p>
        </w:tc>
        <w:tc>
          <w:tcPr>
            <w:tcW w:w="2916" w:type="dxa"/>
            <w:noWrap w:val="0"/>
            <w:vAlign w:val="center"/>
          </w:tcPr>
          <w:p w14:paraId="01814C01">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外凤楼大桥</w:t>
            </w:r>
          </w:p>
        </w:tc>
        <w:tc>
          <w:tcPr>
            <w:tcW w:w="1528" w:type="dxa"/>
            <w:noWrap w:val="0"/>
            <w:vAlign w:val="center"/>
          </w:tcPr>
          <w:p w14:paraId="3C6918C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96</w:t>
            </w:r>
          </w:p>
        </w:tc>
        <w:tc>
          <w:tcPr>
            <w:tcW w:w="1529" w:type="dxa"/>
            <w:noWrap w:val="0"/>
            <w:vAlign w:val="center"/>
          </w:tcPr>
          <w:p w14:paraId="4358D94C">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6</w:t>
            </w:r>
          </w:p>
        </w:tc>
        <w:tc>
          <w:tcPr>
            <w:tcW w:w="1435" w:type="dxa"/>
            <w:noWrap w:val="0"/>
            <w:vAlign w:val="center"/>
          </w:tcPr>
          <w:p w14:paraId="6C89E387">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钢栈桥</w:t>
            </w:r>
          </w:p>
        </w:tc>
      </w:tr>
      <w:tr w14:paraId="28843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360A6CD5">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4</w:t>
            </w:r>
          </w:p>
        </w:tc>
        <w:tc>
          <w:tcPr>
            <w:tcW w:w="2916" w:type="dxa"/>
            <w:noWrap w:val="0"/>
            <w:vAlign w:val="center"/>
          </w:tcPr>
          <w:p w14:paraId="103E2D55">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528" w:type="dxa"/>
            <w:noWrap w:val="0"/>
            <w:vAlign w:val="center"/>
          </w:tcPr>
          <w:p w14:paraId="7D996FD3">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color w:val="auto"/>
                <w:vertAlign w:val="baseline"/>
                <w:lang w:val="en-US" w:eastAsia="zh-CN"/>
              </w:rPr>
            </w:pPr>
          </w:p>
        </w:tc>
        <w:tc>
          <w:tcPr>
            <w:tcW w:w="1529" w:type="dxa"/>
            <w:noWrap w:val="0"/>
            <w:vAlign w:val="center"/>
          </w:tcPr>
          <w:p w14:paraId="7462DF07">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435" w:type="dxa"/>
            <w:noWrap w:val="0"/>
            <w:vAlign w:val="center"/>
          </w:tcPr>
          <w:p w14:paraId="27B3ED7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r>
      <w:tr w14:paraId="68EBF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29110B2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5</w:t>
            </w:r>
          </w:p>
        </w:tc>
        <w:tc>
          <w:tcPr>
            <w:tcW w:w="2916" w:type="dxa"/>
            <w:noWrap w:val="0"/>
            <w:vAlign w:val="center"/>
          </w:tcPr>
          <w:p w14:paraId="2770BEC8">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vertAlign w:val="baseline"/>
                <w:lang w:val="en-US" w:eastAsia="zh-CN"/>
              </w:rPr>
            </w:pPr>
          </w:p>
        </w:tc>
        <w:tc>
          <w:tcPr>
            <w:tcW w:w="1528" w:type="dxa"/>
            <w:noWrap w:val="0"/>
            <w:vAlign w:val="center"/>
          </w:tcPr>
          <w:p w14:paraId="70D38EE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529" w:type="dxa"/>
            <w:noWrap w:val="0"/>
            <w:vAlign w:val="center"/>
          </w:tcPr>
          <w:p w14:paraId="443990DA">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435" w:type="dxa"/>
            <w:noWrap w:val="0"/>
            <w:vAlign w:val="center"/>
          </w:tcPr>
          <w:p w14:paraId="17B77CA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r>
      <w:tr w14:paraId="5AE92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noWrap w:val="0"/>
            <w:vAlign w:val="center"/>
          </w:tcPr>
          <w:p w14:paraId="7669C6A4">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r>
              <w:rPr>
                <w:rFonts w:hint="eastAsia"/>
                <w:vertAlign w:val="baseline"/>
                <w:lang w:val="en-US" w:eastAsia="zh-CN"/>
              </w:rPr>
              <w:t>6</w:t>
            </w:r>
          </w:p>
        </w:tc>
        <w:tc>
          <w:tcPr>
            <w:tcW w:w="2916" w:type="dxa"/>
            <w:noWrap w:val="0"/>
            <w:vAlign w:val="center"/>
          </w:tcPr>
          <w:p w14:paraId="58BE614E">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528" w:type="dxa"/>
            <w:noWrap w:val="0"/>
            <w:vAlign w:val="center"/>
          </w:tcPr>
          <w:p w14:paraId="3AB6ACD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529" w:type="dxa"/>
            <w:noWrap w:val="0"/>
            <w:vAlign w:val="center"/>
          </w:tcPr>
          <w:p w14:paraId="59B0C278">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vertAlign w:val="baseline"/>
                <w:lang w:val="en-US" w:eastAsia="zh-CN"/>
              </w:rPr>
            </w:pPr>
          </w:p>
        </w:tc>
        <w:tc>
          <w:tcPr>
            <w:tcW w:w="1435" w:type="dxa"/>
            <w:noWrap w:val="0"/>
            <w:vAlign w:val="center"/>
          </w:tcPr>
          <w:p w14:paraId="5338DCF1">
            <w:pPr>
              <w:keepNext w:val="0"/>
              <w:keepLines w:val="0"/>
              <w:pageBreakBefore w:val="0"/>
              <w:widowControl w:val="0"/>
              <w:kinsoku/>
              <w:wordWrap/>
              <w:overflowPunct/>
              <w:topLinePunct w:val="0"/>
              <w:autoSpaceDE w:val="0"/>
              <w:autoSpaceDN w:val="0"/>
              <w:bidi w:val="0"/>
              <w:adjustRightInd/>
              <w:snapToGrid/>
              <w:ind w:left="0" w:leftChars="0" w:right="0" w:rightChars="0" w:firstLine="0" w:firstLineChars="0"/>
              <w:jc w:val="center"/>
              <w:textAlignment w:val="auto"/>
              <w:rPr>
                <w:rFonts w:hint="default"/>
                <w:vertAlign w:val="baseline"/>
                <w:lang w:val="en-US" w:eastAsia="zh-CN"/>
              </w:rPr>
            </w:pPr>
          </w:p>
        </w:tc>
      </w:tr>
    </w:tbl>
    <w:p w14:paraId="6114C972">
      <w:pPr>
        <w:ind w:firstLine="480"/>
        <w:rPr>
          <w:rFonts w:hint="default" w:ascii="宋体" w:hAnsi="宋体" w:cs="宋体"/>
          <w:highlight w:val="none"/>
          <w:lang w:val="en-US" w:eastAsia="zh-CN"/>
        </w:rPr>
      </w:pPr>
      <w:r>
        <w:rPr>
          <w:rFonts w:hint="eastAsia"/>
          <w:vertAlign w:val="baseline"/>
          <w:lang w:val="en-US" w:eastAsia="zh-CN"/>
        </w:rPr>
        <w:t>港口大桥5-16跨两侧</w:t>
      </w:r>
      <w:r>
        <w:rPr>
          <w:rFonts w:hint="eastAsia" w:ascii="宋体" w:hAnsi="宋体" w:cs="宋体"/>
          <w:highlight w:val="none"/>
          <w:lang w:val="en-US" w:eastAsia="zh-CN"/>
        </w:rPr>
        <w:t>钢栈桥位于左右幅外侧投影面距离约为1米，</w:t>
      </w:r>
      <w:r>
        <w:rPr>
          <w:rFonts w:hint="eastAsia"/>
          <w:vertAlign w:val="baseline"/>
          <w:lang w:val="en-US" w:eastAsia="zh-CN"/>
        </w:rPr>
        <w:t>沃仔头大桥8-13跨</w:t>
      </w:r>
      <w:r>
        <w:rPr>
          <w:rFonts w:hint="eastAsia" w:ascii="宋体" w:hAnsi="宋体" w:cs="宋体"/>
          <w:highlight w:val="none"/>
          <w:lang w:val="en-US" w:eastAsia="zh-CN"/>
        </w:rPr>
        <w:t>钢栈桥位于主线桥右幅外侧投影面距离1米。</w:t>
      </w:r>
    </w:p>
    <w:p w14:paraId="71C0CAE2">
      <w:pPr>
        <w:pStyle w:val="34"/>
        <w:tabs>
          <w:tab w:val="right" w:leader="dot" w:pos="8296"/>
          <w:tab w:val="clear" w:pos="8930"/>
        </w:tabs>
        <w:jc w:val="center"/>
      </w:pPr>
      <w:r>
        <w:drawing>
          <wp:inline distT="0" distB="0" distL="114300" distR="114300">
            <wp:extent cx="5266690" cy="2425065"/>
            <wp:effectExtent l="0" t="0" r="6350" b="13335"/>
            <wp:docPr id="14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图片 15"/>
                    <pic:cNvPicPr>
                      <a:picLocks noChangeAspect="1"/>
                    </pic:cNvPicPr>
                  </pic:nvPicPr>
                  <pic:blipFill>
                    <a:blip r:embed="rId32"/>
                    <a:stretch>
                      <a:fillRect/>
                    </a:stretch>
                  </pic:blipFill>
                  <pic:spPr>
                    <a:xfrm>
                      <a:off x="0" y="0"/>
                      <a:ext cx="5266690" cy="2425065"/>
                    </a:xfrm>
                    <a:prstGeom prst="rect">
                      <a:avLst/>
                    </a:prstGeom>
                    <a:noFill/>
                    <a:ln>
                      <a:noFill/>
                    </a:ln>
                  </pic:spPr>
                </pic:pic>
              </a:graphicData>
            </a:graphic>
          </wp:inline>
        </w:drawing>
      </w:r>
    </w:p>
    <w:p w14:paraId="702A462B">
      <w:pPr>
        <w:pStyle w:val="34"/>
        <w:tabs>
          <w:tab w:val="right" w:leader="dot" w:pos="8296"/>
          <w:tab w:val="clear" w:pos="8930"/>
        </w:tabs>
        <w:jc w:val="center"/>
        <w:rPr>
          <w:rFonts w:hint="default"/>
          <w:highlight w:val="yellow"/>
          <w:u w:val="single"/>
          <w:vertAlign w:val="baseline"/>
          <w:lang w:val="en-US" w:eastAsia="zh-CN"/>
        </w:rPr>
      </w:pPr>
      <w:r>
        <w:rPr>
          <w:rFonts w:hint="eastAsia"/>
          <w:highlight w:val="yellow"/>
          <w:u w:val="single"/>
          <w:vertAlign w:val="baseline"/>
          <w:lang w:val="en-US" w:eastAsia="zh-CN"/>
        </w:rPr>
        <w:t>港口大桥钢栈桥、钻机平台平面位置图</w:t>
      </w:r>
    </w:p>
    <w:p w14:paraId="1A068312">
      <w:r>
        <w:drawing>
          <wp:inline distT="0" distB="0" distL="114300" distR="114300">
            <wp:extent cx="5269865" cy="1788795"/>
            <wp:effectExtent l="0" t="0" r="3175" b="9525"/>
            <wp:docPr id="14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图片 16"/>
                    <pic:cNvPicPr>
                      <a:picLocks noChangeAspect="1"/>
                    </pic:cNvPicPr>
                  </pic:nvPicPr>
                  <pic:blipFill>
                    <a:blip r:embed="rId33"/>
                    <a:stretch>
                      <a:fillRect/>
                    </a:stretch>
                  </pic:blipFill>
                  <pic:spPr>
                    <a:xfrm>
                      <a:off x="0" y="0"/>
                      <a:ext cx="5269865" cy="1788795"/>
                    </a:xfrm>
                    <a:prstGeom prst="rect">
                      <a:avLst/>
                    </a:prstGeom>
                    <a:noFill/>
                    <a:ln>
                      <a:noFill/>
                    </a:ln>
                  </pic:spPr>
                </pic:pic>
              </a:graphicData>
            </a:graphic>
          </wp:inline>
        </w:drawing>
      </w:r>
    </w:p>
    <w:p w14:paraId="45D0856D">
      <w:pPr>
        <w:pStyle w:val="34"/>
        <w:tabs>
          <w:tab w:val="right" w:leader="dot" w:pos="8296"/>
          <w:tab w:val="clear" w:pos="8930"/>
        </w:tabs>
        <w:jc w:val="center"/>
        <w:rPr>
          <w:rFonts w:hint="default"/>
          <w:highlight w:val="yellow"/>
          <w:u w:val="single"/>
          <w:vertAlign w:val="baseline"/>
          <w:lang w:val="en-US" w:eastAsia="zh-CN"/>
        </w:rPr>
      </w:pPr>
      <w:r>
        <w:rPr>
          <w:rFonts w:hint="eastAsia"/>
          <w:highlight w:val="yellow"/>
          <w:u w:val="single"/>
          <w:vertAlign w:val="baseline"/>
          <w:lang w:val="en-US" w:eastAsia="zh-CN"/>
        </w:rPr>
        <w:t>沃仔头大桥钢栈桥、钻机平台平面位置图</w:t>
      </w:r>
    </w:p>
    <w:p w14:paraId="375CBFC4">
      <w:pPr>
        <w:ind w:firstLine="480"/>
        <w:rPr>
          <w:rFonts w:hint="eastAsia" w:ascii="宋体" w:hAnsi="宋体" w:cs="宋体"/>
          <w:highlight w:val="none"/>
          <w:lang w:val="en-US" w:eastAsia="zh-CN"/>
        </w:rPr>
      </w:pPr>
      <w:r>
        <w:rPr>
          <w:rFonts w:hint="eastAsia" w:ascii="宋体" w:hAnsi="宋体" w:cs="宋体"/>
          <w:highlight w:val="none"/>
          <w:lang w:val="en-US" w:eastAsia="zh-CN"/>
        </w:rPr>
        <w:t>1、港口大桥栈桥桥长360*2m，宽6m，面层体系自上而下依次为10mm花纹钢板，I18a分配梁，间距30cm。主纵梁采用321型贝雷桁架，15m跨径横向共布置15排，9m及以下跨径横向共布置10排，桩顶承重梁采用2工40a型钢，桩基采用Φ630×8mm规格钢管，桩间横向采用［20平纵连接。</w:t>
      </w:r>
    </w:p>
    <w:p w14:paraId="31902E32">
      <w:pPr>
        <w:ind w:firstLine="480"/>
        <w:rPr>
          <w:rFonts w:hint="eastAsia" w:ascii="宋体" w:hAnsi="宋体" w:cs="宋体"/>
          <w:highlight w:val="none"/>
          <w:lang w:val="en-US" w:eastAsia="zh-CN"/>
        </w:rPr>
      </w:pPr>
      <w:r>
        <w:rPr>
          <w:rFonts w:hint="eastAsia" w:ascii="宋体" w:hAnsi="宋体" w:cs="宋体"/>
          <w:highlight w:val="none"/>
          <w:lang w:val="en-US" w:eastAsia="zh-CN"/>
        </w:rPr>
        <w:t>2、钻孔平台宽度12m，面层体系自上而下依次为10mm花纹钢板，I14分配梁，间距20cm，主纵梁采用321型贝雷桁架，横向共布置13排，桩顶承重梁采用2工40a型钢，桩基采用Φ630×8mm规格钢管，桩间采用槽20平纵连接。</w:t>
      </w:r>
    </w:p>
    <w:p w14:paraId="1825C48E">
      <w:pPr>
        <w:ind w:firstLine="480"/>
        <w:rPr>
          <w:rFonts w:hint="eastAsia" w:ascii="宋体" w:hAnsi="宋体" w:cs="宋体"/>
          <w:highlight w:val="none"/>
          <w:lang w:val="en-US" w:eastAsia="zh-CN"/>
        </w:rPr>
      </w:pPr>
      <w:r>
        <w:rPr>
          <w:rFonts w:hint="eastAsia" w:ascii="宋体" w:hAnsi="宋体" w:cs="宋体"/>
          <w:highlight w:val="none"/>
          <w:lang w:val="en-US" w:eastAsia="zh-CN"/>
        </w:rPr>
        <w:t>3、栏杆高度按1.2m设置，栏杆立柱采用1.2m高</w:t>
      </w:r>
      <w:r>
        <w:rPr>
          <w:rFonts w:hint="eastAsia" w:ascii="宋体" w:hAnsi="宋体" w:cs="宋体"/>
          <w:highlight w:val="none"/>
          <w:lang w:val="zh-CN" w:eastAsia="zh-CN"/>
        </w:rPr>
        <w:t>[</w:t>
      </w:r>
      <w:r>
        <w:rPr>
          <w:rFonts w:hint="eastAsia" w:ascii="宋体" w:hAnsi="宋体" w:cs="宋体"/>
          <w:highlight w:val="none"/>
          <w:lang w:val="en-US" w:eastAsia="zh-CN"/>
        </w:rPr>
        <w:t>10槽钢焊接在桥面板上，立柱间距1.5m，立柱采用焊接，栏杆横杆采用Φ48×3.5mm小钢管穿过立柱，设置2道横杆。结构设计见附图。</w:t>
      </w:r>
    </w:p>
    <w:p w14:paraId="0607CA85">
      <w:pPr>
        <w:ind w:firstLine="480"/>
        <w:rPr>
          <w:rFonts w:hint="eastAsia" w:ascii="宋体" w:hAnsi="宋体" w:cs="宋体"/>
          <w:highlight w:val="none"/>
          <w:lang w:val="en-US" w:eastAsia="zh-CN"/>
        </w:rPr>
      </w:pPr>
      <w:r>
        <w:rPr>
          <w:rFonts w:hint="eastAsia" w:ascii="宋体" w:hAnsi="宋体" w:cs="宋体"/>
          <w:highlight w:val="none"/>
          <w:lang w:val="en-US" w:eastAsia="zh-CN"/>
        </w:rPr>
        <w:t>4、桥台处采用大型预制块或钢板作为挡墙，台背采用透水性材料回填压实，施工时保证压实质量。</w:t>
      </w:r>
    </w:p>
    <w:p w14:paraId="755DFFA1">
      <w:pPr>
        <w:bidi w:val="0"/>
        <w:jc w:val="center"/>
      </w:pPr>
      <w:r>
        <w:drawing>
          <wp:inline distT="0" distB="0" distL="114300" distR="114300">
            <wp:extent cx="3977640" cy="3502660"/>
            <wp:effectExtent l="0" t="0" r="0" b="2540"/>
            <wp:docPr id="14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图片 17"/>
                    <pic:cNvPicPr>
                      <a:picLocks noChangeAspect="1"/>
                    </pic:cNvPicPr>
                  </pic:nvPicPr>
                  <pic:blipFill>
                    <a:blip r:embed="rId34"/>
                    <a:stretch>
                      <a:fillRect/>
                    </a:stretch>
                  </pic:blipFill>
                  <pic:spPr>
                    <a:xfrm>
                      <a:off x="0" y="0"/>
                      <a:ext cx="3977640" cy="3502660"/>
                    </a:xfrm>
                    <a:prstGeom prst="rect">
                      <a:avLst/>
                    </a:prstGeom>
                    <a:noFill/>
                    <a:ln>
                      <a:noFill/>
                    </a:ln>
                  </pic:spPr>
                </pic:pic>
              </a:graphicData>
            </a:graphic>
          </wp:inline>
        </w:drawing>
      </w:r>
    </w:p>
    <w:p w14:paraId="59111D78">
      <w:pPr>
        <w:bidi w:val="0"/>
        <w:jc w:val="center"/>
        <w:rPr>
          <w:rFonts w:hint="default"/>
          <w:lang w:val="en-US" w:eastAsia="zh-CN"/>
        </w:rPr>
      </w:pPr>
      <w:r>
        <w:rPr>
          <w:rFonts w:hint="eastAsia"/>
          <w:lang w:val="en-US" w:eastAsia="zh-CN"/>
        </w:rPr>
        <w:t>栈桥及会车道断面布置图</w:t>
      </w:r>
    </w:p>
    <w:p w14:paraId="537C8303">
      <w:pPr>
        <w:bidi w:val="0"/>
        <w:jc w:val="center"/>
        <w:rPr>
          <w:rFonts w:hint="default"/>
          <w:lang w:val="en-US" w:eastAsia="zh-CN"/>
        </w:rPr>
      </w:pPr>
      <w:r>
        <w:drawing>
          <wp:inline distT="0" distB="0" distL="114300" distR="114300">
            <wp:extent cx="4889500" cy="4420870"/>
            <wp:effectExtent l="0" t="0" r="2540" b="13970"/>
            <wp:docPr id="14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图片 18"/>
                    <pic:cNvPicPr>
                      <a:picLocks noChangeAspect="1"/>
                    </pic:cNvPicPr>
                  </pic:nvPicPr>
                  <pic:blipFill>
                    <a:blip r:embed="rId35"/>
                    <a:stretch>
                      <a:fillRect/>
                    </a:stretch>
                  </pic:blipFill>
                  <pic:spPr>
                    <a:xfrm>
                      <a:off x="0" y="0"/>
                      <a:ext cx="4889500" cy="4420870"/>
                    </a:xfrm>
                    <a:prstGeom prst="rect">
                      <a:avLst/>
                    </a:prstGeom>
                    <a:noFill/>
                    <a:ln>
                      <a:noFill/>
                    </a:ln>
                  </pic:spPr>
                </pic:pic>
              </a:graphicData>
            </a:graphic>
          </wp:inline>
        </w:drawing>
      </w:r>
    </w:p>
    <w:p w14:paraId="46D6D744">
      <w:pPr>
        <w:bidi w:val="0"/>
        <w:jc w:val="center"/>
        <w:rPr>
          <w:rFonts w:hint="eastAsia"/>
          <w:lang w:val="en-US" w:eastAsia="zh-CN"/>
        </w:rPr>
      </w:pPr>
      <w:r>
        <w:rPr>
          <w:rFonts w:hint="eastAsia"/>
          <w:lang w:val="en-US" w:eastAsia="zh-CN"/>
        </w:rPr>
        <w:t>钻机平台断面布置图</w:t>
      </w:r>
    </w:p>
    <w:p w14:paraId="3C3D7013">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pPr>
      <w:r>
        <w:drawing>
          <wp:inline distT="0" distB="0" distL="114300" distR="114300">
            <wp:extent cx="2151380" cy="3461385"/>
            <wp:effectExtent l="0" t="0" r="12700" b="13335"/>
            <wp:docPr id="14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19"/>
                    <pic:cNvPicPr>
                      <a:picLocks noChangeAspect="1"/>
                    </pic:cNvPicPr>
                  </pic:nvPicPr>
                  <pic:blipFill>
                    <a:blip r:embed="rId36"/>
                    <a:stretch>
                      <a:fillRect/>
                    </a:stretch>
                  </pic:blipFill>
                  <pic:spPr>
                    <a:xfrm>
                      <a:off x="0" y="0"/>
                      <a:ext cx="2151380" cy="3461385"/>
                    </a:xfrm>
                    <a:prstGeom prst="rect">
                      <a:avLst/>
                    </a:prstGeom>
                    <a:noFill/>
                    <a:ln>
                      <a:noFill/>
                    </a:ln>
                  </pic:spPr>
                </pic:pic>
              </a:graphicData>
            </a:graphic>
          </wp:inline>
        </w:drawing>
      </w:r>
    </w:p>
    <w:p w14:paraId="3F85FA96">
      <w:pPr>
        <w:ind w:firstLine="480"/>
        <w:rPr>
          <w:rFonts w:hint="eastAsia" w:ascii="宋体" w:hAnsi="宋体" w:cs="宋体"/>
          <w:highlight w:val="none"/>
          <w:lang w:val="en-US" w:eastAsia="zh-CN"/>
        </w:rPr>
      </w:pPr>
      <w:bookmarkStart w:id="331" w:name="_Toc751"/>
      <w:bookmarkStart w:id="332" w:name="_Toc17279"/>
      <w:r>
        <w:rPr>
          <w:rFonts w:hint="eastAsia" w:ascii="宋体" w:hAnsi="宋体" w:cs="宋体"/>
          <w:highlight w:val="none"/>
          <w:lang w:val="en-US" w:eastAsia="zh-CN"/>
        </w:rPr>
        <w:t>4.8.1.2施工便道处理</w:t>
      </w:r>
      <w:bookmarkEnd w:id="331"/>
      <w:bookmarkEnd w:id="332"/>
    </w:p>
    <w:p w14:paraId="7547CC1C">
      <w:pPr>
        <w:ind w:firstLine="480"/>
        <w:rPr>
          <w:rFonts w:hint="eastAsia" w:ascii="宋体" w:hAnsi="宋体" w:cs="宋体"/>
          <w:highlight w:val="none"/>
          <w:lang w:val="en-US" w:eastAsia="zh-CN"/>
        </w:rPr>
      </w:pPr>
      <w:r>
        <w:rPr>
          <w:rFonts w:hint="eastAsia" w:ascii="宋体" w:hAnsi="宋体" w:cs="宋体"/>
          <w:highlight w:val="none"/>
          <w:lang w:val="en-US" w:eastAsia="zh-CN"/>
        </w:rPr>
        <w:t>对全线施工范围进行调查，最终确定施工便道设置在主线右侧，沿征地红线内侧，宽度暂定为4.5m，每间隔150m设置一处会车道，宽度3.5m，长度20m。便道处理时先把便道范围内鱼塘水进行排干，直接填筑碎石土（山皮石）处理，直至便道稳定，回填材料分层压实。开工前按照上述方案进行测算所需填筑材料，材料需经试验室检测合格后方可使用，优先选用透水性、水稳定性好的材料。</w:t>
      </w:r>
    </w:p>
    <w:p w14:paraId="492CED31">
      <w:pPr>
        <w:ind w:firstLine="480"/>
        <w:rPr>
          <w:rFonts w:hint="eastAsia" w:ascii="宋体" w:hAnsi="宋体" w:cs="宋体"/>
          <w:highlight w:val="none"/>
          <w:lang w:val="en-US" w:eastAsia="zh-CN"/>
        </w:rPr>
      </w:pPr>
      <w:bookmarkStart w:id="333" w:name="_Toc26902"/>
      <w:bookmarkStart w:id="334" w:name="_Toc516733275"/>
      <w:bookmarkStart w:id="335" w:name="_Toc30012"/>
      <w:r>
        <w:rPr>
          <w:rFonts w:hint="eastAsia" w:ascii="宋体" w:hAnsi="宋体" w:cs="宋体"/>
          <w:highlight w:val="none"/>
          <w:lang w:val="en-US" w:eastAsia="zh-CN"/>
        </w:rPr>
        <w:t>1、一般路段施工便道修筑</w:t>
      </w:r>
      <w:bookmarkEnd w:id="333"/>
      <w:bookmarkEnd w:id="334"/>
      <w:bookmarkEnd w:id="335"/>
    </w:p>
    <w:p w14:paraId="33B5B7AA">
      <w:pPr>
        <w:ind w:firstLine="480"/>
        <w:rPr>
          <w:rFonts w:hint="eastAsia" w:ascii="宋体" w:hAnsi="宋体" w:cs="宋体"/>
          <w:highlight w:val="none"/>
          <w:lang w:val="en-US" w:eastAsia="zh-CN"/>
        </w:rPr>
      </w:pPr>
      <w:r>
        <w:rPr>
          <w:rFonts w:hint="eastAsia" w:ascii="宋体" w:hAnsi="宋体" w:cs="宋体"/>
          <w:highlight w:val="none"/>
          <w:lang w:val="en-US" w:eastAsia="zh-CN"/>
        </w:rPr>
        <w:t>一般路段是指稻田等无水或浅水地段，便道外侧设置临时排水土沟，雨水通过排水沟流至附件河流、溪沟中。排水沟高度要高出河道的最高水位,防止河水倒流。</w:t>
      </w:r>
    </w:p>
    <w:p w14:paraId="000A54C7">
      <w:pPr>
        <w:ind w:firstLine="480"/>
        <w:rPr>
          <w:rFonts w:hint="eastAsia" w:ascii="宋体" w:hAnsi="宋体" w:cs="宋体"/>
          <w:highlight w:val="none"/>
          <w:lang w:val="en-US" w:eastAsia="zh-CN"/>
        </w:rPr>
      </w:pPr>
      <w:r>
        <w:rPr>
          <w:rFonts w:hint="eastAsia" w:ascii="宋体" w:hAnsi="宋体" w:cs="宋体"/>
          <w:highlight w:val="none"/>
          <w:lang w:val="en-US" w:eastAsia="zh-CN"/>
        </w:rPr>
        <w:t>修筑便道前应清除表层的杂草、淤泥、有机土、种植土及腐质土，采用水平分层填筑的施工方法。首先进行测量放样，确定底部宽度，先填40cm建渣（山皮石），再填30cm砂性土，最后铺筑20cm厚泥结碎石压实。</w:t>
      </w:r>
      <w:bookmarkStart w:id="336" w:name="_Toc516733276"/>
      <w:bookmarkStart w:id="337" w:name="_Toc22669"/>
    </w:p>
    <w:p w14:paraId="49C8BAF7">
      <w:pPr>
        <w:ind w:firstLine="480"/>
        <w:rPr>
          <w:rFonts w:hint="eastAsia" w:ascii="宋体" w:hAnsi="宋体" w:cs="宋体"/>
          <w:highlight w:val="none"/>
          <w:lang w:val="en-US" w:eastAsia="zh-CN"/>
        </w:rPr>
      </w:pPr>
    </w:p>
    <w:p w14:paraId="577A24CC">
      <w:pPr>
        <w:ind w:firstLine="480"/>
        <w:rPr>
          <w:rFonts w:hint="eastAsia" w:ascii="宋体" w:hAnsi="宋体" w:cs="宋体"/>
          <w:highlight w:val="none"/>
          <w:lang w:val="en-US" w:eastAsia="zh-CN"/>
        </w:rPr>
      </w:pPr>
      <w:r>
        <w:rPr>
          <w:rFonts w:hint="eastAsia" w:ascii="宋体" w:hAnsi="宋体" w:cs="宋体"/>
          <w:highlight w:val="none"/>
          <w:lang w:val="en-US" w:eastAsia="zh-CN"/>
        </w:rPr>
        <w:drawing>
          <wp:inline distT="0" distB="0" distL="114300" distR="114300">
            <wp:extent cx="5460365" cy="1948815"/>
            <wp:effectExtent l="0" t="0" r="10795" b="1905"/>
            <wp:docPr id="1473" name="图片 20" descr="db19f00d5f70e940c89746b995d9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20" descr="db19f00d5f70e940c89746b995d9e56"/>
                    <pic:cNvPicPr>
                      <a:picLocks noChangeAspect="1"/>
                    </pic:cNvPicPr>
                  </pic:nvPicPr>
                  <pic:blipFill>
                    <a:blip r:embed="rId37"/>
                    <a:stretch>
                      <a:fillRect/>
                    </a:stretch>
                  </pic:blipFill>
                  <pic:spPr>
                    <a:xfrm>
                      <a:off x="0" y="0"/>
                      <a:ext cx="5460365" cy="1948815"/>
                    </a:xfrm>
                    <a:prstGeom prst="rect">
                      <a:avLst/>
                    </a:prstGeom>
                    <a:noFill/>
                    <a:ln>
                      <a:noFill/>
                    </a:ln>
                  </pic:spPr>
                </pic:pic>
              </a:graphicData>
            </a:graphic>
          </wp:inline>
        </w:drawing>
      </w:r>
    </w:p>
    <w:p w14:paraId="60301937">
      <w:pPr>
        <w:ind w:firstLine="480"/>
        <w:rPr>
          <w:rFonts w:hint="eastAsia" w:ascii="宋体" w:hAnsi="宋体" w:cs="宋体"/>
          <w:highlight w:val="none"/>
          <w:lang w:val="en-US" w:eastAsia="zh-CN"/>
        </w:rPr>
      </w:pPr>
    </w:p>
    <w:p w14:paraId="3DAA385C">
      <w:pPr>
        <w:ind w:firstLine="480"/>
        <w:rPr>
          <w:rFonts w:hint="eastAsia" w:ascii="宋体" w:hAnsi="宋体" w:cs="宋体"/>
          <w:highlight w:val="none"/>
          <w:lang w:val="en-US" w:eastAsia="zh-CN"/>
        </w:rPr>
      </w:pPr>
      <w:r>
        <w:rPr>
          <w:rFonts w:hint="eastAsia" w:ascii="宋体" w:hAnsi="宋体" w:cs="宋体"/>
          <w:highlight w:val="none"/>
          <w:lang w:val="en-US" w:eastAsia="zh-CN"/>
        </w:rPr>
        <w:t>2、跨鱼塘便道修筑</w:t>
      </w:r>
      <w:bookmarkEnd w:id="336"/>
      <w:bookmarkEnd w:id="337"/>
    </w:p>
    <w:p w14:paraId="6CB0B8C8">
      <w:pPr>
        <w:ind w:firstLine="480"/>
        <w:rPr>
          <w:rFonts w:hint="eastAsia" w:ascii="宋体" w:hAnsi="宋体" w:cs="宋体"/>
          <w:highlight w:val="none"/>
          <w:lang w:val="en-US" w:eastAsia="zh-CN"/>
        </w:rPr>
      </w:pPr>
      <w:r>
        <w:rPr>
          <w:rFonts w:hint="eastAsia" w:ascii="宋体" w:hAnsi="宋体" w:cs="宋体"/>
          <w:highlight w:val="none"/>
          <w:lang w:val="en-US" w:eastAsia="zh-CN"/>
        </w:rPr>
        <w:t>修筑便道前先抽水、淤泥翻晒, 边坡按1：1.1设置。上面再依次填筑翻晒后的淤泥质土、40cm建渣（山皮石）、30cm砂性土压实，最后铺筑20cm厚泥结碎石压实。</w:t>
      </w:r>
    </w:p>
    <w:p w14:paraId="0BEDE912">
      <w:pPr>
        <w:ind w:firstLine="480"/>
        <w:rPr>
          <w:rFonts w:hint="eastAsia" w:ascii="宋体" w:hAnsi="宋体" w:cs="宋体"/>
          <w:highlight w:val="none"/>
          <w:lang w:val="en-US" w:eastAsia="zh-CN"/>
        </w:rPr>
      </w:pPr>
    </w:p>
    <w:p w14:paraId="4E4DD641">
      <w:pPr>
        <w:ind w:firstLine="480"/>
        <w:rPr>
          <w:rFonts w:hint="eastAsia" w:ascii="宋体" w:hAnsi="宋体" w:cs="宋体"/>
          <w:highlight w:val="none"/>
          <w:lang w:val="en-US" w:eastAsia="zh-CN"/>
        </w:rPr>
      </w:pPr>
      <w:bookmarkStart w:id="338" w:name="_Toc516733277"/>
      <w:bookmarkStart w:id="339" w:name="_Toc8457"/>
      <w:bookmarkStart w:id="340" w:name="_Toc3873"/>
      <w:r>
        <w:rPr>
          <w:rFonts w:hint="eastAsia" w:ascii="宋体" w:hAnsi="宋体" w:cs="宋体"/>
          <w:highlight w:val="none"/>
          <w:lang w:val="en-US" w:eastAsia="zh-CN"/>
        </w:rPr>
        <w:drawing>
          <wp:inline distT="0" distB="0" distL="114300" distR="114300">
            <wp:extent cx="5452745" cy="2374265"/>
            <wp:effectExtent l="0" t="0" r="3175" b="3175"/>
            <wp:docPr id="1474" name="图片 21" descr="3c28d83583965bb1253d94f67556b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图片 21" descr="3c28d83583965bb1253d94f67556b25"/>
                    <pic:cNvPicPr>
                      <a:picLocks noChangeAspect="1"/>
                    </pic:cNvPicPr>
                  </pic:nvPicPr>
                  <pic:blipFill>
                    <a:blip r:embed="rId38"/>
                    <a:stretch>
                      <a:fillRect/>
                    </a:stretch>
                  </pic:blipFill>
                  <pic:spPr>
                    <a:xfrm>
                      <a:off x="0" y="0"/>
                      <a:ext cx="5452745" cy="2374265"/>
                    </a:xfrm>
                    <a:prstGeom prst="rect">
                      <a:avLst/>
                    </a:prstGeom>
                    <a:noFill/>
                    <a:ln>
                      <a:noFill/>
                    </a:ln>
                  </pic:spPr>
                </pic:pic>
              </a:graphicData>
            </a:graphic>
          </wp:inline>
        </w:drawing>
      </w:r>
    </w:p>
    <w:p w14:paraId="72290C2A">
      <w:pPr>
        <w:ind w:firstLine="480"/>
        <w:rPr>
          <w:rFonts w:hint="eastAsia" w:ascii="宋体" w:hAnsi="宋体" w:cs="宋体"/>
          <w:highlight w:val="none"/>
          <w:lang w:val="en-US" w:eastAsia="zh-CN"/>
        </w:rPr>
      </w:pPr>
      <w:r>
        <w:rPr>
          <w:rFonts w:hint="eastAsia" w:ascii="宋体" w:hAnsi="宋体" w:cs="宋体"/>
          <w:highlight w:val="none"/>
          <w:lang w:val="en-US" w:eastAsia="zh-CN"/>
        </w:rPr>
        <w:t>3、跨沟渠便道修筑</w:t>
      </w:r>
      <w:bookmarkEnd w:id="338"/>
      <w:bookmarkEnd w:id="339"/>
      <w:bookmarkEnd w:id="340"/>
    </w:p>
    <w:p w14:paraId="7C8CB439">
      <w:pPr>
        <w:ind w:firstLine="480"/>
        <w:rPr>
          <w:rFonts w:hint="eastAsia" w:ascii="宋体" w:hAnsi="宋体" w:cs="宋体"/>
          <w:highlight w:val="none"/>
          <w:lang w:val="en-US" w:eastAsia="zh-CN"/>
        </w:rPr>
      </w:pPr>
      <w:r>
        <w:rPr>
          <w:rFonts w:hint="eastAsia" w:ascii="宋体" w:hAnsi="宋体" w:cs="宋体"/>
          <w:highlight w:val="none"/>
          <w:lang w:val="en-US" w:eastAsia="zh-CN"/>
        </w:rPr>
        <w:t>为尽量减少对农业灌溉用水的影响,便道通过沟渠时设置过水圆管涵后方可进行便道填筑施工，过水管涵可根据沟渠宽度、流水量设置1~2道。管涵直径1.5米，管道两侧进出水口位置用石头码砌防护。铺设前应对沟渠进行清淤，并铺设块石或砂砾垫层,其厚度不小于50cm，相邻管节错台不得大于5mm。</w:t>
      </w:r>
    </w:p>
    <w:p w14:paraId="27BFE764">
      <w:pPr>
        <w:ind w:firstLine="480"/>
        <w:rPr>
          <w:rFonts w:hint="eastAsia" w:ascii="宋体" w:hAnsi="宋体" w:cs="宋体"/>
          <w:highlight w:val="none"/>
          <w:lang w:val="en-US" w:eastAsia="zh-CN"/>
        </w:rPr>
      </w:pPr>
      <w:r>
        <w:rPr>
          <w:rFonts w:hint="eastAsia" w:ascii="宋体" w:hAnsi="宋体" w:cs="宋体"/>
          <w:highlight w:val="none"/>
          <w:lang w:val="en-US" w:eastAsia="zh-CN"/>
        </w:rPr>
        <w:t>涵管上填筑土方分层压实，最后填筑20cm厚泥结碎石压实。</w:t>
      </w:r>
    </w:p>
    <w:bookmarkEnd w:id="313"/>
    <w:p w14:paraId="18AD8959">
      <w:pPr>
        <w:pStyle w:val="5"/>
        <w:numPr>
          <w:ilvl w:val="2"/>
          <w:numId w:val="0"/>
        </w:numPr>
        <w:spacing w:line="360" w:lineRule="auto"/>
        <w:ind w:left="720" w:leftChars="0" w:hanging="720" w:firstLineChars="0"/>
        <w:rPr>
          <w:rFonts w:hint="eastAsia" w:ascii="宋体" w:hAnsi="宋体" w:eastAsia="宋体" w:cs="宋体"/>
          <w:color w:val="auto"/>
          <w:highlight w:val="none"/>
        </w:rPr>
      </w:pPr>
      <w:bookmarkStart w:id="341" w:name="_Toc16929"/>
      <w:bookmarkStart w:id="342" w:name="_Toc30500"/>
      <w:bookmarkStart w:id="343" w:name="_Toc26925"/>
      <w:bookmarkStart w:id="344" w:name="_Toc2209"/>
      <w:bookmarkStart w:id="345" w:name="_Toc12192"/>
      <w:bookmarkStart w:id="346" w:name="_Toc31233"/>
      <w:bookmarkStart w:id="347" w:name="_Toc260036556"/>
      <w:bookmarkStart w:id="348" w:name="_Toc21628"/>
      <w:bookmarkStart w:id="349" w:name="_Toc260037165"/>
      <w:bookmarkStart w:id="350" w:name="_Toc23665"/>
      <w:bookmarkStart w:id="351" w:name="_Toc27537"/>
      <w:bookmarkStart w:id="352" w:name="_Toc18315"/>
      <w:bookmarkStart w:id="353" w:name="_Toc10349"/>
      <w:bookmarkStart w:id="354" w:name="_Toc392165593"/>
      <w:bookmarkStart w:id="355" w:name="_Toc10039"/>
      <w:bookmarkStart w:id="356" w:name="_Toc392933482"/>
      <w:r>
        <w:rPr>
          <w:rFonts w:hint="default" w:ascii="宋体" w:hAnsi="宋体" w:eastAsia="宋体" w:cs="Times New Roman"/>
          <w:b/>
          <w:bCs/>
          <w:color w:val="auto"/>
          <w:kern w:val="2"/>
          <w:sz w:val="30"/>
          <w:szCs w:val="32"/>
          <w:lang w:val="en-US" w:eastAsia="zh-CN" w:bidi="ar-SA"/>
        </w:rPr>
        <w:t>4.1.9.</w:t>
      </w:r>
      <w:r>
        <w:rPr>
          <w:rFonts w:hint="eastAsia" w:ascii="宋体" w:hAnsi="宋体" w:eastAsia="宋体" w:cs="宋体"/>
          <w:color w:val="auto"/>
          <w:highlight w:val="none"/>
        </w:rPr>
        <w:t>智慧工地建设</w:t>
      </w:r>
      <w:bookmarkEnd w:id="341"/>
      <w:bookmarkEnd w:id="342"/>
      <w:bookmarkEnd w:id="343"/>
      <w:bookmarkEnd w:id="344"/>
      <w:bookmarkEnd w:id="345"/>
    </w:p>
    <w:p w14:paraId="105B7E47">
      <w:pPr>
        <w:ind w:firstLine="480"/>
        <w:rPr>
          <w:rFonts w:hint="eastAsia" w:ascii="宋体" w:hAnsi="宋体" w:eastAsia="宋体" w:cs="宋体"/>
          <w:highlight w:val="none"/>
        </w:rPr>
      </w:pPr>
      <w:r>
        <w:rPr>
          <w:rFonts w:hint="eastAsia" w:ascii="宋体" w:hAnsi="宋体" w:eastAsia="宋体" w:cs="宋体"/>
          <w:highlight w:val="none"/>
        </w:rPr>
        <w:t>随着城市建设的不断深入，各种建设工程规模不断扩大，面对建设工地面积大、人员多、设备物资分散、管理作业流程琐碎的特点，采用传统的人工巡视、手工纸介质记录的工作方式，已无法满足大型项目管控的要求。利用信息化手段实现监管模式的创新，解决建设工程中出现的“监管力度不强，监管手段落后”等难题，成为项目建设管理方的必然选择。</w:t>
      </w:r>
    </w:p>
    <w:p w14:paraId="1AC37F4A">
      <w:pPr>
        <w:ind w:firstLine="480"/>
        <w:rPr>
          <w:rFonts w:hint="eastAsia" w:ascii="宋体" w:hAnsi="宋体" w:eastAsia="宋体" w:cs="宋体"/>
          <w:highlight w:val="none"/>
        </w:rPr>
      </w:pPr>
      <w:r>
        <w:rPr>
          <w:rFonts w:hint="eastAsia" w:ascii="宋体" w:hAnsi="宋体" w:eastAsia="宋体" w:cs="宋体"/>
          <w:highlight w:val="none"/>
        </w:rPr>
        <w:t>“智慧工地”系统的建设，将计算机技术与物联网应用相结合，通过数据采集技术、无线网络技术以及视频监控等手段，实现对现场施工人员、设备、物资的实时定位，有效获取人员、机械设备、物资位置信息、时间信息、轨迹信息等，及时发现遗漏异常行为，实现自动化监管设施联合动作，提高应急响应速度和事件的处置速度，形成人管、技管、物管、联管、安管五管合一的立体化管控格局，变被动式管理为主动式智能化管理，有效提高施工现场的管理水平和管理效率。</w:t>
      </w:r>
    </w:p>
    <w:p w14:paraId="294A5264">
      <w:pPr>
        <w:ind w:firstLine="480"/>
        <w:rPr>
          <w:rFonts w:hint="eastAsia" w:ascii="宋体" w:hAnsi="宋体" w:eastAsia="宋体" w:cs="宋体"/>
          <w:highlight w:val="none"/>
        </w:rPr>
      </w:pPr>
      <w:r>
        <w:rPr>
          <w:rFonts w:hint="eastAsia" w:ascii="宋体" w:hAnsi="宋体" w:eastAsia="宋体" w:cs="宋体"/>
          <w:highlight w:val="none"/>
        </w:rPr>
        <w:t>基于“智慧工地”系统平台，工程建设管理层可以随时随地掌握项目的进展情况，监控现场的施工动态，及时发现问题并督促施工单位、项目负责人及时整改隐患，杜绝各种违规操作和不文明施工现象，促进安全生产和工程质量管理。</w:t>
      </w:r>
    </w:p>
    <w:bookmarkEnd w:id="346"/>
    <w:bookmarkEnd w:id="347"/>
    <w:bookmarkEnd w:id="348"/>
    <w:bookmarkEnd w:id="349"/>
    <w:bookmarkEnd w:id="350"/>
    <w:bookmarkEnd w:id="351"/>
    <w:bookmarkEnd w:id="352"/>
    <w:bookmarkEnd w:id="353"/>
    <w:bookmarkEnd w:id="354"/>
    <w:bookmarkEnd w:id="355"/>
    <w:bookmarkEnd w:id="356"/>
    <w:p w14:paraId="48537A1F">
      <w:pPr>
        <w:pStyle w:val="5"/>
        <w:numPr>
          <w:ilvl w:val="2"/>
          <w:numId w:val="0"/>
        </w:numPr>
        <w:spacing w:line="360" w:lineRule="auto"/>
        <w:ind w:left="720" w:leftChars="0" w:hanging="720" w:firstLineChars="0"/>
        <w:rPr>
          <w:rFonts w:hint="eastAsia" w:ascii="宋体" w:hAnsi="宋体" w:eastAsia="宋体" w:cs="宋体"/>
          <w:color w:val="auto"/>
          <w:highlight w:val="none"/>
        </w:rPr>
      </w:pPr>
      <w:bookmarkStart w:id="357" w:name="_Toc31536"/>
      <w:bookmarkStart w:id="358" w:name="_Toc11016"/>
      <w:bookmarkStart w:id="359" w:name="_Toc20684"/>
      <w:bookmarkStart w:id="360" w:name="_Toc4467"/>
      <w:bookmarkStart w:id="361" w:name="_Toc260037166"/>
      <w:bookmarkStart w:id="362" w:name="_Toc260036557"/>
      <w:bookmarkStart w:id="363" w:name="_Toc20988"/>
      <w:bookmarkStart w:id="364" w:name="_Toc392165594"/>
      <w:bookmarkStart w:id="365" w:name="_Toc21679"/>
      <w:bookmarkStart w:id="366" w:name="_Toc232929187"/>
      <w:bookmarkStart w:id="367" w:name="_Toc17910"/>
      <w:bookmarkStart w:id="368" w:name="_Toc16898"/>
      <w:bookmarkStart w:id="369" w:name="_Toc19438"/>
      <w:bookmarkStart w:id="370" w:name="_Toc392933483"/>
      <w:bookmarkStart w:id="371" w:name="_Toc31526"/>
      <w:bookmarkStart w:id="372" w:name="_Toc12118"/>
      <w:bookmarkStart w:id="373" w:name="_Toc17879"/>
      <w:bookmarkStart w:id="374" w:name="_Toc19699"/>
      <w:bookmarkStart w:id="375" w:name="_Toc30371"/>
      <w:bookmarkStart w:id="376" w:name="_Toc22002"/>
      <w:bookmarkStart w:id="377" w:name="_Toc31027"/>
      <w:bookmarkStart w:id="378" w:name="_Toc19837"/>
      <w:bookmarkStart w:id="379" w:name="_Toc1012"/>
      <w:r>
        <w:rPr>
          <w:rFonts w:hint="default" w:ascii="宋体" w:hAnsi="宋体" w:eastAsia="宋体" w:cs="Times New Roman"/>
          <w:b/>
          <w:bCs/>
          <w:color w:val="auto"/>
          <w:kern w:val="2"/>
          <w:sz w:val="30"/>
          <w:szCs w:val="32"/>
          <w:lang w:val="en-US" w:eastAsia="zh-CN" w:bidi="ar-SA"/>
        </w:rPr>
        <w:t>4.1.10.</w:t>
      </w:r>
      <w:r>
        <w:rPr>
          <w:rFonts w:hint="eastAsia" w:ascii="宋体" w:hAnsi="宋体" w:eastAsia="宋体" w:cs="宋体"/>
          <w:color w:val="auto"/>
          <w:highlight w:val="none"/>
        </w:rPr>
        <w:t>施工通讯</w:t>
      </w:r>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14:paraId="2F8C7E7F">
      <w:pPr>
        <w:ind w:firstLine="480"/>
        <w:rPr>
          <w:rFonts w:hint="eastAsia" w:ascii="宋体" w:hAnsi="宋体" w:eastAsia="宋体" w:cs="宋体"/>
          <w:highlight w:val="none"/>
        </w:rPr>
      </w:pPr>
      <w:r>
        <w:rPr>
          <w:rFonts w:hint="eastAsia" w:ascii="宋体" w:hAnsi="宋体" w:eastAsia="宋体" w:cs="宋体"/>
          <w:highlight w:val="none"/>
        </w:rPr>
        <w:t>通信采用中国移动、中国联通、中国电信电话进行通讯联系。项目部配备计算机、网络设备、打印机等。对钢筋加工场及预制场等区域配备监控设施进行实时监控，并确保运转良好，使各工序质量均在有效控制范围内。</w:t>
      </w:r>
    </w:p>
    <w:p w14:paraId="16EED679">
      <w:pPr>
        <w:pStyle w:val="4"/>
        <w:numPr>
          <w:ilvl w:val="1"/>
          <w:numId w:val="0"/>
        </w:numPr>
        <w:spacing w:line="360" w:lineRule="auto"/>
        <w:ind w:firstLine="0" w:firstLineChars="0"/>
        <w:rPr>
          <w:rFonts w:hint="eastAsia" w:ascii="宋体" w:hAnsi="宋体" w:eastAsia="宋体" w:cs="宋体"/>
          <w:color w:val="auto"/>
          <w:highlight w:val="none"/>
        </w:rPr>
      </w:pPr>
      <w:bookmarkStart w:id="380" w:name="_Toc27878"/>
      <w:bookmarkStart w:id="381" w:name="_Toc29323"/>
      <w:bookmarkStart w:id="382" w:name="_Toc16576"/>
      <w:bookmarkStart w:id="383" w:name="_Toc1661"/>
      <w:bookmarkStart w:id="384" w:name="_Toc30721"/>
      <w:r>
        <w:rPr>
          <w:rFonts w:hint="default" w:ascii="宋体" w:hAnsi="宋体" w:eastAsia="宋体" w:cs="Times New Roman"/>
          <w:b/>
          <w:bCs/>
          <w:color w:val="auto"/>
          <w:kern w:val="2"/>
          <w:sz w:val="32"/>
          <w:szCs w:val="32"/>
          <w:lang w:val="en-US" w:eastAsia="zh-CN" w:bidi="ar-SA"/>
        </w:rPr>
        <w:t>4.2.</w:t>
      </w:r>
      <w:r>
        <w:rPr>
          <w:rFonts w:hint="eastAsia" w:ascii="宋体" w:hAnsi="宋体" w:eastAsia="宋体" w:cs="宋体"/>
          <w:color w:val="auto"/>
          <w:highlight w:val="none"/>
        </w:rPr>
        <w:t>工程所需机械、人员和临时设施准备及进场</w:t>
      </w:r>
      <w:bookmarkEnd w:id="380"/>
      <w:bookmarkEnd w:id="381"/>
      <w:bookmarkEnd w:id="382"/>
      <w:bookmarkEnd w:id="383"/>
      <w:bookmarkEnd w:id="384"/>
    </w:p>
    <w:p w14:paraId="0A412ED8">
      <w:pPr>
        <w:ind w:firstLine="480"/>
        <w:rPr>
          <w:rFonts w:hint="eastAsia" w:ascii="宋体" w:hAnsi="宋体" w:eastAsia="宋体" w:cs="宋体"/>
          <w:highlight w:val="none"/>
        </w:rPr>
      </w:pPr>
      <w:r>
        <w:rPr>
          <w:rFonts w:hint="eastAsia" w:ascii="宋体" w:hAnsi="宋体" w:eastAsia="宋体" w:cs="宋体"/>
          <w:highlight w:val="none"/>
        </w:rPr>
        <w:t>根据施工进度需要，人员、机械设备、物资采用分期分批进驻现场，并依据情况变化随时调整加强。第一批施工人员约20--30人管理人员，开展前期项目组建，对接技术等工作。部分前期使用的机械设备，用于项目驻地及前期规划。其余施工人员及机械设备于开工后根据本工程的实际情况，为进一步保证本工程的施工需要，满足工程进度、质量要求，同时视现场的实际条件，本工程拟选用较先进和新型的建筑机械设备，尽可能减少繁重而耗时的人工操作。工程材料物资由供货单位运至现场仓库或我司施工人员指定位置。</w:t>
      </w:r>
    </w:p>
    <w:p w14:paraId="32CC76CE">
      <w:pPr>
        <w:ind w:firstLine="482"/>
        <w:rPr>
          <w:rFonts w:hint="eastAsia" w:ascii="宋体" w:hAnsi="宋体" w:eastAsia="宋体" w:cs="宋体"/>
          <w:b/>
          <w:bCs/>
          <w:highlight w:val="none"/>
        </w:rPr>
      </w:pPr>
      <w:bookmarkStart w:id="385" w:name="_Toc12947"/>
      <w:bookmarkStart w:id="386" w:name="_Toc172216574"/>
      <w:bookmarkStart w:id="387" w:name="_Toc6889"/>
      <w:bookmarkStart w:id="388" w:name="_Toc29953"/>
      <w:bookmarkStart w:id="389" w:name="_Toc171648378"/>
      <w:bookmarkStart w:id="390" w:name="_Toc8900"/>
      <w:bookmarkStart w:id="391" w:name="_Toc3294"/>
      <w:bookmarkStart w:id="392" w:name="_Toc20864"/>
      <w:r>
        <w:rPr>
          <w:rFonts w:hint="eastAsia" w:ascii="宋体" w:hAnsi="宋体" w:cs="宋体"/>
          <w:b/>
          <w:bCs/>
          <w:highlight w:val="none"/>
          <w:lang w:val="en-US" w:eastAsia="zh-CN"/>
        </w:rPr>
        <w:t>1、</w:t>
      </w:r>
      <w:r>
        <w:rPr>
          <w:rFonts w:hint="eastAsia" w:ascii="宋体" w:hAnsi="宋体" w:eastAsia="宋体" w:cs="宋体"/>
          <w:b/>
          <w:bCs/>
          <w:highlight w:val="none"/>
        </w:rPr>
        <w:t>劳动力组织准备</w:t>
      </w:r>
      <w:bookmarkEnd w:id="385"/>
      <w:bookmarkEnd w:id="386"/>
      <w:bookmarkEnd w:id="387"/>
      <w:bookmarkEnd w:id="388"/>
      <w:bookmarkEnd w:id="389"/>
      <w:bookmarkEnd w:id="390"/>
      <w:bookmarkEnd w:id="391"/>
      <w:bookmarkEnd w:id="392"/>
    </w:p>
    <w:p w14:paraId="22582315">
      <w:pPr>
        <w:ind w:firstLine="480"/>
        <w:rPr>
          <w:rFonts w:hint="eastAsia" w:ascii="宋体" w:hAnsi="宋体" w:eastAsia="宋体" w:cs="宋体"/>
          <w:highlight w:val="none"/>
        </w:rPr>
      </w:pPr>
      <w:r>
        <w:rPr>
          <w:rFonts w:hint="eastAsia" w:ascii="宋体" w:hAnsi="宋体" w:eastAsia="宋体" w:cs="宋体"/>
          <w:highlight w:val="none"/>
        </w:rPr>
        <w:t>根据本工程的任务划分，编制劳动力使用计划，有序组织施工队伍进场，并对进场工人进行技能培训、施工工艺和操作规程交底，建立健全考勤考核等制度。</w:t>
      </w:r>
    </w:p>
    <w:p w14:paraId="7FF83A70">
      <w:pPr>
        <w:ind w:firstLine="482"/>
        <w:rPr>
          <w:rFonts w:hint="eastAsia" w:ascii="宋体" w:hAnsi="宋体" w:eastAsia="宋体" w:cs="宋体"/>
          <w:b/>
          <w:bCs/>
          <w:highlight w:val="none"/>
        </w:rPr>
      </w:pPr>
      <w:bookmarkStart w:id="393" w:name="_Toc3837"/>
      <w:bookmarkStart w:id="394" w:name="_Toc20104"/>
      <w:bookmarkStart w:id="395" w:name="_Toc30260"/>
      <w:bookmarkStart w:id="396" w:name="_Toc171648379"/>
      <w:bookmarkStart w:id="397" w:name="_Toc172216575"/>
      <w:bookmarkStart w:id="398" w:name="_Toc6088"/>
      <w:bookmarkStart w:id="399" w:name="_Toc21005"/>
      <w:bookmarkStart w:id="400" w:name="_Toc19880"/>
      <w:r>
        <w:rPr>
          <w:rFonts w:hint="eastAsia" w:ascii="宋体" w:hAnsi="宋体" w:cs="宋体"/>
          <w:b/>
          <w:bCs/>
          <w:highlight w:val="none"/>
          <w:lang w:val="en-US" w:eastAsia="zh-CN"/>
        </w:rPr>
        <w:t>2、</w:t>
      </w:r>
      <w:r>
        <w:rPr>
          <w:rFonts w:hint="eastAsia" w:ascii="宋体" w:hAnsi="宋体" w:eastAsia="宋体" w:cs="宋体"/>
          <w:b/>
          <w:bCs/>
          <w:highlight w:val="none"/>
        </w:rPr>
        <w:t>机械设备进场准备</w:t>
      </w:r>
      <w:bookmarkEnd w:id="393"/>
      <w:bookmarkEnd w:id="394"/>
      <w:bookmarkEnd w:id="395"/>
      <w:bookmarkEnd w:id="396"/>
      <w:bookmarkEnd w:id="397"/>
      <w:bookmarkEnd w:id="398"/>
      <w:bookmarkEnd w:id="399"/>
      <w:bookmarkEnd w:id="400"/>
    </w:p>
    <w:p w14:paraId="6430D47B">
      <w:pPr>
        <w:ind w:firstLine="480"/>
        <w:rPr>
          <w:rFonts w:hint="eastAsia" w:ascii="宋体" w:hAnsi="宋体" w:eastAsia="宋体" w:cs="宋体"/>
          <w:highlight w:val="none"/>
        </w:rPr>
      </w:pPr>
      <w:r>
        <w:rPr>
          <w:rFonts w:hint="eastAsia" w:ascii="宋体" w:hAnsi="宋体" w:eastAsia="宋体" w:cs="宋体"/>
          <w:highlight w:val="none"/>
        </w:rPr>
        <w:t>按照“设备先进、满足需求、性能良好、互相配套”的原则，根据施工要求在编订招标文件最低设备配置要求进行施工机械设备的配置，分阶段、分期组织进场。进场前，对机械进行彻底检修，保证上场机具性能完好。并组织验收，做好设备进场验收登记制度。</w:t>
      </w:r>
    </w:p>
    <w:p w14:paraId="6DDE21B9">
      <w:pPr>
        <w:ind w:firstLine="482"/>
        <w:rPr>
          <w:rFonts w:hint="eastAsia" w:ascii="宋体" w:hAnsi="宋体" w:eastAsia="宋体" w:cs="宋体"/>
          <w:b/>
          <w:bCs/>
          <w:highlight w:val="none"/>
        </w:rPr>
      </w:pPr>
      <w:bookmarkStart w:id="401" w:name="_Toc28886"/>
      <w:bookmarkStart w:id="402" w:name="_Toc17603"/>
      <w:bookmarkStart w:id="403" w:name="_Toc18691"/>
      <w:bookmarkStart w:id="404" w:name="_Toc7897"/>
      <w:bookmarkStart w:id="405" w:name="_Toc171648380"/>
      <w:bookmarkStart w:id="406" w:name="_Toc4967"/>
      <w:bookmarkStart w:id="407" w:name="_Toc17131"/>
      <w:bookmarkStart w:id="408" w:name="_Toc172216576"/>
      <w:r>
        <w:rPr>
          <w:rFonts w:hint="eastAsia" w:ascii="宋体" w:hAnsi="宋体" w:cs="宋体"/>
          <w:b/>
          <w:bCs/>
          <w:highlight w:val="none"/>
          <w:lang w:val="en-US" w:eastAsia="zh-CN"/>
        </w:rPr>
        <w:t>3、</w:t>
      </w:r>
      <w:r>
        <w:rPr>
          <w:rFonts w:hint="eastAsia" w:ascii="宋体" w:hAnsi="宋体" w:eastAsia="宋体" w:cs="宋体"/>
          <w:b/>
          <w:bCs/>
          <w:highlight w:val="none"/>
        </w:rPr>
        <w:t>材料供应准备</w:t>
      </w:r>
      <w:bookmarkEnd w:id="401"/>
      <w:bookmarkEnd w:id="402"/>
      <w:bookmarkEnd w:id="403"/>
      <w:bookmarkEnd w:id="404"/>
      <w:bookmarkEnd w:id="405"/>
      <w:bookmarkEnd w:id="406"/>
      <w:bookmarkEnd w:id="407"/>
      <w:bookmarkEnd w:id="408"/>
    </w:p>
    <w:p w14:paraId="0C6E6F79">
      <w:pPr>
        <w:pStyle w:val="14"/>
        <w:ind w:firstLine="480"/>
        <w:rPr>
          <w:rFonts w:hint="eastAsia" w:ascii="宋体" w:hAnsi="宋体" w:eastAsia="宋体" w:cs="宋体"/>
          <w:highlight w:val="none"/>
        </w:rPr>
      </w:pPr>
      <w:r>
        <w:rPr>
          <w:rFonts w:hint="eastAsia" w:ascii="宋体" w:hAnsi="宋体" w:eastAsia="宋体" w:cs="宋体"/>
          <w:highlight w:val="none"/>
        </w:rPr>
        <w:t>根据材料使用计划，项目部在开工前，提前考察施工材料的供应厂家，签好合同，组织材料进场。所有用于本工程的建筑材料进场时“三证”等资料必须齐全，并按有关技术规范的规定与本工程监理工程师进行分批抽取试件送检，经检验合格后的材料才能进场使用。</w:t>
      </w:r>
    </w:p>
    <w:p w14:paraId="56399DC9">
      <w:pPr>
        <w:pStyle w:val="4"/>
        <w:numPr>
          <w:ilvl w:val="1"/>
          <w:numId w:val="0"/>
        </w:numPr>
        <w:spacing w:line="360" w:lineRule="auto"/>
        <w:ind w:firstLine="0" w:firstLineChars="0"/>
        <w:rPr>
          <w:rFonts w:hint="eastAsia" w:ascii="宋体" w:hAnsi="宋体" w:eastAsia="宋体" w:cs="宋体"/>
          <w:color w:val="auto"/>
          <w:highlight w:val="none"/>
        </w:rPr>
      </w:pPr>
      <w:bookmarkStart w:id="409" w:name="_Toc16733"/>
      <w:bookmarkStart w:id="410" w:name="_Toc17921"/>
      <w:bookmarkStart w:id="411" w:name="_Toc17717"/>
      <w:bookmarkStart w:id="412" w:name="_Toc4430"/>
      <w:bookmarkStart w:id="413" w:name="_Toc19144"/>
      <w:r>
        <w:rPr>
          <w:rFonts w:hint="default" w:ascii="宋体" w:hAnsi="宋体" w:eastAsia="宋体" w:cs="Times New Roman"/>
          <w:b/>
          <w:bCs/>
          <w:color w:val="auto"/>
          <w:kern w:val="2"/>
          <w:sz w:val="32"/>
          <w:szCs w:val="32"/>
          <w:lang w:val="en-US" w:eastAsia="zh-CN" w:bidi="ar-SA"/>
        </w:rPr>
        <w:t>4.3.</w:t>
      </w:r>
      <w:r>
        <w:rPr>
          <w:rFonts w:hint="eastAsia" w:ascii="宋体" w:hAnsi="宋体" w:eastAsia="宋体" w:cs="宋体"/>
          <w:color w:val="auto"/>
          <w:highlight w:val="none"/>
        </w:rPr>
        <w:t>试验准备</w:t>
      </w:r>
      <w:bookmarkEnd w:id="374"/>
      <w:bookmarkEnd w:id="375"/>
      <w:bookmarkEnd w:id="376"/>
      <w:bookmarkEnd w:id="377"/>
      <w:bookmarkEnd w:id="378"/>
      <w:bookmarkEnd w:id="379"/>
      <w:bookmarkEnd w:id="409"/>
      <w:bookmarkEnd w:id="410"/>
      <w:bookmarkEnd w:id="411"/>
      <w:bookmarkEnd w:id="412"/>
      <w:bookmarkEnd w:id="413"/>
    </w:p>
    <w:p w14:paraId="6B08632C">
      <w:pPr>
        <w:pStyle w:val="14"/>
        <w:ind w:firstLine="480"/>
        <w:rPr>
          <w:rFonts w:hint="eastAsia" w:ascii="宋体" w:hAnsi="宋体" w:eastAsia="宋体" w:cs="宋体"/>
          <w:highlight w:val="none"/>
        </w:rPr>
      </w:pPr>
      <w:r>
        <w:rPr>
          <w:rFonts w:hint="eastAsia" w:ascii="宋体" w:hAnsi="宋体" w:eastAsia="宋体" w:cs="宋体"/>
          <w:highlight w:val="none"/>
        </w:rPr>
        <w:t>本项目试验检测单位</w:t>
      </w:r>
      <w:r>
        <w:rPr>
          <w:rFonts w:hint="eastAsia" w:ascii="宋体" w:hAnsi="宋体" w:eastAsia="宋体" w:cs="宋体"/>
          <w:highlight w:val="none"/>
          <w:lang w:val="en-US" w:eastAsia="zh-CN"/>
        </w:rPr>
        <w:t>在母公司授权范围以外委托第三方检测</w:t>
      </w:r>
      <w:r>
        <w:rPr>
          <w:rFonts w:hint="eastAsia" w:ascii="宋体" w:hAnsi="宋体" w:eastAsia="宋体" w:cs="宋体"/>
          <w:highlight w:val="none"/>
        </w:rPr>
        <w:t>，项目部</w:t>
      </w:r>
      <w:r>
        <w:rPr>
          <w:rFonts w:hint="eastAsia" w:ascii="宋体" w:hAnsi="宋体" w:cs="宋体"/>
          <w:highlight w:val="none"/>
          <w:lang w:val="en-US" w:eastAsia="zh-CN"/>
        </w:rPr>
        <w:t>试</w:t>
      </w:r>
      <w:r>
        <w:rPr>
          <w:rFonts w:hint="eastAsia" w:ascii="宋体" w:hAnsi="宋体" w:eastAsia="宋体" w:cs="宋体"/>
          <w:highlight w:val="none"/>
        </w:rPr>
        <w:t>验室主要负责项目部试验管理工作，负责配合第三方取样及送检和我标段内的具体试验工作，材料的进场检验及对混凝土（砂浆）施工质量把关，检查试件制作等工作；负责试验资料的收集管理；负责编制项目部的检验试验计划。项目进场后应根据本项目的施工特点及施工计划安排，将前期需要完成的砼配比验证及钢材、土工材料、水泥的相关试验提前完成。配合物资部门完成原材料选取及取样送检工作。</w:t>
      </w:r>
    </w:p>
    <w:p w14:paraId="6B15637A">
      <w:pPr>
        <w:pStyle w:val="4"/>
        <w:numPr>
          <w:ilvl w:val="1"/>
          <w:numId w:val="0"/>
        </w:numPr>
        <w:spacing w:line="360" w:lineRule="auto"/>
        <w:ind w:firstLine="0" w:firstLineChars="0"/>
        <w:rPr>
          <w:rFonts w:hint="eastAsia" w:ascii="宋体" w:hAnsi="宋体" w:eastAsia="宋体" w:cs="宋体"/>
          <w:color w:val="auto"/>
          <w:highlight w:val="none"/>
        </w:rPr>
      </w:pPr>
      <w:bookmarkStart w:id="414" w:name="_Toc4896"/>
      <w:bookmarkStart w:id="415" w:name="_Toc17937"/>
      <w:bookmarkStart w:id="416" w:name="_Toc1903"/>
      <w:bookmarkStart w:id="417" w:name="_Toc18345"/>
      <w:bookmarkStart w:id="418" w:name="_Toc30639"/>
      <w:r>
        <w:rPr>
          <w:rFonts w:hint="default" w:ascii="宋体" w:hAnsi="宋体" w:eastAsia="宋体" w:cs="Times New Roman"/>
          <w:b/>
          <w:bCs/>
          <w:color w:val="auto"/>
          <w:kern w:val="2"/>
          <w:sz w:val="32"/>
          <w:szCs w:val="32"/>
          <w:lang w:val="en-US" w:eastAsia="zh-CN" w:bidi="ar-SA"/>
        </w:rPr>
        <w:t>4.4.</w:t>
      </w:r>
      <w:r>
        <w:rPr>
          <w:rFonts w:hint="eastAsia" w:ascii="宋体" w:hAnsi="宋体" w:eastAsia="宋体" w:cs="宋体"/>
          <w:color w:val="auto"/>
          <w:highlight w:val="none"/>
        </w:rPr>
        <w:t>技术资料准备</w:t>
      </w:r>
      <w:bookmarkEnd w:id="414"/>
      <w:bookmarkEnd w:id="415"/>
      <w:bookmarkEnd w:id="416"/>
      <w:bookmarkEnd w:id="417"/>
      <w:bookmarkEnd w:id="418"/>
    </w:p>
    <w:p w14:paraId="749776D3">
      <w:pPr>
        <w:ind w:firstLine="480"/>
        <w:rPr>
          <w:rFonts w:hint="eastAsia" w:ascii="宋体" w:hAnsi="宋体" w:eastAsia="宋体" w:cs="宋体"/>
          <w:kern w:val="10"/>
          <w:szCs w:val="24"/>
          <w:highlight w:val="none"/>
        </w:rPr>
      </w:pPr>
      <w:bookmarkStart w:id="419" w:name="_Toc260037153"/>
      <w:bookmarkStart w:id="420" w:name="_Toc23771"/>
      <w:bookmarkStart w:id="421" w:name="_Toc31883"/>
      <w:bookmarkStart w:id="422" w:name="_Toc232929172"/>
      <w:bookmarkStart w:id="423" w:name="_Toc260036544"/>
      <w:bookmarkStart w:id="424" w:name="_Toc11061"/>
      <w:bookmarkStart w:id="425" w:name="_Toc15014"/>
      <w:bookmarkStart w:id="426" w:name="_Toc6686"/>
      <w:bookmarkStart w:id="427" w:name="_Toc21994"/>
      <w:bookmarkStart w:id="428" w:name="_Toc392165581"/>
      <w:bookmarkStart w:id="429" w:name="_Toc12392"/>
      <w:bookmarkStart w:id="430" w:name="_Toc392933469"/>
      <w:r>
        <w:rPr>
          <w:rFonts w:hint="eastAsia" w:ascii="宋体" w:hAnsi="宋体" w:eastAsia="宋体" w:cs="宋体"/>
          <w:kern w:val="10"/>
          <w:szCs w:val="24"/>
          <w:highlight w:val="none"/>
        </w:rPr>
        <w:t>在项目总工的主持下，组织技术人员认真学习合同条款和技术规范,对图纸进行研究校对，深入细致地领会设计意图，对沿线进行踏勘，熟悉现场情况。选择施工方案，确定施工方法,进行施工设计。编制详细的实施性施工组织设计</w:t>
      </w:r>
      <w:r>
        <w:rPr>
          <w:rFonts w:hint="eastAsia" w:ascii="宋体" w:hAnsi="宋体" w:eastAsia="宋体" w:cs="宋体"/>
          <w:kern w:val="10"/>
          <w:szCs w:val="24"/>
          <w:highlight w:val="none"/>
          <w:lang w:eastAsia="zh-CN"/>
        </w:rPr>
        <w:t>，</w:t>
      </w:r>
      <w:r>
        <w:rPr>
          <w:rFonts w:hint="eastAsia" w:ascii="宋体" w:hAnsi="宋体" w:eastAsia="宋体" w:cs="宋体"/>
          <w:kern w:val="10"/>
          <w:szCs w:val="24"/>
          <w:highlight w:val="none"/>
        </w:rPr>
        <w:t>施工标后预算。协调与建设单位、监理单位、检测单位的关系,明确监理流程。制定严格的技术交底，技术管理和质检制度，以及质量目标责任制；准备好工程日志等各种记录簿和工程检查表格。</w:t>
      </w:r>
    </w:p>
    <w:p w14:paraId="54C7C401">
      <w:pPr>
        <w:ind w:firstLine="480"/>
        <w:rPr>
          <w:rFonts w:hint="eastAsia" w:ascii="宋体" w:hAnsi="宋体" w:eastAsia="宋体" w:cs="宋体"/>
          <w:kern w:val="10"/>
          <w:szCs w:val="24"/>
          <w:highlight w:val="none"/>
        </w:rPr>
      </w:pPr>
    </w:p>
    <w:p w14:paraId="0D7873B5">
      <w:pPr>
        <w:ind w:firstLine="480"/>
        <w:rPr>
          <w:rFonts w:hint="eastAsia" w:ascii="宋体" w:hAnsi="宋体" w:eastAsia="宋体" w:cs="宋体"/>
          <w:kern w:val="10"/>
          <w:szCs w:val="24"/>
          <w:highlight w:val="none"/>
        </w:rPr>
      </w:pPr>
    </w:p>
    <w:p w14:paraId="602CA871">
      <w:pPr>
        <w:ind w:firstLine="480"/>
        <w:rPr>
          <w:rFonts w:hint="eastAsia" w:ascii="宋体" w:hAnsi="宋体" w:eastAsia="宋体" w:cs="宋体"/>
          <w:kern w:val="10"/>
          <w:szCs w:val="24"/>
          <w:highlight w:val="none"/>
        </w:rPr>
      </w:pPr>
    </w:p>
    <w:p w14:paraId="29DDE0A6">
      <w:pPr>
        <w:ind w:firstLine="480"/>
        <w:rPr>
          <w:rFonts w:hint="eastAsia" w:ascii="宋体" w:hAnsi="宋体" w:eastAsia="宋体" w:cs="宋体"/>
          <w:kern w:val="10"/>
          <w:szCs w:val="24"/>
          <w:highlight w:val="none"/>
        </w:rPr>
      </w:pPr>
    </w:p>
    <w:p w14:paraId="7E9FC194">
      <w:pPr>
        <w:ind w:firstLine="480"/>
        <w:rPr>
          <w:rFonts w:hint="eastAsia" w:ascii="宋体" w:hAnsi="宋体" w:eastAsia="宋体" w:cs="宋体"/>
          <w:kern w:val="10"/>
          <w:szCs w:val="24"/>
          <w:highlight w:val="none"/>
        </w:rPr>
      </w:pPr>
    </w:p>
    <w:bookmarkEnd w:id="419"/>
    <w:bookmarkEnd w:id="420"/>
    <w:bookmarkEnd w:id="421"/>
    <w:bookmarkEnd w:id="422"/>
    <w:bookmarkEnd w:id="423"/>
    <w:bookmarkEnd w:id="424"/>
    <w:bookmarkEnd w:id="425"/>
    <w:bookmarkEnd w:id="426"/>
    <w:bookmarkEnd w:id="427"/>
    <w:bookmarkEnd w:id="428"/>
    <w:bookmarkEnd w:id="429"/>
    <w:bookmarkEnd w:id="430"/>
    <w:p w14:paraId="60745523">
      <w:pPr>
        <w:pStyle w:val="2"/>
        <w:numPr>
          <w:ilvl w:val="0"/>
          <w:numId w:val="0"/>
        </w:numPr>
        <w:bidi w:val="0"/>
        <w:ind w:leftChars="0"/>
        <w:jc w:val="center"/>
        <w:rPr>
          <w:rFonts w:hint="eastAsia" w:ascii="宋体" w:hAnsi="宋体" w:eastAsia="宋体" w:cs="宋体"/>
          <w:color w:val="auto"/>
        </w:rPr>
      </w:pPr>
      <w:bookmarkStart w:id="431" w:name="_Toc26703"/>
      <w:bookmarkStart w:id="432" w:name="_Toc15237"/>
      <w:bookmarkStart w:id="433" w:name="_Toc13284"/>
      <w:bookmarkStart w:id="434" w:name="_Toc7139"/>
      <w:bookmarkStart w:id="435" w:name="_Toc14182"/>
      <w:r>
        <w:rPr>
          <w:rFonts w:hint="eastAsia"/>
          <w:color w:val="auto"/>
        </w:rPr>
        <w:t>第</w:t>
      </w:r>
      <w:r>
        <w:rPr>
          <w:rFonts w:hint="eastAsia"/>
          <w:color w:val="auto"/>
          <w:lang w:val="en-US" w:eastAsia="zh-CN"/>
        </w:rPr>
        <w:t>五</w:t>
      </w:r>
      <w:r>
        <w:rPr>
          <w:rFonts w:hint="eastAsia"/>
          <w:color w:val="auto"/>
        </w:rPr>
        <w:t xml:space="preserve">章  </w:t>
      </w:r>
      <w:r>
        <w:rPr>
          <w:rFonts w:hint="eastAsia" w:ascii="宋体" w:hAnsi="宋体" w:eastAsia="宋体" w:cs="宋体"/>
          <w:color w:val="auto"/>
        </w:rPr>
        <w:t>工程施工的总体部署</w:t>
      </w:r>
      <w:bookmarkEnd w:id="431"/>
      <w:bookmarkEnd w:id="432"/>
      <w:bookmarkEnd w:id="433"/>
      <w:bookmarkEnd w:id="434"/>
      <w:bookmarkEnd w:id="435"/>
    </w:p>
    <w:p w14:paraId="4EF4083F">
      <w:pPr>
        <w:pStyle w:val="4"/>
        <w:numPr>
          <w:ilvl w:val="1"/>
          <w:numId w:val="0"/>
        </w:numPr>
        <w:spacing w:line="360" w:lineRule="auto"/>
        <w:ind w:firstLine="0" w:firstLineChars="0"/>
        <w:rPr>
          <w:rFonts w:hint="eastAsia" w:ascii="宋体" w:hAnsi="宋体" w:eastAsia="宋体" w:cs="宋体"/>
          <w:color w:val="auto"/>
          <w:highlight w:val="none"/>
        </w:rPr>
      </w:pPr>
      <w:bookmarkStart w:id="436" w:name="_Toc18417"/>
      <w:bookmarkStart w:id="437" w:name="_Toc1254"/>
      <w:bookmarkStart w:id="438" w:name="_Toc29383"/>
      <w:bookmarkStart w:id="439" w:name="_Toc25318"/>
      <w:bookmarkStart w:id="440" w:name="_Toc3836"/>
      <w:bookmarkStart w:id="441" w:name="_Toc23818"/>
      <w:bookmarkStart w:id="442" w:name="_Toc8317"/>
      <w:bookmarkStart w:id="443" w:name="_Toc30990"/>
      <w:bookmarkStart w:id="444" w:name="_Toc10594"/>
      <w:bookmarkStart w:id="445" w:name="_Toc25925"/>
      <w:bookmarkStart w:id="446" w:name="_Toc3442"/>
      <w:r>
        <w:rPr>
          <w:rFonts w:hint="default" w:ascii="宋体" w:hAnsi="宋体" w:eastAsia="宋体" w:cs="Times New Roman"/>
          <w:b/>
          <w:bCs/>
          <w:color w:val="auto"/>
          <w:kern w:val="2"/>
          <w:sz w:val="32"/>
          <w:szCs w:val="32"/>
          <w:lang w:val="en-US" w:eastAsia="zh-CN" w:bidi="ar-SA"/>
        </w:rPr>
        <w:t>5.1.</w:t>
      </w:r>
      <w:r>
        <w:rPr>
          <w:rFonts w:hint="eastAsia" w:ascii="宋体" w:hAnsi="宋体" w:eastAsia="宋体" w:cs="宋体"/>
          <w:color w:val="auto"/>
          <w:highlight w:val="none"/>
        </w:rPr>
        <w:t>总体部署原则</w:t>
      </w:r>
      <w:bookmarkEnd w:id="436"/>
      <w:bookmarkEnd w:id="437"/>
      <w:bookmarkEnd w:id="438"/>
      <w:bookmarkEnd w:id="439"/>
      <w:bookmarkEnd w:id="440"/>
    </w:p>
    <w:p w14:paraId="39E3C316">
      <w:pPr>
        <w:ind w:firstLine="480"/>
        <w:rPr>
          <w:rFonts w:hint="eastAsia" w:ascii="宋体" w:hAnsi="宋体" w:eastAsia="宋体" w:cs="宋体"/>
          <w:highlight w:val="none"/>
        </w:rPr>
      </w:pPr>
      <w:r>
        <w:rPr>
          <w:rFonts w:hint="eastAsia" w:ascii="宋体" w:hAnsi="宋体" w:eastAsia="宋体" w:cs="宋体"/>
          <w:highlight w:val="none"/>
        </w:rPr>
        <w:t>针对我合同段工程规模和特点，确立本合同段施工管理的指导思想和原则为：“机构精干，队伍专业，科技先行，设备精良，管理规范，施工科学，关系协调，保护环境，保障安全，保证工期，优质高效”。</w:t>
      </w:r>
    </w:p>
    <w:p w14:paraId="3E04A922">
      <w:pPr>
        <w:ind w:firstLine="480"/>
        <w:rPr>
          <w:rFonts w:hint="eastAsia" w:ascii="宋体" w:hAnsi="宋体" w:eastAsia="宋体" w:cs="宋体"/>
          <w:highlight w:val="none"/>
        </w:rPr>
      </w:pPr>
      <w:r>
        <w:rPr>
          <w:rFonts w:hint="eastAsia" w:ascii="宋体" w:hAnsi="宋体" w:eastAsia="宋体" w:cs="宋体"/>
          <w:highlight w:val="none"/>
        </w:rPr>
        <w:t>根据本工程所处地理环境、水文、地质工程结构、地域状况，充分考虑当地不同时期的施工条件，采取有效的针对性的施工方法和合理优化的施工布置。</w:t>
      </w:r>
    </w:p>
    <w:p w14:paraId="2C60F848">
      <w:pPr>
        <w:ind w:firstLine="480"/>
        <w:rPr>
          <w:rFonts w:hint="eastAsia" w:ascii="宋体" w:hAnsi="宋体" w:eastAsia="宋体" w:cs="宋体"/>
          <w:highlight w:val="none"/>
        </w:rPr>
      </w:pPr>
      <w:r>
        <w:rPr>
          <w:rFonts w:hint="eastAsia" w:ascii="宋体" w:hAnsi="宋体" w:eastAsia="宋体" w:cs="宋体"/>
          <w:highlight w:val="none"/>
        </w:rPr>
        <w:t>施工开展后，首先进行施工临时道路施工、测量放样和场地平整工作。各单位工程相对独立，施工时以桥梁、路基路面为主线，涵洞、交</w:t>
      </w:r>
      <w:r>
        <w:rPr>
          <w:rFonts w:hint="eastAsia" w:ascii="宋体" w:hAnsi="宋体" w:cs="宋体"/>
          <w:highlight w:val="none"/>
          <w:lang w:val="en-US" w:eastAsia="zh-CN"/>
        </w:rPr>
        <w:t>安</w:t>
      </w:r>
      <w:r>
        <w:rPr>
          <w:rFonts w:hint="eastAsia" w:ascii="宋体" w:hAnsi="宋体" w:eastAsia="宋体" w:cs="宋体"/>
          <w:highlight w:val="none"/>
        </w:rPr>
        <w:t>、绿化工程等穿插在其中施工，不影响总工期。整个工程通过精心组织、合理安排、平衡协调、紧密地组织成一体、同步立体施工，确保按期完工。对主要控制工期项目，一切施工协调管理即人、材、物首先予以满足，确保总进度计划。</w:t>
      </w:r>
    </w:p>
    <w:p w14:paraId="2859434A">
      <w:pPr>
        <w:pStyle w:val="4"/>
        <w:numPr>
          <w:ilvl w:val="1"/>
          <w:numId w:val="0"/>
        </w:numPr>
        <w:spacing w:line="360" w:lineRule="auto"/>
        <w:ind w:firstLine="0" w:firstLineChars="0"/>
        <w:rPr>
          <w:rFonts w:hint="eastAsia" w:ascii="宋体" w:hAnsi="宋体" w:eastAsia="宋体" w:cs="宋体"/>
          <w:color w:val="auto"/>
          <w:highlight w:val="none"/>
        </w:rPr>
      </w:pPr>
      <w:bookmarkStart w:id="447" w:name="_Toc1255"/>
      <w:bookmarkStart w:id="448" w:name="_Toc4028"/>
      <w:bookmarkStart w:id="449" w:name="_Toc19872"/>
      <w:bookmarkStart w:id="450" w:name="_Toc20318"/>
      <w:bookmarkStart w:id="451" w:name="_Toc26679"/>
      <w:bookmarkStart w:id="452" w:name="_Toc260036541"/>
      <w:bookmarkStart w:id="453" w:name="_Toc557"/>
      <w:bookmarkStart w:id="454" w:name="_Toc392165578"/>
      <w:bookmarkStart w:id="455" w:name="_Toc392933466"/>
      <w:bookmarkStart w:id="456" w:name="_Toc13682"/>
      <w:bookmarkStart w:id="457" w:name="_Toc13260"/>
      <w:bookmarkStart w:id="458" w:name="_Toc582"/>
      <w:bookmarkStart w:id="459" w:name="_Toc9452"/>
      <w:bookmarkStart w:id="460" w:name="_Toc17085"/>
      <w:bookmarkStart w:id="461" w:name="_Toc260037150"/>
      <w:bookmarkStart w:id="462" w:name="_Toc29763"/>
      <w:bookmarkStart w:id="463" w:name="_Toc232929167"/>
      <w:bookmarkStart w:id="464" w:name="_Toc260037148"/>
      <w:bookmarkStart w:id="465" w:name="_Toc392933464"/>
      <w:bookmarkStart w:id="466" w:name="_Toc260036539"/>
      <w:bookmarkStart w:id="467" w:name="_Toc392165576"/>
      <w:bookmarkStart w:id="468" w:name="_Toc232929165"/>
      <w:bookmarkStart w:id="469" w:name="_Toc23661"/>
      <w:bookmarkStart w:id="470" w:name="_Toc977"/>
      <w:bookmarkStart w:id="471" w:name="_Toc6097"/>
      <w:bookmarkStart w:id="472" w:name="_Toc392933471"/>
      <w:bookmarkStart w:id="473" w:name="_Toc260037155"/>
      <w:bookmarkStart w:id="474" w:name="_Toc11531"/>
      <w:bookmarkStart w:id="475" w:name="_Toc32441"/>
      <w:bookmarkStart w:id="476" w:name="_Toc392165583"/>
      <w:bookmarkStart w:id="477" w:name="_Toc15207"/>
      <w:bookmarkStart w:id="478" w:name="_Toc260036546"/>
      <w:bookmarkStart w:id="479" w:name="_Toc755"/>
      <w:bookmarkStart w:id="480" w:name="_Toc19815"/>
      <w:r>
        <w:rPr>
          <w:rFonts w:hint="default" w:ascii="宋体" w:hAnsi="宋体" w:eastAsia="宋体" w:cs="Times New Roman"/>
          <w:b/>
          <w:bCs/>
          <w:color w:val="auto"/>
          <w:kern w:val="2"/>
          <w:sz w:val="32"/>
          <w:szCs w:val="32"/>
          <w:lang w:val="en-US" w:eastAsia="zh-CN" w:bidi="ar-SA"/>
        </w:rPr>
        <w:t>5.2.</w:t>
      </w:r>
      <w:r>
        <w:rPr>
          <w:rFonts w:hint="eastAsia" w:ascii="宋体" w:hAnsi="宋体" w:eastAsia="宋体" w:cs="宋体"/>
          <w:color w:val="auto"/>
          <w:highlight w:val="none"/>
        </w:rPr>
        <w:t>施工管理机构</w:t>
      </w:r>
      <w:bookmarkEnd w:id="447"/>
      <w:bookmarkEnd w:id="448"/>
      <w:bookmarkEnd w:id="449"/>
      <w:bookmarkEnd w:id="450"/>
      <w:bookmarkEnd w:id="451"/>
    </w:p>
    <w:p w14:paraId="40F9A393">
      <w:pPr>
        <w:ind w:firstLine="480"/>
        <w:rPr>
          <w:rFonts w:hint="eastAsia" w:ascii="宋体" w:hAnsi="宋体" w:eastAsia="宋体" w:cs="宋体"/>
          <w:highlight w:val="none"/>
        </w:rPr>
      </w:pPr>
      <w:r>
        <w:rPr>
          <w:rFonts w:hint="eastAsia" w:ascii="宋体" w:hAnsi="宋体" w:eastAsia="宋体" w:cs="宋体"/>
          <w:highlight w:val="none"/>
        </w:rPr>
        <w:t>根据合同要求，成立“安徽开源路桥有限责任公司沈海线漳州龙海至诏安段(龙海北溪头至诏安闽粤界)扩容工程A12合同段项目经理部”，作为在本项目的管理机构。负责履行合同，指挥协调生产，按期、优质、安全地完成本合同工程。项目部按照文明项目经理部建设要求，配备现代化办公设备，具备网络办公条件，实行项目法管理，落实项目经理负责制，由项目经理负责全面履行合同。项目经理部由管理层和作业层组成，管理层设项目经理部设项目经理</w:t>
      </w:r>
      <w:r>
        <w:rPr>
          <w:rFonts w:hint="eastAsia" w:ascii="宋体" w:hAnsi="宋体" w:cs="宋体"/>
          <w:highlight w:val="none"/>
          <w:lang w:val="en-US" w:eastAsia="zh-CN"/>
        </w:rPr>
        <w:t>一名，</w:t>
      </w:r>
      <w:r>
        <w:rPr>
          <w:rFonts w:hint="eastAsia" w:ascii="宋体" w:hAnsi="宋体" w:eastAsia="宋体" w:cs="宋体"/>
          <w:highlight w:val="none"/>
        </w:rPr>
        <w:t>项目书记一名、</w:t>
      </w:r>
      <w:r>
        <w:rPr>
          <w:rFonts w:hint="eastAsia" w:ascii="宋体" w:hAnsi="宋体" w:eastAsia="宋体" w:cs="宋体"/>
          <w:highlight w:val="none"/>
          <w:lang w:val="en-US" w:eastAsia="zh-CN"/>
        </w:rPr>
        <w:t>项目副经理</w:t>
      </w:r>
      <w:r>
        <w:rPr>
          <w:rFonts w:hint="eastAsia" w:ascii="宋体" w:hAnsi="宋体" w:cs="宋体"/>
          <w:highlight w:val="none"/>
          <w:lang w:val="en-US" w:eastAsia="zh-CN"/>
        </w:rPr>
        <w:t>两</w:t>
      </w:r>
      <w:r>
        <w:rPr>
          <w:rFonts w:hint="eastAsia" w:ascii="宋体" w:hAnsi="宋体" w:eastAsia="宋体" w:cs="宋体"/>
          <w:highlight w:val="none"/>
          <w:lang w:val="en-US" w:eastAsia="zh-CN"/>
        </w:rPr>
        <w:t>名、</w:t>
      </w:r>
      <w:r>
        <w:rPr>
          <w:rFonts w:hint="eastAsia" w:ascii="宋体" w:hAnsi="宋体" w:eastAsia="宋体" w:cs="宋体"/>
          <w:highlight w:val="none"/>
        </w:rPr>
        <w:t>项目总工一名</w:t>
      </w:r>
      <w:r>
        <w:rPr>
          <w:rFonts w:hint="eastAsia" w:ascii="宋体" w:hAnsi="宋体" w:cs="宋体"/>
          <w:highlight w:val="none"/>
          <w:lang w:eastAsia="zh-CN"/>
        </w:rPr>
        <w:t>、</w:t>
      </w:r>
      <w:r>
        <w:rPr>
          <w:rFonts w:hint="eastAsia" w:ascii="宋体" w:hAnsi="宋体" w:cs="宋体"/>
          <w:highlight w:val="none"/>
          <w:lang w:val="en-US" w:eastAsia="zh-CN"/>
        </w:rPr>
        <w:t>项目安全总监一名</w:t>
      </w:r>
      <w:r>
        <w:rPr>
          <w:rFonts w:hint="eastAsia" w:ascii="宋体" w:hAnsi="宋体" w:eastAsia="宋体" w:cs="宋体"/>
          <w:highlight w:val="none"/>
        </w:rPr>
        <w:t>。下设六部两室，即工程管理部、安全环保部、计划合同部、物资设备部、质检部、财务部、试验室、综合办公室（劳务办公室）。其组织机构见下图：</w:t>
      </w:r>
    </w:p>
    <w:p w14:paraId="53EA09DB">
      <w:pPr>
        <w:pStyle w:val="22"/>
        <w:rPr>
          <w:rFonts w:hint="eastAsia" w:ascii="宋体" w:hAnsi="宋体" w:eastAsia="宋体" w:cs="宋体"/>
          <w:highlight w:val="none"/>
        </w:rPr>
      </w:pPr>
    </w:p>
    <w:p w14:paraId="7B265B60">
      <w:pPr>
        <w:rPr>
          <w:rFonts w:hint="eastAsia" w:ascii="宋体" w:hAnsi="宋体" w:eastAsia="宋体" w:cs="宋体"/>
          <w:highlight w:val="none"/>
        </w:rPr>
      </w:pPr>
      <w:r>
        <w:rPr>
          <w:rFonts w:hint="eastAsia" w:ascii="宋体" w:hAnsi="宋体" w:eastAsia="宋体" w:cs="宋体"/>
          <w:color w:val="auto"/>
          <w:highlight w:val="none"/>
        </w:rPr>
        <mc:AlternateContent>
          <mc:Choice Requires="wpg">
            <w:drawing>
              <wp:anchor distT="0" distB="0" distL="114300" distR="114300" simplePos="0" relativeHeight="251677696" behindDoc="0" locked="0" layoutInCell="1" allowOverlap="1">
                <wp:simplePos x="0" y="0"/>
                <wp:positionH relativeFrom="column">
                  <wp:posOffset>281305</wp:posOffset>
                </wp:positionH>
                <wp:positionV relativeFrom="paragraph">
                  <wp:posOffset>3810</wp:posOffset>
                </wp:positionV>
                <wp:extent cx="5502910" cy="4615815"/>
                <wp:effectExtent l="4445" t="4445" r="9525" b="12700"/>
                <wp:wrapTopAndBottom/>
                <wp:docPr id="1324" name="组合 394"/>
                <wp:cNvGraphicFramePr/>
                <a:graphic xmlns:a="http://schemas.openxmlformats.org/drawingml/2006/main">
                  <a:graphicData uri="http://schemas.microsoft.com/office/word/2010/wordprocessingGroup">
                    <wpg:wgp>
                      <wpg:cNvGrpSpPr/>
                      <wpg:grpSpPr>
                        <a:xfrm>
                          <a:off x="0" y="0"/>
                          <a:ext cx="5502910" cy="4615815"/>
                          <a:chOff x="1804" y="8776"/>
                          <a:chExt cx="7978" cy="6862"/>
                        </a:xfrm>
                      </wpg:grpSpPr>
                      <wps:wsp>
                        <wps:cNvPr id="1276" name="AutoShape 3048"/>
                        <wps:cNvSpPr/>
                        <wps:spPr>
                          <a:xfrm>
                            <a:off x="1804" y="10960"/>
                            <a:ext cx="666" cy="2138"/>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11E26B84">
                              <w:pPr>
                                <w:spacing w:line="200" w:lineRule="exact"/>
                                <w:ind w:firstLine="0" w:firstLineChars="0"/>
                                <w:jc w:val="both"/>
                                <w:rPr>
                                  <w:rFonts w:hint="default" w:eastAsia="宋体"/>
                                  <w:sz w:val="20"/>
                                  <w:szCs w:val="20"/>
                                  <w:lang w:val="en-US" w:eastAsia="zh-CN"/>
                                </w:rPr>
                              </w:pPr>
                              <w:r>
                                <w:rPr>
                                  <w:rFonts w:hint="eastAsia"/>
                                </w:rPr>
                                <w:t>工程管理部</w:t>
                              </w:r>
                              <w:r>
                                <w:rPr>
                                  <w:rFonts w:hint="eastAsia"/>
                                  <w:lang w:val="en-US" w:eastAsia="zh-CN"/>
                                </w:rPr>
                                <w:t xml:space="preserve">  </w:t>
                              </w:r>
                              <w:r>
                                <w:rPr>
                                  <w:rFonts w:hint="eastAsia"/>
                                  <w:sz w:val="20"/>
                                  <w:szCs w:val="20"/>
                                  <w:lang w:val="en-US" w:eastAsia="zh-CN"/>
                                </w:rPr>
                                <w:t>叶卫卫</w:t>
                              </w:r>
                            </w:p>
                            <w:p w14:paraId="4D046F1D">
                              <w:pPr>
                                <w:pStyle w:val="105"/>
                                <w:numPr>
                                  <w:ilvl w:val="0"/>
                                  <w:numId w:val="0"/>
                                </w:numPr>
                                <w:spacing w:line="240" w:lineRule="auto"/>
                                <w:ind w:leftChars="0"/>
                                <w:jc w:val="both"/>
                                <w:rPr>
                                  <w:rFonts w:hint="default" w:ascii="等线" w:hAnsi="等线" w:eastAsia="宋体"/>
                                  <w:lang w:val="en-US" w:eastAsia="zh-CN"/>
                                </w:rPr>
                              </w:pPr>
                            </w:p>
                            <w:p w14:paraId="296D5907">
                              <w:pPr>
                                <w:rPr>
                                  <w:rFonts w:hint="default"/>
                                  <w:lang w:val="en-US" w:eastAsia="zh-CN"/>
                                </w:rPr>
                              </w:pPr>
                            </w:p>
                          </w:txbxContent>
                        </wps:txbx>
                        <wps:bodyPr vert="eaVert" upright="1"/>
                      </wps:wsp>
                      <wps:wsp>
                        <wps:cNvPr id="1277" name="AutoShape 3073"/>
                        <wps:cNvSpPr/>
                        <wps:spPr>
                          <a:xfrm>
                            <a:off x="1804" y="13471"/>
                            <a:ext cx="667" cy="2138"/>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0919064F">
                              <w:pPr>
                                <w:pStyle w:val="105"/>
                                <w:numPr>
                                  <w:ilvl w:val="0"/>
                                  <w:numId w:val="0"/>
                                </w:numPr>
                                <w:ind w:leftChars="0"/>
                                <w:jc w:val="center"/>
                                <w:rPr>
                                  <w:rFonts w:ascii="等线" w:hAnsi="等线"/>
                                </w:rPr>
                              </w:pPr>
                              <w:r>
                                <w:rPr>
                                  <w:rFonts w:hint="eastAsia" w:ascii="等线" w:hAnsi="等线"/>
                                </w:rPr>
                                <w:t>路基</w:t>
                              </w:r>
                              <w:r>
                                <w:rPr>
                                  <w:rFonts w:hint="eastAsia" w:ascii="等线" w:hAnsi="等线"/>
                                  <w:lang w:val="en-US" w:eastAsia="zh-CN"/>
                                </w:rPr>
                                <w:t>工程第一</w:t>
                              </w:r>
                              <w:r>
                                <w:rPr>
                                  <w:rFonts w:hint="eastAsia" w:ascii="等线" w:hAnsi="等线"/>
                                </w:rPr>
                                <w:t>作业队</w:t>
                              </w:r>
                            </w:p>
                          </w:txbxContent>
                        </wps:txbx>
                        <wps:bodyPr vert="eaVert" upright="1"/>
                      </wps:wsp>
                      <wps:wsp>
                        <wps:cNvPr id="1278" name="AutoShape 3075"/>
                        <wps:cNvSpPr/>
                        <wps:spPr>
                          <a:xfrm>
                            <a:off x="4483" y="13486"/>
                            <a:ext cx="663" cy="2127"/>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138C2EE5">
                              <w:pPr>
                                <w:pStyle w:val="105"/>
                                <w:numPr>
                                  <w:ilvl w:val="0"/>
                                  <w:numId w:val="0"/>
                                </w:numPr>
                                <w:ind w:leftChars="0"/>
                                <w:jc w:val="center"/>
                                <w:rPr>
                                  <w:rFonts w:ascii="等线" w:hAnsi="等线"/>
                                </w:rPr>
                              </w:pPr>
                              <w:r>
                                <w:rPr>
                                  <w:rFonts w:hint="eastAsia" w:ascii="等线" w:hAnsi="等线"/>
                                </w:rPr>
                                <w:t>桥涵第</w:t>
                              </w:r>
                              <w:r>
                                <w:rPr>
                                  <w:rFonts w:hint="eastAsia" w:ascii="等线" w:hAnsi="等线"/>
                                  <w:lang w:val="en-US" w:eastAsia="zh-CN"/>
                                </w:rPr>
                                <w:t>一</w:t>
                              </w:r>
                              <w:r>
                                <w:rPr>
                                  <w:rFonts w:hint="eastAsia" w:ascii="等线" w:hAnsi="等线"/>
                                </w:rPr>
                                <w:t>作业队</w:t>
                              </w:r>
                            </w:p>
                          </w:txbxContent>
                        </wps:txbx>
                        <wps:bodyPr vert="eaVert" upright="1"/>
                      </wps:wsp>
                      <wps:wsp>
                        <wps:cNvPr id="1279" name="AutoShape 3079"/>
                        <wps:cNvSpPr/>
                        <wps:spPr>
                          <a:xfrm>
                            <a:off x="9085" y="13495"/>
                            <a:ext cx="666" cy="2143"/>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27F5C1C5">
                              <w:pPr>
                                <w:pStyle w:val="105"/>
                                <w:numPr>
                                  <w:ilvl w:val="0"/>
                                  <w:numId w:val="0"/>
                                </w:numPr>
                                <w:ind w:leftChars="0"/>
                                <w:jc w:val="center"/>
                                <w:rPr>
                                  <w:rFonts w:ascii="等线" w:hAnsi="等线"/>
                                </w:rPr>
                              </w:pPr>
                              <w:r>
                                <w:rPr>
                                  <w:rFonts w:hint="eastAsia" w:ascii="等线" w:hAnsi="等线"/>
                                </w:rPr>
                                <w:t>交安</w:t>
                              </w:r>
                              <w:r>
                                <w:rPr>
                                  <w:rFonts w:hint="eastAsia" w:ascii="等线" w:hAnsi="等线"/>
                                  <w:lang w:eastAsia="zh-CN"/>
                                </w:rPr>
                                <w:t>、</w:t>
                              </w:r>
                              <w:r>
                                <w:rPr>
                                  <w:rFonts w:hint="eastAsia" w:ascii="等线" w:hAnsi="等线"/>
                                </w:rPr>
                                <w:t>绿化作业队</w:t>
                              </w:r>
                            </w:p>
                          </w:txbxContent>
                        </wps:txbx>
                        <wps:bodyPr vert="eaVert" upright="1"/>
                      </wps:wsp>
                      <wps:wsp>
                        <wps:cNvPr id="1280" name="AutoShape 3076"/>
                        <wps:cNvSpPr/>
                        <wps:spPr>
                          <a:xfrm>
                            <a:off x="5718" y="13469"/>
                            <a:ext cx="662" cy="2127"/>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5B65AFA3">
                              <w:pPr>
                                <w:pStyle w:val="105"/>
                                <w:numPr>
                                  <w:ilvl w:val="0"/>
                                  <w:numId w:val="0"/>
                                </w:numPr>
                                <w:ind w:leftChars="0"/>
                                <w:jc w:val="center"/>
                                <w:rPr>
                                  <w:rFonts w:ascii="等线" w:hAnsi="等线"/>
                                </w:rPr>
                              </w:pPr>
                              <w:r>
                                <w:rPr>
                                  <w:rFonts w:hint="eastAsia" w:ascii="等线" w:hAnsi="等线"/>
                                </w:rPr>
                                <w:t>桥涵第</w:t>
                              </w:r>
                              <w:r>
                                <w:rPr>
                                  <w:rFonts w:hint="eastAsia" w:ascii="等线" w:hAnsi="等线"/>
                                  <w:lang w:val="en-US" w:eastAsia="zh-CN"/>
                                </w:rPr>
                                <w:t>二</w:t>
                              </w:r>
                              <w:r>
                                <w:rPr>
                                  <w:rFonts w:hint="eastAsia" w:ascii="等线" w:hAnsi="等线"/>
                                </w:rPr>
                                <w:t>作业队</w:t>
                              </w:r>
                            </w:p>
                          </w:txbxContent>
                        </wps:txbx>
                        <wps:bodyPr vert="eaVert" upright="1"/>
                      </wps:wsp>
                      <wps:wsp>
                        <wps:cNvPr id="1281" name="AutoShape 3028"/>
                        <wps:cNvSpPr/>
                        <wps:spPr>
                          <a:xfrm>
                            <a:off x="4975" y="8776"/>
                            <a:ext cx="2230" cy="650"/>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0884E44D">
                              <w:pPr>
                                <w:pStyle w:val="19"/>
                                <w:jc w:val="center"/>
                                <w:rPr>
                                  <w:rFonts w:hint="default" w:eastAsia="宋体"/>
                                  <w:lang w:val="en-US" w:eastAsia="zh-CN"/>
                                </w:rPr>
                              </w:pPr>
                              <w:r>
                                <w:t>项目经理</w:t>
                              </w:r>
                              <w:r>
                                <w:rPr>
                                  <w:rFonts w:hint="eastAsia"/>
                                  <w:lang w:eastAsia="zh-CN"/>
                                </w:rPr>
                                <w:t>：</w:t>
                              </w:r>
                              <w:r>
                                <w:rPr>
                                  <w:rFonts w:hint="eastAsia"/>
                                  <w:lang w:val="en-US" w:eastAsia="zh-CN"/>
                                </w:rPr>
                                <w:t>李令举</w:t>
                              </w:r>
                            </w:p>
                            <w:p w14:paraId="061C9228">
                              <w:pPr>
                                <w:pStyle w:val="19"/>
                                <w:jc w:val="center"/>
                                <w:rPr>
                                  <w:rFonts w:hint="eastAsia" w:eastAsia="宋体"/>
                                  <w:lang w:val="en-US" w:eastAsia="zh-CN"/>
                                </w:rPr>
                              </w:pPr>
                              <w:r>
                                <w:rPr>
                                  <w:rFonts w:hint="eastAsia"/>
                                  <w:lang w:val="en-US" w:eastAsia="zh-CN"/>
                                </w:rPr>
                                <w:t>项目书记</w:t>
                              </w:r>
                              <w:r>
                                <w:rPr>
                                  <w:rFonts w:hint="eastAsia"/>
                                </w:rPr>
                                <w:t>：</w:t>
                              </w:r>
                              <w:r>
                                <w:rPr>
                                  <w:rFonts w:hint="eastAsia"/>
                                  <w:lang w:val="en-US" w:eastAsia="zh-CN"/>
                                </w:rPr>
                                <w:t>何彦祥</w:t>
                              </w:r>
                            </w:p>
                          </w:txbxContent>
                        </wps:txbx>
                        <wps:bodyPr upright="1"/>
                      </wps:wsp>
                      <wps:wsp>
                        <wps:cNvPr id="1282" name="AutoShape 3029"/>
                        <wps:cNvCnPr/>
                        <wps:spPr>
                          <a:xfrm>
                            <a:off x="6003" y="9416"/>
                            <a:ext cx="6" cy="212"/>
                          </a:xfrm>
                          <a:prstGeom prst="straightConnector1">
                            <a:avLst/>
                          </a:prstGeom>
                          <a:ln w="3175" cap="flat" cmpd="sng">
                            <a:solidFill>
                              <a:srgbClr val="000000"/>
                            </a:solidFill>
                            <a:prstDash val="solid"/>
                            <a:headEnd type="none" w="med" len="med"/>
                            <a:tailEnd type="triangle" w="med" len="med"/>
                          </a:ln>
                        </wps:spPr>
                        <wps:bodyPr/>
                      </wps:wsp>
                      <wps:wsp>
                        <wps:cNvPr id="1283" name="AutoShape 3078"/>
                        <wps:cNvSpPr/>
                        <wps:spPr>
                          <a:xfrm>
                            <a:off x="8108" y="13470"/>
                            <a:ext cx="662" cy="2128"/>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6A58EBF2">
                              <w:pPr>
                                <w:pStyle w:val="105"/>
                                <w:numPr>
                                  <w:ilvl w:val="0"/>
                                  <w:numId w:val="0"/>
                                </w:numPr>
                                <w:ind w:leftChars="0"/>
                                <w:jc w:val="center"/>
                                <w:rPr>
                                  <w:rFonts w:ascii="等线" w:hAnsi="等线"/>
                                </w:rPr>
                              </w:pPr>
                              <w:r>
                                <w:rPr>
                                  <w:rFonts w:hint="eastAsia" w:ascii="等线" w:hAnsi="等线"/>
                                  <w:lang w:val="en-US" w:eastAsia="zh-CN"/>
                                </w:rPr>
                                <w:t>路面工程</w:t>
                              </w:r>
                              <w:r>
                                <w:rPr>
                                  <w:rFonts w:hint="eastAsia" w:ascii="等线" w:hAnsi="等线"/>
                                </w:rPr>
                                <w:t>作业队</w:t>
                              </w:r>
                            </w:p>
                          </w:txbxContent>
                        </wps:txbx>
                        <wps:bodyPr vert="eaVert" upright="1"/>
                      </wps:wsp>
                      <wps:wsp>
                        <wps:cNvPr id="1284" name="AutoShape 3030"/>
                        <wps:cNvSpPr/>
                        <wps:spPr>
                          <a:xfrm>
                            <a:off x="2553" y="9854"/>
                            <a:ext cx="2698" cy="651"/>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422C020C">
                              <w:pPr>
                                <w:spacing w:line="200" w:lineRule="exact"/>
                                <w:ind w:firstLine="0" w:firstLineChars="0"/>
                                <w:jc w:val="center"/>
                                <w:rPr>
                                  <w:rFonts w:hint="eastAsia"/>
                                  <w:sz w:val="20"/>
                                  <w:szCs w:val="20"/>
                                  <w:lang w:val="en-US" w:eastAsia="zh-CN"/>
                                </w:rPr>
                              </w:pPr>
                            </w:p>
                            <w:p w14:paraId="65723894">
                              <w:pPr>
                                <w:spacing w:line="200" w:lineRule="exact"/>
                                <w:ind w:firstLine="0" w:firstLineChars="0"/>
                                <w:jc w:val="center"/>
                                <w:rPr>
                                  <w:rFonts w:hint="default" w:eastAsia="宋体"/>
                                  <w:sz w:val="20"/>
                                  <w:szCs w:val="20"/>
                                  <w:lang w:val="en-US" w:eastAsia="zh-CN"/>
                                </w:rPr>
                              </w:pPr>
                              <w:r>
                                <w:rPr>
                                  <w:rFonts w:hint="eastAsia"/>
                                  <w:sz w:val="20"/>
                                  <w:szCs w:val="20"/>
                                  <w:lang w:val="en-US" w:eastAsia="zh-CN"/>
                                </w:rPr>
                                <w:t>项目副经理：陈天、刘重阳</w:t>
                              </w:r>
                            </w:p>
                          </w:txbxContent>
                        </wps:txbx>
                        <wps:bodyPr upright="1"/>
                      </wps:wsp>
                      <wps:wsp>
                        <wps:cNvPr id="1285" name="AutoShape 3031"/>
                        <wps:cNvSpPr/>
                        <wps:spPr>
                          <a:xfrm>
                            <a:off x="7101" y="9853"/>
                            <a:ext cx="2070" cy="651"/>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6109E094">
                              <w:pPr>
                                <w:pStyle w:val="105"/>
                                <w:spacing w:line="200" w:lineRule="exact"/>
                                <w:jc w:val="center"/>
                                <w:rPr>
                                  <w:rFonts w:hint="eastAsia"/>
                                  <w:lang w:val="en-US" w:eastAsia="zh-CN"/>
                                </w:rPr>
                              </w:pPr>
                            </w:p>
                            <w:p w14:paraId="390CE8C2">
                              <w:pPr>
                                <w:pStyle w:val="105"/>
                                <w:spacing w:line="200" w:lineRule="exact"/>
                                <w:jc w:val="center"/>
                                <w:rPr>
                                  <w:rFonts w:hint="default" w:eastAsia="宋体"/>
                                  <w:lang w:val="en-US" w:eastAsia="zh-CN"/>
                                </w:rPr>
                              </w:pPr>
                              <w:r>
                                <w:rPr>
                                  <w:rFonts w:hint="eastAsia"/>
                                  <w:lang w:val="en-US" w:eastAsia="zh-CN"/>
                                </w:rPr>
                                <w:t>项目总工：王磊</w:t>
                              </w:r>
                            </w:p>
                          </w:txbxContent>
                        </wps:txbx>
                        <wps:bodyPr upright="1"/>
                      </wps:wsp>
                      <wps:wsp>
                        <wps:cNvPr id="1286" name="AutoShape 3033"/>
                        <wps:cNvCnPr/>
                        <wps:spPr>
                          <a:xfrm>
                            <a:off x="3731" y="9642"/>
                            <a:ext cx="5" cy="212"/>
                          </a:xfrm>
                          <a:prstGeom prst="straightConnector1">
                            <a:avLst/>
                          </a:prstGeom>
                          <a:ln w="3175" cap="flat" cmpd="sng">
                            <a:solidFill>
                              <a:srgbClr val="000000"/>
                            </a:solidFill>
                            <a:prstDash val="solid"/>
                            <a:headEnd type="none" w="med" len="med"/>
                            <a:tailEnd type="triangle" w="med" len="med"/>
                          </a:ln>
                        </wps:spPr>
                        <wps:bodyPr/>
                      </wps:wsp>
                      <wps:wsp>
                        <wps:cNvPr id="1287" name="AutoShape 3034"/>
                        <wps:cNvCnPr/>
                        <wps:spPr>
                          <a:xfrm>
                            <a:off x="8077" y="9641"/>
                            <a:ext cx="6" cy="212"/>
                          </a:xfrm>
                          <a:prstGeom prst="straightConnector1">
                            <a:avLst/>
                          </a:prstGeom>
                          <a:ln w="3175" cap="flat" cmpd="sng">
                            <a:solidFill>
                              <a:srgbClr val="000000"/>
                            </a:solidFill>
                            <a:prstDash val="solid"/>
                            <a:headEnd type="none" w="med" len="med"/>
                            <a:tailEnd type="triangle" w="med" len="med"/>
                          </a:ln>
                        </wps:spPr>
                        <wps:bodyPr/>
                      </wps:wsp>
                      <wps:wsp>
                        <wps:cNvPr id="1288" name="AutoShape 3035"/>
                        <wps:cNvCnPr/>
                        <wps:spPr>
                          <a:xfrm>
                            <a:off x="3700" y="10504"/>
                            <a:ext cx="6" cy="211"/>
                          </a:xfrm>
                          <a:prstGeom prst="straightConnector1">
                            <a:avLst/>
                          </a:prstGeom>
                          <a:ln w="3175" cap="flat" cmpd="sng">
                            <a:solidFill>
                              <a:srgbClr val="000000"/>
                            </a:solidFill>
                            <a:prstDash val="solid"/>
                            <a:headEnd type="none" w="med" len="med"/>
                            <a:tailEnd type="triangle" w="med" len="med"/>
                          </a:ln>
                        </wps:spPr>
                        <wps:bodyPr/>
                      </wps:wsp>
                      <wps:wsp>
                        <wps:cNvPr id="1289" name="AutoShape 3036"/>
                        <wps:cNvCnPr/>
                        <wps:spPr>
                          <a:xfrm>
                            <a:off x="2086" y="10735"/>
                            <a:ext cx="8" cy="212"/>
                          </a:xfrm>
                          <a:prstGeom prst="straightConnector1">
                            <a:avLst/>
                          </a:prstGeom>
                          <a:ln w="3175" cap="flat" cmpd="sng">
                            <a:solidFill>
                              <a:srgbClr val="000000"/>
                            </a:solidFill>
                            <a:prstDash val="solid"/>
                            <a:headEnd type="none" w="med" len="med"/>
                            <a:tailEnd type="triangle" w="med" len="med"/>
                          </a:ln>
                        </wps:spPr>
                        <wps:bodyPr/>
                      </wps:wsp>
                      <wps:wsp>
                        <wps:cNvPr id="1290" name="AutoShape 3037"/>
                        <wps:cNvCnPr/>
                        <wps:spPr>
                          <a:xfrm>
                            <a:off x="6157" y="10733"/>
                            <a:ext cx="8" cy="212"/>
                          </a:xfrm>
                          <a:prstGeom prst="straightConnector1">
                            <a:avLst/>
                          </a:prstGeom>
                          <a:ln w="3175" cap="flat" cmpd="sng">
                            <a:solidFill>
                              <a:srgbClr val="000000"/>
                            </a:solidFill>
                            <a:prstDash val="solid"/>
                            <a:headEnd type="none" w="med" len="med"/>
                            <a:tailEnd type="triangle" w="med" len="med"/>
                          </a:ln>
                        </wps:spPr>
                        <wps:bodyPr/>
                      </wps:wsp>
                      <wps:wsp>
                        <wps:cNvPr id="1291" name="AutoShape 3038"/>
                        <wps:cNvCnPr/>
                        <wps:spPr>
                          <a:xfrm>
                            <a:off x="7215" y="10719"/>
                            <a:ext cx="6" cy="212"/>
                          </a:xfrm>
                          <a:prstGeom prst="straightConnector1">
                            <a:avLst/>
                          </a:prstGeom>
                          <a:ln w="3175" cap="flat" cmpd="sng">
                            <a:solidFill>
                              <a:srgbClr val="000000"/>
                            </a:solidFill>
                            <a:prstDash val="solid"/>
                            <a:headEnd type="none" w="med" len="med"/>
                            <a:tailEnd type="triangle" w="med" len="med"/>
                          </a:ln>
                        </wps:spPr>
                        <wps:bodyPr/>
                      </wps:wsp>
                      <wps:wsp>
                        <wps:cNvPr id="1292" name="AutoShape 3039"/>
                        <wps:cNvCnPr/>
                        <wps:spPr>
                          <a:xfrm>
                            <a:off x="8115" y="10504"/>
                            <a:ext cx="8" cy="212"/>
                          </a:xfrm>
                          <a:prstGeom prst="straightConnector1">
                            <a:avLst/>
                          </a:prstGeom>
                          <a:ln w="3175" cap="flat" cmpd="sng">
                            <a:solidFill>
                              <a:srgbClr val="000000"/>
                            </a:solidFill>
                            <a:prstDash val="solid"/>
                            <a:headEnd type="none" w="med" len="med"/>
                            <a:tailEnd type="triangle" w="med" len="med"/>
                          </a:ln>
                        </wps:spPr>
                        <wps:bodyPr/>
                      </wps:wsp>
                      <wps:wsp>
                        <wps:cNvPr id="1293" name="AutoShape 3040"/>
                        <wps:cNvCnPr/>
                        <wps:spPr>
                          <a:xfrm>
                            <a:off x="9381" y="10718"/>
                            <a:ext cx="6" cy="212"/>
                          </a:xfrm>
                          <a:prstGeom prst="straightConnector1">
                            <a:avLst/>
                          </a:prstGeom>
                          <a:ln w="3175" cap="flat" cmpd="sng">
                            <a:solidFill>
                              <a:srgbClr val="000000"/>
                            </a:solidFill>
                            <a:prstDash val="solid"/>
                            <a:headEnd type="none" w="med" len="med"/>
                            <a:tailEnd type="triangle" w="med" len="med"/>
                          </a:ln>
                        </wps:spPr>
                        <wps:bodyPr/>
                      </wps:wsp>
                      <wps:wsp>
                        <wps:cNvPr id="1294" name="AutoShape 3041"/>
                        <wps:cNvCnPr/>
                        <wps:spPr>
                          <a:xfrm>
                            <a:off x="8115" y="10717"/>
                            <a:ext cx="8" cy="212"/>
                          </a:xfrm>
                          <a:prstGeom prst="straightConnector1">
                            <a:avLst/>
                          </a:prstGeom>
                          <a:ln w="3175" cap="flat" cmpd="sng">
                            <a:solidFill>
                              <a:srgbClr val="000000"/>
                            </a:solidFill>
                            <a:prstDash val="solid"/>
                            <a:headEnd type="none" w="med" len="med"/>
                            <a:tailEnd type="triangle" w="med" len="med"/>
                          </a:ln>
                        </wps:spPr>
                        <wps:bodyPr/>
                      </wps:wsp>
                      <wps:wsp>
                        <wps:cNvPr id="1295" name="AutoShape 3042"/>
                        <wps:cNvCnPr/>
                        <wps:spPr>
                          <a:xfrm>
                            <a:off x="4241" y="10745"/>
                            <a:ext cx="3" cy="238"/>
                          </a:xfrm>
                          <a:prstGeom prst="straightConnector1">
                            <a:avLst/>
                          </a:prstGeom>
                          <a:ln w="3175" cap="flat" cmpd="sng">
                            <a:solidFill>
                              <a:srgbClr val="000000"/>
                            </a:solidFill>
                            <a:prstDash val="solid"/>
                            <a:headEnd type="none" w="med" len="med"/>
                            <a:tailEnd type="triangle" w="med" len="med"/>
                          </a:ln>
                        </wps:spPr>
                        <wps:bodyPr/>
                      </wps:wsp>
                      <wps:wsp>
                        <wps:cNvPr id="1296" name="AutoShape 3043"/>
                        <wps:cNvCnPr/>
                        <wps:spPr>
                          <a:xfrm flipV="1">
                            <a:off x="3713" y="9641"/>
                            <a:ext cx="4370" cy="1"/>
                          </a:xfrm>
                          <a:prstGeom prst="straightConnector1">
                            <a:avLst/>
                          </a:prstGeom>
                          <a:ln w="3175" cap="flat" cmpd="sng">
                            <a:solidFill>
                              <a:srgbClr val="000000"/>
                            </a:solidFill>
                            <a:prstDash val="solid"/>
                            <a:headEnd type="none" w="med" len="med"/>
                            <a:tailEnd type="none" w="med" len="med"/>
                          </a:ln>
                        </wps:spPr>
                        <wps:bodyPr/>
                      </wps:wsp>
                      <wps:wsp>
                        <wps:cNvPr id="1297" name="AutoShape 3044"/>
                        <wps:cNvCnPr/>
                        <wps:spPr>
                          <a:xfrm>
                            <a:off x="2086" y="10718"/>
                            <a:ext cx="7295" cy="1"/>
                          </a:xfrm>
                          <a:prstGeom prst="straightConnector1">
                            <a:avLst/>
                          </a:prstGeom>
                          <a:ln w="3175" cap="flat" cmpd="sng">
                            <a:solidFill>
                              <a:srgbClr val="000000"/>
                            </a:solidFill>
                            <a:prstDash val="solid"/>
                            <a:headEnd type="none" w="med" len="med"/>
                            <a:tailEnd type="none" w="med" len="med"/>
                          </a:ln>
                        </wps:spPr>
                        <wps:bodyPr/>
                      </wps:wsp>
                      <wps:wsp>
                        <wps:cNvPr id="1298" name="AutoShape 3045"/>
                        <wps:cNvCnPr/>
                        <wps:spPr>
                          <a:xfrm>
                            <a:off x="5043" y="10735"/>
                            <a:ext cx="3" cy="239"/>
                          </a:xfrm>
                          <a:prstGeom prst="straightConnector1">
                            <a:avLst/>
                          </a:prstGeom>
                          <a:ln w="3175" cap="flat" cmpd="sng">
                            <a:solidFill>
                              <a:srgbClr val="000000"/>
                            </a:solidFill>
                            <a:prstDash val="solid"/>
                            <a:headEnd type="none" w="med" len="med"/>
                            <a:tailEnd type="triangle" w="med" len="med"/>
                          </a:ln>
                        </wps:spPr>
                        <wps:bodyPr/>
                      </wps:wsp>
                      <wps:wsp>
                        <wps:cNvPr id="1299" name="AutoShape 3046"/>
                        <wps:cNvCnPr/>
                        <wps:spPr>
                          <a:xfrm>
                            <a:off x="3192" y="10745"/>
                            <a:ext cx="1" cy="239"/>
                          </a:xfrm>
                          <a:prstGeom prst="straightConnector1">
                            <a:avLst/>
                          </a:prstGeom>
                          <a:ln w="3175" cap="flat" cmpd="sng">
                            <a:solidFill>
                              <a:srgbClr val="000000"/>
                            </a:solidFill>
                            <a:prstDash val="solid"/>
                            <a:headEnd type="none" w="med" len="med"/>
                            <a:tailEnd type="triangle" w="med" len="med"/>
                          </a:ln>
                        </wps:spPr>
                        <wps:bodyPr/>
                      </wps:wsp>
                      <wps:wsp>
                        <wps:cNvPr id="1300" name="AutoShape 3047"/>
                        <wps:cNvCnPr/>
                        <wps:spPr>
                          <a:xfrm>
                            <a:off x="9306" y="13071"/>
                            <a:ext cx="8" cy="400"/>
                          </a:xfrm>
                          <a:prstGeom prst="straightConnector1">
                            <a:avLst/>
                          </a:prstGeom>
                          <a:ln w="3175" cap="flat" cmpd="sng">
                            <a:solidFill>
                              <a:srgbClr val="000000"/>
                            </a:solidFill>
                            <a:prstDash val="solid"/>
                            <a:headEnd type="none" w="med" len="med"/>
                            <a:tailEnd type="triangle" w="med" len="med"/>
                          </a:ln>
                        </wps:spPr>
                        <wps:bodyPr/>
                      </wps:wsp>
                      <wps:wsp>
                        <wps:cNvPr id="1301" name="AutoShape 3049"/>
                        <wps:cNvSpPr/>
                        <wps:spPr>
                          <a:xfrm>
                            <a:off x="2859" y="10967"/>
                            <a:ext cx="661" cy="2124"/>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6690D445">
                              <w:pPr>
                                <w:pStyle w:val="105"/>
                                <w:numPr>
                                  <w:ilvl w:val="0"/>
                                  <w:numId w:val="0"/>
                                </w:numPr>
                                <w:ind w:leftChars="0"/>
                                <w:jc w:val="left"/>
                                <w:rPr>
                                  <w:rFonts w:ascii="等线" w:hAnsi="等线"/>
                                </w:rPr>
                              </w:pPr>
                              <w:r>
                                <w:rPr>
                                  <w:rFonts w:hint="eastAsia"/>
                                </w:rPr>
                                <w:t>安全环保部</w:t>
                              </w:r>
                              <w:r>
                                <w:rPr>
                                  <w:rFonts w:hint="eastAsia"/>
                                  <w:lang w:val="en-US" w:eastAsia="zh-CN"/>
                                </w:rPr>
                                <w:t xml:space="preserve">   </w:t>
                              </w:r>
                              <w:r>
                                <w:rPr>
                                  <w:rFonts w:hint="eastAsia"/>
                                  <w:highlight w:val="none"/>
                                  <w:lang w:val="en-US" w:eastAsia="zh-CN"/>
                                </w:rPr>
                                <w:t>孙阿伟</w:t>
                              </w:r>
                              <w:r>
                                <w:rPr>
                                  <w:rFonts w:hint="eastAsia"/>
                                  <w:lang w:val="en-US" w:eastAsia="zh-CN"/>
                                </w:rPr>
                                <w:t xml:space="preserve">  </w:t>
                              </w:r>
                            </w:p>
                          </w:txbxContent>
                        </wps:txbx>
                        <wps:bodyPr vert="eaVert" upright="1"/>
                      </wps:wsp>
                      <wps:wsp>
                        <wps:cNvPr id="1302" name="AutoShape 3050"/>
                        <wps:cNvSpPr/>
                        <wps:spPr>
                          <a:xfrm>
                            <a:off x="7802" y="10931"/>
                            <a:ext cx="660" cy="2125"/>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59D60804">
                              <w:pPr>
                                <w:pStyle w:val="105"/>
                                <w:numPr>
                                  <w:ilvl w:val="0"/>
                                  <w:numId w:val="0"/>
                                </w:numPr>
                                <w:ind w:leftChars="0"/>
                                <w:jc w:val="left"/>
                                <w:rPr>
                                  <w:rFonts w:hint="default" w:ascii="等线" w:hAnsi="等线" w:eastAsia="宋体"/>
                                  <w:lang w:val="en-US" w:eastAsia="zh-CN"/>
                                </w:rPr>
                              </w:pPr>
                              <w:r>
                                <w:rPr>
                                  <w:rFonts w:hint="eastAsia" w:ascii="等线" w:hAnsi="等线"/>
                                </w:rPr>
                                <w:t>试验室</w:t>
                              </w:r>
                              <w:r>
                                <w:rPr>
                                  <w:rFonts w:hint="eastAsia" w:ascii="等线" w:hAnsi="等线"/>
                                  <w:lang w:val="en-US" w:eastAsia="zh-CN"/>
                                </w:rPr>
                                <w:t xml:space="preserve">       王帅军     </w:t>
                              </w:r>
                            </w:p>
                          </w:txbxContent>
                        </wps:txbx>
                        <wps:bodyPr vert="eaVert" upright="1"/>
                      </wps:wsp>
                      <wps:wsp>
                        <wps:cNvPr id="1303" name="AutoShape 3051"/>
                        <wps:cNvSpPr/>
                        <wps:spPr>
                          <a:xfrm>
                            <a:off x="3904" y="10974"/>
                            <a:ext cx="662" cy="2126"/>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4250B9C2">
                              <w:pPr>
                                <w:pStyle w:val="105"/>
                                <w:bidi w:val="0"/>
                                <w:jc w:val="both"/>
                              </w:pPr>
                              <w:r>
                                <w:rPr>
                                  <w:rFonts w:hint="eastAsia"/>
                                </w:rPr>
                                <w:t>计划合同部</w:t>
                              </w:r>
                              <w:r>
                                <w:rPr>
                                  <w:rFonts w:hint="eastAsia"/>
                                  <w:lang w:val="en-US" w:eastAsia="zh-CN"/>
                                </w:rPr>
                                <w:t xml:space="preserve">   阙胜永 </w:t>
                              </w:r>
                            </w:p>
                          </w:txbxContent>
                        </wps:txbx>
                        <wps:bodyPr vert="eaVert" upright="1"/>
                      </wps:wsp>
                      <wps:wsp>
                        <wps:cNvPr id="1304" name="AutoShape 3052"/>
                        <wps:cNvSpPr/>
                        <wps:spPr>
                          <a:xfrm>
                            <a:off x="4866" y="10967"/>
                            <a:ext cx="662" cy="2123"/>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0DD26D00">
                              <w:pPr>
                                <w:pStyle w:val="105"/>
                                <w:numPr>
                                  <w:ilvl w:val="0"/>
                                  <w:numId w:val="0"/>
                                </w:numPr>
                                <w:ind w:leftChars="0"/>
                                <w:jc w:val="left"/>
                                <w:rPr>
                                  <w:rFonts w:hint="default" w:ascii="等线" w:hAnsi="等线"/>
                                  <w:lang w:val="en-US"/>
                                </w:rPr>
                              </w:pPr>
                              <w:r>
                                <w:rPr>
                                  <w:rFonts w:hint="eastAsia"/>
                                </w:rPr>
                                <w:t>物资设备部</w:t>
                              </w:r>
                              <w:r>
                                <w:rPr>
                                  <w:rFonts w:hint="eastAsia"/>
                                  <w:lang w:val="en-US" w:eastAsia="zh-CN"/>
                                </w:rPr>
                                <w:t xml:space="preserve">  </w:t>
                              </w:r>
                              <w:r>
                                <w:rPr>
                                  <w:rFonts w:hint="eastAsia"/>
                                  <w:highlight w:val="none"/>
                                  <w:lang w:val="en-US" w:eastAsia="zh-CN"/>
                                </w:rPr>
                                <w:t>李劲康</w:t>
                              </w:r>
                            </w:p>
                          </w:txbxContent>
                        </wps:txbx>
                        <wps:bodyPr vert="eaVert" upright="1"/>
                      </wps:wsp>
                      <wps:wsp>
                        <wps:cNvPr id="1305" name="AutoShape 3053"/>
                        <wps:cNvSpPr/>
                        <wps:spPr>
                          <a:xfrm>
                            <a:off x="5848" y="10931"/>
                            <a:ext cx="663" cy="2126"/>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69F9F6D7">
                              <w:pPr>
                                <w:pStyle w:val="105"/>
                                <w:numPr>
                                  <w:ilvl w:val="0"/>
                                  <w:numId w:val="0"/>
                                </w:numPr>
                                <w:ind w:leftChars="0"/>
                                <w:jc w:val="left"/>
                                <w:rPr>
                                  <w:rFonts w:ascii="等线" w:hAnsi="等线"/>
                                </w:rPr>
                              </w:pPr>
                              <w:r>
                                <w:rPr>
                                  <w:rFonts w:hint="eastAsia"/>
                                </w:rPr>
                                <w:t>质检部</w:t>
                              </w:r>
                              <w:r>
                                <w:rPr>
                                  <w:rFonts w:hint="eastAsia"/>
                                  <w:lang w:val="en-US" w:eastAsia="zh-CN"/>
                                </w:rPr>
                                <w:t xml:space="preserve">      </w:t>
                              </w:r>
                              <w:r>
                                <w:rPr>
                                  <w:rFonts w:hint="eastAsia"/>
                                  <w:highlight w:val="none"/>
                                  <w:lang w:val="en-US" w:eastAsia="zh-CN"/>
                                </w:rPr>
                                <w:t xml:space="preserve"> 赵守宝 </w:t>
                              </w:r>
                            </w:p>
                          </w:txbxContent>
                        </wps:txbx>
                        <wps:bodyPr vert="eaVert" upright="1"/>
                      </wps:wsp>
                      <wps:wsp>
                        <wps:cNvPr id="1306" name="AutoShape 3054"/>
                        <wps:cNvSpPr/>
                        <wps:spPr>
                          <a:xfrm>
                            <a:off x="6853" y="10930"/>
                            <a:ext cx="661" cy="2125"/>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70E62326">
                              <w:pPr>
                                <w:pStyle w:val="105"/>
                                <w:numPr>
                                  <w:ilvl w:val="0"/>
                                  <w:numId w:val="0"/>
                                </w:numPr>
                                <w:ind w:leftChars="0"/>
                                <w:jc w:val="left"/>
                                <w:rPr>
                                  <w:rFonts w:ascii="等线" w:hAnsi="等线"/>
                                </w:rPr>
                              </w:pPr>
                              <w:r>
                                <w:rPr>
                                  <w:rFonts w:hint="eastAsia"/>
                                </w:rPr>
                                <w:t>财务部</w:t>
                              </w:r>
                              <w:r>
                                <w:rPr>
                                  <w:rFonts w:hint="eastAsia"/>
                                  <w:lang w:val="en-US" w:eastAsia="zh-CN"/>
                                </w:rPr>
                                <w:t xml:space="preserve">       张森     </w:t>
                              </w:r>
                            </w:p>
                          </w:txbxContent>
                        </wps:txbx>
                        <wps:bodyPr vert="eaVert" upright="1"/>
                      </wps:wsp>
                      <wps:wsp>
                        <wps:cNvPr id="1307" name="AutoShape 3055"/>
                        <wps:cNvSpPr/>
                        <wps:spPr>
                          <a:xfrm>
                            <a:off x="8830" y="10945"/>
                            <a:ext cx="952" cy="2125"/>
                          </a:xfrm>
                          <a:prstGeom prst="roundRect">
                            <a:avLst>
                              <a:gd name="adj" fmla="val 16667"/>
                            </a:avLst>
                          </a:prstGeom>
                          <a:solidFill>
                            <a:srgbClr val="B9CDE5"/>
                          </a:solidFill>
                          <a:ln w="3175" cap="flat" cmpd="sng">
                            <a:solidFill>
                              <a:srgbClr val="000000"/>
                            </a:solidFill>
                            <a:prstDash val="solid"/>
                            <a:headEnd type="none" w="med" len="med"/>
                            <a:tailEnd type="none" w="med" len="med"/>
                          </a:ln>
                        </wps:spPr>
                        <wps:txbx>
                          <w:txbxContent>
                            <w:p w14:paraId="25946192">
                              <w:pPr>
                                <w:pStyle w:val="105"/>
                                <w:numPr>
                                  <w:ilvl w:val="0"/>
                                  <w:numId w:val="0"/>
                                </w:numPr>
                                <w:ind w:leftChars="0"/>
                                <w:jc w:val="left"/>
                                <w:rPr>
                                  <w:rFonts w:hint="default" w:ascii="等线" w:hAnsi="等线" w:eastAsia="宋体"/>
                                  <w:lang w:val="en-US" w:eastAsia="zh-CN"/>
                                </w:rPr>
                              </w:pPr>
                              <w:r>
                                <w:rPr>
                                  <w:rFonts w:hint="eastAsia" w:ascii="等线" w:hAnsi="等线"/>
                                </w:rPr>
                                <w:t>综合办公室</w:t>
                              </w:r>
                              <w:r>
                                <w:rPr>
                                  <w:rFonts w:hint="eastAsia" w:ascii="等线" w:hAnsi="等线"/>
                                  <w:lang w:val="en-US" w:eastAsia="zh-CN"/>
                                </w:rPr>
                                <w:t xml:space="preserve">   </w:t>
                              </w:r>
                              <w:r>
                                <w:rPr>
                                  <w:rFonts w:hint="eastAsia" w:ascii="等线" w:hAnsi="等线"/>
                                  <w:highlight w:val="none"/>
                                  <w:lang w:val="en-US" w:eastAsia="zh-CN"/>
                                </w:rPr>
                                <w:t>袁训兵</w:t>
                              </w:r>
                            </w:p>
                          </w:txbxContent>
                        </wps:txbx>
                        <wps:bodyPr vert="eaVert" upright="1"/>
                      </wps:wsp>
                      <wps:wsp>
                        <wps:cNvPr id="1308" name="AutoShape 3056"/>
                        <wps:cNvCnPr/>
                        <wps:spPr>
                          <a:xfrm>
                            <a:off x="9307" y="10945"/>
                            <a:ext cx="12" cy="1145"/>
                          </a:xfrm>
                          <a:prstGeom prst="straightConnector1">
                            <a:avLst/>
                          </a:prstGeom>
                          <a:ln w="3175" cap="flat" cmpd="sng">
                            <a:solidFill>
                              <a:srgbClr val="000000"/>
                            </a:solidFill>
                            <a:prstDash val="solid"/>
                            <a:headEnd type="none" w="med" len="med"/>
                            <a:tailEnd type="none" w="med" len="med"/>
                          </a:ln>
                        </wps:spPr>
                        <wps:bodyPr/>
                      </wps:wsp>
                      <wps:wsp>
                        <wps:cNvPr id="1309" name="AutoShape 3060"/>
                        <wps:cNvCnPr/>
                        <wps:spPr>
                          <a:xfrm>
                            <a:off x="2160" y="13256"/>
                            <a:ext cx="7151" cy="1"/>
                          </a:xfrm>
                          <a:prstGeom prst="straightConnector1">
                            <a:avLst/>
                          </a:prstGeom>
                          <a:ln w="3175" cap="flat" cmpd="sng">
                            <a:solidFill>
                              <a:srgbClr val="000000"/>
                            </a:solidFill>
                            <a:prstDash val="solid"/>
                            <a:headEnd type="none" w="med" len="med"/>
                            <a:tailEnd type="none" w="med" len="med"/>
                          </a:ln>
                        </wps:spPr>
                        <wps:bodyPr/>
                      </wps:wsp>
                      <wps:wsp>
                        <wps:cNvPr id="1310" name="AutoShape 3061"/>
                        <wps:cNvCnPr/>
                        <wps:spPr>
                          <a:xfrm>
                            <a:off x="3173" y="13071"/>
                            <a:ext cx="5" cy="212"/>
                          </a:xfrm>
                          <a:prstGeom prst="straightConnector1">
                            <a:avLst/>
                          </a:prstGeom>
                          <a:ln w="3175" cap="flat" cmpd="sng">
                            <a:solidFill>
                              <a:srgbClr val="000000"/>
                            </a:solidFill>
                            <a:prstDash val="solid"/>
                            <a:headEnd type="none" w="med" len="med"/>
                            <a:tailEnd type="triangle" w="med" len="med"/>
                          </a:ln>
                        </wps:spPr>
                        <wps:bodyPr/>
                      </wps:wsp>
                      <wps:wsp>
                        <wps:cNvPr id="1311" name="AutoShape 3062"/>
                        <wps:cNvCnPr/>
                        <wps:spPr>
                          <a:xfrm>
                            <a:off x="8433" y="13256"/>
                            <a:ext cx="5" cy="213"/>
                          </a:xfrm>
                          <a:prstGeom prst="straightConnector1">
                            <a:avLst/>
                          </a:prstGeom>
                          <a:ln w="3175" cap="flat" cmpd="sng">
                            <a:solidFill>
                              <a:srgbClr val="000000"/>
                            </a:solidFill>
                            <a:prstDash val="solid"/>
                            <a:headEnd type="none" w="med" len="med"/>
                            <a:tailEnd type="triangle" w="med" len="med"/>
                          </a:ln>
                        </wps:spPr>
                        <wps:bodyPr/>
                      </wps:wsp>
                      <wps:wsp>
                        <wps:cNvPr id="1312" name="AutoShape 3063"/>
                        <wps:cNvCnPr/>
                        <wps:spPr>
                          <a:xfrm>
                            <a:off x="7269" y="13257"/>
                            <a:ext cx="6" cy="213"/>
                          </a:xfrm>
                          <a:prstGeom prst="straightConnector1">
                            <a:avLst/>
                          </a:prstGeom>
                          <a:ln w="3175" cap="flat" cmpd="sng">
                            <a:solidFill>
                              <a:srgbClr val="000000"/>
                            </a:solidFill>
                            <a:prstDash val="solid"/>
                            <a:headEnd type="none" w="med" len="med"/>
                            <a:tailEnd type="triangle" w="med" len="med"/>
                          </a:ln>
                        </wps:spPr>
                        <wps:bodyPr/>
                      </wps:wsp>
                      <wps:wsp>
                        <wps:cNvPr id="1313" name="AutoShape 3064"/>
                        <wps:cNvCnPr/>
                        <wps:spPr>
                          <a:xfrm>
                            <a:off x="4888" y="13273"/>
                            <a:ext cx="6" cy="212"/>
                          </a:xfrm>
                          <a:prstGeom prst="straightConnector1">
                            <a:avLst/>
                          </a:prstGeom>
                          <a:ln w="3175" cap="flat" cmpd="sng">
                            <a:solidFill>
                              <a:srgbClr val="000000"/>
                            </a:solidFill>
                            <a:prstDash val="solid"/>
                            <a:headEnd type="none" w="med" len="med"/>
                            <a:tailEnd type="triangle" w="med" len="med"/>
                          </a:ln>
                        </wps:spPr>
                        <wps:bodyPr/>
                      </wps:wsp>
                      <wps:wsp>
                        <wps:cNvPr id="1314" name="AutoShape 3065"/>
                        <wps:cNvCnPr/>
                        <wps:spPr>
                          <a:xfrm>
                            <a:off x="3617" y="13256"/>
                            <a:ext cx="6" cy="213"/>
                          </a:xfrm>
                          <a:prstGeom prst="straightConnector1">
                            <a:avLst/>
                          </a:prstGeom>
                          <a:ln w="3175" cap="flat" cmpd="sng">
                            <a:solidFill>
                              <a:srgbClr val="000000"/>
                            </a:solidFill>
                            <a:prstDash val="solid"/>
                            <a:headEnd type="none" w="med" len="med"/>
                            <a:tailEnd type="triangle" w="med" len="med"/>
                          </a:ln>
                        </wps:spPr>
                        <wps:bodyPr/>
                      </wps:wsp>
                      <wps:wsp>
                        <wps:cNvPr id="1315" name="AutoShape 3066"/>
                        <wps:cNvCnPr/>
                        <wps:spPr>
                          <a:xfrm>
                            <a:off x="6105" y="13257"/>
                            <a:ext cx="5" cy="213"/>
                          </a:xfrm>
                          <a:prstGeom prst="straightConnector1">
                            <a:avLst/>
                          </a:prstGeom>
                          <a:ln w="3175" cap="flat" cmpd="sng">
                            <a:solidFill>
                              <a:srgbClr val="000000"/>
                            </a:solidFill>
                            <a:prstDash val="solid"/>
                            <a:headEnd type="none" w="med" len="med"/>
                            <a:tailEnd type="triangle" w="med" len="med"/>
                          </a:ln>
                        </wps:spPr>
                        <wps:bodyPr/>
                      </wps:wsp>
                      <wps:wsp>
                        <wps:cNvPr id="1316" name="AutoShape 3067"/>
                        <wps:cNvCnPr/>
                        <wps:spPr>
                          <a:xfrm>
                            <a:off x="2137" y="13072"/>
                            <a:ext cx="1" cy="397"/>
                          </a:xfrm>
                          <a:prstGeom prst="straightConnector1">
                            <a:avLst/>
                          </a:prstGeom>
                          <a:ln w="3175" cap="flat" cmpd="sng">
                            <a:solidFill>
                              <a:srgbClr val="000000"/>
                            </a:solidFill>
                            <a:prstDash val="solid"/>
                            <a:headEnd type="none" w="med" len="med"/>
                            <a:tailEnd type="triangle" w="med" len="med"/>
                          </a:ln>
                        </wps:spPr>
                        <wps:bodyPr/>
                      </wps:wsp>
                      <wps:wsp>
                        <wps:cNvPr id="1317" name="AutoShape 3068"/>
                        <wps:cNvCnPr/>
                        <wps:spPr>
                          <a:xfrm>
                            <a:off x="5250" y="13100"/>
                            <a:ext cx="6" cy="212"/>
                          </a:xfrm>
                          <a:prstGeom prst="straightConnector1">
                            <a:avLst/>
                          </a:prstGeom>
                          <a:ln w="3175" cap="flat" cmpd="sng">
                            <a:solidFill>
                              <a:srgbClr val="000000"/>
                            </a:solidFill>
                            <a:prstDash val="solid"/>
                            <a:headEnd type="none" w="med" len="med"/>
                            <a:tailEnd type="triangle" w="med" len="med"/>
                          </a:ln>
                        </wps:spPr>
                        <wps:bodyPr/>
                      </wps:wsp>
                      <wps:wsp>
                        <wps:cNvPr id="1318" name="AutoShape 3069"/>
                        <wps:cNvCnPr/>
                        <wps:spPr>
                          <a:xfrm>
                            <a:off x="4244" y="13057"/>
                            <a:ext cx="4" cy="212"/>
                          </a:xfrm>
                          <a:prstGeom prst="straightConnector1">
                            <a:avLst/>
                          </a:prstGeom>
                          <a:ln w="3175" cap="flat" cmpd="sng">
                            <a:solidFill>
                              <a:srgbClr val="000000"/>
                            </a:solidFill>
                            <a:prstDash val="solid"/>
                            <a:headEnd type="none" w="med" len="med"/>
                            <a:tailEnd type="triangle" w="med" len="med"/>
                          </a:ln>
                        </wps:spPr>
                        <wps:bodyPr/>
                      </wps:wsp>
                      <wps:wsp>
                        <wps:cNvPr id="1319" name="AutoShape 3070"/>
                        <wps:cNvCnPr/>
                        <wps:spPr>
                          <a:xfrm>
                            <a:off x="6165" y="13056"/>
                            <a:ext cx="5" cy="212"/>
                          </a:xfrm>
                          <a:prstGeom prst="straightConnector1">
                            <a:avLst/>
                          </a:prstGeom>
                          <a:ln w="3175" cap="flat" cmpd="sng">
                            <a:solidFill>
                              <a:srgbClr val="000000"/>
                            </a:solidFill>
                            <a:prstDash val="solid"/>
                            <a:headEnd type="none" w="med" len="med"/>
                            <a:tailEnd type="triangle" w="med" len="med"/>
                          </a:ln>
                        </wps:spPr>
                        <wps:bodyPr/>
                      </wps:wsp>
                      <wps:wsp>
                        <wps:cNvPr id="1320" name="AutoShape 3071"/>
                        <wps:cNvCnPr/>
                        <wps:spPr>
                          <a:xfrm>
                            <a:off x="7167" y="13042"/>
                            <a:ext cx="6" cy="214"/>
                          </a:xfrm>
                          <a:prstGeom prst="straightConnector1">
                            <a:avLst/>
                          </a:prstGeom>
                          <a:ln w="3175" cap="flat" cmpd="sng">
                            <a:solidFill>
                              <a:srgbClr val="000000"/>
                            </a:solidFill>
                            <a:prstDash val="solid"/>
                            <a:headEnd type="none" w="med" len="med"/>
                            <a:tailEnd type="triangle" w="med" len="med"/>
                          </a:ln>
                        </wps:spPr>
                        <wps:bodyPr/>
                      </wps:wsp>
                      <wps:wsp>
                        <wps:cNvPr id="1321" name="AutoShape 3072"/>
                        <wps:cNvCnPr/>
                        <wps:spPr>
                          <a:xfrm>
                            <a:off x="8108" y="13044"/>
                            <a:ext cx="6" cy="212"/>
                          </a:xfrm>
                          <a:prstGeom prst="straightConnector1">
                            <a:avLst/>
                          </a:prstGeom>
                          <a:ln w="3175" cap="flat" cmpd="sng">
                            <a:solidFill>
                              <a:srgbClr val="000000"/>
                            </a:solidFill>
                            <a:prstDash val="solid"/>
                            <a:headEnd type="none" w="med" len="med"/>
                            <a:tailEnd type="triangle" w="med" len="med"/>
                          </a:ln>
                        </wps:spPr>
                        <wps:bodyPr/>
                      </wps:wsp>
                      <wps:wsp>
                        <wps:cNvPr id="1322" name="AutoShape 3074"/>
                        <wps:cNvSpPr/>
                        <wps:spPr>
                          <a:xfrm>
                            <a:off x="3208" y="13443"/>
                            <a:ext cx="662" cy="2128"/>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3A6EC65B">
                              <w:pPr>
                                <w:pStyle w:val="105"/>
                                <w:numPr>
                                  <w:ilvl w:val="0"/>
                                  <w:numId w:val="0"/>
                                </w:numPr>
                                <w:ind w:leftChars="0"/>
                                <w:jc w:val="center"/>
                                <w:rPr>
                                  <w:rFonts w:ascii="等线" w:hAnsi="等线"/>
                                </w:rPr>
                              </w:pPr>
                              <w:r>
                                <w:rPr>
                                  <w:rFonts w:hint="eastAsia" w:ascii="等线" w:hAnsi="等线"/>
                                </w:rPr>
                                <w:t>路基</w:t>
                              </w:r>
                              <w:r>
                                <w:rPr>
                                  <w:rFonts w:hint="eastAsia" w:ascii="等线" w:hAnsi="等线"/>
                                  <w:lang w:val="en-US" w:eastAsia="zh-CN"/>
                                </w:rPr>
                                <w:t>工程第二</w:t>
                              </w:r>
                              <w:r>
                                <w:rPr>
                                  <w:rFonts w:hint="eastAsia" w:ascii="等线" w:hAnsi="等线"/>
                                </w:rPr>
                                <w:t>作业队</w:t>
                              </w:r>
                            </w:p>
                            <w:p w14:paraId="4DD7D1E4">
                              <w:pPr>
                                <w:rPr>
                                  <w:rFonts w:hint="default"/>
                                  <w:lang w:val="en-US"/>
                                </w:rPr>
                              </w:pPr>
                            </w:p>
                          </w:txbxContent>
                        </wps:txbx>
                        <wps:bodyPr vert="eaVert" upright="1"/>
                      </wps:wsp>
                      <wps:wsp>
                        <wps:cNvPr id="1323" name="AutoShape 3077"/>
                        <wps:cNvSpPr/>
                        <wps:spPr>
                          <a:xfrm>
                            <a:off x="6894" y="13443"/>
                            <a:ext cx="661" cy="2128"/>
                          </a:xfrm>
                          <a:prstGeom prst="roundRect">
                            <a:avLst>
                              <a:gd name="adj" fmla="val 0"/>
                            </a:avLst>
                          </a:prstGeom>
                          <a:solidFill>
                            <a:srgbClr val="B9CDE5"/>
                          </a:solidFill>
                          <a:ln w="3175" cap="flat" cmpd="sng">
                            <a:solidFill>
                              <a:srgbClr val="000000"/>
                            </a:solidFill>
                            <a:prstDash val="solid"/>
                            <a:headEnd type="none" w="med" len="med"/>
                            <a:tailEnd type="none" w="med" len="med"/>
                          </a:ln>
                        </wps:spPr>
                        <wps:txbx>
                          <w:txbxContent>
                            <w:p w14:paraId="71F15E78">
                              <w:pPr>
                                <w:pStyle w:val="105"/>
                                <w:numPr>
                                  <w:ilvl w:val="0"/>
                                  <w:numId w:val="0"/>
                                </w:numPr>
                                <w:ind w:leftChars="0"/>
                                <w:jc w:val="center"/>
                                <w:rPr>
                                  <w:rFonts w:hint="eastAsia" w:ascii="等线" w:hAnsi="等线"/>
                                </w:rPr>
                              </w:pPr>
                              <w:r>
                                <w:rPr>
                                  <w:rFonts w:hint="eastAsia" w:ascii="等线" w:hAnsi="等线"/>
                                </w:rPr>
                                <w:t>桥涵第</w:t>
                              </w:r>
                              <w:r>
                                <w:rPr>
                                  <w:rFonts w:hint="eastAsia" w:ascii="等线" w:hAnsi="等线"/>
                                  <w:lang w:val="en-US" w:eastAsia="zh-CN"/>
                                </w:rPr>
                                <w:t>三</w:t>
                              </w:r>
                              <w:r>
                                <w:rPr>
                                  <w:rFonts w:hint="eastAsia" w:ascii="等线" w:hAnsi="等线"/>
                                </w:rPr>
                                <w:t>作业队</w:t>
                              </w:r>
                            </w:p>
                          </w:txbxContent>
                        </wps:txbx>
                        <wps:bodyPr vert="eaVert" upright="1"/>
                      </wps:wsp>
                    </wpg:wgp>
                  </a:graphicData>
                </a:graphic>
              </wp:anchor>
            </w:drawing>
          </mc:Choice>
          <mc:Fallback>
            <w:pict>
              <v:group id="组合 394" o:spid="_x0000_s1026" o:spt="203" style="position:absolute;left:0pt;margin-left:22.15pt;margin-top:0.3pt;height:363.45pt;width:433.3pt;mso-wrap-distance-bottom:0pt;mso-wrap-distance-top:0pt;z-index:251677696;mso-width-relative:page;mso-height-relative:page;" coordorigin="1804,8776" coordsize="7978,6862" o:gfxdata="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">
                <o:lock v:ext="edit" aspectratio="f"/>
                <v:roundrect id="AutoShape 3048" o:spid="_x0000_s1026" o:spt="2" style="position:absolute;left:1804;top:10960;height:2138;width:666;" fillcolor="#B9CDE5" filled="t" stroked="t" coordsize="21600,21600" arcsize="0.166666666666667" o:gfxdata="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skAy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11E26B84">
                        <w:pPr>
                          <w:spacing w:line="200" w:lineRule="exact"/>
                          <w:ind w:firstLine="0" w:firstLineChars="0"/>
                          <w:jc w:val="both"/>
                          <w:rPr>
                            <w:rFonts w:hint="default" w:eastAsia="宋体"/>
                            <w:sz w:val="20"/>
                            <w:szCs w:val="20"/>
                            <w:lang w:val="en-US" w:eastAsia="zh-CN"/>
                          </w:rPr>
                        </w:pPr>
                        <w:r>
                          <w:rPr>
                            <w:rFonts w:hint="eastAsia"/>
                          </w:rPr>
                          <w:t>工程管理部</w:t>
                        </w:r>
                        <w:r>
                          <w:rPr>
                            <w:rFonts w:hint="eastAsia"/>
                            <w:lang w:val="en-US" w:eastAsia="zh-CN"/>
                          </w:rPr>
                          <w:t xml:space="preserve">  </w:t>
                        </w:r>
                        <w:r>
                          <w:rPr>
                            <w:rFonts w:hint="eastAsia"/>
                            <w:sz w:val="20"/>
                            <w:szCs w:val="20"/>
                            <w:lang w:val="en-US" w:eastAsia="zh-CN"/>
                          </w:rPr>
                          <w:t>叶卫卫</w:t>
                        </w:r>
                      </w:p>
                      <w:p w14:paraId="4D046F1D">
                        <w:pPr>
                          <w:pStyle w:val="105"/>
                          <w:numPr>
                            <w:ilvl w:val="0"/>
                            <w:numId w:val="0"/>
                          </w:numPr>
                          <w:spacing w:line="240" w:lineRule="auto"/>
                          <w:ind w:leftChars="0"/>
                          <w:jc w:val="both"/>
                          <w:rPr>
                            <w:rFonts w:hint="default" w:ascii="等线" w:hAnsi="等线" w:eastAsia="宋体"/>
                            <w:lang w:val="en-US" w:eastAsia="zh-CN"/>
                          </w:rPr>
                        </w:pPr>
                      </w:p>
                      <w:p w14:paraId="296D5907">
                        <w:pPr>
                          <w:rPr>
                            <w:rFonts w:hint="default"/>
                            <w:lang w:val="en-US" w:eastAsia="zh-CN"/>
                          </w:rPr>
                        </w:pPr>
                      </w:p>
                    </w:txbxContent>
                  </v:textbox>
                </v:roundrect>
                <v:roundrect id="AutoShape 3073" o:spid="_x0000_s1026" o:spt="2" style="position:absolute;left:1804;top:13471;height:2138;width:667;" fillcolor="#B9CDE5" filled="t" stroked="t" coordsize="21600,21600" arcsize="0" o:gfxdata="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gNZe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0919064F">
                        <w:pPr>
                          <w:pStyle w:val="105"/>
                          <w:numPr>
                            <w:ilvl w:val="0"/>
                            <w:numId w:val="0"/>
                          </w:numPr>
                          <w:ind w:leftChars="0"/>
                          <w:jc w:val="center"/>
                          <w:rPr>
                            <w:rFonts w:ascii="等线" w:hAnsi="等线"/>
                          </w:rPr>
                        </w:pPr>
                        <w:r>
                          <w:rPr>
                            <w:rFonts w:hint="eastAsia" w:ascii="等线" w:hAnsi="等线"/>
                          </w:rPr>
                          <w:t>路基</w:t>
                        </w:r>
                        <w:r>
                          <w:rPr>
                            <w:rFonts w:hint="eastAsia" w:ascii="等线" w:hAnsi="等线"/>
                            <w:lang w:val="en-US" w:eastAsia="zh-CN"/>
                          </w:rPr>
                          <w:t>工程第一</w:t>
                        </w:r>
                        <w:r>
                          <w:rPr>
                            <w:rFonts w:hint="eastAsia" w:ascii="等线" w:hAnsi="等线"/>
                          </w:rPr>
                          <w:t>作业队</w:t>
                        </w:r>
                      </w:p>
                    </w:txbxContent>
                  </v:textbox>
                </v:roundrect>
                <v:roundrect id="AutoShape 3075" o:spid="_x0000_s1026" o:spt="2" style="position:absolute;left:4483;top:13486;height:2127;width:663;" fillcolor="#B9CDE5" filled="t" stroked="t" coordsize="21600,21600" arcsize="0" o:gfxdata="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oeW/&#10;AAAA3QAAAA8AAAAAAAAAAQAgAAAAIgAAAGRycy9kb3ducmV2LnhtbFBLAQIUABQAAAAIAIdO4kAz&#10;LwWeOwAAADkAAAAQAAAAAAAAAAEAIAAAAA4BAABkcnMvc2hhcGV4bWwueG1sUEsFBgAAAAAGAAYA&#10;WwEAALgDAAAAAA==&#10;">
                  <v:fill on="t" focussize="0,0"/>
                  <v:stroke weight="0.25pt" color="#000000" joinstyle="round"/>
                  <v:imagedata o:title=""/>
                  <o:lock v:ext="edit" aspectratio="f"/>
                  <v:textbox style="layout-flow:vertical-ideographic;">
                    <w:txbxContent>
                      <w:p w14:paraId="138C2EE5">
                        <w:pPr>
                          <w:pStyle w:val="105"/>
                          <w:numPr>
                            <w:ilvl w:val="0"/>
                            <w:numId w:val="0"/>
                          </w:numPr>
                          <w:ind w:leftChars="0"/>
                          <w:jc w:val="center"/>
                          <w:rPr>
                            <w:rFonts w:ascii="等线" w:hAnsi="等线"/>
                          </w:rPr>
                        </w:pPr>
                        <w:r>
                          <w:rPr>
                            <w:rFonts w:hint="eastAsia" w:ascii="等线" w:hAnsi="等线"/>
                          </w:rPr>
                          <w:t>桥涵第</w:t>
                        </w:r>
                        <w:r>
                          <w:rPr>
                            <w:rFonts w:hint="eastAsia" w:ascii="等线" w:hAnsi="等线"/>
                            <w:lang w:val="en-US" w:eastAsia="zh-CN"/>
                          </w:rPr>
                          <w:t>一</w:t>
                        </w:r>
                        <w:r>
                          <w:rPr>
                            <w:rFonts w:hint="eastAsia" w:ascii="等线" w:hAnsi="等线"/>
                          </w:rPr>
                          <w:t>作业队</w:t>
                        </w:r>
                      </w:p>
                    </w:txbxContent>
                  </v:textbox>
                </v:roundrect>
                <v:roundrect id="AutoShape 3079" o:spid="_x0000_s1026" o:spt="2" style="position:absolute;left:9085;top:13495;height:2143;width:666;" fillcolor="#B9CDE5" filled="t" stroked="t" coordsize="21600,21600" arcsize="0" o:gfxdata="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zBH6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27F5C1C5">
                        <w:pPr>
                          <w:pStyle w:val="105"/>
                          <w:numPr>
                            <w:ilvl w:val="0"/>
                            <w:numId w:val="0"/>
                          </w:numPr>
                          <w:ind w:leftChars="0"/>
                          <w:jc w:val="center"/>
                          <w:rPr>
                            <w:rFonts w:ascii="等线" w:hAnsi="等线"/>
                          </w:rPr>
                        </w:pPr>
                        <w:r>
                          <w:rPr>
                            <w:rFonts w:hint="eastAsia" w:ascii="等线" w:hAnsi="等线"/>
                          </w:rPr>
                          <w:t>交安</w:t>
                        </w:r>
                        <w:r>
                          <w:rPr>
                            <w:rFonts w:hint="eastAsia" w:ascii="等线" w:hAnsi="等线"/>
                            <w:lang w:eastAsia="zh-CN"/>
                          </w:rPr>
                          <w:t>、</w:t>
                        </w:r>
                        <w:r>
                          <w:rPr>
                            <w:rFonts w:hint="eastAsia" w:ascii="等线" w:hAnsi="等线"/>
                          </w:rPr>
                          <w:t>绿化作业队</w:t>
                        </w:r>
                      </w:p>
                    </w:txbxContent>
                  </v:textbox>
                </v:roundrect>
                <v:roundrect id="AutoShape 3076" o:spid="_x0000_s1026" o:spt="2" style="position:absolute;left:5718;top:13469;height:2127;width:662;" fillcolor="#B9CDE5" filled="t" stroked="t" coordsize="21600,21600" arcsize="0" o:gfxdata="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JzdxL4A&#10;AADdAAAADwAAAAAAAAABACAAAAAiAAAAZHJzL2Rvd25yZXYueG1sUEsBAhQAFAAAAAgAh07iQDMv&#10;BZ47AAAAOQAAABAAAAAAAAAAAQAgAAAADQEAAGRycy9zaGFwZXhtbC54bWxQSwUGAAAAAAYABgBb&#10;AQAAtwMAAAAA&#10;">
                  <v:fill on="t" focussize="0,0"/>
                  <v:stroke weight="0.25pt" color="#000000" joinstyle="round"/>
                  <v:imagedata o:title=""/>
                  <o:lock v:ext="edit" aspectratio="f"/>
                  <v:textbox style="layout-flow:vertical-ideographic;">
                    <w:txbxContent>
                      <w:p w14:paraId="5B65AFA3">
                        <w:pPr>
                          <w:pStyle w:val="105"/>
                          <w:numPr>
                            <w:ilvl w:val="0"/>
                            <w:numId w:val="0"/>
                          </w:numPr>
                          <w:ind w:leftChars="0"/>
                          <w:jc w:val="center"/>
                          <w:rPr>
                            <w:rFonts w:ascii="等线" w:hAnsi="等线"/>
                          </w:rPr>
                        </w:pPr>
                        <w:r>
                          <w:rPr>
                            <w:rFonts w:hint="eastAsia" w:ascii="等线" w:hAnsi="等线"/>
                          </w:rPr>
                          <w:t>桥涵第</w:t>
                        </w:r>
                        <w:r>
                          <w:rPr>
                            <w:rFonts w:hint="eastAsia" w:ascii="等线" w:hAnsi="等线"/>
                            <w:lang w:val="en-US" w:eastAsia="zh-CN"/>
                          </w:rPr>
                          <w:t>二</w:t>
                        </w:r>
                        <w:r>
                          <w:rPr>
                            <w:rFonts w:hint="eastAsia" w:ascii="等线" w:hAnsi="等线"/>
                          </w:rPr>
                          <w:t>作业队</w:t>
                        </w:r>
                      </w:p>
                    </w:txbxContent>
                  </v:textbox>
                </v:roundrect>
                <v:roundrect id="AutoShape 3028" o:spid="_x0000_s1026" o:spt="2" style="position:absolute;left:4975;top:8776;height:650;width:2230;" fillcolor="#B9CDE5" filled="t" stroked="t" coordsize="21600,21600" arcsize="0.166666666666667" o:gfxdata="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XC9m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w:txbxContent>
                      <w:p w14:paraId="0884E44D">
                        <w:pPr>
                          <w:pStyle w:val="19"/>
                          <w:jc w:val="center"/>
                          <w:rPr>
                            <w:rFonts w:hint="default" w:eastAsia="宋体"/>
                            <w:lang w:val="en-US" w:eastAsia="zh-CN"/>
                          </w:rPr>
                        </w:pPr>
                        <w:r>
                          <w:t>项目经理</w:t>
                        </w:r>
                        <w:r>
                          <w:rPr>
                            <w:rFonts w:hint="eastAsia"/>
                            <w:lang w:eastAsia="zh-CN"/>
                          </w:rPr>
                          <w:t>：</w:t>
                        </w:r>
                        <w:r>
                          <w:rPr>
                            <w:rFonts w:hint="eastAsia"/>
                            <w:lang w:val="en-US" w:eastAsia="zh-CN"/>
                          </w:rPr>
                          <w:t>李令举</w:t>
                        </w:r>
                      </w:p>
                      <w:p w14:paraId="061C9228">
                        <w:pPr>
                          <w:pStyle w:val="19"/>
                          <w:jc w:val="center"/>
                          <w:rPr>
                            <w:rFonts w:hint="eastAsia" w:eastAsia="宋体"/>
                            <w:lang w:val="en-US" w:eastAsia="zh-CN"/>
                          </w:rPr>
                        </w:pPr>
                        <w:r>
                          <w:rPr>
                            <w:rFonts w:hint="eastAsia"/>
                            <w:lang w:val="en-US" w:eastAsia="zh-CN"/>
                          </w:rPr>
                          <w:t>项目书记</w:t>
                        </w:r>
                        <w:r>
                          <w:rPr>
                            <w:rFonts w:hint="eastAsia"/>
                          </w:rPr>
                          <w:t>：</w:t>
                        </w:r>
                        <w:r>
                          <w:rPr>
                            <w:rFonts w:hint="eastAsia"/>
                            <w:lang w:val="en-US" w:eastAsia="zh-CN"/>
                          </w:rPr>
                          <w:t>何彦祥</w:t>
                        </w:r>
                      </w:p>
                    </w:txbxContent>
                  </v:textbox>
                </v:roundrect>
                <v:shape id="AutoShape 3029" o:spid="_x0000_s1026" o:spt="32" type="#_x0000_t32" style="position:absolute;left:6003;top:9416;height:212;width:6;" filled="f" stroked="t" coordsize="21600,21600" o:gfxdata="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mgb7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roundrect id="AutoShape 3078" o:spid="_x0000_s1026" o:spt="2" style="position:absolute;left:8108;top:13470;height:2128;width:662;" fillcolor="#B9CDE5" filled="t" stroked="t" coordsize="21600,21600" arcsize="0" o:gfxdata="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OQ7O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6A58EBF2">
                        <w:pPr>
                          <w:pStyle w:val="105"/>
                          <w:numPr>
                            <w:ilvl w:val="0"/>
                            <w:numId w:val="0"/>
                          </w:numPr>
                          <w:ind w:leftChars="0"/>
                          <w:jc w:val="center"/>
                          <w:rPr>
                            <w:rFonts w:ascii="等线" w:hAnsi="等线"/>
                          </w:rPr>
                        </w:pPr>
                        <w:r>
                          <w:rPr>
                            <w:rFonts w:hint="eastAsia" w:ascii="等线" w:hAnsi="等线"/>
                            <w:lang w:val="en-US" w:eastAsia="zh-CN"/>
                          </w:rPr>
                          <w:t>路面工程</w:t>
                        </w:r>
                        <w:r>
                          <w:rPr>
                            <w:rFonts w:hint="eastAsia" w:ascii="等线" w:hAnsi="等线"/>
                          </w:rPr>
                          <w:t>作业队</w:t>
                        </w:r>
                      </w:p>
                    </w:txbxContent>
                  </v:textbox>
                </v:roundrect>
                <v:roundrect id="AutoShape 3030" o:spid="_x0000_s1026" o:spt="2" style="position:absolute;left:2553;top:9854;height:651;width:2698;" fillcolor="#B9CDE5" filled="t" stroked="t" coordsize="21600,21600" arcsize="0.166666666666667" o:gfxdata="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gqEG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w:txbxContent>
                      <w:p w14:paraId="422C020C">
                        <w:pPr>
                          <w:spacing w:line="200" w:lineRule="exact"/>
                          <w:ind w:firstLine="0" w:firstLineChars="0"/>
                          <w:jc w:val="center"/>
                          <w:rPr>
                            <w:rFonts w:hint="eastAsia"/>
                            <w:sz w:val="20"/>
                            <w:szCs w:val="20"/>
                            <w:lang w:val="en-US" w:eastAsia="zh-CN"/>
                          </w:rPr>
                        </w:pPr>
                      </w:p>
                      <w:p w14:paraId="65723894">
                        <w:pPr>
                          <w:spacing w:line="200" w:lineRule="exact"/>
                          <w:ind w:firstLine="0" w:firstLineChars="0"/>
                          <w:jc w:val="center"/>
                          <w:rPr>
                            <w:rFonts w:hint="default" w:eastAsia="宋体"/>
                            <w:sz w:val="20"/>
                            <w:szCs w:val="20"/>
                            <w:lang w:val="en-US" w:eastAsia="zh-CN"/>
                          </w:rPr>
                        </w:pPr>
                        <w:r>
                          <w:rPr>
                            <w:rFonts w:hint="eastAsia"/>
                            <w:sz w:val="20"/>
                            <w:szCs w:val="20"/>
                            <w:lang w:val="en-US" w:eastAsia="zh-CN"/>
                          </w:rPr>
                          <w:t>项目副经理：陈天、刘重阳</w:t>
                        </w:r>
                      </w:p>
                    </w:txbxContent>
                  </v:textbox>
                </v:roundrect>
                <v:roundrect id="AutoShape 3031" o:spid="_x0000_s1026" o:spt="2" style="position:absolute;left:7101;top:9853;height:651;width:2070;" fillcolor="#B9CDE5" filled="t" stroked="t" coordsize="21600,21600" arcsize="0.166666666666667" o:gfxdata="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sDdq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w:txbxContent>
                      <w:p w14:paraId="6109E094">
                        <w:pPr>
                          <w:pStyle w:val="105"/>
                          <w:spacing w:line="200" w:lineRule="exact"/>
                          <w:jc w:val="center"/>
                          <w:rPr>
                            <w:rFonts w:hint="eastAsia"/>
                            <w:lang w:val="en-US" w:eastAsia="zh-CN"/>
                          </w:rPr>
                        </w:pPr>
                      </w:p>
                      <w:p w14:paraId="390CE8C2">
                        <w:pPr>
                          <w:pStyle w:val="105"/>
                          <w:spacing w:line="200" w:lineRule="exact"/>
                          <w:jc w:val="center"/>
                          <w:rPr>
                            <w:rFonts w:hint="default" w:eastAsia="宋体"/>
                            <w:lang w:val="en-US" w:eastAsia="zh-CN"/>
                          </w:rPr>
                        </w:pPr>
                        <w:r>
                          <w:rPr>
                            <w:rFonts w:hint="eastAsia"/>
                            <w:lang w:val="en-US" w:eastAsia="zh-CN"/>
                          </w:rPr>
                          <w:t>项目总工：王磊</w:t>
                        </w:r>
                      </w:p>
                    </w:txbxContent>
                  </v:textbox>
                </v:roundrect>
                <v:shape id="AutoShape 3033" o:spid="_x0000_s1026" o:spt="32" type="#_x0000_t32" style="position:absolute;left:3731;top:9642;height:212;width:5;" filled="f" stroked="t" coordsize="21600,21600" o:gfxdata="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cqZsugAAAN0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shape>
                <v:shape id="AutoShape 3034" o:spid="_x0000_s1026" o:spt="32" type="#_x0000_t32" style="position:absolute;left:8077;top:9641;height:212;width:6;" filled="f" stroked="t" coordsize="21600,21600" o:gfxdata="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z4D97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35" o:spid="_x0000_s1026" o:spt="32" type="#_x0000_t32" style="position:absolute;left:3700;top:10504;height:211;width:6;" filled="f" stroked="t" coordsize="21600,21600" o:gfxdata="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qGXhb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AutoShape 3036" o:spid="_x0000_s1026" o:spt="32" type="#_x0000_t32" style="position:absolute;left:2086;top:10735;height:212;width:8;" filled="f" stroked="t" coordsize="21600,21600" o:gfxdata="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e0yHr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37" o:spid="_x0000_s1026" o:spt="32" type="#_x0000_t32" style="position:absolute;left:6157;top:10733;height:212;width:8;" filled="f" stroked="t" coordsize="21600,21600" o:gfxdata="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Q4NXr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AutoShape 3038" o:spid="_x0000_s1026" o:spt="32" type="#_x0000_t32" style="position:absolute;left:7215;top:10719;height:212;width:6;" filled="f" stroked="t" coordsize="21600,21600" o:gfxdata="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CqMW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AutoShape 3039" o:spid="_x0000_s1026" o:spt="32" type="#_x0000_t32" style="position:absolute;left:8115;top:10504;height:212;width:8;" filled="f" stroked="t" coordsize="21600,21600" o:gfxdata="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pA2sr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40" o:spid="_x0000_s1026" o:spt="32" type="#_x0000_t32" style="position:absolute;left:9381;top:10718;height:212;width:6;" filled="f" stroked="t" coordsize="21600,21600" o:gfxdata="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Xckym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AutoShape 3041" o:spid="_x0000_s1026" o:spt="32" type="#_x0000_t32" style="position:absolute;left:8115;top:10717;height:212;width:8;" filled="f" stroked="t" coordsize="21600,21600" o:gfxdata="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o1C12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AutoShape 3042" o:spid="_x0000_s1026" o:spt="32" type="#_x0000_t32" style="position:absolute;left:4241;top:10745;height:238;width:3;" filled="f" stroked="t" coordsize="21600,21600" o:gfxdata="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5rsa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AutoShape 3043" o:spid="_x0000_s1026" o:spt="32" type="#_x0000_t32" style="position:absolute;left:3713;top:9641;flip:y;height:1;width:4370;" filled="f" stroked="t" coordsize="21600,21600" o:gfxdata="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9J++vQAA&#10;AN0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shape>
                <v:shape id="AutoShape 3044" o:spid="_x0000_s1026" o:spt="32" type="#_x0000_t32" style="position:absolute;left:2086;top:10718;height:1;width:7295;" filled="f" stroked="t" coordsize="21600,21600" o:gfxdata="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Iqcb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shape>
                <v:shape id="AutoShape 3045" o:spid="_x0000_s1026" o:spt="32" type="#_x0000_t32" style="position:absolute;left:5043;top:10735;height:239;width:3;" filled="f" stroked="t" coordsize="21600,21600" o:gfxdata="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3gBWL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AutoShape 3046" o:spid="_x0000_s1026" o:spt="32" type="#_x0000_t32" style="position:absolute;left:3192;top:10745;height:239;width:1;" filled="f" stroked="t" coordsize="21600,21600" o:gfxdata="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DSkw7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47" o:spid="_x0000_s1026" o:spt="32" type="#_x0000_t32" style="position:absolute;left:9306;top:13071;height:400;width:8;" filled="f" stroked="t" coordsize="21600,21600" o:gfxdata="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WXRL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roundrect id="AutoShape 3049" o:spid="_x0000_s1026" o:spt="2" style="position:absolute;left:2859;top:10967;height:2124;width:661;" fillcolor="#B9CDE5" filled="t" stroked="t" coordsize="21600,21600" arcsize="0.166666666666667" o:gfxdata="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idJi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6690D445">
                        <w:pPr>
                          <w:pStyle w:val="105"/>
                          <w:numPr>
                            <w:ilvl w:val="0"/>
                            <w:numId w:val="0"/>
                          </w:numPr>
                          <w:ind w:leftChars="0"/>
                          <w:jc w:val="left"/>
                          <w:rPr>
                            <w:rFonts w:ascii="等线" w:hAnsi="等线"/>
                          </w:rPr>
                        </w:pPr>
                        <w:r>
                          <w:rPr>
                            <w:rFonts w:hint="eastAsia"/>
                          </w:rPr>
                          <w:t>安全环保部</w:t>
                        </w:r>
                        <w:r>
                          <w:rPr>
                            <w:rFonts w:hint="eastAsia"/>
                            <w:lang w:val="en-US" w:eastAsia="zh-CN"/>
                          </w:rPr>
                          <w:t xml:space="preserve">   </w:t>
                        </w:r>
                        <w:r>
                          <w:rPr>
                            <w:rFonts w:hint="eastAsia"/>
                            <w:highlight w:val="none"/>
                            <w:lang w:val="en-US" w:eastAsia="zh-CN"/>
                          </w:rPr>
                          <w:t>孙阿伟</w:t>
                        </w:r>
                        <w:r>
                          <w:rPr>
                            <w:rFonts w:hint="eastAsia"/>
                            <w:lang w:val="en-US" w:eastAsia="zh-CN"/>
                          </w:rPr>
                          <w:t xml:space="preserve">  </w:t>
                        </w:r>
                      </w:p>
                    </w:txbxContent>
                  </v:textbox>
                </v:roundrect>
                <v:roundrect id="AutoShape 3050" o:spid="_x0000_s1026" o:spt="2" style="position:absolute;left:7802;top:10931;height:2125;width:660;" fillcolor="#B9CDE5" filled="t" stroked="t" coordsize="21600,21600" arcsize="0.166666666666667" o:gfxdata="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w6u+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59D60804">
                        <w:pPr>
                          <w:pStyle w:val="105"/>
                          <w:numPr>
                            <w:ilvl w:val="0"/>
                            <w:numId w:val="0"/>
                          </w:numPr>
                          <w:ind w:leftChars="0"/>
                          <w:jc w:val="left"/>
                          <w:rPr>
                            <w:rFonts w:hint="default" w:ascii="等线" w:hAnsi="等线" w:eastAsia="宋体"/>
                            <w:lang w:val="en-US" w:eastAsia="zh-CN"/>
                          </w:rPr>
                        </w:pPr>
                        <w:r>
                          <w:rPr>
                            <w:rFonts w:hint="eastAsia" w:ascii="等线" w:hAnsi="等线"/>
                          </w:rPr>
                          <w:t>试验室</w:t>
                        </w:r>
                        <w:r>
                          <w:rPr>
                            <w:rFonts w:hint="eastAsia" w:ascii="等线" w:hAnsi="等线"/>
                            <w:lang w:val="en-US" w:eastAsia="zh-CN"/>
                          </w:rPr>
                          <w:t xml:space="preserve">       王帅军     </w:t>
                        </w:r>
                      </w:p>
                    </w:txbxContent>
                  </v:textbox>
                </v:roundrect>
                <v:roundrect id="AutoShape 3051" o:spid="_x0000_s1026" o:spt="2" style="position:absolute;left:3904;top:10974;height:2126;width:662;" fillcolor="#B9CDE5" filled="t" stroked="t" coordsize="21600,21600" arcsize="0.166666666666667" o:gfxdata="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8T3S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4250B9C2">
                        <w:pPr>
                          <w:pStyle w:val="105"/>
                          <w:bidi w:val="0"/>
                          <w:jc w:val="both"/>
                        </w:pPr>
                        <w:r>
                          <w:rPr>
                            <w:rFonts w:hint="eastAsia"/>
                          </w:rPr>
                          <w:t>计划合同部</w:t>
                        </w:r>
                        <w:r>
                          <w:rPr>
                            <w:rFonts w:hint="eastAsia"/>
                            <w:lang w:val="en-US" w:eastAsia="zh-CN"/>
                          </w:rPr>
                          <w:t xml:space="preserve">   阙胜永 </w:t>
                        </w:r>
                      </w:p>
                    </w:txbxContent>
                  </v:textbox>
                </v:roundrect>
                <v:roundrect id="AutoShape 3052" o:spid="_x0000_s1026" o:spt="2" style="position:absolute;left:4866;top:10967;height:2123;width:662;" fillcolor="#B9CDE5" filled="t" stroked="t" coordsize="21600,21600" arcsize="0.166666666666667" o:gfxdata="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V1wC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0DD26D00">
                        <w:pPr>
                          <w:pStyle w:val="105"/>
                          <w:numPr>
                            <w:ilvl w:val="0"/>
                            <w:numId w:val="0"/>
                          </w:numPr>
                          <w:ind w:leftChars="0"/>
                          <w:jc w:val="left"/>
                          <w:rPr>
                            <w:rFonts w:hint="default" w:ascii="等线" w:hAnsi="等线"/>
                            <w:lang w:val="en-US"/>
                          </w:rPr>
                        </w:pPr>
                        <w:r>
                          <w:rPr>
                            <w:rFonts w:hint="eastAsia"/>
                          </w:rPr>
                          <w:t>物资设备部</w:t>
                        </w:r>
                        <w:r>
                          <w:rPr>
                            <w:rFonts w:hint="eastAsia"/>
                            <w:lang w:val="en-US" w:eastAsia="zh-CN"/>
                          </w:rPr>
                          <w:t xml:space="preserve">  </w:t>
                        </w:r>
                        <w:r>
                          <w:rPr>
                            <w:rFonts w:hint="eastAsia"/>
                            <w:highlight w:val="none"/>
                            <w:lang w:val="en-US" w:eastAsia="zh-CN"/>
                          </w:rPr>
                          <w:t>李劲康</w:t>
                        </w:r>
                      </w:p>
                    </w:txbxContent>
                  </v:textbox>
                </v:roundrect>
                <v:roundrect id="AutoShape 3053" o:spid="_x0000_s1026" o:spt="2" style="position:absolute;left:5848;top:10931;height:2126;width:663;" fillcolor="#B9CDE5" filled="t" stroked="t" coordsize="21600,21600" arcsize="0.166666666666667" o:gfxdata="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Zcpu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69F9F6D7">
                        <w:pPr>
                          <w:pStyle w:val="105"/>
                          <w:numPr>
                            <w:ilvl w:val="0"/>
                            <w:numId w:val="0"/>
                          </w:numPr>
                          <w:ind w:leftChars="0"/>
                          <w:jc w:val="left"/>
                          <w:rPr>
                            <w:rFonts w:ascii="等线" w:hAnsi="等线"/>
                          </w:rPr>
                        </w:pPr>
                        <w:r>
                          <w:rPr>
                            <w:rFonts w:hint="eastAsia"/>
                          </w:rPr>
                          <w:t>质检部</w:t>
                        </w:r>
                        <w:r>
                          <w:rPr>
                            <w:rFonts w:hint="eastAsia"/>
                            <w:lang w:val="en-US" w:eastAsia="zh-CN"/>
                          </w:rPr>
                          <w:t xml:space="preserve">      </w:t>
                        </w:r>
                        <w:r>
                          <w:rPr>
                            <w:rFonts w:hint="eastAsia"/>
                            <w:highlight w:val="none"/>
                            <w:lang w:val="en-US" w:eastAsia="zh-CN"/>
                          </w:rPr>
                          <w:t xml:space="preserve"> 赵守宝 </w:t>
                        </w:r>
                      </w:p>
                    </w:txbxContent>
                  </v:textbox>
                </v:roundrect>
                <v:roundrect id="AutoShape 3054" o:spid="_x0000_s1026" o:spt="2" style="position:absolute;left:6853;top:10930;height:2125;width:661;" fillcolor="#B9CDE5" filled="t" stroked="t" coordsize="21600,21600" arcsize="0.166666666666667" o:gfxdata="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L7Oy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70E62326">
                        <w:pPr>
                          <w:pStyle w:val="105"/>
                          <w:numPr>
                            <w:ilvl w:val="0"/>
                            <w:numId w:val="0"/>
                          </w:numPr>
                          <w:ind w:leftChars="0"/>
                          <w:jc w:val="left"/>
                          <w:rPr>
                            <w:rFonts w:ascii="等线" w:hAnsi="等线"/>
                          </w:rPr>
                        </w:pPr>
                        <w:r>
                          <w:rPr>
                            <w:rFonts w:hint="eastAsia"/>
                          </w:rPr>
                          <w:t>财务部</w:t>
                        </w:r>
                        <w:r>
                          <w:rPr>
                            <w:rFonts w:hint="eastAsia"/>
                            <w:lang w:val="en-US" w:eastAsia="zh-CN"/>
                          </w:rPr>
                          <w:t xml:space="preserve">       张森     </w:t>
                        </w:r>
                      </w:p>
                    </w:txbxContent>
                  </v:textbox>
                </v:roundrect>
                <v:roundrect id="AutoShape 3055" o:spid="_x0000_s1026" o:spt="2" style="position:absolute;left:8830;top:10945;height:2125;width:952;" fillcolor="#B9CDE5" filled="t" stroked="t" coordsize="21600,21600" arcsize="0.166666666666667" o:gfxdata="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HSXe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25946192">
                        <w:pPr>
                          <w:pStyle w:val="105"/>
                          <w:numPr>
                            <w:ilvl w:val="0"/>
                            <w:numId w:val="0"/>
                          </w:numPr>
                          <w:ind w:leftChars="0"/>
                          <w:jc w:val="left"/>
                          <w:rPr>
                            <w:rFonts w:hint="default" w:ascii="等线" w:hAnsi="等线" w:eastAsia="宋体"/>
                            <w:lang w:val="en-US" w:eastAsia="zh-CN"/>
                          </w:rPr>
                        </w:pPr>
                        <w:r>
                          <w:rPr>
                            <w:rFonts w:hint="eastAsia" w:ascii="等线" w:hAnsi="等线"/>
                          </w:rPr>
                          <w:t>综合办公室</w:t>
                        </w:r>
                        <w:r>
                          <w:rPr>
                            <w:rFonts w:hint="eastAsia" w:ascii="等线" w:hAnsi="等线"/>
                            <w:lang w:val="en-US" w:eastAsia="zh-CN"/>
                          </w:rPr>
                          <w:t xml:space="preserve">   </w:t>
                        </w:r>
                        <w:r>
                          <w:rPr>
                            <w:rFonts w:hint="eastAsia" w:ascii="等线" w:hAnsi="等线"/>
                            <w:highlight w:val="none"/>
                            <w:lang w:val="en-US" w:eastAsia="zh-CN"/>
                          </w:rPr>
                          <w:t>袁训兵</w:t>
                        </w:r>
                      </w:p>
                    </w:txbxContent>
                  </v:textbox>
                </v:roundrect>
                <v:shape id="AutoShape 3056" o:spid="_x0000_s1026" o:spt="32" type="#_x0000_t32" style="position:absolute;left:9307;top:10945;height:1145;width:12;" filled="f" stroked="t" coordsize="21600,21600" o:gfxdata="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kGb4A&#10;AADd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shape>
                <v:shape id="AutoShape 3060" o:spid="_x0000_s1026" o:spt="32" type="#_x0000_t32" style="position:absolute;left:2160;top:13256;height:1;width:7151;" filled="f" stroked="t" coordsize="21600,21600" o:gfxdata="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LqBgr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shape>
                <v:shape id="AutoShape 3061" o:spid="_x0000_s1026" o:spt="32" type="#_x0000_t32" style="position:absolute;left:3173;top:13071;height:212;width:5;" filled="f" stroked="t" coordsize="21600,21600" o:gfxdata="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wBmb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AutoShape 3062" o:spid="_x0000_s1026" o:spt="32" type="#_x0000_t32" style="position:absolute;left:8433;top:13256;height:213;width:5;" filled="f" stroked="t" coordsize="21600,21600" o:gfxdata="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cKQCugAAAN0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shape>
                <v:shape id="AutoShape 3063" o:spid="_x0000_s1026" o:spt="32" type="#_x0000_t32" style="position:absolute;left:7269;top:13257;height:213;width:6;" filled="f" stroked="t" coordsize="21600,21600" o:gfxdata="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iOnW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AutoShape 3064" o:spid="_x0000_s1026" o:spt="32" type="#_x0000_t32" style="position:absolute;left:4888;top:13273;height:212;width:6;" filled="f" stroked="t" coordsize="21600,21600" o:gfxdata="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6f7r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65" o:spid="_x0000_s1026" o:spt="32" type="#_x0000_t32" style="position:absolute;left:3617;top:13256;height:213;width:6;" filled="f" stroked="t" coordsize="21600,21600" o:gfxdata="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QcHmr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66" o:spid="_x0000_s1026" o:spt="32" type="#_x0000_t32" style="position:absolute;left:6105;top:13257;height:213;width:5;" filled="f" stroked="t" coordsize="21600,21600" o:gfxdata="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kuiAb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67" o:spid="_x0000_s1026" o:spt="32" type="#_x0000_t32" style="position:absolute;left:2137;top:13072;height:397;width:1;" filled="f" stroked="t" coordsize="21600,21600" o:gfxdata="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6ZPHa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AutoShape 3068" o:spid="_x0000_s1026" o:spt="32" type="#_x0000_t32" style="position:absolute;left:5250;top:13100;height:212;width:6;" filled="f" stroked="t" coordsize="21600,21600" o:gfxdata="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dWZ7b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69" o:spid="_x0000_s1026" o:spt="32" type="#_x0000_t32" style="position:absolute;left:4244;top:13057;height:212;width:4;" filled="f" stroked="t" coordsize="21600,21600" o:gfxdata="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oNn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AutoShape 3070" o:spid="_x0000_s1026" o:spt="32" type="#_x0000_t32" style="position:absolute;left:6165;top:13056;height:212;width:5;" filled="f" stroked="t" coordsize="21600,21600" o:gfxdata="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waoBL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AutoShape 3071" o:spid="_x0000_s1026" o:spt="32" type="#_x0000_t32" style="position:absolute;left:7167;top:13042;height:214;width:6;" filled="f" stroked="t" coordsize="21600,21600" o:gfxdata="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FDLJL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AutoShape 3072" o:spid="_x0000_s1026" o:spt="32" type="#_x0000_t32" style="position:absolute;left:8108;top:13044;height:212;width:6;" filled="f" stroked="t" coordsize="21600,21600" o:gfxdata="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cbr+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roundrect id="AutoShape 3074" o:spid="_x0000_s1026" o:spt="2" style="position:absolute;left:3208;top:13443;height:2128;width:662;" fillcolor="#B9CDE5" filled="t" stroked="t" coordsize="21600,21600" arcsize="0" o:gfxdata="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Fto+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3A6EC65B">
                        <w:pPr>
                          <w:pStyle w:val="105"/>
                          <w:numPr>
                            <w:ilvl w:val="0"/>
                            <w:numId w:val="0"/>
                          </w:numPr>
                          <w:ind w:leftChars="0"/>
                          <w:jc w:val="center"/>
                          <w:rPr>
                            <w:rFonts w:ascii="等线" w:hAnsi="等线"/>
                          </w:rPr>
                        </w:pPr>
                        <w:r>
                          <w:rPr>
                            <w:rFonts w:hint="eastAsia" w:ascii="等线" w:hAnsi="等线"/>
                          </w:rPr>
                          <w:t>路基</w:t>
                        </w:r>
                        <w:r>
                          <w:rPr>
                            <w:rFonts w:hint="eastAsia" w:ascii="等线" w:hAnsi="等线"/>
                            <w:lang w:val="en-US" w:eastAsia="zh-CN"/>
                          </w:rPr>
                          <w:t>工程第二</w:t>
                        </w:r>
                        <w:r>
                          <w:rPr>
                            <w:rFonts w:hint="eastAsia" w:ascii="等线" w:hAnsi="等线"/>
                          </w:rPr>
                          <w:t>作业队</w:t>
                        </w:r>
                      </w:p>
                      <w:p w14:paraId="4DD7D1E4">
                        <w:pPr>
                          <w:rPr>
                            <w:rFonts w:hint="default"/>
                            <w:lang w:val="en-US"/>
                          </w:rPr>
                        </w:pPr>
                      </w:p>
                    </w:txbxContent>
                  </v:textbox>
                </v:roundrect>
                <v:roundrect id="AutoShape 3077" o:spid="_x0000_s1026" o:spt="2" style="position:absolute;left:6894;top:13443;height:2128;width:661;" fillcolor="#B9CDE5" filled="t" stroked="t" coordsize="21600,21600" arcsize="0" o:gfxdata="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JExS8AAAA&#10;3Q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style="layout-flow:vertical-ideographic;">
                    <w:txbxContent>
                      <w:p w14:paraId="71F15E78">
                        <w:pPr>
                          <w:pStyle w:val="105"/>
                          <w:numPr>
                            <w:ilvl w:val="0"/>
                            <w:numId w:val="0"/>
                          </w:numPr>
                          <w:ind w:leftChars="0"/>
                          <w:jc w:val="center"/>
                          <w:rPr>
                            <w:rFonts w:hint="eastAsia" w:ascii="等线" w:hAnsi="等线"/>
                          </w:rPr>
                        </w:pPr>
                        <w:r>
                          <w:rPr>
                            <w:rFonts w:hint="eastAsia" w:ascii="等线" w:hAnsi="等线"/>
                          </w:rPr>
                          <w:t>桥涵第</w:t>
                        </w:r>
                        <w:r>
                          <w:rPr>
                            <w:rFonts w:hint="eastAsia" w:ascii="等线" w:hAnsi="等线"/>
                            <w:lang w:val="en-US" w:eastAsia="zh-CN"/>
                          </w:rPr>
                          <w:t>三</w:t>
                        </w:r>
                        <w:r>
                          <w:rPr>
                            <w:rFonts w:hint="eastAsia" w:ascii="等线" w:hAnsi="等线"/>
                          </w:rPr>
                          <w:t>作业队</w:t>
                        </w:r>
                      </w:p>
                    </w:txbxContent>
                  </v:textbox>
                </v:roundrect>
                <w10:wrap type="topAndBottom"/>
              </v:group>
            </w:pict>
          </mc:Fallback>
        </mc:AlternateContent>
      </w:r>
    </w:p>
    <w:p w14:paraId="00D39EFE">
      <w:pPr>
        <w:ind w:left="0" w:leftChars="0" w:firstLine="0" w:firstLineChars="0"/>
        <w:jc w:val="center"/>
        <w:rPr>
          <w:rFonts w:hint="eastAsia" w:ascii="宋体" w:hAnsi="宋体" w:eastAsia="宋体" w:cs="宋体"/>
          <w:highlight w:val="none"/>
          <w:u w:val="double"/>
        </w:rPr>
      </w:pPr>
      <w:r>
        <w:rPr>
          <w:rFonts w:hint="eastAsia" w:ascii="宋体" w:hAnsi="宋体" w:eastAsia="宋体" w:cs="宋体"/>
          <w:highlight w:val="none"/>
          <w:u w:val="double"/>
        </w:rPr>
        <w:t>组织机构图</w:t>
      </w:r>
    </w:p>
    <w:p w14:paraId="5E8D05A8">
      <w:pPr>
        <w:ind w:firstLine="480"/>
        <w:rPr>
          <w:rFonts w:hint="eastAsia" w:ascii="宋体" w:hAnsi="宋体" w:eastAsia="宋体" w:cs="宋体"/>
          <w:highlight w:val="none"/>
        </w:rPr>
      </w:pPr>
      <w:r>
        <w:rPr>
          <w:rFonts w:hint="eastAsia" w:ascii="宋体" w:hAnsi="宋体" w:eastAsia="宋体" w:cs="宋体"/>
          <w:highlight w:val="none"/>
        </w:rPr>
        <w:t>项目经理部全面管理、资源配置、组织协调整个施工生产阶段，并制定项目经理部内部的管理制度、分配制度，以确保施工期间的施工安全、工程质量、进度计划达到相关要求，并努力做好环境保护、文明施工等现场工作。</w:t>
      </w:r>
    </w:p>
    <w:p w14:paraId="7DA73E37">
      <w:pPr>
        <w:ind w:firstLine="480"/>
        <w:rPr>
          <w:rFonts w:hint="eastAsia" w:ascii="宋体" w:hAnsi="宋体" w:eastAsia="宋体" w:cs="宋体"/>
          <w:highlight w:val="none"/>
        </w:rPr>
      </w:pPr>
      <w:r>
        <w:rPr>
          <w:rFonts w:hint="eastAsia" w:ascii="宋体" w:hAnsi="宋体" w:eastAsia="宋体" w:cs="宋体"/>
          <w:highlight w:val="none"/>
        </w:rPr>
        <w:t>各相关人员和部室职责：</w:t>
      </w:r>
    </w:p>
    <w:p w14:paraId="3FFD1A0F">
      <w:pPr>
        <w:ind w:firstLine="482"/>
        <w:rPr>
          <w:rFonts w:hint="eastAsia" w:ascii="宋体" w:hAnsi="宋体" w:eastAsia="宋体" w:cs="宋体"/>
          <w:b/>
          <w:bCs/>
          <w:szCs w:val="24"/>
          <w:highlight w:val="none"/>
        </w:rPr>
      </w:pPr>
      <w:bookmarkStart w:id="481" w:name="_Toc108825157"/>
      <w:bookmarkStart w:id="482" w:name="_Toc172040668"/>
      <w:bookmarkStart w:id="483" w:name="_Toc172160830"/>
      <w:bookmarkStart w:id="484" w:name="_Toc130796158"/>
      <w:bookmarkStart w:id="485" w:name="_Toc108825464"/>
      <w:bookmarkStart w:id="486" w:name="_Toc130867074"/>
      <w:bookmarkStart w:id="487" w:name="_Toc108829883"/>
      <w:bookmarkStart w:id="488" w:name="_Toc130866689"/>
      <w:bookmarkStart w:id="489" w:name="_Toc130867301"/>
      <w:bookmarkStart w:id="490" w:name="_Toc108829601"/>
      <w:bookmarkStart w:id="491" w:name="_Toc131590940"/>
      <w:bookmarkStart w:id="492" w:name="_Toc179682885"/>
      <w:bookmarkStart w:id="493" w:name="_Toc172216570"/>
      <w:bookmarkStart w:id="494" w:name="_Toc107367902"/>
      <w:bookmarkStart w:id="495" w:name="_Toc108829695"/>
      <w:bookmarkStart w:id="496" w:name="_Toc108829789"/>
      <w:bookmarkStart w:id="497" w:name="_Toc130868139"/>
      <w:bookmarkStart w:id="498" w:name="_Toc171308994"/>
      <w:bookmarkStart w:id="499" w:name="_Toc131131200"/>
      <w:bookmarkStart w:id="500" w:name="_Toc171648424"/>
      <w:bookmarkStart w:id="501" w:name="_Toc166439888"/>
      <w:bookmarkStart w:id="502" w:name="_Toc107302129"/>
      <w:bookmarkStart w:id="503" w:name="_Toc130797827"/>
      <w:r>
        <w:rPr>
          <w:rFonts w:hint="eastAsia" w:ascii="宋体" w:hAnsi="宋体" w:eastAsia="宋体" w:cs="宋体"/>
          <w:b/>
          <w:bCs/>
          <w:highlight w:val="none"/>
        </w:rPr>
        <w:t>1、项目经理岗位职责</w:t>
      </w:r>
    </w:p>
    <w:p w14:paraId="70DF3E6D">
      <w:pPr>
        <w:ind w:firstLine="480"/>
        <w:rPr>
          <w:rFonts w:hint="eastAsia" w:ascii="宋体" w:hAnsi="宋体" w:eastAsia="宋体" w:cs="宋体"/>
          <w:highlight w:val="none"/>
        </w:rPr>
      </w:pPr>
      <w:r>
        <w:rPr>
          <w:rFonts w:hint="eastAsia" w:ascii="宋体" w:hAnsi="宋体" w:eastAsia="宋体" w:cs="宋体"/>
          <w:highlight w:val="none"/>
        </w:rPr>
        <w:t>1）认真贯彻执行国家、行业的规范、规程、标准及承包人制定的各项规章制度，切实履行各项合同，确保完成工程建设目标；</w:t>
      </w:r>
    </w:p>
    <w:p w14:paraId="2C72B10D">
      <w:pPr>
        <w:ind w:firstLine="480"/>
        <w:rPr>
          <w:rFonts w:hint="eastAsia" w:ascii="宋体" w:hAnsi="宋体" w:eastAsia="宋体" w:cs="宋体"/>
          <w:highlight w:val="none"/>
        </w:rPr>
      </w:pPr>
      <w:r>
        <w:rPr>
          <w:rFonts w:hint="eastAsia" w:ascii="宋体" w:hAnsi="宋体" w:eastAsia="宋体" w:cs="宋体"/>
          <w:highlight w:val="none"/>
        </w:rPr>
        <w:t>2）负责组建精干、高效的项目管理班子，并确定项目经理部各类管理人员的职责权限和组织制定各项规章制度；</w:t>
      </w:r>
    </w:p>
    <w:p w14:paraId="7147435B">
      <w:pPr>
        <w:ind w:firstLine="480"/>
        <w:rPr>
          <w:rFonts w:hint="eastAsia" w:ascii="宋体" w:hAnsi="宋体" w:eastAsia="宋体" w:cs="宋体"/>
          <w:highlight w:val="none"/>
        </w:rPr>
      </w:pPr>
      <w:r>
        <w:rPr>
          <w:rFonts w:hint="eastAsia" w:ascii="宋体" w:hAnsi="宋体" w:eastAsia="宋体" w:cs="宋体"/>
          <w:highlight w:val="none"/>
        </w:rPr>
        <w:t>3）全面负责项目部范围内施工项目的工期、进度、质量、安全、环境、成本；</w:t>
      </w:r>
    </w:p>
    <w:p w14:paraId="0041C54E">
      <w:pPr>
        <w:ind w:firstLine="480"/>
        <w:rPr>
          <w:rFonts w:hint="eastAsia" w:ascii="宋体" w:hAnsi="宋体" w:eastAsia="宋体" w:cs="宋体"/>
          <w:highlight w:val="none"/>
        </w:rPr>
      </w:pPr>
      <w:r>
        <w:rPr>
          <w:rFonts w:hint="eastAsia" w:ascii="宋体" w:hAnsi="宋体" w:eastAsia="宋体" w:cs="宋体"/>
          <w:highlight w:val="none"/>
        </w:rPr>
        <w:t>4）负责协调与业主、监理、设计、地方政府的关系，及时解决施工中的问题；</w:t>
      </w:r>
    </w:p>
    <w:p w14:paraId="7A5EE582">
      <w:pPr>
        <w:ind w:firstLine="480"/>
        <w:rPr>
          <w:rFonts w:hint="eastAsia" w:ascii="宋体" w:hAnsi="宋体" w:eastAsia="宋体" w:cs="宋体"/>
          <w:highlight w:val="none"/>
        </w:rPr>
      </w:pPr>
      <w:r>
        <w:rPr>
          <w:rFonts w:hint="eastAsia" w:ascii="宋体" w:hAnsi="宋体" w:eastAsia="宋体" w:cs="宋体"/>
          <w:highlight w:val="none"/>
        </w:rPr>
        <w:t>5）负责组织实施质量计划和施工组织设计，施工进度网络计划和施工方案；</w:t>
      </w:r>
    </w:p>
    <w:p w14:paraId="64EAB733">
      <w:pPr>
        <w:ind w:firstLine="480"/>
        <w:rPr>
          <w:rFonts w:hint="eastAsia" w:ascii="宋体" w:hAnsi="宋体" w:eastAsia="宋体" w:cs="宋体"/>
          <w:highlight w:val="none"/>
        </w:rPr>
      </w:pPr>
      <w:r>
        <w:rPr>
          <w:rFonts w:hint="eastAsia" w:ascii="宋体" w:hAnsi="宋体" w:eastAsia="宋体" w:cs="宋体"/>
          <w:highlight w:val="none"/>
        </w:rPr>
        <w:t>6）科学管理项目部的人、财、物等资源，并组织好三者的调配与供应，负责与有关部门签订供需及租赁合同，并严格执行；</w:t>
      </w:r>
    </w:p>
    <w:p w14:paraId="5E5A3338">
      <w:pPr>
        <w:ind w:firstLine="480"/>
        <w:rPr>
          <w:rFonts w:hint="eastAsia" w:ascii="宋体" w:hAnsi="宋体" w:eastAsia="宋体" w:cs="宋体"/>
          <w:highlight w:val="none"/>
        </w:rPr>
      </w:pPr>
      <w:r>
        <w:rPr>
          <w:rFonts w:hint="eastAsia" w:ascii="宋体" w:hAnsi="宋体" w:eastAsia="宋体" w:cs="宋体"/>
          <w:highlight w:val="none"/>
        </w:rPr>
        <w:t>7）组织制定本项目部的质量、环境、职业健康安全控制方案和措施并确保创建文明工地、安全生产等目标的实现；</w:t>
      </w:r>
    </w:p>
    <w:p w14:paraId="3C925BCF">
      <w:pPr>
        <w:ind w:firstLine="480"/>
        <w:rPr>
          <w:rFonts w:hint="eastAsia" w:ascii="宋体" w:hAnsi="宋体" w:eastAsia="宋体" w:cs="宋体"/>
          <w:highlight w:val="none"/>
        </w:rPr>
      </w:pPr>
      <w:r>
        <w:rPr>
          <w:rFonts w:hint="eastAsia" w:ascii="宋体" w:hAnsi="宋体" w:eastAsia="宋体" w:cs="宋体"/>
          <w:highlight w:val="none"/>
        </w:rPr>
        <w:t>8）负责项目部所承建项目的完工验收、质量评定、交工、工程决算和财务结算，做好各项资料和工程技术档案的归档工作，接受公司或其他部门的审计；</w:t>
      </w:r>
    </w:p>
    <w:p w14:paraId="1F798043">
      <w:pPr>
        <w:ind w:firstLine="480"/>
        <w:rPr>
          <w:rFonts w:hint="eastAsia" w:ascii="宋体" w:hAnsi="宋体" w:eastAsia="宋体" w:cs="宋体"/>
          <w:highlight w:val="none"/>
        </w:rPr>
      </w:pPr>
      <w:r>
        <w:rPr>
          <w:rFonts w:hint="eastAsia" w:ascii="宋体" w:hAnsi="宋体" w:eastAsia="宋体" w:cs="宋体"/>
          <w:highlight w:val="none"/>
        </w:rPr>
        <w:t>9）负责工程完工后的一切善后处理及工程回访和质量保修工作。</w:t>
      </w:r>
    </w:p>
    <w:p w14:paraId="7B22891A">
      <w:pPr>
        <w:ind w:firstLine="482"/>
        <w:rPr>
          <w:rFonts w:hint="eastAsia" w:ascii="宋体" w:hAnsi="宋体" w:eastAsia="宋体" w:cs="宋体"/>
          <w:b/>
          <w:bCs/>
        </w:rPr>
      </w:pPr>
      <w:r>
        <w:rPr>
          <w:rFonts w:hint="eastAsia" w:ascii="宋体" w:hAnsi="宋体" w:eastAsia="宋体" w:cs="宋体"/>
          <w:b/>
          <w:bCs/>
        </w:rPr>
        <w:t>2、项目书记岗位职责</w:t>
      </w:r>
    </w:p>
    <w:p w14:paraId="2082F8A5">
      <w:pPr>
        <w:ind w:firstLine="480"/>
        <w:rPr>
          <w:rFonts w:hint="eastAsia" w:ascii="宋体" w:hAnsi="宋体" w:eastAsia="宋体" w:cs="宋体"/>
        </w:rPr>
      </w:pPr>
      <w:r>
        <w:rPr>
          <w:rFonts w:hint="eastAsia" w:ascii="宋体" w:hAnsi="宋体" w:eastAsia="宋体" w:cs="宋体"/>
        </w:rPr>
        <w:t>1）主持本项目党总支部的日常工作。</w:t>
      </w:r>
    </w:p>
    <w:p w14:paraId="6EA8AF3A">
      <w:pPr>
        <w:ind w:firstLine="480"/>
        <w:rPr>
          <w:rFonts w:hint="eastAsia" w:ascii="宋体" w:hAnsi="宋体" w:eastAsia="宋体" w:cs="宋体"/>
        </w:rPr>
      </w:pPr>
      <w:r>
        <w:rPr>
          <w:rFonts w:hint="eastAsia" w:ascii="宋体" w:hAnsi="宋体" w:eastAsia="宋体" w:cs="宋体"/>
        </w:rPr>
        <w:t>2）结合具体情况，认真执行党的路线、方针、政策和上级党组织的决议、指示</w:t>
      </w:r>
    </w:p>
    <w:p w14:paraId="391760D3">
      <w:pPr>
        <w:ind w:firstLine="480"/>
        <w:rPr>
          <w:rFonts w:hint="eastAsia" w:ascii="宋体" w:hAnsi="宋体" w:eastAsia="宋体" w:cs="宋体"/>
        </w:rPr>
      </w:pPr>
      <w:r>
        <w:rPr>
          <w:rFonts w:hint="eastAsia" w:ascii="宋体" w:hAnsi="宋体" w:eastAsia="宋体" w:cs="宋体"/>
        </w:rPr>
        <w:t>3）了解掌握党员与群众的思想、工作、学习、生活情况，发现问题并及时解决，做经常性的思想政治工作；</w:t>
      </w:r>
    </w:p>
    <w:p w14:paraId="59D0988B">
      <w:pPr>
        <w:ind w:firstLine="480"/>
        <w:rPr>
          <w:rFonts w:hint="eastAsia" w:ascii="宋体" w:hAnsi="宋体" w:eastAsia="宋体" w:cs="宋体"/>
        </w:rPr>
      </w:pPr>
      <w:r>
        <w:rPr>
          <w:rFonts w:hint="eastAsia" w:ascii="宋体" w:hAnsi="宋体" w:eastAsia="宋体" w:cs="宋体"/>
        </w:rPr>
        <w:t>4）负责抓好支部委员会的自身建设，按时组织支部委员学习，按期主持召开支委民主生活会，督促落实党风廉政责任制，充分发挥总支部委员会的集体领导作用。</w:t>
      </w:r>
    </w:p>
    <w:p w14:paraId="376271D2">
      <w:pPr>
        <w:ind w:firstLine="480"/>
        <w:rPr>
          <w:rFonts w:hint="eastAsia" w:ascii="宋体" w:hAnsi="宋体" w:eastAsia="宋体" w:cs="宋体"/>
        </w:rPr>
      </w:pPr>
      <w:r>
        <w:rPr>
          <w:rFonts w:hint="eastAsia" w:ascii="宋体" w:hAnsi="宋体" w:eastAsia="宋体" w:cs="宋体"/>
        </w:rPr>
        <w:t>5）经常与总支部委员会和同级行政负责人保持联系，交流情况，协调本单位党政工团的关系，充分调动各方面的积极性，共同做好工作。</w:t>
      </w:r>
    </w:p>
    <w:p w14:paraId="60B6AEC8">
      <w:pPr>
        <w:ind w:firstLine="480"/>
        <w:rPr>
          <w:rFonts w:hint="eastAsia" w:ascii="宋体" w:hAnsi="宋体" w:eastAsia="宋体" w:cs="宋体"/>
        </w:rPr>
      </w:pPr>
      <w:r>
        <w:rPr>
          <w:rFonts w:hint="eastAsia" w:ascii="宋体" w:hAnsi="宋体" w:eastAsia="宋体" w:cs="宋体"/>
        </w:rPr>
        <w:t>6）团结和带领广大党员围绕施工生产开展争当先锋、劳动竞赛等活动，为安全、优质、高效地完成本项目施工任务提供可靠保障。</w:t>
      </w:r>
    </w:p>
    <w:p w14:paraId="1FD623D0">
      <w:pPr>
        <w:ind w:firstLine="480"/>
        <w:rPr>
          <w:rFonts w:hint="eastAsia" w:ascii="宋体" w:hAnsi="宋体" w:eastAsia="宋体" w:cs="宋体"/>
        </w:rPr>
      </w:pPr>
      <w:r>
        <w:rPr>
          <w:rFonts w:hint="eastAsia" w:ascii="宋体" w:hAnsi="宋体" w:eastAsia="宋体" w:cs="宋体"/>
        </w:rPr>
        <w:t>7）负责项目的文明建设工作。</w:t>
      </w:r>
    </w:p>
    <w:p w14:paraId="0744374F">
      <w:pPr>
        <w:ind w:firstLine="480"/>
        <w:rPr>
          <w:rFonts w:hint="eastAsia" w:ascii="宋体" w:hAnsi="宋体" w:eastAsia="宋体" w:cs="宋体"/>
        </w:rPr>
      </w:pPr>
      <w:r>
        <w:rPr>
          <w:rFonts w:hint="eastAsia" w:ascii="宋体" w:hAnsi="宋体" w:eastAsia="宋体" w:cs="宋体"/>
        </w:rPr>
        <w:t>8）完成上级党组织交办的其他工作。</w:t>
      </w:r>
    </w:p>
    <w:p w14:paraId="2C4FFBFA">
      <w:pPr>
        <w:ind w:firstLine="482"/>
        <w:rPr>
          <w:rFonts w:hint="eastAsia" w:ascii="宋体" w:hAnsi="宋体" w:eastAsia="宋体" w:cs="宋体"/>
          <w:b/>
          <w:bCs/>
        </w:rPr>
      </w:pPr>
      <w:r>
        <w:rPr>
          <w:rFonts w:hint="eastAsia" w:ascii="宋体" w:hAnsi="宋体" w:eastAsia="宋体" w:cs="宋体"/>
          <w:b/>
          <w:bCs/>
        </w:rPr>
        <w:t>3、项目总工岗位职责</w:t>
      </w:r>
    </w:p>
    <w:p w14:paraId="51EE3BDD">
      <w:pPr>
        <w:ind w:firstLine="480"/>
        <w:rPr>
          <w:rFonts w:hint="eastAsia" w:ascii="宋体" w:hAnsi="宋体" w:eastAsia="宋体" w:cs="宋体"/>
        </w:rPr>
      </w:pPr>
      <w:r>
        <w:rPr>
          <w:rFonts w:hint="eastAsia" w:ascii="宋体" w:hAnsi="宋体" w:eastAsia="宋体" w:cs="宋体"/>
        </w:rPr>
        <w:t>1）组织实施国家和上级指定的各项技术标准、规定、规范和技术质量管理制度；</w:t>
      </w:r>
    </w:p>
    <w:p w14:paraId="5F657A84">
      <w:pPr>
        <w:ind w:firstLine="480"/>
        <w:rPr>
          <w:rFonts w:hint="eastAsia" w:ascii="宋体" w:hAnsi="宋体" w:eastAsia="宋体" w:cs="宋体"/>
        </w:rPr>
      </w:pPr>
      <w:r>
        <w:rPr>
          <w:rFonts w:hint="eastAsia" w:ascii="宋体" w:hAnsi="宋体" w:eastAsia="宋体" w:cs="宋体"/>
        </w:rPr>
        <w:t>2）负责工程总体施工进度计划及质量计划的编制，确保管理目标的实现；</w:t>
      </w:r>
    </w:p>
    <w:p w14:paraId="2CCDE4AE">
      <w:pPr>
        <w:ind w:firstLine="480"/>
        <w:rPr>
          <w:rFonts w:hint="eastAsia" w:ascii="宋体" w:hAnsi="宋体" w:eastAsia="宋体" w:cs="宋体"/>
        </w:rPr>
      </w:pPr>
      <w:r>
        <w:rPr>
          <w:rFonts w:hint="eastAsia" w:ascii="宋体" w:hAnsi="宋体" w:eastAsia="宋体" w:cs="宋体"/>
        </w:rPr>
        <w:t>3）负责组织施工方案、施工组织设计的交底及实施过程中的检查、监督工作。熟悉施工图纸及工程的质量要求、分项工程衔接和材料规格、质量要求；</w:t>
      </w:r>
    </w:p>
    <w:p w14:paraId="5E4F2A7B">
      <w:pPr>
        <w:ind w:firstLine="480"/>
        <w:rPr>
          <w:rFonts w:hint="eastAsia" w:ascii="宋体" w:hAnsi="宋体" w:eastAsia="宋体" w:cs="宋体"/>
        </w:rPr>
      </w:pPr>
      <w:r>
        <w:rPr>
          <w:rFonts w:hint="eastAsia" w:ascii="宋体" w:hAnsi="宋体" w:eastAsia="宋体" w:cs="宋体"/>
        </w:rPr>
        <w:t>4）负责组织施工图纸会审，向有关人员进行施工技术、测量、质量、安全交底，制定施工技术和安全生产措施。配合管理人员解决施工现场的难点或重点技术事项；</w:t>
      </w:r>
    </w:p>
    <w:p w14:paraId="5E425AF9">
      <w:pPr>
        <w:ind w:firstLine="480"/>
        <w:rPr>
          <w:rFonts w:hint="eastAsia" w:ascii="宋体" w:hAnsi="宋体" w:eastAsia="宋体" w:cs="宋体"/>
        </w:rPr>
      </w:pPr>
      <w:r>
        <w:rPr>
          <w:rFonts w:hint="eastAsia" w:ascii="宋体" w:hAnsi="宋体" w:eastAsia="宋体" w:cs="宋体"/>
        </w:rPr>
        <w:t>5）积极应用新技术、新材料、新工艺、新设备，确保工程质量；</w:t>
      </w:r>
    </w:p>
    <w:p w14:paraId="0CCF2DDB">
      <w:pPr>
        <w:ind w:firstLine="480"/>
        <w:rPr>
          <w:rFonts w:hint="eastAsia" w:ascii="宋体" w:hAnsi="宋体" w:eastAsia="宋体" w:cs="宋体"/>
        </w:rPr>
      </w:pPr>
      <w:r>
        <w:rPr>
          <w:rFonts w:hint="eastAsia" w:ascii="宋体" w:hAnsi="宋体" w:eastAsia="宋体" w:cs="宋体"/>
        </w:rPr>
        <w:t>6）负责组织施工项目的质量评定，并参加隐蔽工程验收和分项分部工程的质量评定与验收；</w:t>
      </w:r>
    </w:p>
    <w:p w14:paraId="341066C9">
      <w:pPr>
        <w:ind w:firstLine="480"/>
        <w:rPr>
          <w:rFonts w:hint="eastAsia" w:ascii="宋体" w:hAnsi="宋体" w:eastAsia="宋体" w:cs="宋体"/>
        </w:rPr>
      </w:pPr>
      <w:r>
        <w:rPr>
          <w:rFonts w:hint="eastAsia" w:ascii="宋体" w:hAnsi="宋体" w:eastAsia="宋体" w:cs="宋体"/>
        </w:rPr>
        <w:t>7）负责组织质量事故的处理工作，针对工程特点制定质量通病的防治措施；</w:t>
      </w:r>
    </w:p>
    <w:p w14:paraId="1E35C899">
      <w:pPr>
        <w:ind w:firstLine="480"/>
        <w:rPr>
          <w:rFonts w:hint="eastAsia" w:ascii="宋体" w:hAnsi="宋体" w:eastAsia="宋体" w:cs="宋体"/>
        </w:rPr>
      </w:pPr>
      <w:r>
        <w:rPr>
          <w:rFonts w:hint="eastAsia" w:ascii="宋体" w:hAnsi="宋体" w:eastAsia="宋体" w:cs="宋体"/>
        </w:rPr>
        <w:t>8）负责组织按编制完工资料的要求收集、整理各项资料，参与工程的结算审定工作，提供各项经济技术签证资料。</w:t>
      </w:r>
    </w:p>
    <w:p w14:paraId="557809D0">
      <w:pPr>
        <w:ind w:firstLine="482"/>
        <w:rPr>
          <w:rFonts w:hint="eastAsia" w:ascii="宋体" w:hAnsi="宋体" w:eastAsia="宋体" w:cs="宋体"/>
          <w:b/>
          <w:bCs/>
        </w:rPr>
      </w:pPr>
      <w:r>
        <w:rPr>
          <w:rFonts w:hint="eastAsia" w:ascii="宋体" w:hAnsi="宋体" w:eastAsia="宋体" w:cs="宋体"/>
          <w:b/>
          <w:bCs/>
        </w:rPr>
        <w:t>4、工程管理部职责</w:t>
      </w:r>
    </w:p>
    <w:p w14:paraId="7257F11F">
      <w:pPr>
        <w:ind w:firstLine="480"/>
        <w:rPr>
          <w:rFonts w:hint="eastAsia" w:ascii="宋体" w:hAnsi="宋体" w:eastAsia="宋体" w:cs="宋体"/>
        </w:rPr>
      </w:pPr>
      <w:r>
        <w:rPr>
          <w:rFonts w:hint="eastAsia" w:ascii="宋体" w:hAnsi="宋体" w:eastAsia="宋体" w:cs="宋体"/>
        </w:rPr>
        <w:t>1）在项目总工程师的领导下，及时做好施工图纸、技术规范和标准的复制、校对、审核工作，做到完整、正确、统一、做好技术交底；</w:t>
      </w:r>
    </w:p>
    <w:p w14:paraId="6D687BDA">
      <w:pPr>
        <w:ind w:firstLine="480"/>
        <w:rPr>
          <w:rFonts w:hint="eastAsia" w:ascii="宋体" w:hAnsi="宋体" w:eastAsia="宋体" w:cs="宋体"/>
        </w:rPr>
      </w:pPr>
      <w:r>
        <w:rPr>
          <w:rFonts w:hint="eastAsia" w:ascii="宋体" w:hAnsi="宋体" w:eastAsia="宋体" w:cs="宋体"/>
        </w:rPr>
        <w:t>2）编制实施性施工组织设计和技术组织措施，并在执行过程中按情况变化发展适时予以调整、修正；</w:t>
      </w:r>
    </w:p>
    <w:p w14:paraId="6F67CB89">
      <w:pPr>
        <w:ind w:firstLine="480"/>
        <w:rPr>
          <w:rFonts w:hint="eastAsia" w:ascii="宋体" w:hAnsi="宋体" w:eastAsia="宋体" w:cs="宋体"/>
        </w:rPr>
      </w:pPr>
      <w:r>
        <w:rPr>
          <w:rFonts w:hint="eastAsia" w:ascii="宋体" w:hAnsi="宋体" w:eastAsia="宋体" w:cs="宋体"/>
        </w:rPr>
        <w:t>3）组织制订工程各道工序施工工艺细则和实施性项目工程质量计划，明确其技术保证、质量保证要求。做好材料进场的检验，在施工过程中严格按照规程、规范要求做好试验和检验工作；</w:t>
      </w:r>
    </w:p>
    <w:p w14:paraId="4FA02600">
      <w:pPr>
        <w:ind w:firstLine="480"/>
        <w:rPr>
          <w:rFonts w:hint="eastAsia" w:ascii="宋体" w:hAnsi="宋体" w:eastAsia="宋体" w:cs="宋体"/>
        </w:rPr>
      </w:pPr>
      <w:r>
        <w:rPr>
          <w:rFonts w:hint="eastAsia" w:ascii="宋体" w:hAnsi="宋体" w:eastAsia="宋体" w:cs="宋体"/>
        </w:rPr>
        <w:t>4）组织编制年度、季度、月施工计划，配合材料部门搞好材料计划，掌握材料市场行情，做好验工计价，协助项目经理和总工程师搞好经济活动和分析工作；</w:t>
      </w:r>
    </w:p>
    <w:p w14:paraId="0FE1B324">
      <w:pPr>
        <w:ind w:firstLine="480"/>
        <w:rPr>
          <w:rFonts w:hint="eastAsia" w:ascii="宋体" w:hAnsi="宋体" w:eastAsia="宋体" w:cs="宋体"/>
        </w:rPr>
      </w:pPr>
      <w:r>
        <w:rPr>
          <w:rFonts w:hint="eastAsia" w:ascii="宋体" w:hAnsi="宋体" w:eastAsia="宋体" w:cs="宋体"/>
        </w:rPr>
        <w:t>5）根据现场施工，做好测量、旁站监督工作；</w:t>
      </w:r>
    </w:p>
    <w:p w14:paraId="3397EFB6">
      <w:pPr>
        <w:ind w:firstLine="480"/>
        <w:rPr>
          <w:rFonts w:hint="eastAsia" w:ascii="宋体" w:hAnsi="宋体" w:eastAsia="宋体" w:cs="宋体"/>
        </w:rPr>
      </w:pPr>
      <w:r>
        <w:rPr>
          <w:rFonts w:hint="eastAsia" w:ascii="宋体" w:hAnsi="宋体" w:eastAsia="宋体" w:cs="宋体"/>
        </w:rPr>
        <w:t>6）经常深入工地，进行技术业务指导。</w:t>
      </w:r>
    </w:p>
    <w:p w14:paraId="156241A5">
      <w:pPr>
        <w:ind w:firstLine="482"/>
        <w:rPr>
          <w:rFonts w:hint="eastAsia" w:ascii="宋体" w:hAnsi="宋体" w:eastAsia="宋体" w:cs="宋体"/>
          <w:b/>
          <w:bCs/>
        </w:rPr>
      </w:pPr>
      <w:r>
        <w:rPr>
          <w:rFonts w:hint="eastAsia" w:ascii="宋体" w:hAnsi="宋体" w:eastAsia="宋体" w:cs="宋体"/>
          <w:b/>
          <w:bCs/>
        </w:rPr>
        <w:t>5、安全环保部职责</w:t>
      </w:r>
    </w:p>
    <w:p w14:paraId="0F4BD729">
      <w:pPr>
        <w:ind w:firstLine="480"/>
        <w:rPr>
          <w:rFonts w:hint="eastAsia" w:ascii="宋体" w:hAnsi="宋体" w:eastAsia="宋体" w:cs="宋体"/>
        </w:rPr>
      </w:pPr>
      <w:r>
        <w:rPr>
          <w:rFonts w:hint="eastAsia" w:ascii="宋体" w:hAnsi="宋体" w:eastAsia="宋体" w:cs="宋体"/>
        </w:rPr>
        <w:t>1）督促检查本项目部有关安全生产、劳动保护的政策、法律、法规和上级制定的有关制度的贯彻执行情况；</w:t>
      </w:r>
    </w:p>
    <w:p w14:paraId="5C6AA8D7">
      <w:pPr>
        <w:ind w:firstLine="480"/>
        <w:rPr>
          <w:rFonts w:hint="eastAsia" w:ascii="宋体" w:hAnsi="宋体" w:eastAsia="宋体" w:cs="宋体"/>
        </w:rPr>
      </w:pPr>
      <w:r>
        <w:rPr>
          <w:rFonts w:hint="eastAsia" w:ascii="宋体" w:hAnsi="宋体" w:eastAsia="宋体" w:cs="宋体"/>
        </w:rPr>
        <w:t>2）协助编制施工组织设计中的安全技术措施；</w:t>
      </w:r>
    </w:p>
    <w:p w14:paraId="4824014D">
      <w:pPr>
        <w:ind w:firstLine="480"/>
        <w:rPr>
          <w:rFonts w:hint="eastAsia" w:ascii="宋体" w:hAnsi="宋体" w:eastAsia="宋体" w:cs="宋体"/>
        </w:rPr>
      </w:pPr>
      <w:r>
        <w:rPr>
          <w:rFonts w:hint="eastAsia" w:ascii="宋体" w:hAnsi="宋体" w:eastAsia="宋体" w:cs="宋体"/>
        </w:rPr>
        <w:t>3）会同有关人员制定劳保用品和相关费用计划，并检查监督劳保用品的合理使用情况，及时上报有毒、有害物的劳保用品计划；</w:t>
      </w:r>
    </w:p>
    <w:p w14:paraId="69852702">
      <w:pPr>
        <w:ind w:firstLine="480"/>
        <w:rPr>
          <w:rFonts w:hint="eastAsia" w:ascii="宋体" w:hAnsi="宋体" w:eastAsia="宋体" w:cs="宋体"/>
        </w:rPr>
      </w:pPr>
      <w:r>
        <w:rPr>
          <w:rFonts w:hint="eastAsia" w:ascii="宋体" w:hAnsi="宋体" w:eastAsia="宋体" w:cs="宋体"/>
        </w:rPr>
        <w:t>4）检查作业人员的安全生产情况，特别是特种作业人员的持证上岗情况，负责安全生产的宣传教育及施工队的安全教育工作；</w:t>
      </w:r>
    </w:p>
    <w:p w14:paraId="1E183CBD">
      <w:pPr>
        <w:ind w:firstLine="480"/>
        <w:rPr>
          <w:rFonts w:hint="eastAsia" w:ascii="宋体" w:hAnsi="宋体" w:eastAsia="宋体" w:cs="宋体"/>
        </w:rPr>
      </w:pPr>
      <w:r>
        <w:rPr>
          <w:rFonts w:hint="eastAsia" w:ascii="宋体" w:hAnsi="宋体" w:eastAsia="宋体" w:cs="宋体"/>
        </w:rPr>
        <w:t>5）参加定期和季节性安全生产检查，对存在问题提出整改意见并督促实施，经常总结推广安全生产的先进经验，不断改善劳动保护条件；</w:t>
      </w:r>
    </w:p>
    <w:p w14:paraId="2053B73A">
      <w:pPr>
        <w:ind w:firstLine="480"/>
        <w:rPr>
          <w:rFonts w:hint="eastAsia" w:ascii="宋体" w:hAnsi="宋体" w:eastAsia="宋体" w:cs="宋体"/>
        </w:rPr>
      </w:pPr>
      <w:r>
        <w:rPr>
          <w:rFonts w:hint="eastAsia" w:ascii="宋体" w:hAnsi="宋体" w:eastAsia="宋体" w:cs="宋体"/>
        </w:rPr>
        <w:t>6）对新进场人员进行登记，进行安全教育、培训、考核，建立相关台账；</w:t>
      </w:r>
    </w:p>
    <w:p w14:paraId="5758E110">
      <w:pPr>
        <w:ind w:firstLine="480"/>
        <w:rPr>
          <w:rFonts w:hint="eastAsia" w:ascii="宋体" w:hAnsi="宋体" w:eastAsia="宋体" w:cs="宋体"/>
        </w:rPr>
      </w:pPr>
      <w:r>
        <w:rPr>
          <w:rFonts w:hint="eastAsia" w:ascii="宋体" w:hAnsi="宋体" w:eastAsia="宋体" w:cs="宋体"/>
        </w:rPr>
        <w:t>7）负责贯彻落实施工生产的相关安全技术措施，并做好安全要求的相关工作；</w:t>
      </w:r>
    </w:p>
    <w:p w14:paraId="4A69D4C7">
      <w:pPr>
        <w:ind w:firstLine="480"/>
        <w:rPr>
          <w:rFonts w:hint="eastAsia" w:ascii="宋体" w:hAnsi="宋体" w:eastAsia="宋体" w:cs="宋体"/>
        </w:rPr>
      </w:pPr>
      <w:r>
        <w:rPr>
          <w:rFonts w:hint="eastAsia" w:ascii="宋体" w:hAnsi="宋体" w:eastAsia="宋体" w:cs="宋体"/>
        </w:rPr>
        <w:t>8）负责项目部安全生产资料的收集整理工作；</w:t>
      </w:r>
    </w:p>
    <w:p w14:paraId="07C18F1D">
      <w:pPr>
        <w:ind w:firstLine="480"/>
        <w:rPr>
          <w:rFonts w:hint="eastAsia" w:ascii="宋体" w:hAnsi="宋体" w:eastAsia="宋体" w:cs="宋体"/>
        </w:rPr>
      </w:pPr>
      <w:r>
        <w:rPr>
          <w:rFonts w:hint="eastAsia" w:ascii="宋体" w:hAnsi="宋体" w:eastAsia="宋体" w:cs="宋体"/>
        </w:rPr>
        <w:t>9）熟悉国家及企业制定的有关环境管理法律、法规和规章制度；</w:t>
      </w:r>
    </w:p>
    <w:p w14:paraId="31748A4E">
      <w:pPr>
        <w:ind w:firstLine="480"/>
        <w:rPr>
          <w:rFonts w:hint="eastAsia" w:ascii="宋体" w:hAnsi="宋体" w:eastAsia="宋体" w:cs="宋体"/>
        </w:rPr>
      </w:pPr>
      <w:r>
        <w:rPr>
          <w:rFonts w:hint="eastAsia" w:ascii="宋体" w:hAnsi="宋体" w:eastAsia="宋体" w:cs="宋体"/>
        </w:rPr>
        <w:t>10）负责项目部施工项目环境因素的识别、调查、整理，组织项目部评价小组进行初步评价，并填写相关资料、记录；</w:t>
      </w:r>
    </w:p>
    <w:p w14:paraId="12B09225">
      <w:pPr>
        <w:ind w:firstLine="480"/>
        <w:rPr>
          <w:rFonts w:hint="eastAsia" w:ascii="宋体" w:hAnsi="宋体" w:eastAsia="宋体" w:cs="宋体"/>
        </w:rPr>
      </w:pPr>
      <w:r>
        <w:rPr>
          <w:rFonts w:hint="eastAsia" w:ascii="宋体" w:hAnsi="宋体" w:eastAsia="宋体" w:cs="宋体"/>
        </w:rPr>
        <w:t>11）参与项目部施工项目环境目标、指标的制定，并编制环境管理方案和环境紧急事故应急预案；</w:t>
      </w:r>
    </w:p>
    <w:p w14:paraId="2BB8DB26">
      <w:pPr>
        <w:ind w:firstLine="480"/>
        <w:rPr>
          <w:rFonts w:hint="eastAsia" w:ascii="宋体" w:hAnsi="宋体" w:eastAsia="宋体" w:cs="宋体"/>
        </w:rPr>
      </w:pPr>
      <w:r>
        <w:rPr>
          <w:rFonts w:hint="eastAsia" w:ascii="宋体" w:hAnsi="宋体" w:eastAsia="宋体" w:cs="宋体"/>
        </w:rPr>
        <w:t>12）负责项目部日常环境监测工作，并做好相关记录；</w:t>
      </w:r>
    </w:p>
    <w:p w14:paraId="1F0B06A9">
      <w:pPr>
        <w:ind w:firstLine="480"/>
        <w:rPr>
          <w:rFonts w:hint="eastAsia" w:ascii="宋体" w:hAnsi="宋体" w:eastAsia="宋体" w:cs="宋体"/>
        </w:rPr>
      </w:pPr>
      <w:r>
        <w:rPr>
          <w:rFonts w:hint="eastAsia" w:ascii="宋体" w:hAnsi="宋体" w:eastAsia="宋体" w:cs="宋体"/>
        </w:rPr>
        <w:t>13）负责项目部环境管理资料的收集整理工作，并按要求按时报送资料及记录。</w:t>
      </w:r>
    </w:p>
    <w:p w14:paraId="2D02092D">
      <w:pPr>
        <w:ind w:firstLine="482"/>
        <w:rPr>
          <w:rFonts w:hint="eastAsia" w:ascii="宋体" w:hAnsi="宋体" w:eastAsia="宋体" w:cs="宋体"/>
          <w:b/>
          <w:bCs/>
        </w:rPr>
      </w:pPr>
      <w:r>
        <w:rPr>
          <w:rFonts w:hint="eastAsia" w:ascii="宋体" w:hAnsi="宋体" w:eastAsia="宋体" w:cs="宋体"/>
          <w:b/>
          <w:bCs/>
        </w:rPr>
        <w:t>6、计划合同部职责</w:t>
      </w:r>
    </w:p>
    <w:p w14:paraId="2BA98BC4">
      <w:pPr>
        <w:ind w:firstLine="480"/>
        <w:rPr>
          <w:rFonts w:hint="eastAsia" w:ascii="宋体" w:hAnsi="宋体" w:eastAsia="宋体" w:cs="宋体"/>
        </w:rPr>
      </w:pPr>
      <w:r>
        <w:rPr>
          <w:rFonts w:hint="eastAsia" w:ascii="宋体" w:hAnsi="宋体" w:eastAsia="宋体" w:cs="宋体"/>
        </w:rPr>
        <w:t>1）正确执行有关的预算定额，按经济合同法及有关经济法规进行合同管理；</w:t>
      </w:r>
    </w:p>
    <w:p w14:paraId="1BD5CB7F">
      <w:pPr>
        <w:ind w:firstLine="480"/>
        <w:rPr>
          <w:rFonts w:hint="eastAsia" w:ascii="宋体" w:hAnsi="宋体" w:eastAsia="宋体" w:cs="宋体"/>
        </w:rPr>
      </w:pPr>
      <w:r>
        <w:rPr>
          <w:rFonts w:hint="eastAsia" w:ascii="宋体" w:hAnsi="宋体" w:eastAsia="宋体" w:cs="宋体"/>
        </w:rPr>
        <w:t>2）催促、收集、整理计量支付资料，负责按期编制上报，及时组织收入；</w:t>
      </w:r>
    </w:p>
    <w:p w14:paraId="7959A804">
      <w:pPr>
        <w:ind w:firstLine="480"/>
        <w:rPr>
          <w:rFonts w:hint="eastAsia" w:ascii="宋体" w:hAnsi="宋体" w:eastAsia="宋体" w:cs="宋体"/>
        </w:rPr>
      </w:pPr>
      <w:r>
        <w:rPr>
          <w:rFonts w:hint="eastAsia" w:ascii="宋体" w:hAnsi="宋体" w:eastAsia="宋体" w:cs="宋体"/>
        </w:rPr>
        <w:t>3）组织劳务承包合同的签订，参与施工预算合同的洽谈工作；</w:t>
      </w:r>
    </w:p>
    <w:p w14:paraId="59E23BC7">
      <w:pPr>
        <w:ind w:firstLine="480"/>
        <w:rPr>
          <w:rFonts w:hint="eastAsia" w:ascii="宋体" w:hAnsi="宋体" w:eastAsia="宋体" w:cs="宋体"/>
        </w:rPr>
      </w:pPr>
      <w:r>
        <w:rPr>
          <w:rFonts w:hint="eastAsia" w:ascii="宋体" w:hAnsi="宋体" w:eastAsia="宋体" w:cs="宋体"/>
        </w:rPr>
        <w:t>4）组织内部验工计价，及时填写委外验工报表，为项目成本核算提供明确依据，组织检查填报计量支付单及验工计价资料；</w:t>
      </w:r>
    </w:p>
    <w:p w14:paraId="46531F44">
      <w:pPr>
        <w:ind w:firstLine="480"/>
        <w:rPr>
          <w:rFonts w:hint="eastAsia" w:ascii="宋体" w:hAnsi="宋体" w:eastAsia="宋体" w:cs="宋体"/>
        </w:rPr>
      </w:pPr>
      <w:r>
        <w:rPr>
          <w:rFonts w:hint="eastAsia" w:ascii="宋体" w:hAnsi="宋体" w:eastAsia="宋体" w:cs="宋体"/>
        </w:rPr>
        <w:t>5）收集计量资料，及时申报计量并填写验工计价台账。</w:t>
      </w:r>
    </w:p>
    <w:p w14:paraId="677E175E">
      <w:pPr>
        <w:ind w:firstLine="480"/>
        <w:rPr>
          <w:rFonts w:hint="eastAsia" w:ascii="宋体" w:hAnsi="宋体" w:eastAsia="宋体" w:cs="宋体"/>
        </w:rPr>
      </w:pPr>
      <w:r>
        <w:rPr>
          <w:rFonts w:hint="eastAsia" w:ascii="宋体" w:hAnsi="宋体" w:eastAsia="宋体" w:cs="宋体"/>
        </w:rPr>
        <w:t>6）根据项目副经理、工程管理部现场施工计划，编制报送工程项目的施工产值计划、变更设计，建立工程零号台账、变更台账。</w:t>
      </w:r>
    </w:p>
    <w:p w14:paraId="302316A0">
      <w:pPr>
        <w:ind w:firstLine="482"/>
        <w:rPr>
          <w:rFonts w:hint="eastAsia" w:ascii="宋体" w:hAnsi="宋体" w:eastAsia="宋体" w:cs="宋体"/>
          <w:b/>
          <w:bCs/>
        </w:rPr>
      </w:pPr>
      <w:r>
        <w:rPr>
          <w:rFonts w:hint="eastAsia" w:ascii="宋体" w:hAnsi="宋体" w:eastAsia="宋体" w:cs="宋体"/>
          <w:b/>
          <w:bCs/>
        </w:rPr>
        <w:t>7、设备物资部职责</w:t>
      </w:r>
    </w:p>
    <w:p w14:paraId="5AAB80C4">
      <w:pPr>
        <w:ind w:firstLine="480"/>
        <w:rPr>
          <w:rFonts w:hint="eastAsia" w:ascii="宋体" w:hAnsi="宋体" w:eastAsia="宋体" w:cs="宋体"/>
        </w:rPr>
      </w:pPr>
      <w:r>
        <w:rPr>
          <w:rFonts w:hint="eastAsia" w:ascii="宋体" w:hAnsi="宋体" w:eastAsia="宋体" w:cs="宋体"/>
        </w:rPr>
        <w:t>1）认真贯彻执行上级指定的有关材料管理的制度；</w:t>
      </w:r>
    </w:p>
    <w:p w14:paraId="32E96666">
      <w:pPr>
        <w:ind w:firstLine="480"/>
        <w:rPr>
          <w:rFonts w:hint="eastAsia" w:ascii="宋体" w:hAnsi="宋体" w:eastAsia="宋体" w:cs="宋体"/>
        </w:rPr>
      </w:pPr>
      <w:r>
        <w:rPr>
          <w:rFonts w:hint="eastAsia" w:ascii="宋体" w:hAnsi="宋体" w:eastAsia="宋体" w:cs="宋体"/>
        </w:rPr>
        <w:t>2）熟悉施工预算，根据施工进度计划安排，及时上报材料采购计划，并负责入库材料的质量验收；</w:t>
      </w:r>
    </w:p>
    <w:p w14:paraId="367BB029">
      <w:pPr>
        <w:ind w:firstLine="480"/>
        <w:rPr>
          <w:rFonts w:hint="eastAsia" w:ascii="宋体" w:hAnsi="宋体" w:eastAsia="宋体" w:cs="宋体"/>
        </w:rPr>
      </w:pPr>
      <w:r>
        <w:rPr>
          <w:rFonts w:hint="eastAsia" w:ascii="宋体" w:hAnsi="宋体" w:eastAsia="宋体" w:cs="宋体"/>
        </w:rPr>
        <w:t>3）积极落实现场所需的机具、原资料、成品和半成品的价格、数量、规格及供货合同约定内容和执行情况；</w:t>
      </w:r>
    </w:p>
    <w:p w14:paraId="617D09E7">
      <w:pPr>
        <w:ind w:firstLine="480"/>
        <w:rPr>
          <w:rFonts w:hint="eastAsia" w:ascii="宋体" w:hAnsi="宋体" w:eastAsia="宋体" w:cs="宋体"/>
        </w:rPr>
      </w:pPr>
      <w:r>
        <w:rPr>
          <w:rFonts w:hint="eastAsia" w:ascii="宋体" w:hAnsi="宋体" w:eastAsia="宋体" w:cs="宋体"/>
        </w:rPr>
        <w:t>4）树立节约思想，积极修旧利废，把好“收、发、用”三关，做到进出有据，按材料消耗定额审核换算发料；</w:t>
      </w:r>
    </w:p>
    <w:p w14:paraId="215B6CD0">
      <w:pPr>
        <w:ind w:firstLine="480"/>
        <w:rPr>
          <w:rFonts w:hint="eastAsia" w:ascii="宋体" w:hAnsi="宋体" w:eastAsia="宋体" w:cs="宋体"/>
        </w:rPr>
      </w:pPr>
      <w:r>
        <w:rPr>
          <w:rFonts w:hint="eastAsia" w:ascii="宋体" w:hAnsi="宋体" w:eastAsia="宋体" w:cs="宋体"/>
        </w:rPr>
        <w:t>5）配合创建文明工地工作，按施工平面布置图合理堆放材料，经常清理施工现场，做到工完、料净、场清；</w:t>
      </w:r>
    </w:p>
    <w:p w14:paraId="6AE573B7">
      <w:pPr>
        <w:ind w:firstLine="480"/>
        <w:rPr>
          <w:rFonts w:hint="eastAsia" w:ascii="宋体" w:hAnsi="宋体" w:eastAsia="宋体" w:cs="宋体"/>
        </w:rPr>
      </w:pPr>
      <w:r>
        <w:rPr>
          <w:rFonts w:hint="eastAsia" w:ascii="宋体" w:hAnsi="宋体" w:eastAsia="宋体" w:cs="宋体"/>
        </w:rPr>
        <w:t>6）做好资料建档工作，原始凭证、账册报表、质量证明、技术资料等分别装订成册，妥善保管；</w:t>
      </w:r>
    </w:p>
    <w:p w14:paraId="1B09C193">
      <w:pPr>
        <w:ind w:firstLine="480"/>
        <w:rPr>
          <w:rFonts w:hint="eastAsia" w:ascii="宋体" w:hAnsi="宋体" w:eastAsia="宋体" w:cs="宋体"/>
        </w:rPr>
      </w:pPr>
      <w:r>
        <w:rPr>
          <w:rFonts w:hint="eastAsia" w:ascii="宋体" w:hAnsi="宋体" w:eastAsia="宋体" w:cs="宋体"/>
        </w:rPr>
        <w:t>7）按照规范化、标准化、程序化对材料进行管理，做好施工标识、材料标识等；</w:t>
      </w:r>
    </w:p>
    <w:p w14:paraId="634634E2">
      <w:pPr>
        <w:ind w:firstLine="480"/>
        <w:rPr>
          <w:rFonts w:hint="eastAsia" w:ascii="宋体" w:hAnsi="宋体" w:eastAsia="宋体" w:cs="宋体"/>
        </w:rPr>
      </w:pPr>
      <w:r>
        <w:rPr>
          <w:rFonts w:hint="eastAsia" w:ascii="宋体" w:hAnsi="宋体" w:eastAsia="宋体" w:cs="宋体"/>
        </w:rPr>
        <w:t>8）按照工程分部分项“两算对比”，进行成本核算，与工程进度同步耗料，降低材料成本。</w:t>
      </w:r>
    </w:p>
    <w:p w14:paraId="0FC85BA7">
      <w:pPr>
        <w:ind w:firstLine="482"/>
        <w:rPr>
          <w:rFonts w:hint="eastAsia" w:ascii="宋体" w:hAnsi="宋体" w:eastAsia="宋体" w:cs="宋体"/>
          <w:b/>
          <w:bCs/>
        </w:rPr>
      </w:pPr>
      <w:r>
        <w:rPr>
          <w:rFonts w:hint="eastAsia" w:ascii="宋体" w:hAnsi="宋体" w:eastAsia="宋体" w:cs="宋体"/>
          <w:b/>
          <w:bCs/>
        </w:rPr>
        <w:t>8、质检部职责</w:t>
      </w:r>
    </w:p>
    <w:p w14:paraId="44D84B52">
      <w:pPr>
        <w:ind w:firstLine="480"/>
        <w:rPr>
          <w:rFonts w:hint="eastAsia" w:ascii="宋体" w:hAnsi="宋体" w:eastAsia="宋体" w:cs="宋体"/>
        </w:rPr>
      </w:pPr>
      <w:r>
        <w:rPr>
          <w:rFonts w:hint="eastAsia" w:ascii="宋体" w:hAnsi="宋体" w:eastAsia="宋体" w:cs="宋体"/>
        </w:rPr>
        <w:t>1）熟悉并实施国家、行业有关工程质量检验评定标准和施工规范；</w:t>
      </w:r>
    </w:p>
    <w:p w14:paraId="30FCC4EC">
      <w:pPr>
        <w:ind w:firstLine="480"/>
        <w:rPr>
          <w:rFonts w:hint="eastAsia" w:ascii="宋体" w:hAnsi="宋体" w:eastAsia="宋体" w:cs="宋体"/>
        </w:rPr>
      </w:pPr>
      <w:r>
        <w:rPr>
          <w:rFonts w:hint="eastAsia" w:ascii="宋体" w:hAnsi="宋体" w:eastAsia="宋体" w:cs="宋体"/>
        </w:rPr>
        <w:t>2）编写和完善工程质量管理方面的规章制度或办法，制定质量工作目标，并在实际工作中实施；</w:t>
      </w:r>
    </w:p>
    <w:p w14:paraId="78D4A4AE">
      <w:pPr>
        <w:ind w:firstLine="480"/>
        <w:rPr>
          <w:rFonts w:hint="eastAsia" w:ascii="宋体" w:hAnsi="宋体" w:eastAsia="宋体" w:cs="宋体"/>
        </w:rPr>
      </w:pPr>
      <w:r>
        <w:rPr>
          <w:rFonts w:hint="eastAsia" w:ascii="宋体" w:hAnsi="宋体" w:eastAsia="宋体" w:cs="宋体"/>
        </w:rPr>
        <w:t>3）经常深入现场进行工程质量检查，制止违章作业，对检查中发现的质量问题和存在的质量通病提出整改意见，跟踪验证预防措施的落实情况，促进质量改进；</w:t>
      </w:r>
    </w:p>
    <w:p w14:paraId="0B53FFD4">
      <w:pPr>
        <w:ind w:firstLine="480"/>
        <w:rPr>
          <w:rFonts w:hint="eastAsia" w:ascii="宋体" w:hAnsi="宋体" w:eastAsia="宋体" w:cs="宋体"/>
        </w:rPr>
      </w:pPr>
      <w:r>
        <w:rPr>
          <w:rFonts w:hint="eastAsia" w:ascii="宋体" w:hAnsi="宋体" w:eastAsia="宋体" w:cs="宋体"/>
        </w:rPr>
        <w:t>4）参加工程质量事故的调查、分析、处理和上报，督促检查处理方案的实施；</w:t>
      </w:r>
    </w:p>
    <w:p w14:paraId="1E052680">
      <w:pPr>
        <w:ind w:firstLine="480"/>
        <w:rPr>
          <w:rFonts w:hint="eastAsia" w:ascii="宋体" w:hAnsi="宋体" w:eastAsia="宋体" w:cs="宋体"/>
        </w:rPr>
      </w:pPr>
      <w:r>
        <w:rPr>
          <w:rFonts w:hint="eastAsia" w:ascii="宋体" w:hAnsi="宋体" w:eastAsia="宋体" w:cs="宋体"/>
        </w:rPr>
        <w:t>5）参加优质工程初评工作，负责办理国家和省部级优质工程的申报事宜；</w:t>
      </w:r>
    </w:p>
    <w:p w14:paraId="0E55239C">
      <w:pPr>
        <w:ind w:firstLine="480"/>
        <w:rPr>
          <w:rFonts w:hint="eastAsia" w:ascii="宋体" w:hAnsi="宋体" w:eastAsia="宋体" w:cs="宋体"/>
        </w:rPr>
      </w:pPr>
      <w:r>
        <w:rPr>
          <w:rFonts w:hint="eastAsia" w:ascii="宋体" w:hAnsi="宋体" w:eastAsia="宋体" w:cs="宋体"/>
        </w:rPr>
        <w:t>6）参加新工艺、新技术、新材料、新设备的质量鉴定和重大工程项目施工组织设计、施工方案的审定；</w:t>
      </w:r>
    </w:p>
    <w:p w14:paraId="5D9A0A03">
      <w:pPr>
        <w:ind w:firstLine="480"/>
        <w:rPr>
          <w:rFonts w:hint="eastAsia" w:ascii="宋体" w:hAnsi="宋体" w:eastAsia="宋体" w:cs="宋体"/>
        </w:rPr>
      </w:pPr>
      <w:r>
        <w:rPr>
          <w:rFonts w:hint="eastAsia" w:ascii="宋体" w:hAnsi="宋体" w:eastAsia="宋体" w:cs="宋体"/>
        </w:rPr>
        <w:t>7）参加工程开工前的施工调查工作；</w:t>
      </w:r>
    </w:p>
    <w:p w14:paraId="69C65A43">
      <w:pPr>
        <w:ind w:firstLine="480"/>
        <w:rPr>
          <w:rFonts w:hint="eastAsia" w:ascii="宋体" w:hAnsi="宋体" w:eastAsia="宋体" w:cs="宋体"/>
        </w:rPr>
      </w:pPr>
      <w:r>
        <w:rPr>
          <w:rFonts w:hint="eastAsia" w:ascii="宋体" w:hAnsi="宋体" w:eastAsia="宋体" w:cs="宋体"/>
        </w:rPr>
        <w:t>8）负责质量报表的收集、汇总、填报工作，负责质量情况通报的编写，质量管理和技术文件的保管，落实质检人员持证上岗情况；</w:t>
      </w:r>
    </w:p>
    <w:p w14:paraId="4064B501">
      <w:pPr>
        <w:ind w:firstLine="480"/>
        <w:rPr>
          <w:rFonts w:hint="eastAsia" w:ascii="宋体" w:hAnsi="宋体" w:eastAsia="宋体" w:cs="宋体"/>
        </w:rPr>
      </w:pPr>
      <w:r>
        <w:rPr>
          <w:rFonts w:hint="eastAsia" w:ascii="宋体" w:hAnsi="宋体" w:eastAsia="宋体" w:cs="宋体"/>
        </w:rPr>
        <w:t>9）有权越级向上级反映工程质量情况。</w:t>
      </w:r>
    </w:p>
    <w:p w14:paraId="24CCF268">
      <w:pPr>
        <w:ind w:firstLine="482"/>
        <w:rPr>
          <w:rFonts w:hint="eastAsia" w:ascii="宋体" w:hAnsi="宋体" w:eastAsia="宋体" w:cs="宋体"/>
          <w:b/>
          <w:bCs/>
        </w:rPr>
      </w:pPr>
      <w:r>
        <w:rPr>
          <w:rFonts w:hint="eastAsia" w:ascii="宋体" w:hAnsi="宋体" w:eastAsia="宋体" w:cs="宋体"/>
          <w:b/>
          <w:bCs/>
        </w:rPr>
        <w:t>9、财务部职责</w:t>
      </w:r>
    </w:p>
    <w:p w14:paraId="26860A22">
      <w:pPr>
        <w:ind w:firstLine="480"/>
        <w:rPr>
          <w:rFonts w:hint="eastAsia" w:ascii="宋体" w:hAnsi="宋体" w:eastAsia="宋体" w:cs="宋体"/>
        </w:rPr>
      </w:pPr>
      <w:r>
        <w:rPr>
          <w:rFonts w:hint="eastAsia" w:ascii="宋体" w:hAnsi="宋体" w:eastAsia="宋体" w:cs="宋体"/>
        </w:rPr>
        <w:t>1）严格按照《企业会计准则》、《企业会计制度》及公司工程项目成本管理及核算办法，进行财务管理和财务核算；</w:t>
      </w:r>
    </w:p>
    <w:p w14:paraId="7A7EBC4E">
      <w:pPr>
        <w:ind w:firstLine="480"/>
        <w:rPr>
          <w:rFonts w:hint="eastAsia" w:ascii="宋体" w:hAnsi="宋体" w:eastAsia="宋体" w:cs="宋体"/>
        </w:rPr>
      </w:pPr>
      <w:r>
        <w:rPr>
          <w:rFonts w:hint="eastAsia" w:ascii="宋体" w:hAnsi="宋体" w:eastAsia="宋体" w:cs="宋体"/>
        </w:rPr>
        <w:t>2）根据会计法规及公司文件的要求，遵守财经纪律，严把审核、报销关，杜绝不必要的损失；</w:t>
      </w:r>
    </w:p>
    <w:p w14:paraId="47BD5966">
      <w:pPr>
        <w:ind w:firstLine="480"/>
        <w:rPr>
          <w:rFonts w:hint="eastAsia" w:ascii="宋体" w:hAnsi="宋体" w:eastAsia="宋体" w:cs="宋体"/>
        </w:rPr>
      </w:pPr>
      <w:r>
        <w:rPr>
          <w:rFonts w:hint="eastAsia" w:ascii="宋体" w:hAnsi="宋体" w:eastAsia="宋体" w:cs="宋体"/>
        </w:rPr>
        <w:t>3）根据“两算”认真编制项目成本计划，并配合有关部门制定成本内控制表。不定期分析成本失控的原因，并提出建议性的建议；</w:t>
      </w:r>
    </w:p>
    <w:p w14:paraId="19CC5C14">
      <w:pPr>
        <w:ind w:firstLine="480"/>
        <w:rPr>
          <w:rFonts w:hint="eastAsia" w:ascii="宋体" w:hAnsi="宋体" w:eastAsia="宋体" w:cs="宋体"/>
        </w:rPr>
      </w:pPr>
      <w:r>
        <w:rPr>
          <w:rFonts w:hint="eastAsia" w:ascii="宋体" w:hAnsi="宋体" w:eastAsia="宋体" w:cs="宋体"/>
        </w:rPr>
        <w:t>4）依照企业会计核算“权责发生制”原则，负责审查原始凭证、记账凭证的填制，各类账户的登记、会计报表的编制等会计日常核算工作，确保按会计日期或分阶段成本核算的真实性和准确性；</w:t>
      </w:r>
    </w:p>
    <w:p w14:paraId="01E0F7E2">
      <w:pPr>
        <w:ind w:firstLine="480"/>
        <w:rPr>
          <w:rFonts w:hint="eastAsia" w:ascii="宋体" w:hAnsi="宋体" w:eastAsia="宋体" w:cs="宋体"/>
        </w:rPr>
      </w:pPr>
      <w:r>
        <w:rPr>
          <w:rFonts w:hint="eastAsia" w:ascii="宋体" w:hAnsi="宋体" w:eastAsia="宋体" w:cs="宋体"/>
        </w:rPr>
        <w:t>5）负责按期办理工程中期财务结算和工程完工财务决算工作，并认真汇集有关决算方面的核算资料；</w:t>
      </w:r>
    </w:p>
    <w:p w14:paraId="7464C0DC">
      <w:pPr>
        <w:ind w:firstLine="480"/>
        <w:rPr>
          <w:rFonts w:hint="eastAsia" w:ascii="宋体" w:hAnsi="宋体" w:eastAsia="宋体" w:cs="宋体"/>
        </w:rPr>
      </w:pPr>
      <w:r>
        <w:rPr>
          <w:rFonts w:hint="eastAsia" w:ascii="宋体" w:hAnsi="宋体" w:eastAsia="宋体" w:cs="宋体"/>
        </w:rPr>
        <w:t>6）负责按期按规定向公司清算上交款项；</w:t>
      </w:r>
    </w:p>
    <w:p w14:paraId="6FF4933E">
      <w:pPr>
        <w:ind w:firstLine="480"/>
        <w:rPr>
          <w:rFonts w:hint="eastAsia" w:ascii="宋体" w:hAnsi="宋体" w:eastAsia="宋体" w:cs="宋体"/>
        </w:rPr>
      </w:pPr>
      <w:r>
        <w:rPr>
          <w:rFonts w:hint="eastAsia" w:ascii="宋体" w:hAnsi="宋体" w:eastAsia="宋体" w:cs="宋体"/>
        </w:rPr>
        <w:t>7）做好农民工工资宣传、登记、发放、告示工作；</w:t>
      </w:r>
    </w:p>
    <w:p w14:paraId="4AD10BFE">
      <w:pPr>
        <w:ind w:firstLine="480"/>
        <w:rPr>
          <w:rFonts w:hint="eastAsia" w:ascii="宋体" w:hAnsi="宋体" w:eastAsia="宋体" w:cs="宋体"/>
        </w:rPr>
      </w:pPr>
      <w:r>
        <w:rPr>
          <w:rFonts w:hint="eastAsia" w:ascii="宋体" w:hAnsi="宋体" w:eastAsia="宋体" w:cs="宋体"/>
        </w:rPr>
        <w:t>8）负责会计档案的保管工作。</w:t>
      </w:r>
    </w:p>
    <w:p w14:paraId="6022D15C">
      <w:pPr>
        <w:ind w:firstLine="482"/>
        <w:rPr>
          <w:rFonts w:hint="eastAsia" w:ascii="宋体" w:hAnsi="宋体" w:eastAsia="宋体" w:cs="宋体"/>
          <w:b/>
          <w:bCs/>
        </w:rPr>
      </w:pPr>
      <w:r>
        <w:rPr>
          <w:rFonts w:hint="eastAsia" w:ascii="宋体" w:hAnsi="宋体" w:eastAsia="宋体" w:cs="宋体"/>
          <w:b/>
          <w:bCs/>
        </w:rPr>
        <w:t>10、试验室职责</w:t>
      </w:r>
    </w:p>
    <w:p w14:paraId="55FF6996">
      <w:pPr>
        <w:ind w:firstLine="480"/>
        <w:rPr>
          <w:rFonts w:hint="eastAsia" w:ascii="宋体" w:hAnsi="宋体" w:eastAsia="宋体" w:cs="宋体"/>
        </w:rPr>
      </w:pPr>
      <w:r>
        <w:rPr>
          <w:rFonts w:hint="eastAsia" w:ascii="宋体" w:hAnsi="宋体" w:eastAsia="宋体" w:cs="宋体"/>
        </w:rPr>
        <w:t>1）贯彻实施国家关于试验检测、计量、环保和职业健康方面的法律、法规，执行有关试验检测的技术标准、规范、规程，认真执行上级和授权母体试验室的规章制度，负责试验室内部管理体系有效运行；</w:t>
      </w:r>
    </w:p>
    <w:p w14:paraId="31F8B7C5">
      <w:pPr>
        <w:ind w:firstLine="480"/>
        <w:rPr>
          <w:rFonts w:hint="eastAsia" w:ascii="宋体" w:hAnsi="宋体" w:eastAsia="宋体" w:cs="宋体"/>
        </w:rPr>
      </w:pPr>
      <w:r>
        <w:rPr>
          <w:rFonts w:hint="eastAsia" w:ascii="宋体" w:hAnsi="宋体" w:eastAsia="宋体" w:cs="宋体"/>
        </w:rPr>
        <w:t>2）根据项目经理部施工组织计划和设计文件要求，编制工程项目的试验检测计划，保证施工生产顺利进行，在保证工程质量的前提下，降低成本，加快进度；</w:t>
      </w:r>
    </w:p>
    <w:p w14:paraId="3BDDA843">
      <w:pPr>
        <w:ind w:firstLine="480"/>
        <w:rPr>
          <w:rFonts w:hint="eastAsia" w:ascii="宋体" w:hAnsi="宋体" w:eastAsia="宋体" w:cs="宋体"/>
        </w:rPr>
      </w:pPr>
      <w:r>
        <w:rPr>
          <w:rFonts w:hint="eastAsia" w:ascii="宋体" w:hAnsi="宋体" w:eastAsia="宋体" w:cs="宋体"/>
        </w:rPr>
        <w:t>3）负责本工程试验检测和管理工作，负责工地试验室的授权申报，并在授权范围内按要求的频次、方法开展试验检测工作；</w:t>
      </w:r>
    </w:p>
    <w:p w14:paraId="0B479E1C">
      <w:pPr>
        <w:ind w:firstLine="480"/>
        <w:rPr>
          <w:rFonts w:hint="eastAsia" w:ascii="宋体" w:hAnsi="宋体" w:eastAsia="宋体" w:cs="宋体"/>
        </w:rPr>
      </w:pPr>
      <w:r>
        <w:rPr>
          <w:rFonts w:hint="eastAsia" w:ascii="宋体" w:hAnsi="宋体" w:eastAsia="宋体" w:cs="宋体"/>
        </w:rPr>
        <w:t>4）负责工程用原材料、半成品、成品试验检测，按设计要求进行各种配合比设计与优化，负责各种现场试验检测；</w:t>
      </w:r>
    </w:p>
    <w:p w14:paraId="6B439E3C">
      <w:pPr>
        <w:ind w:firstLine="480"/>
        <w:rPr>
          <w:rFonts w:hint="eastAsia" w:ascii="宋体" w:hAnsi="宋体" w:eastAsia="宋体" w:cs="宋体"/>
        </w:rPr>
      </w:pPr>
      <w:r>
        <w:rPr>
          <w:rFonts w:hint="eastAsia" w:ascii="宋体" w:hAnsi="宋体" w:eastAsia="宋体" w:cs="宋体"/>
        </w:rPr>
        <w:t>5）工地试验室无法检测的项目，应委托有资质的检测单位进行检测；</w:t>
      </w:r>
    </w:p>
    <w:p w14:paraId="5E2FC0DE">
      <w:pPr>
        <w:ind w:firstLine="480"/>
        <w:rPr>
          <w:rFonts w:hint="eastAsia" w:ascii="宋体" w:hAnsi="宋体" w:eastAsia="宋体" w:cs="宋体"/>
        </w:rPr>
      </w:pPr>
      <w:r>
        <w:rPr>
          <w:rFonts w:hint="eastAsia" w:ascii="宋体" w:hAnsi="宋体" w:eastAsia="宋体" w:cs="宋体"/>
        </w:rPr>
        <w:t>6）了解施工进展情况，参与施工过程的质量控制，与项目经理部相关人员共同做好施工质量控制工作；</w:t>
      </w:r>
    </w:p>
    <w:p w14:paraId="0816CBB6">
      <w:pPr>
        <w:ind w:firstLine="480"/>
        <w:rPr>
          <w:rFonts w:hint="eastAsia" w:ascii="宋体" w:hAnsi="宋体" w:eastAsia="宋体" w:cs="宋体"/>
        </w:rPr>
      </w:pPr>
      <w:r>
        <w:rPr>
          <w:rFonts w:hint="eastAsia" w:ascii="宋体" w:hAnsi="宋体" w:eastAsia="宋体" w:cs="宋体"/>
        </w:rPr>
        <w:t>7）参加项目部工程质量检查，工程质量事故分析、处理以及完工交验。协助材料部门对原材料的质量进行管理，有权要求将不合格材料清除出场；</w:t>
      </w:r>
    </w:p>
    <w:p w14:paraId="3BC5D52A">
      <w:pPr>
        <w:ind w:firstLine="480"/>
        <w:rPr>
          <w:rFonts w:hint="eastAsia" w:ascii="宋体" w:hAnsi="宋体" w:eastAsia="宋体" w:cs="宋体"/>
        </w:rPr>
      </w:pPr>
      <w:r>
        <w:rPr>
          <w:rFonts w:hint="eastAsia" w:ascii="宋体" w:hAnsi="宋体" w:eastAsia="宋体" w:cs="宋体"/>
        </w:rPr>
        <w:t>8）编制试验检测设备购置、维护、报废计划，报上级试验主管部门审批后实施，对新进场的试验设备进行验收，按要求检定，标识清晰，检定记录应保存完好；</w:t>
      </w:r>
    </w:p>
    <w:p w14:paraId="0500CD3E">
      <w:pPr>
        <w:ind w:firstLine="480"/>
        <w:rPr>
          <w:rFonts w:hint="eastAsia" w:ascii="宋体" w:hAnsi="宋体" w:eastAsia="宋体" w:cs="宋体"/>
        </w:rPr>
      </w:pPr>
      <w:r>
        <w:rPr>
          <w:rFonts w:hint="eastAsia" w:ascii="宋体" w:hAnsi="宋体" w:eastAsia="宋体" w:cs="宋体"/>
        </w:rPr>
        <w:t>9）参与有关新技术、新材料、新工艺、新设备的推广和应用工作；</w:t>
      </w:r>
    </w:p>
    <w:p w14:paraId="666819BC">
      <w:pPr>
        <w:ind w:firstLine="480"/>
        <w:rPr>
          <w:rFonts w:hint="eastAsia" w:ascii="宋体" w:hAnsi="宋体" w:eastAsia="宋体" w:cs="宋体"/>
        </w:rPr>
      </w:pPr>
      <w:r>
        <w:rPr>
          <w:rFonts w:hint="eastAsia" w:ascii="宋体" w:hAnsi="宋体" w:eastAsia="宋体" w:cs="宋体"/>
        </w:rPr>
        <w:t>10）负责试验检测资料的管理，建立原始记录、试验报告、报表等台账，并统一分类、编号、归档；负责对试验资料进行统计分析，按要求向母体试验室及各级主管部门报送试验检测资料及统计分析报表。</w:t>
      </w:r>
    </w:p>
    <w:p w14:paraId="3A2586C3">
      <w:pPr>
        <w:ind w:firstLine="482"/>
        <w:rPr>
          <w:rFonts w:hint="eastAsia" w:ascii="宋体" w:hAnsi="宋体" w:eastAsia="宋体" w:cs="宋体"/>
          <w:b/>
          <w:bCs/>
        </w:rPr>
      </w:pPr>
      <w:r>
        <w:rPr>
          <w:rFonts w:hint="eastAsia" w:ascii="宋体" w:hAnsi="宋体" w:eastAsia="宋体" w:cs="宋体"/>
          <w:b/>
          <w:bCs/>
        </w:rPr>
        <w:t>11、综合办公室职责</w:t>
      </w:r>
    </w:p>
    <w:p w14:paraId="740E4926">
      <w:pPr>
        <w:ind w:firstLine="480"/>
        <w:rPr>
          <w:rFonts w:hint="eastAsia" w:ascii="宋体" w:hAnsi="宋体" w:eastAsia="宋体" w:cs="宋体"/>
        </w:rPr>
      </w:pPr>
      <w:r>
        <w:rPr>
          <w:rFonts w:hint="eastAsia" w:ascii="宋体" w:hAnsi="宋体" w:eastAsia="宋体" w:cs="宋体"/>
        </w:rPr>
        <w:t>1）在项目经理的领导下，主持综合部全面工作；</w:t>
      </w:r>
    </w:p>
    <w:p w14:paraId="7FCAF4EC">
      <w:pPr>
        <w:ind w:firstLine="480"/>
        <w:rPr>
          <w:rFonts w:hint="eastAsia" w:ascii="宋体" w:hAnsi="宋体" w:eastAsia="宋体" w:cs="宋体"/>
        </w:rPr>
      </w:pPr>
      <w:r>
        <w:rPr>
          <w:rFonts w:hint="eastAsia" w:ascii="宋体" w:hAnsi="宋体" w:eastAsia="宋体" w:cs="宋体"/>
        </w:rPr>
        <w:t>2）负责协调有关部门、单位之间的关系；</w:t>
      </w:r>
    </w:p>
    <w:p w14:paraId="7CAB77E3">
      <w:pPr>
        <w:ind w:firstLine="480"/>
        <w:rPr>
          <w:rFonts w:hint="eastAsia" w:ascii="宋体" w:hAnsi="宋体" w:eastAsia="宋体" w:cs="宋体"/>
        </w:rPr>
      </w:pPr>
      <w:r>
        <w:rPr>
          <w:rFonts w:hint="eastAsia" w:ascii="宋体" w:hAnsi="宋体" w:eastAsia="宋体" w:cs="宋体"/>
        </w:rPr>
        <w:t>3）积极开展对外公关工作，认真完成领导交办的工作；</w:t>
      </w:r>
    </w:p>
    <w:p w14:paraId="0C02EF08">
      <w:pPr>
        <w:ind w:firstLine="480"/>
        <w:rPr>
          <w:rFonts w:hint="eastAsia" w:ascii="宋体" w:hAnsi="宋体" w:eastAsia="宋体" w:cs="宋体"/>
        </w:rPr>
      </w:pPr>
      <w:r>
        <w:rPr>
          <w:rFonts w:hint="eastAsia" w:ascii="宋体" w:hAnsi="宋体" w:eastAsia="宋体" w:cs="宋体"/>
        </w:rPr>
        <w:t>4）组织筹备并负责督促检查项目经理办公会、交班会决定的相关事项；</w:t>
      </w:r>
    </w:p>
    <w:p w14:paraId="624CA5EA">
      <w:pPr>
        <w:ind w:firstLine="480"/>
        <w:rPr>
          <w:rFonts w:hint="eastAsia" w:ascii="宋体" w:hAnsi="宋体" w:eastAsia="宋体" w:cs="宋体"/>
        </w:rPr>
      </w:pPr>
      <w:r>
        <w:rPr>
          <w:rFonts w:hint="eastAsia" w:ascii="宋体" w:hAnsi="宋体" w:eastAsia="宋体" w:cs="宋体"/>
        </w:rPr>
        <w:t>5）协助财务部做好农民工工资的宣传、登记、发放、告示工作；</w:t>
      </w:r>
    </w:p>
    <w:p w14:paraId="7DD80508">
      <w:pPr>
        <w:ind w:firstLine="480"/>
        <w:rPr>
          <w:rFonts w:hint="eastAsia" w:ascii="宋体" w:hAnsi="宋体" w:eastAsia="宋体" w:cs="宋体"/>
        </w:rPr>
      </w:pPr>
      <w:r>
        <w:rPr>
          <w:rFonts w:hint="eastAsia" w:ascii="宋体" w:hAnsi="宋体" w:eastAsia="宋体" w:cs="宋体"/>
        </w:rPr>
        <w:t>6）参与项目经理规章制度的管理制定，做好参谋工作；</w:t>
      </w:r>
    </w:p>
    <w:p w14:paraId="4215AD47">
      <w:pPr>
        <w:ind w:firstLine="480"/>
        <w:rPr>
          <w:rFonts w:hint="eastAsia" w:ascii="宋体" w:hAnsi="宋体" w:eastAsia="宋体" w:cs="宋体"/>
        </w:rPr>
      </w:pPr>
      <w:r>
        <w:rPr>
          <w:rFonts w:hint="eastAsia" w:ascii="宋体" w:hAnsi="宋体" w:eastAsia="宋体" w:cs="宋体"/>
        </w:rPr>
        <w:t>7）认真落实好各部门加班加点时的辅助工作；</w:t>
      </w:r>
    </w:p>
    <w:p w14:paraId="19E6823E">
      <w:pPr>
        <w:ind w:firstLine="480"/>
        <w:rPr>
          <w:rFonts w:hint="eastAsia" w:ascii="宋体" w:hAnsi="宋体" w:eastAsia="宋体" w:cs="宋体"/>
        </w:rPr>
      </w:pPr>
      <w:r>
        <w:rPr>
          <w:rFonts w:hint="eastAsia" w:ascii="宋体" w:hAnsi="宋体" w:eastAsia="宋体" w:cs="宋体"/>
        </w:rPr>
        <w:t>8）按批准的年度财务计划保证劳保经费的开支款源，并监督其合理使用；</w:t>
      </w:r>
    </w:p>
    <w:p w14:paraId="18CEBD58">
      <w:pPr>
        <w:ind w:firstLine="480"/>
        <w:rPr>
          <w:rFonts w:hint="eastAsia" w:ascii="宋体" w:hAnsi="宋体" w:eastAsia="宋体" w:cs="宋体"/>
        </w:rPr>
      </w:pPr>
      <w:r>
        <w:rPr>
          <w:rFonts w:hint="eastAsia" w:ascii="宋体" w:hAnsi="宋体" w:eastAsia="宋体" w:cs="宋体"/>
        </w:rPr>
        <w:t>9）负责劳动保护用品、保健津贴、防暑防寒费使用的监督检查；</w:t>
      </w:r>
    </w:p>
    <w:p w14:paraId="4632530E">
      <w:pPr>
        <w:ind w:firstLine="480"/>
        <w:rPr>
          <w:rFonts w:hint="eastAsia" w:ascii="宋体" w:hAnsi="宋体" w:eastAsia="宋体" w:cs="宋体"/>
        </w:rPr>
      </w:pPr>
      <w:r>
        <w:rPr>
          <w:rFonts w:hint="eastAsia" w:ascii="宋体" w:hAnsi="宋体" w:eastAsia="宋体" w:cs="宋体"/>
        </w:rPr>
        <w:t>10）完成领导临时交办的各项工作。</w:t>
      </w:r>
    </w:p>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14:paraId="110F6E59">
      <w:pPr>
        <w:pStyle w:val="4"/>
        <w:numPr>
          <w:ilvl w:val="1"/>
          <w:numId w:val="0"/>
        </w:numPr>
        <w:spacing w:line="360" w:lineRule="auto"/>
        <w:ind w:firstLine="0" w:firstLineChars="0"/>
        <w:rPr>
          <w:rFonts w:hint="eastAsia" w:ascii="宋体" w:hAnsi="宋体" w:eastAsia="宋体" w:cs="宋体"/>
          <w:color w:val="auto"/>
        </w:rPr>
      </w:pPr>
      <w:bookmarkStart w:id="504" w:name="_Toc2467"/>
      <w:bookmarkStart w:id="505" w:name="_Toc17653"/>
      <w:bookmarkStart w:id="506" w:name="_Toc13489"/>
      <w:bookmarkStart w:id="507" w:name="_Toc16880"/>
      <w:bookmarkStart w:id="508" w:name="_Toc4092"/>
      <w:r>
        <w:rPr>
          <w:rFonts w:hint="default" w:ascii="宋体" w:hAnsi="宋体" w:eastAsia="宋体" w:cs="Times New Roman"/>
          <w:b/>
          <w:bCs/>
          <w:color w:val="auto"/>
          <w:kern w:val="2"/>
          <w:sz w:val="32"/>
          <w:szCs w:val="32"/>
          <w:lang w:val="en-US" w:eastAsia="zh-CN" w:bidi="ar-SA"/>
        </w:rPr>
        <w:t>5.3.</w:t>
      </w:r>
      <w:r>
        <w:rPr>
          <w:rStyle w:val="54"/>
          <w:rFonts w:hint="eastAsia" w:ascii="宋体" w:hAnsi="宋体" w:eastAsia="宋体" w:cs="宋体"/>
          <w:color w:val="auto"/>
        </w:rPr>
        <w:t>施工总目标</w:t>
      </w:r>
      <w:bookmarkEnd w:id="504"/>
      <w:bookmarkEnd w:id="505"/>
      <w:bookmarkEnd w:id="506"/>
      <w:bookmarkEnd w:id="507"/>
      <w:bookmarkEnd w:id="508"/>
    </w:p>
    <w:p w14:paraId="5B31B33E">
      <w:pPr>
        <w:pStyle w:val="5"/>
        <w:numPr>
          <w:ilvl w:val="2"/>
          <w:numId w:val="0"/>
        </w:numPr>
        <w:spacing w:line="360" w:lineRule="auto"/>
        <w:ind w:left="720" w:leftChars="0" w:hanging="720" w:firstLineChars="0"/>
        <w:rPr>
          <w:rFonts w:hint="eastAsia" w:ascii="宋体" w:hAnsi="宋体" w:eastAsia="宋体" w:cs="宋体"/>
          <w:color w:val="auto"/>
        </w:rPr>
      </w:pPr>
      <w:bookmarkStart w:id="509" w:name="_Toc2170"/>
      <w:bookmarkStart w:id="510" w:name="_Toc5510"/>
      <w:bookmarkStart w:id="511" w:name="_Toc32501"/>
      <w:bookmarkStart w:id="512" w:name="_Toc12553"/>
      <w:bookmarkStart w:id="513" w:name="_Toc17406"/>
      <w:r>
        <w:rPr>
          <w:rFonts w:hint="default" w:ascii="宋体" w:hAnsi="宋体" w:eastAsia="宋体" w:cs="Times New Roman"/>
          <w:b/>
          <w:bCs/>
          <w:color w:val="auto"/>
          <w:kern w:val="2"/>
          <w:sz w:val="30"/>
          <w:szCs w:val="32"/>
          <w:lang w:val="en-US" w:eastAsia="zh-CN" w:bidi="ar-SA"/>
        </w:rPr>
        <w:t>5.3.1.</w:t>
      </w:r>
      <w:r>
        <w:rPr>
          <w:rFonts w:hint="eastAsia" w:ascii="宋体" w:hAnsi="宋体" w:eastAsia="宋体" w:cs="宋体"/>
          <w:color w:val="auto"/>
        </w:rPr>
        <w:t>工期目标</w:t>
      </w:r>
      <w:bookmarkEnd w:id="452"/>
      <w:bookmarkEnd w:id="453"/>
      <w:bookmarkEnd w:id="454"/>
      <w:bookmarkEnd w:id="455"/>
      <w:bookmarkEnd w:id="456"/>
      <w:bookmarkEnd w:id="457"/>
      <w:bookmarkEnd w:id="458"/>
      <w:bookmarkEnd w:id="459"/>
      <w:bookmarkEnd w:id="460"/>
      <w:bookmarkEnd w:id="461"/>
      <w:bookmarkEnd w:id="462"/>
      <w:bookmarkEnd w:id="463"/>
      <w:bookmarkEnd w:id="509"/>
      <w:bookmarkEnd w:id="510"/>
      <w:bookmarkEnd w:id="511"/>
      <w:bookmarkEnd w:id="512"/>
      <w:bookmarkEnd w:id="513"/>
      <w:r>
        <w:rPr>
          <w:rFonts w:hint="eastAsia" w:ascii="宋体" w:hAnsi="宋体" w:eastAsia="宋体" w:cs="宋体"/>
          <w:color w:val="auto"/>
        </w:rPr>
        <w:tab/>
      </w:r>
    </w:p>
    <w:p w14:paraId="63000E8D">
      <w:pPr>
        <w:ind w:firstLine="480"/>
        <w:rPr>
          <w:rFonts w:hint="eastAsia" w:ascii="宋体" w:hAnsi="宋体" w:eastAsia="宋体" w:cs="宋体"/>
          <w:highlight w:val="none"/>
        </w:rPr>
      </w:pPr>
      <w:r>
        <w:rPr>
          <w:rFonts w:hint="eastAsia" w:ascii="宋体" w:hAnsi="宋体" w:eastAsia="宋体" w:cs="宋体"/>
          <w:highlight w:val="none"/>
        </w:rPr>
        <w:t>本合同段计划总工期为</w:t>
      </w:r>
      <w:r>
        <w:rPr>
          <w:rFonts w:hint="eastAsia" w:ascii="宋体" w:hAnsi="宋体" w:cs="宋体"/>
          <w:highlight w:val="none"/>
          <w:lang w:val="en-US" w:eastAsia="zh-CN"/>
        </w:rPr>
        <w:t>30</w:t>
      </w:r>
      <w:r>
        <w:rPr>
          <w:rFonts w:hint="eastAsia" w:ascii="宋体" w:hAnsi="宋体" w:eastAsia="宋体" w:cs="宋体"/>
          <w:highlight w:val="none"/>
        </w:rPr>
        <w:t>个月。计划开工日期为202</w:t>
      </w:r>
      <w:r>
        <w:rPr>
          <w:rFonts w:hint="eastAsia" w:ascii="宋体" w:hAnsi="宋体" w:cs="宋体"/>
          <w:highlight w:val="none"/>
          <w:lang w:val="en-US" w:eastAsia="zh-CN"/>
        </w:rPr>
        <w:t>6</w:t>
      </w:r>
      <w:r>
        <w:rPr>
          <w:rFonts w:hint="eastAsia" w:ascii="宋体" w:hAnsi="宋体" w:eastAsia="宋体" w:cs="宋体"/>
          <w:highlight w:val="none"/>
        </w:rPr>
        <w:t>年</w:t>
      </w:r>
      <w:r>
        <w:rPr>
          <w:rFonts w:hint="eastAsia" w:ascii="宋体" w:hAnsi="宋体" w:cs="宋体"/>
          <w:highlight w:val="none"/>
          <w:lang w:val="en-US" w:eastAsia="zh-CN"/>
        </w:rPr>
        <w:t>7</w:t>
      </w:r>
      <w:r>
        <w:rPr>
          <w:rFonts w:hint="eastAsia" w:ascii="宋体" w:hAnsi="宋体" w:eastAsia="宋体" w:cs="宋体"/>
          <w:highlight w:val="none"/>
        </w:rPr>
        <w:t>月</w:t>
      </w:r>
      <w:r>
        <w:rPr>
          <w:rFonts w:hint="eastAsia" w:ascii="宋体" w:hAnsi="宋体" w:eastAsia="宋体" w:cs="宋体"/>
          <w:highlight w:val="none"/>
          <w:lang w:val="en-US" w:eastAsia="zh-CN"/>
        </w:rPr>
        <w:t>1</w:t>
      </w:r>
      <w:r>
        <w:rPr>
          <w:rFonts w:hint="eastAsia" w:ascii="宋体" w:hAnsi="宋体" w:eastAsia="宋体" w:cs="宋体"/>
          <w:highlight w:val="none"/>
        </w:rPr>
        <w:t>日，交工日期为202</w:t>
      </w:r>
      <w:r>
        <w:rPr>
          <w:rFonts w:hint="eastAsia" w:ascii="宋体" w:hAnsi="宋体" w:cs="宋体"/>
          <w:highlight w:val="none"/>
          <w:lang w:val="en-US" w:eastAsia="zh-CN"/>
        </w:rPr>
        <w:t>8</w:t>
      </w:r>
      <w:r>
        <w:rPr>
          <w:rFonts w:hint="eastAsia" w:ascii="宋体" w:hAnsi="宋体" w:eastAsia="宋体" w:cs="宋体"/>
          <w:highlight w:val="none"/>
        </w:rPr>
        <w:t>年</w:t>
      </w:r>
      <w:r>
        <w:rPr>
          <w:rFonts w:hint="eastAsia" w:ascii="宋体" w:hAnsi="宋体" w:cs="宋体"/>
          <w:highlight w:val="none"/>
          <w:lang w:val="en-US" w:eastAsia="zh-CN"/>
        </w:rPr>
        <w:t>12</w:t>
      </w:r>
      <w:r>
        <w:rPr>
          <w:rFonts w:hint="eastAsia" w:ascii="宋体" w:hAnsi="宋体" w:eastAsia="宋体" w:cs="宋体"/>
          <w:highlight w:val="none"/>
        </w:rPr>
        <w:t>月</w:t>
      </w:r>
      <w:r>
        <w:rPr>
          <w:rFonts w:hint="eastAsia" w:ascii="宋体" w:hAnsi="宋体" w:eastAsia="宋体" w:cs="宋体"/>
          <w:highlight w:val="none"/>
          <w:lang w:val="en-US" w:eastAsia="zh-CN"/>
        </w:rPr>
        <w:t>31</w:t>
      </w:r>
      <w:r>
        <w:rPr>
          <w:rFonts w:hint="eastAsia" w:ascii="宋体" w:hAnsi="宋体" w:eastAsia="宋体" w:cs="宋体"/>
          <w:highlight w:val="none"/>
        </w:rPr>
        <w:t>日，满足招标文件要求。实际开工日期以开工令写明的时间为准，总施工时间不变，并力争提前完成。</w:t>
      </w:r>
    </w:p>
    <w:p w14:paraId="479488BC">
      <w:pPr>
        <w:ind w:firstLine="480"/>
        <w:rPr>
          <w:rFonts w:hint="eastAsia" w:ascii="宋体" w:hAnsi="宋体" w:eastAsia="宋体" w:cs="宋体"/>
          <w:highlight w:val="none"/>
        </w:rPr>
      </w:pPr>
      <w:r>
        <w:rPr>
          <w:rFonts w:hint="eastAsia" w:ascii="宋体" w:hAnsi="宋体" w:eastAsia="宋体" w:cs="宋体"/>
          <w:highlight w:val="none"/>
        </w:rPr>
        <w:t>各单位工程的施工计划在总工期计划的框架内，争取路基工程完成时间为20</w:t>
      </w:r>
      <w:r>
        <w:rPr>
          <w:rFonts w:hint="eastAsia" w:ascii="宋体" w:hAnsi="宋体" w:eastAsia="宋体" w:cs="宋体"/>
          <w:highlight w:val="none"/>
          <w:lang w:val="en-US" w:eastAsia="zh-CN"/>
        </w:rPr>
        <w:t>2</w:t>
      </w:r>
      <w:r>
        <w:rPr>
          <w:rFonts w:hint="eastAsia" w:ascii="宋体" w:hAnsi="宋体" w:cs="宋体"/>
          <w:highlight w:val="none"/>
          <w:lang w:val="en-US" w:eastAsia="zh-CN"/>
        </w:rPr>
        <w:t>7</w:t>
      </w:r>
      <w:r>
        <w:rPr>
          <w:rFonts w:hint="eastAsia" w:ascii="宋体" w:hAnsi="宋体" w:eastAsia="宋体" w:cs="宋体"/>
          <w:highlight w:val="none"/>
        </w:rPr>
        <w:t>年</w:t>
      </w:r>
      <w:r>
        <w:rPr>
          <w:rFonts w:hint="eastAsia" w:ascii="宋体" w:hAnsi="宋体" w:cs="宋体"/>
          <w:highlight w:val="none"/>
          <w:lang w:val="en-US" w:eastAsia="zh-CN"/>
        </w:rPr>
        <w:t>12</w:t>
      </w:r>
      <w:r>
        <w:rPr>
          <w:rFonts w:hint="eastAsia" w:ascii="宋体" w:hAnsi="宋体" w:eastAsia="宋体" w:cs="宋体"/>
          <w:highlight w:val="none"/>
        </w:rPr>
        <w:t>月</w:t>
      </w:r>
      <w:r>
        <w:rPr>
          <w:rFonts w:hint="eastAsia" w:ascii="宋体" w:hAnsi="宋体" w:eastAsia="宋体" w:cs="宋体"/>
          <w:highlight w:val="none"/>
          <w:lang w:eastAsia="zh-CN"/>
        </w:rPr>
        <w:t>，</w:t>
      </w:r>
      <w:r>
        <w:rPr>
          <w:rFonts w:hint="eastAsia" w:ascii="宋体" w:hAnsi="宋体" w:eastAsia="宋体" w:cs="宋体"/>
          <w:highlight w:val="none"/>
          <w:lang w:val="en-US" w:eastAsia="zh-CN"/>
        </w:rPr>
        <w:t>桥</w:t>
      </w:r>
      <w:r>
        <w:rPr>
          <w:rFonts w:hint="eastAsia" w:ascii="宋体" w:hAnsi="宋体" w:cs="宋体"/>
          <w:highlight w:val="none"/>
          <w:lang w:val="en-US" w:eastAsia="zh-CN"/>
        </w:rPr>
        <w:t>梁</w:t>
      </w:r>
      <w:r>
        <w:rPr>
          <w:rFonts w:hint="eastAsia" w:ascii="宋体" w:hAnsi="宋体" w:eastAsia="宋体" w:cs="宋体"/>
          <w:highlight w:val="none"/>
        </w:rPr>
        <w:t>完成时间为202</w:t>
      </w:r>
      <w:r>
        <w:rPr>
          <w:rFonts w:hint="eastAsia" w:ascii="宋体" w:hAnsi="宋体" w:cs="宋体"/>
          <w:highlight w:val="none"/>
          <w:lang w:val="en-US" w:eastAsia="zh-CN"/>
        </w:rPr>
        <w:t>8</w:t>
      </w:r>
      <w:r>
        <w:rPr>
          <w:rFonts w:hint="eastAsia" w:ascii="宋体" w:hAnsi="宋体" w:eastAsia="宋体" w:cs="宋体"/>
          <w:highlight w:val="none"/>
        </w:rPr>
        <w:t>年</w:t>
      </w:r>
      <w:r>
        <w:rPr>
          <w:rFonts w:hint="eastAsia" w:ascii="宋体" w:hAnsi="宋体" w:cs="宋体"/>
          <w:highlight w:val="none"/>
          <w:lang w:val="en-US" w:eastAsia="zh-CN"/>
        </w:rPr>
        <w:t>6</w:t>
      </w:r>
      <w:r>
        <w:rPr>
          <w:rFonts w:hint="eastAsia" w:ascii="宋体" w:hAnsi="宋体" w:eastAsia="宋体" w:cs="宋体"/>
          <w:highlight w:val="none"/>
        </w:rPr>
        <w:t>月</w:t>
      </w:r>
      <w:r>
        <w:rPr>
          <w:rFonts w:hint="eastAsia" w:ascii="宋体" w:hAnsi="宋体" w:eastAsia="宋体" w:cs="宋体"/>
          <w:highlight w:val="none"/>
          <w:lang w:val="en-US" w:eastAsia="zh-CN"/>
        </w:rPr>
        <w:t>，</w:t>
      </w:r>
      <w:r>
        <w:rPr>
          <w:rFonts w:hint="eastAsia" w:ascii="宋体" w:hAnsi="宋体" w:cs="宋体"/>
          <w:highlight w:val="none"/>
          <w:lang w:val="en-US" w:eastAsia="zh-CN"/>
        </w:rPr>
        <w:t>路面、</w:t>
      </w:r>
      <w:r>
        <w:rPr>
          <w:rFonts w:hint="eastAsia" w:ascii="宋体" w:hAnsi="宋体" w:eastAsia="宋体" w:cs="宋体"/>
          <w:highlight w:val="none"/>
        </w:rPr>
        <w:t>绿化工程完成时间为202</w:t>
      </w:r>
      <w:r>
        <w:rPr>
          <w:rFonts w:hint="eastAsia" w:ascii="宋体" w:hAnsi="宋体" w:cs="宋体"/>
          <w:highlight w:val="none"/>
          <w:lang w:val="en-US" w:eastAsia="zh-CN"/>
        </w:rPr>
        <w:t>8</w:t>
      </w:r>
      <w:r>
        <w:rPr>
          <w:rFonts w:hint="eastAsia" w:ascii="宋体" w:hAnsi="宋体" w:eastAsia="宋体" w:cs="宋体"/>
          <w:highlight w:val="none"/>
        </w:rPr>
        <w:t>年</w:t>
      </w:r>
      <w:r>
        <w:rPr>
          <w:rFonts w:hint="eastAsia" w:ascii="宋体" w:hAnsi="宋体" w:cs="宋体"/>
          <w:highlight w:val="none"/>
          <w:lang w:val="en-US" w:eastAsia="zh-CN"/>
        </w:rPr>
        <w:t>10</w:t>
      </w:r>
      <w:r>
        <w:rPr>
          <w:rFonts w:hint="eastAsia" w:ascii="宋体" w:hAnsi="宋体" w:eastAsia="宋体" w:cs="宋体"/>
          <w:highlight w:val="none"/>
        </w:rPr>
        <w:t>月。</w:t>
      </w:r>
    </w:p>
    <w:p w14:paraId="11F8872C">
      <w:pPr>
        <w:pStyle w:val="5"/>
        <w:numPr>
          <w:ilvl w:val="2"/>
          <w:numId w:val="0"/>
        </w:numPr>
        <w:spacing w:line="360" w:lineRule="auto"/>
        <w:ind w:left="720" w:leftChars="0" w:hanging="720" w:firstLineChars="0"/>
        <w:rPr>
          <w:rFonts w:hint="eastAsia" w:ascii="宋体" w:hAnsi="宋体" w:eastAsia="宋体" w:cs="宋体"/>
          <w:color w:val="auto"/>
          <w:highlight w:val="none"/>
        </w:rPr>
      </w:pPr>
      <w:bookmarkStart w:id="514" w:name="_Toc23003"/>
      <w:bookmarkStart w:id="515" w:name="_Toc1759"/>
      <w:bookmarkStart w:id="516" w:name="_Toc9134"/>
      <w:bookmarkStart w:id="517" w:name="_Toc13513"/>
      <w:bookmarkStart w:id="518" w:name="_Toc1890"/>
      <w:bookmarkStart w:id="519" w:name="_Toc25280"/>
      <w:bookmarkStart w:id="520" w:name="_Toc13651"/>
      <w:bookmarkStart w:id="521" w:name="_Toc2063"/>
      <w:bookmarkStart w:id="522" w:name="_Toc8346"/>
      <w:bookmarkStart w:id="523" w:name="_Toc22685"/>
      <w:bookmarkStart w:id="524" w:name="_Toc5370"/>
      <w:r>
        <w:rPr>
          <w:rFonts w:hint="default" w:ascii="宋体" w:hAnsi="宋体" w:eastAsia="宋体" w:cs="Times New Roman"/>
          <w:b/>
          <w:bCs/>
          <w:color w:val="auto"/>
          <w:kern w:val="2"/>
          <w:sz w:val="30"/>
          <w:szCs w:val="32"/>
          <w:lang w:val="en-US" w:eastAsia="zh-CN" w:bidi="ar-SA"/>
        </w:rPr>
        <w:t>5.3.2.</w:t>
      </w:r>
      <w:r>
        <w:rPr>
          <w:rFonts w:hint="eastAsia" w:ascii="宋体" w:hAnsi="宋体" w:eastAsia="宋体" w:cs="宋体"/>
          <w:color w:val="auto"/>
          <w:highlight w:val="none"/>
        </w:rPr>
        <w:t>质量目标</w:t>
      </w:r>
      <w:bookmarkEnd w:id="464"/>
      <w:bookmarkEnd w:id="465"/>
      <w:bookmarkEnd w:id="466"/>
      <w:bookmarkEnd w:id="467"/>
      <w:bookmarkEnd w:id="468"/>
      <w:bookmarkEnd w:id="469"/>
      <w:bookmarkEnd w:id="514"/>
      <w:bookmarkEnd w:id="515"/>
      <w:bookmarkEnd w:id="516"/>
      <w:bookmarkEnd w:id="517"/>
      <w:bookmarkEnd w:id="518"/>
      <w:bookmarkEnd w:id="519"/>
      <w:bookmarkEnd w:id="520"/>
      <w:bookmarkEnd w:id="521"/>
      <w:bookmarkEnd w:id="522"/>
      <w:bookmarkEnd w:id="523"/>
      <w:bookmarkEnd w:id="524"/>
      <w:r>
        <w:rPr>
          <w:rFonts w:hint="eastAsia" w:ascii="宋体" w:hAnsi="宋体" w:eastAsia="宋体" w:cs="宋体"/>
          <w:color w:val="auto"/>
          <w:highlight w:val="none"/>
        </w:rPr>
        <w:tab/>
      </w:r>
    </w:p>
    <w:p w14:paraId="08D86919">
      <w:pPr>
        <w:keepNext w:val="0"/>
        <w:keepLines w:val="0"/>
        <w:widowControl/>
        <w:suppressLineNumbers w:val="0"/>
        <w:jc w:val="left"/>
        <w:rPr>
          <w:rFonts w:hint="default" w:ascii="宋体" w:hAnsi="宋体" w:eastAsia="宋体" w:cs="宋体"/>
          <w:lang w:val="en-US" w:eastAsia="zh-CN"/>
        </w:rPr>
      </w:pPr>
      <w:bookmarkStart w:id="525" w:name="_Toc232929166"/>
      <w:bookmarkStart w:id="526" w:name="_Toc260037149"/>
      <w:bookmarkStart w:id="527" w:name="_Toc260036540"/>
      <w:r>
        <w:rPr>
          <w:rFonts w:hint="eastAsia" w:ascii="宋体" w:hAnsi="宋体" w:eastAsia="宋体" w:cs="宋体"/>
          <w:highlight w:val="none"/>
        </w:rPr>
        <w:t>质量控制总目标为：以“一流的材料、一流的设备、一流的工艺、一流的管理”四个一流为准则，创国内一流水平。所有公路项目工程实体质量安全可靠、经久耐用，功能上以人</w:t>
      </w:r>
      <w:r>
        <w:rPr>
          <w:rFonts w:hint="eastAsia" w:ascii="宋体" w:hAnsi="宋体" w:eastAsia="宋体" w:cs="宋体"/>
        </w:rPr>
        <w:t>为本、方便使用，外观质量上与生态景观协调统一。本项目工程质量目标为合格。交工验收质量综合评分90分以上，竣工验收达到优良等级。单位工程合格率达到100%，各项指标达到合同规定的要求，杜绝一般以上质量事故。</w:t>
      </w:r>
      <w:r>
        <w:rPr>
          <w:rFonts w:hint="eastAsia" w:ascii="宋体" w:hAnsi="宋体" w:cs="宋体"/>
          <w:lang w:val="en-US" w:eastAsia="zh-CN"/>
        </w:rPr>
        <w:t>争创</w:t>
      </w:r>
      <w:r>
        <w:rPr>
          <w:rFonts w:hint="eastAsia" w:ascii="宋体" w:hAnsi="宋体" w:eastAsia="宋体" w:cs="宋体"/>
          <w:lang w:val="en-US" w:eastAsia="zh-CN"/>
        </w:rPr>
        <w:t>“鲁班奖、詹天佑奖</w:t>
      </w:r>
      <w:r>
        <w:rPr>
          <w:rFonts w:hint="default" w:ascii="宋体" w:hAnsi="宋体" w:eastAsia="宋体" w:cs="宋体"/>
          <w:lang w:val="en-US" w:eastAsia="zh-CN"/>
        </w:rPr>
        <w:t>”</w:t>
      </w:r>
      <w:r>
        <w:rPr>
          <w:rFonts w:hint="eastAsia" w:ascii="宋体" w:hAnsi="宋体" w:eastAsia="宋体" w:cs="宋体"/>
          <w:lang w:val="en-US" w:eastAsia="zh-CN"/>
        </w:rPr>
        <w:t>。</w:t>
      </w:r>
      <w:r>
        <w:rPr>
          <w:rFonts w:hint="eastAsia" w:ascii="宋体" w:hAnsi="宋体" w:cs="宋体"/>
          <w:lang w:val="en-US" w:eastAsia="zh-CN"/>
        </w:rPr>
        <w:t xml:space="preserve"> </w:t>
      </w:r>
    </w:p>
    <w:p w14:paraId="3552CE76">
      <w:pPr>
        <w:pStyle w:val="5"/>
        <w:numPr>
          <w:ilvl w:val="2"/>
          <w:numId w:val="0"/>
        </w:numPr>
        <w:spacing w:line="360" w:lineRule="auto"/>
        <w:ind w:left="720" w:leftChars="0" w:hanging="720" w:firstLineChars="0"/>
        <w:rPr>
          <w:rFonts w:hint="eastAsia" w:ascii="宋体" w:hAnsi="宋体" w:eastAsia="宋体" w:cs="宋体"/>
          <w:color w:val="auto"/>
        </w:rPr>
      </w:pPr>
      <w:bookmarkStart w:id="528" w:name="_Toc5194"/>
      <w:bookmarkStart w:id="529" w:name="_Toc9992"/>
      <w:bookmarkStart w:id="530" w:name="_Toc26290"/>
      <w:bookmarkStart w:id="531" w:name="_Toc9061"/>
      <w:bookmarkStart w:id="532" w:name="_Toc1084"/>
      <w:bookmarkStart w:id="533" w:name="_Toc392165577"/>
      <w:bookmarkStart w:id="534" w:name="_Toc23308"/>
      <w:bookmarkStart w:id="535" w:name="_Toc392933465"/>
      <w:bookmarkStart w:id="536" w:name="_Toc15281"/>
      <w:bookmarkStart w:id="537" w:name="_Toc10854"/>
      <w:bookmarkStart w:id="538" w:name="_Toc8371"/>
      <w:bookmarkStart w:id="539" w:name="_Toc15037"/>
      <w:bookmarkStart w:id="540" w:name="_Toc27470"/>
      <w:bookmarkStart w:id="541" w:name="_Toc20013"/>
      <w:r>
        <w:rPr>
          <w:rFonts w:hint="default" w:ascii="宋体" w:hAnsi="宋体" w:eastAsia="宋体" w:cs="Times New Roman"/>
          <w:b/>
          <w:bCs/>
          <w:color w:val="auto"/>
          <w:kern w:val="2"/>
          <w:sz w:val="30"/>
          <w:szCs w:val="32"/>
          <w:lang w:val="en-US" w:eastAsia="zh-CN" w:bidi="ar-SA"/>
        </w:rPr>
        <w:t>5.3.3.</w:t>
      </w:r>
      <w:r>
        <w:rPr>
          <w:rFonts w:hint="eastAsia" w:ascii="宋体" w:hAnsi="宋体" w:eastAsia="宋体" w:cs="宋体"/>
          <w:color w:val="auto"/>
        </w:rPr>
        <w:t>安全生产目标</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r>
        <w:rPr>
          <w:rFonts w:hint="eastAsia" w:ascii="宋体" w:hAnsi="宋体" w:eastAsia="宋体" w:cs="宋体"/>
          <w:color w:val="auto"/>
        </w:rPr>
        <w:tab/>
      </w:r>
    </w:p>
    <w:p w14:paraId="00220D57">
      <w:pPr>
        <w:ind w:firstLine="480"/>
        <w:rPr>
          <w:rFonts w:hint="eastAsia" w:ascii="宋体" w:hAnsi="宋体" w:eastAsia="宋体" w:cs="宋体"/>
          <w:highlight w:val="none"/>
          <w:lang w:val="en-US" w:eastAsia="zh-CN"/>
        </w:rPr>
      </w:pPr>
      <w:bookmarkStart w:id="542" w:name="_Toc28935"/>
      <w:bookmarkStart w:id="543" w:name="_Toc25021"/>
      <w:r>
        <w:rPr>
          <w:rFonts w:hint="eastAsia" w:ascii="宋体" w:hAnsi="宋体" w:eastAsia="宋体" w:cs="宋体"/>
          <w:highlight w:val="none"/>
          <w:lang w:val="en-US" w:eastAsia="zh-CN"/>
        </w:rPr>
        <w:t>1.生产安全责任事故零死亡。</w:t>
      </w:r>
    </w:p>
    <w:p w14:paraId="1A51BD60">
      <w:pPr>
        <w:ind w:firstLine="480"/>
        <w:rPr>
          <w:rFonts w:hint="eastAsia" w:ascii="宋体" w:hAnsi="宋体" w:eastAsia="宋体" w:cs="宋体"/>
          <w:highlight w:val="none"/>
          <w:lang w:val="en-US" w:eastAsia="zh-CN"/>
        </w:rPr>
      </w:pPr>
      <w:r>
        <w:rPr>
          <w:rFonts w:hint="eastAsia" w:ascii="宋体" w:hAnsi="宋体" w:eastAsia="宋体" w:cs="宋体"/>
          <w:highlight w:val="none"/>
          <w:lang w:val="en-US" w:eastAsia="zh-CN"/>
        </w:rPr>
        <w:t>2.直接经济损失100万元以上的非人身安全责任事故零起。</w:t>
      </w:r>
    </w:p>
    <w:p w14:paraId="3EC27149">
      <w:pPr>
        <w:ind w:firstLine="480"/>
        <w:rPr>
          <w:rFonts w:hint="eastAsia" w:ascii="宋体" w:hAnsi="宋体" w:eastAsia="宋体" w:cs="宋体"/>
          <w:highlight w:val="none"/>
          <w:lang w:val="en-US" w:eastAsia="zh-CN"/>
        </w:rPr>
      </w:pPr>
      <w:r>
        <w:rPr>
          <w:rFonts w:hint="eastAsia" w:ascii="宋体" w:hAnsi="宋体" w:eastAsia="宋体" w:cs="宋体"/>
          <w:highlight w:val="none"/>
          <w:lang w:val="en-US" w:eastAsia="zh-CN"/>
        </w:rPr>
        <w:t>3.创建集团安全质量标准化示范项目。</w:t>
      </w:r>
    </w:p>
    <w:p w14:paraId="531F9C56">
      <w:pPr>
        <w:ind w:firstLine="480"/>
        <w:rPr>
          <w:rFonts w:hint="eastAsia" w:ascii="宋体" w:hAnsi="宋体" w:eastAsia="宋体" w:cs="宋体"/>
          <w:highlight w:val="none"/>
          <w:lang w:val="en-US" w:eastAsia="zh-CN"/>
        </w:rPr>
      </w:pPr>
      <w:r>
        <w:rPr>
          <w:rFonts w:hint="eastAsia" w:ascii="宋体" w:hAnsi="宋体" w:eastAsia="宋体" w:cs="宋体"/>
          <w:highlight w:val="none"/>
          <w:lang w:val="en-US" w:eastAsia="zh-CN"/>
        </w:rPr>
        <w:t>4.职业病发病率为零。</w:t>
      </w:r>
    </w:p>
    <w:p w14:paraId="4CCC51FF">
      <w:pPr>
        <w:ind w:firstLine="480"/>
        <w:rPr>
          <w:rFonts w:hint="eastAsia" w:ascii="宋体" w:hAnsi="宋体" w:eastAsia="宋体" w:cs="宋体"/>
          <w:highlight w:val="none"/>
          <w:lang w:val="en-US" w:eastAsia="zh-CN"/>
        </w:rPr>
      </w:pPr>
      <w:r>
        <w:rPr>
          <w:rFonts w:hint="eastAsia" w:ascii="宋体" w:hAnsi="宋体" w:cs="宋体"/>
          <w:highlight w:val="none"/>
          <w:lang w:val="en-US" w:eastAsia="zh-CN"/>
        </w:rPr>
        <w:t>5、环境事件零起。</w:t>
      </w:r>
    </w:p>
    <w:tbl>
      <w:tblPr>
        <w:tblStyle w:val="47"/>
        <w:tblpPr w:leftFromText="180" w:rightFromText="180" w:vertAnchor="text" w:horzAnchor="page" w:tblpX="1726" w:tblpY="1170"/>
        <w:tblOverlap w:val="never"/>
        <w:tblW w:w="8460" w:type="dxa"/>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737"/>
        <w:gridCol w:w="3686"/>
        <w:gridCol w:w="4037"/>
      </w:tblGrid>
      <w:tr w14:paraId="24826EC6">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474" w:hRule="atLeast"/>
          <w:jc w:val="center"/>
        </w:trPr>
        <w:tc>
          <w:tcPr>
            <w:tcW w:w="737" w:type="dxa"/>
            <w:tcBorders>
              <w:top w:val="dotted" w:color="auto" w:sz="8" w:space="0"/>
              <w:left w:val="dotted" w:color="auto" w:sz="8" w:space="0"/>
              <w:bottom w:val="dotted" w:color="auto" w:sz="8" w:space="0"/>
              <w:right w:val="dotted" w:color="auto" w:sz="8" w:space="0"/>
            </w:tcBorders>
            <w:shd w:val="clear" w:color="auto" w:fill="FFFFFF"/>
            <w:vAlign w:val="center"/>
          </w:tcPr>
          <w:p w14:paraId="57D3B8E2">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序号</w:t>
            </w:r>
          </w:p>
        </w:tc>
        <w:tc>
          <w:tcPr>
            <w:tcW w:w="3686" w:type="dxa"/>
            <w:tcBorders>
              <w:top w:val="dotted" w:color="auto" w:sz="8" w:space="0"/>
              <w:left w:val="dotted" w:color="auto" w:sz="8" w:space="0"/>
              <w:bottom w:val="dotted" w:color="auto" w:sz="8" w:space="0"/>
              <w:right w:val="dotted" w:color="auto" w:sz="8" w:space="0"/>
            </w:tcBorders>
            <w:shd w:val="clear" w:color="auto" w:fill="FFFFFF"/>
            <w:vAlign w:val="center"/>
          </w:tcPr>
          <w:p w14:paraId="1CC0469A">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目标</w:t>
            </w:r>
          </w:p>
        </w:tc>
        <w:tc>
          <w:tcPr>
            <w:tcW w:w="4037" w:type="dxa"/>
            <w:tcBorders>
              <w:top w:val="dotted" w:color="auto" w:sz="8" w:space="0"/>
              <w:left w:val="dotted" w:color="auto" w:sz="8" w:space="0"/>
              <w:bottom w:val="dotted" w:color="auto" w:sz="8" w:space="0"/>
              <w:right w:val="dotted" w:color="auto" w:sz="8" w:space="0"/>
            </w:tcBorders>
            <w:shd w:val="clear" w:color="auto" w:fill="FFFFFF"/>
            <w:vAlign w:val="center"/>
          </w:tcPr>
          <w:p w14:paraId="5B1819CA">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指标</w:t>
            </w:r>
          </w:p>
        </w:tc>
      </w:tr>
      <w:tr w14:paraId="1387B25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28" w:hRule="atLeast"/>
          <w:jc w:val="center"/>
        </w:trPr>
        <w:tc>
          <w:tcPr>
            <w:tcW w:w="737" w:type="dxa"/>
            <w:tcBorders>
              <w:top w:val="dotted" w:color="auto" w:sz="8" w:space="0"/>
              <w:left w:val="dotted" w:color="auto" w:sz="8" w:space="0"/>
              <w:bottom w:val="dotted" w:color="auto" w:sz="8" w:space="0"/>
              <w:right w:val="dotted" w:color="auto" w:sz="8" w:space="0"/>
            </w:tcBorders>
            <w:shd w:val="clear" w:color="auto" w:fill="FFFFFF"/>
            <w:vAlign w:val="center"/>
          </w:tcPr>
          <w:p w14:paraId="58B1D4D0">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1</w:t>
            </w:r>
          </w:p>
        </w:tc>
        <w:tc>
          <w:tcPr>
            <w:tcW w:w="3686" w:type="dxa"/>
            <w:tcBorders>
              <w:top w:val="dotted" w:color="auto" w:sz="8" w:space="0"/>
              <w:left w:val="dotted" w:color="auto" w:sz="8" w:space="0"/>
              <w:bottom w:val="dotted" w:color="auto" w:sz="8" w:space="0"/>
              <w:right w:val="dotted" w:color="auto" w:sz="8" w:space="0"/>
            </w:tcBorders>
            <w:shd w:val="clear" w:color="auto" w:fill="FFFFFF"/>
            <w:vAlign w:val="center"/>
          </w:tcPr>
          <w:p w14:paraId="568F0735">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无死亡事故，无责任事故；无重伤事故，年轻伤率不超过3‰；</w:t>
            </w:r>
          </w:p>
        </w:tc>
        <w:tc>
          <w:tcPr>
            <w:tcW w:w="4037" w:type="dxa"/>
            <w:tcBorders>
              <w:top w:val="dotted" w:color="auto" w:sz="8" w:space="0"/>
              <w:left w:val="dotted" w:color="auto" w:sz="8" w:space="0"/>
              <w:bottom w:val="dotted" w:color="auto" w:sz="8" w:space="0"/>
              <w:right w:val="dotted" w:color="auto" w:sz="8" w:space="0"/>
            </w:tcBorders>
            <w:shd w:val="clear" w:color="auto" w:fill="FFFFFF"/>
            <w:vAlign w:val="center"/>
          </w:tcPr>
          <w:p w14:paraId="331FE6FB">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1、死亡责任事故为：0，2、重伤事故为：0，3、年轻伤率：≤3‰</w:t>
            </w:r>
          </w:p>
        </w:tc>
      </w:tr>
      <w:tr w14:paraId="394B7CDC">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28" w:hRule="atLeast"/>
          <w:jc w:val="center"/>
        </w:trPr>
        <w:tc>
          <w:tcPr>
            <w:tcW w:w="737" w:type="dxa"/>
            <w:tcBorders>
              <w:top w:val="dotted" w:color="auto" w:sz="8" w:space="0"/>
              <w:left w:val="dotted" w:color="auto" w:sz="8" w:space="0"/>
              <w:bottom w:val="dotted" w:color="auto" w:sz="8" w:space="0"/>
              <w:right w:val="dotted" w:color="auto" w:sz="8" w:space="0"/>
            </w:tcBorders>
            <w:shd w:val="clear" w:color="auto" w:fill="FFFFFF"/>
            <w:vAlign w:val="center"/>
          </w:tcPr>
          <w:p w14:paraId="4854C534">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2</w:t>
            </w:r>
          </w:p>
        </w:tc>
        <w:tc>
          <w:tcPr>
            <w:tcW w:w="3686" w:type="dxa"/>
            <w:tcBorders>
              <w:top w:val="dotted" w:color="auto" w:sz="8" w:space="0"/>
              <w:left w:val="dotted" w:color="auto" w:sz="8" w:space="0"/>
              <w:bottom w:val="dotted" w:color="auto" w:sz="8" w:space="0"/>
              <w:right w:val="dotted" w:color="auto" w:sz="8" w:space="0"/>
            </w:tcBorders>
            <w:shd w:val="clear" w:color="auto" w:fill="FFFFFF"/>
            <w:vAlign w:val="center"/>
          </w:tcPr>
          <w:p w14:paraId="1F43BAAD">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无火灾事故、无同责以上交通事故、无机械事故；</w:t>
            </w:r>
          </w:p>
        </w:tc>
        <w:tc>
          <w:tcPr>
            <w:tcW w:w="4037" w:type="dxa"/>
            <w:tcBorders>
              <w:top w:val="dotted" w:color="auto" w:sz="8" w:space="0"/>
              <w:left w:val="dotted" w:color="auto" w:sz="8" w:space="0"/>
              <w:bottom w:val="dotted" w:color="auto" w:sz="8" w:space="0"/>
              <w:right w:val="dotted" w:color="auto" w:sz="8" w:space="0"/>
            </w:tcBorders>
            <w:shd w:val="clear" w:color="auto" w:fill="FFFFFF"/>
            <w:vAlign w:val="center"/>
          </w:tcPr>
          <w:p w14:paraId="2F9E2B5C">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1、火灾次数为：0，2、交通事故：0，3、机械事故：0</w:t>
            </w:r>
          </w:p>
        </w:tc>
      </w:tr>
      <w:tr w14:paraId="185E3FC2">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1380" w:hRule="atLeast"/>
          <w:jc w:val="center"/>
        </w:trPr>
        <w:tc>
          <w:tcPr>
            <w:tcW w:w="737" w:type="dxa"/>
            <w:tcBorders>
              <w:top w:val="dotted" w:color="auto" w:sz="8" w:space="0"/>
              <w:left w:val="dotted" w:color="auto" w:sz="8" w:space="0"/>
              <w:bottom w:val="dotted" w:color="auto" w:sz="8" w:space="0"/>
              <w:right w:val="dotted" w:color="auto" w:sz="8" w:space="0"/>
            </w:tcBorders>
            <w:shd w:val="clear" w:color="auto" w:fill="FFFFFF"/>
            <w:vAlign w:val="center"/>
          </w:tcPr>
          <w:p w14:paraId="73331D24">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3</w:t>
            </w:r>
          </w:p>
        </w:tc>
        <w:tc>
          <w:tcPr>
            <w:tcW w:w="3686" w:type="dxa"/>
            <w:tcBorders>
              <w:top w:val="dotted" w:color="auto" w:sz="8" w:space="0"/>
              <w:left w:val="dotted" w:color="auto" w:sz="8" w:space="0"/>
              <w:bottom w:val="dotted" w:color="auto" w:sz="8" w:space="0"/>
              <w:right w:val="dotted" w:color="auto" w:sz="8" w:space="0"/>
            </w:tcBorders>
            <w:shd w:val="clear" w:color="auto" w:fill="FFFFFF"/>
            <w:vAlign w:val="center"/>
          </w:tcPr>
          <w:p w14:paraId="2D472593">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工作环境符合国家规定</w:t>
            </w:r>
          </w:p>
        </w:tc>
        <w:tc>
          <w:tcPr>
            <w:tcW w:w="4037" w:type="dxa"/>
            <w:tcBorders>
              <w:top w:val="dotted" w:color="auto" w:sz="8" w:space="0"/>
              <w:left w:val="dotted" w:color="auto" w:sz="8" w:space="0"/>
              <w:bottom w:val="dotted" w:color="auto" w:sz="8" w:space="0"/>
              <w:right w:val="dotted" w:color="auto" w:sz="8" w:space="0"/>
            </w:tcBorders>
            <w:shd w:val="clear" w:color="auto" w:fill="FFFFFF"/>
            <w:vAlign w:val="center"/>
          </w:tcPr>
          <w:p w14:paraId="5433C06B">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1、照明、通风、止水、噪声符合标准规定，2、目测无较浓扬尘，矽肺得病率为0，3、劳动防护用品利用率达90%以上</w:t>
            </w:r>
          </w:p>
        </w:tc>
      </w:tr>
      <w:tr w14:paraId="3DE092BD">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28" w:hRule="atLeast"/>
          <w:jc w:val="center"/>
        </w:trPr>
        <w:tc>
          <w:tcPr>
            <w:tcW w:w="737" w:type="dxa"/>
            <w:tcBorders>
              <w:top w:val="dotted" w:color="auto" w:sz="8" w:space="0"/>
              <w:left w:val="dotted" w:color="auto" w:sz="8" w:space="0"/>
              <w:bottom w:val="dotted" w:color="auto" w:sz="8" w:space="0"/>
              <w:right w:val="dotted" w:color="auto" w:sz="8" w:space="0"/>
            </w:tcBorders>
            <w:shd w:val="clear" w:color="auto" w:fill="FFFFFF"/>
            <w:vAlign w:val="center"/>
          </w:tcPr>
          <w:p w14:paraId="2A2B9B97">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4</w:t>
            </w:r>
          </w:p>
        </w:tc>
        <w:tc>
          <w:tcPr>
            <w:tcW w:w="3686" w:type="dxa"/>
            <w:tcBorders>
              <w:top w:val="dotted" w:color="auto" w:sz="8" w:space="0"/>
              <w:left w:val="dotted" w:color="auto" w:sz="8" w:space="0"/>
              <w:bottom w:val="dotted" w:color="auto" w:sz="8" w:space="0"/>
              <w:right w:val="dotted" w:color="auto" w:sz="8" w:space="0"/>
            </w:tcBorders>
            <w:shd w:val="clear" w:color="auto" w:fill="FFFFFF"/>
            <w:vAlign w:val="center"/>
          </w:tcPr>
          <w:p w14:paraId="0EAD1C7E">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特种设备运行和操作人员符合国家规定</w:t>
            </w:r>
          </w:p>
        </w:tc>
        <w:tc>
          <w:tcPr>
            <w:tcW w:w="4037" w:type="dxa"/>
            <w:tcBorders>
              <w:top w:val="dotted" w:color="auto" w:sz="8" w:space="0"/>
              <w:left w:val="dotted" w:color="auto" w:sz="8" w:space="0"/>
              <w:bottom w:val="dotted" w:color="auto" w:sz="8" w:space="0"/>
              <w:right w:val="dotted" w:color="auto" w:sz="8" w:space="0"/>
            </w:tcBorders>
            <w:shd w:val="clear" w:color="auto" w:fill="FFFFFF"/>
            <w:vAlign w:val="center"/>
          </w:tcPr>
          <w:p w14:paraId="6960A985">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1、特种设备获得国家运行许可证获证率：100%，2、特种工作人员持证上岗持证率：100%</w:t>
            </w:r>
          </w:p>
        </w:tc>
      </w:tr>
      <w:tr w14:paraId="28ABBB51">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50" w:hRule="atLeast"/>
          <w:jc w:val="center"/>
        </w:trPr>
        <w:tc>
          <w:tcPr>
            <w:tcW w:w="737" w:type="dxa"/>
            <w:tcBorders>
              <w:top w:val="dotted" w:color="auto" w:sz="8" w:space="0"/>
              <w:left w:val="dotted" w:color="auto" w:sz="8" w:space="0"/>
              <w:bottom w:val="dotted" w:color="auto" w:sz="8" w:space="0"/>
              <w:right w:val="dotted" w:color="auto" w:sz="8" w:space="0"/>
            </w:tcBorders>
            <w:shd w:val="clear" w:color="auto" w:fill="FFFFFF"/>
            <w:vAlign w:val="center"/>
          </w:tcPr>
          <w:p w14:paraId="20A13C1B">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5</w:t>
            </w:r>
          </w:p>
        </w:tc>
        <w:tc>
          <w:tcPr>
            <w:tcW w:w="3686" w:type="dxa"/>
            <w:tcBorders>
              <w:top w:val="dotted" w:color="auto" w:sz="8" w:space="0"/>
              <w:left w:val="dotted" w:color="auto" w:sz="8" w:space="0"/>
              <w:bottom w:val="dotted" w:color="auto" w:sz="8" w:space="0"/>
              <w:right w:val="dotted" w:color="auto" w:sz="8" w:space="0"/>
            </w:tcBorders>
            <w:shd w:val="clear" w:color="auto" w:fill="FFFFFF"/>
            <w:vAlign w:val="center"/>
          </w:tcPr>
          <w:p w14:paraId="7A60889D">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争创“平安工地”、“文明工地”等安全工作目标</w:t>
            </w:r>
          </w:p>
        </w:tc>
        <w:tc>
          <w:tcPr>
            <w:tcW w:w="4037" w:type="dxa"/>
            <w:tcBorders>
              <w:top w:val="dotted" w:color="auto" w:sz="8" w:space="0"/>
              <w:left w:val="dotted" w:color="auto" w:sz="8" w:space="0"/>
              <w:bottom w:val="dotted" w:color="auto" w:sz="8" w:space="0"/>
              <w:right w:val="dotted" w:color="auto" w:sz="8" w:space="0"/>
            </w:tcBorders>
            <w:shd w:val="clear" w:color="auto" w:fill="FFFFFF"/>
            <w:vAlign w:val="center"/>
          </w:tcPr>
          <w:p w14:paraId="5936BACC">
            <w:pPr>
              <w:pStyle w:val="105"/>
              <w:spacing w:line="360" w:lineRule="auto"/>
              <w:jc w:val="center"/>
              <w:rPr>
                <w:rFonts w:hint="eastAsia" w:ascii="宋体" w:hAnsi="宋体" w:eastAsia="宋体" w:cs="宋体"/>
                <w:sz w:val="21"/>
                <w:szCs w:val="21"/>
              </w:rPr>
            </w:pPr>
            <w:r>
              <w:rPr>
                <w:rFonts w:hint="eastAsia" w:ascii="宋体" w:hAnsi="宋体" w:eastAsia="宋体" w:cs="宋体"/>
                <w:sz w:val="21"/>
                <w:szCs w:val="21"/>
              </w:rPr>
              <w:t>争创：省级“平安工地”、“文明工地”</w:t>
            </w:r>
          </w:p>
        </w:tc>
      </w:tr>
      <w:bookmarkEnd w:id="542"/>
      <w:bookmarkEnd w:id="543"/>
    </w:tbl>
    <w:p w14:paraId="5B5F2A67">
      <w:pPr>
        <w:ind w:left="0" w:leftChars="0" w:firstLine="0" w:firstLineChars="0"/>
        <w:rPr>
          <w:rFonts w:hint="eastAsia" w:ascii="宋体" w:hAnsi="宋体" w:eastAsia="宋体" w:cs="宋体"/>
          <w:highlight w:val="none"/>
          <w:lang w:val="en-US" w:eastAsia="zh-CN"/>
        </w:rPr>
      </w:pPr>
    </w:p>
    <w:p w14:paraId="7CE92AF0">
      <w:pPr>
        <w:pStyle w:val="103"/>
        <w:rPr>
          <w:rFonts w:hint="eastAsia" w:ascii="宋体" w:hAnsi="宋体" w:eastAsia="宋体" w:cs="宋体"/>
          <w:color w:val="auto"/>
        </w:rPr>
      </w:pPr>
      <w:r>
        <w:rPr>
          <w:rFonts w:hint="eastAsia" w:ascii="宋体" w:hAnsi="宋体" w:eastAsia="宋体" w:cs="宋体"/>
          <w:color w:val="auto"/>
        </w:rPr>
        <w:t>职业安全健康目标和指标</w:t>
      </w:r>
    </w:p>
    <w:p w14:paraId="297F2399">
      <w:pPr>
        <w:pStyle w:val="5"/>
        <w:numPr>
          <w:ilvl w:val="2"/>
          <w:numId w:val="0"/>
        </w:numPr>
        <w:spacing w:line="360" w:lineRule="auto"/>
        <w:ind w:left="720" w:leftChars="0" w:hanging="720" w:firstLineChars="0"/>
        <w:rPr>
          <w:rFonts w:hint="eastAsia" w:ascii="宋体" w:hAnsi="宋体" w:eastAsia="宋体" w:cs="宋体"/>
          <w:color w:val="auto"/>
        </w:rPr>
      </w:pPr>
      <w:bookmarkStart w:id="544" w:name="_Toc19451"/>
      <w:bookmarkStart w:id="545" w:name="_Toc30995"/>
      <w:bookmarkStart w:id="546" w:name="_Toc7276"/>
      <w:bookmarkStart w:id="547" w:name="_Toc18903"/>
      <w:bookmarkStart w:id="548" w:name="_Toc14027"/>
      <w:bookmarkStart w:id="549" w:name="_Toc1817"/>
      <w:bookmarkStart w:id="550" w:name="_Toc11026"/>
      <w:bookmarkStart w:id="551" w:name="_Toc3237"/>
      <w:bookmarkStart w:id="552" w:name="_Toc15842"/>
      <w:bookmarkStart w:id="553" w:name="_Toc23615"/>
      <w:bookmarkStart w:id="554" w:name="_Toc1166"/>
      <w:bookmarkStart w:id="555" w:name="_Toc232929171"/>
      <w:bookmarkStart w:id="556" w:name="_Toc392933468"/>
      <w:bookmarkStart w:id="557" w:name="_Toc260037152"/>
      <w:bookmarkStart w:id="558" w:name="_Toc260036543"/>
      <w:bookmarkStart w:id="559" w:name="_Toc6271"/>
      <w:bookmarkStart w:id="560" w:name="_Toc392165580"/>
      <w:r>
        <w:rPr>
          <w:rFonts w:hint="default" w:ascii="宋体" w:hAnsi="宋体" w:eastAsia="宋体" w:cs="Times New Roman"/>
          <w:b/>
          <w:bCs/>
          <w:color w:val="auto"/>
          <w:kern w:val="2"/>
          <w:sz w:val="30"/>
          <w:szCs w:val="32"/>
          <w:lang w:val="en-US" w:eastAsia="zh-CN" w:bidi="ar-SA"/>
        </w:rPr>
        <w:t>5.3.4.</w:t>
      </w:r>
      <w:r>
        <w:rPr>
          <w:rFonts w:hint="eastAsia" w:ascii="宋体" w:hAnsi="宋体" w:eastAsia="宋体" w:cs="宋体"/>
          <w:color w:val="auto"/>
        </w:rPr>
        <w:t>成本控制目标</w:t>
      </w:r>
      <w:bookmarkEnd w:id="544"/>
      <w:bookmarkEnd w:id="545"/>
      <w:bookmarkEnd w:id="546"/>
      <w:bookmarkEnd w:id="547"/>
      <w:bookmarkEnd w:id="548"/>
      <w:bookmarkEnd w:id="549"/>
      <w:bookmarkEnd w:id="550"/>
      <w:bookmarkEnd w:id="551"/>
      <w:bookmarkEnd w:id="552"/>
      <w:bookmarkEnd w:id="553"/>
      <w:bookmarkEnd w:id="554"/>
    </w:p>
    <w:p w14:paraId="2D3E8F97">
      <w:pPr>
        <w:ind w:firstLine="480"/>
        <w:rPr>
          <w:rFonts w:hint="eastAsia" w:ascii="宋体" w:hAnsi="宋体" w:eastAsia="宋体" w:cs="宋体"/>
        </w:rPr>
      </w:pPr>
      <w:r>
        <w:rPr>
          <w:rFonts w:hint="eastAsia" w:ascii="宋体" w:hAnsi="宋体" w:eastAsia="宋体" w:cs="宋体"/>
        </w:rPr>
        <w:t>成本控制目标主要为人、料、机三个方面，成本控制目标的确保需要依据成本预测，按照施工图纸、合同文件要求，预测将投入的计划成本：人工费、工程材料费、辅助施工材料费、机械设备费等，量化为具体的目标值。</w:t>
      </w:r>
    </w:p>
    <w:p w14:paraId="1E867056">
      <w:pPr>
        <w:ind w:firstLine="482"/>
        <w:rPr>
          <w:rFonts w:hint="eastAsia" w:ascii="宋体" w:hAnsi="宋体" w:eastAsia="宋体" w:cs="宋体"/>
          <w:b/>
          <w:bCs/>
        </w:rPr>
      </w:pPr>
      <w:bookmarkStart w:id="561" w:name="_Toc9041"/>
      <w:bookmarkStart w:id="562" w:name="_Toc24353"/>
      <w:bookmarkStart w:id="563" w:name="_Toc30167"/>
      <w:bookmarkStart w:id="564" w:name="_Toc6659"/>
      <w:bookmarkStart w:id="565" w:name="_Toc1800"/>
      <w:bookmarkStart w:id="566" w:name="_Toc20135"/>
      <w:r>
        <w:rPr>
          <w:rFonts w:hint="eastAsia" w:ascii="宋体" w:hAnsi="宋体" w:cs="宋体"/>
          <w:b/>
          <w:bCs/>
          <w:lang w:val="en-US" w:eastAsia="zh-CN"/>
        </w:rPr>
        <w:t>1、</w:t>
      </w:r>
      <w:r>
        <w:rPr>
          <w:rFonts w:hint="eastAsia" w:ascii="宋体" w:hAnsi="宋体" w:eastAsia="宋体" w:cs="宋体"/>
          <w:b/>
          <w:bCs/>
        </w:rPr>
        <w:t>工、料、机费用的预测</w:t>
      </w:r>
      <w:bookmarkEnd w:id="561"/>
      <w:bookmarkEnd w:id="562"/>
      <w:bookmarkEnd w:id="563"/>
      <w:bookmarkEnd w:id="564"/>
      <w:bookmarkEnd w:id="565"/>
      <w:bookmarkEnd w:id="566"/>
    </w:p>
    <w:p w14:paraId="68918C25">
      <w:pPr>
        <w:ind w:firstLine="480"/>
        <w:rPr>
          <w:rFonts w:hint="eastAsia" w:ascii="宋体" w:hAnsi="宋体" w:eastAsia="宋体" w:cs="宋体"/>
        </w:rPr>
      </w:pPr>
      <w:r>
        <w:rPr>
          <w:rFonts w:hint="eastAsia" w:ascii="宋体" w:hAnsi="宋体" w:eastAsia="宋体" w:cs="宋体"/>
        </w:rPr>
        <w:t>1）首先分析工程项目采用的人工费单价，再分析员工的工资水平及社会劳务的市场行情，根据工期及准备投入的人员数量分析该项工程合同造价中人工费是否包住。</w:t>
      </w:r>
    </w:p>
    <w:p w14:paraId="4C3B5525">
      <w:pPr>
        <w:ind w:firstLine="480"/>
        <w:rPr>
          <w:rFonts w:hint="eastAsia" w:ascii="宋体" w:hAnsi="宋体" w:eastAsia="宋体" w:cs="宋体"/>
        </w:rPr>
      </w:pPr>
      <w:r>
        <w:rPr>
          <w:rFonts w:hint="eastAsia" w:ascii="宋体" w:hAnsi="宋体" w:eastAsia="宋体" w:cs="宋体"/>
        </w:rPr>
        <w:t>2）材料费占工程造价的比重极大，材料在工程造价中所占比例在60%--70%，应作为重点准确把握。本工程主体结构所有材料为业主提供，在此模式下必须控制材料的损耗，本工程材料损耗控制在1.05以下。</w:t>
      </w:r>
    </w:p>
    <w:p w14:paraId="33FFBEA9">
      <w:pPr>
        <w:ind w:firstLine="480"/>
        <w:rPr>
          <w:rFonts w:hint="eastAsia" w:ascii="宋体" w:hAnsi="宋体" w:eastAsia="宋体" w:cs="宋体"/>
        </w:rPr>
      </w:pPr>
      <w:r>
        <w:rPr>
          <w:rFonts w:hint="eastAsia" w:ascii="宋体" w:hAnsi="宋体" w:eastAsia="宋体" w:cs="宋体"/>
        </w:rPr>
        <w:t>3）机械使用费：工程造价中的机械使用费，数量、金额一般是采用定额中的施工方法套算出来的，与工地实际施工有一定差异，工作效率也有不同，因此要测算实际将要发生的机械使用费。</w:t>
      </w:r>
    </w:p>
    <w:p w14:paraId="6B126A0B">
      <w:pPr>
        <w:ind w:firstLine="482"/>
        <w:rPr>
          <w:rFonts w:hint="eastAsia" w:ascii="宋体" w:hAnsi="宋体" w:eastAsia="宋体" w:cs="宋体"/>
          <w:b/>
          <w:bCs/>
        </w:rPr>
      </w:pPr>
      <w:bookmarkStart w:id="567" w:name="_Toc11417"/>
      <w:bookmarkStart w:id="568" w:name="_Toc18367"/>
      <w:bookmarkStart w:id="569" w:name="_Toc18920"/>
      <w:bookmarkStart w:id="570" w:name="_Toc14065"/>
      <w:bookmarkStart w:id="571" w:name="_Toc24435"/>
      <w:bookmarkStart w:id="572" w:name="_Toc23101"/>
      <w:r>
        <w:rPr>
          <w:rFonts w:hint="eastAsia" w:ascii="宋体" w:hAnsi="宋体" w:cs="宋体"/>
          <w:b/>
          <w:bCs/>
          <w:lang w:val="en-US" w:eastAsia="zh-CN"/>
        </w:rPr>
        <w:t>2、</w:t>
      </w:r>
      <w:r>
        <w:rPr>
          <w:rFonts w:hint="eastAsia" w:ascii="宋体" w:hAnsi="宋体" w:eastAsia="宋体" w:cs="宋体"/>
          <w:b/>
          <w:bCs/>
        </w:rPr>
        <w:t>施工方案引起费用变化的预测</w:t>
      </w:r>
      <w:bookmarkEnd w:id="567"/>
      <w:bookmarkEnd w:id="568"/>
      <w:bookmarkEnd w:id="569"/>
      <w:bookmarkEnd w:id="570"/>
      <w:bookmarkEnd w:id="571"/>
      <w:bookmarkEnd w:id="572"/>
    </w:p>
    <w:p w14:paraId="35B29806">
      <w:pPr>
        <w:ind w:firstLine="480"/>
        <w:rPr>
          <w:rFonts w:hint="eastAsia" w:ascii="宋体" w:hAnsi="宋体" w:eastAsia="宋体" w:cs="宋体"/>
        </w:rPr>
      </w:pPr>
      <w:r>
        <w:rPr>
          <w:rFonts w:hint="eastAsia" w:ascii="宋体" w:hAnsi="宋体" w:eastAsia="宋体" w:cs="宋体"/>
        </w:rPr>
        <w:t>本工程结合施工现场的实际情况制定技术上先进可行和经济合理的实施性施工组织设计，结合项目所在地的经济、自然地理条件、施工工艺、设备选择、工期安排的实际情况，制定安全可行的技术方案，基本与标书编制时的相同，此项无费用变化。</w:t>
      </w:r>
    </w:p>
    <w:p w14:paraId="56EEBF29">
      <w:pPr>
        <w:pStyle w:val="5"/>
        <w:numPr>
          <w:ilvl w:val="2"/>
          <w:numId w:val="0"/>
        </w:numPr>
        <w:spacing w:line="360" w:lineRule="auto"/>
        <w:ind w:left="720" w:leftChars="0" w:hanging="720" w:firstLineChars="0"/>
        <w:rPr>
          <w:rFonts w:hint="eastAsia" w:ascii="宋体" w:hAnsi="宋体" w:eastAsia="宋体" w:cs="宋体"/>
          <w:color w:val="auto"/>
        </w:rPr>
      </w:pPr>
      <w:bookmarkStart w:id="573" w:name="_Toc1828"/>
      <w:bookmarkStart w:id="574" w:name="_Toc3455"/>
      <w:bookmarkStart w:id="575" w:name="_Toc23281"/>
      <w:bookmarkStart w:id="576" w:name="_Toc8834"/>
      <w:bookmarkStart w:id="577" w:name="_Toc10233"/>
      <w:bookmarkStart w:id="578" w:name="_Toc806"/>
      <w:bookmarkStart w:id="579" w:name="_Toc18474"/>
      <w:r>
        <w:rPr>
          <w:rFonts w:hint="default" w:ascii="宋体" w:hAnsi="宋体" w:eastAsia="宋体" w:cs="Times New Roman"/>
          <w:b/>
          <w:bCs/>
          <w:color w:val="auto"/>
          <w:kern w:val="2"/>
          <w:sz w:val="30"/>
          <w:szCs w:val="32"/>
          <w:lang w:val="en-US" w:eastAsia="zh-CN" w:bidi="ar-SA"/>
        </w:rPr>
        <w:t>5.3.5.</w:t>
      </w:r>
      <w:r>
        <w:rPr>
          <w:rFonts w:hint="eastAsia" w:ascii="宋体" w:hAnsi="宋体" w:eastAsia="宋体" w:cs="宋体"/>
          <w:color w:val="auto"/>
        </w:rPr>
        <w:t>文明施工目标</w:t>
      </w:r>
      <w:bookmarkEnd w:id="555"/>
      <w:bookmarkEnd w:id="556"/>
      <w:bookmarkEnd w:id="557"/>
      <w:bookmarkEnd w:id="558"/>
      <w:bookmarkEnd w:id="559"/>
      <w:bookmarkEnd w:id="560"/>
      <w:bookmarkEnd w:id="573"/>
      <w:bookmarkEnd w:id="574"/>
      <w:bookmarkEnd w:id="575"/>
      <w:bookmarkEnd w:id="576"/>
      <w:bookmarkEnd w:id="577"/>
      <w:bookmarkEnd w:id="578"/>
      <w:bookmarkEnd w:id="579"/>
      <w:r>
        <w:rPr>
          <w:rFonts w:hint="eastAsia" w:ascii="宋体" w:hAnsi="宋体" w:eastAsia="宋体" w:cs="宋体"/>
          <w:color w:val="auto"/>
        </w:rPr>
        <w:tab/>
      </w:r>
    </w:p>
    <w:p w14:paraId="417AAA7B">
      <w:pPr>
        <w:ind w:firstLine="480"/>
        <w:rPr>
          <w:rFonts w:hint="eastAsia" w:ascii="宋体" w:hAnsi="宋体" w:eastAsia="宋体" w:cs="宋体"/>
        </w:rPr>
      </w:pPr>
      <w:r>
        <w:rPr>
          <w:rFonts w:hint="eastAsia" w:ascii="宋体" w:hAnsi="宋体" w:eastAsia="宋体" w:cs="宋体"/>
        </w:rPr>
        <w:t>环境整洁、纪律严明、设备完好、物流有序、信息准确、生产均衡、创省部级文明施工样板及安全标准工地。各工点创建良好的工作环境，也是促进施工生产的重要组成部分，本项目严格按照上级各主管部门相关要求，推行现代管理理念、科学组织施工，积极落实文明工地建设；施工区域及职责严格划分，设立责任区，以保证场地及道路平整畅通，排水流畅；所有驻地均采用封闭式管理，场地内各功能区域划分明确，做到文明施工工地。</w:t>
      </w:r>
    </w:p>
    <w:p w14:paraId="47DA4B18">
      <w:pPr>
        <w:pStyle w:val="5"/>
        <w:numPr>
          <w:ilvl w:val="2"/>
          <w:numId w:val="0"/>
        </w:numPr>
        <w:spacing w:line="360" w:lineRule="auto"/>
        <w:ind w:left="720" w:leftChars="0" w:hanging="720" w:firstLineChars="0"/>
        <w:rPr>
          <w:rFonts w:hint="eastAsia" w:ascii="宋体" w:hAnsi="宋体" w:eastAsia="宋体" w:cs="宋体"/>
          <w:color w:val="auto"/>
        </w:rPr>
      </w:pPr>
      <w:bookmarkStart w:id="580" w:name="_Toc4574"/>
      <w:bookmarkStart w:id="581" w:name="_Toc29912"/>
      <w:bookmarkStart w:id="582" w:name="_Toc392165579"/>
      <w:bookmarkStart w:id="583" w:name="_Toc14029"/>
      <w:bookmarkStart w:id="584" w:name="_Toc392933467"/>
      <w:bookmarkStart w:id="585" w:name="_Toc13470"/>
      <w:bookmarkStart w:id="586" w:name="_Toc18369"/>
      <w:bookmarkStart w:id="587" w:name="_Toc9807"/>
      <w:bookmarkStart w:id="588" w:name="_Toc2917"/>
      <w:bookmarkStart w:id="589" w:name="_Toc31694"/>
      <w:bookmarkStart w:id="590" w:name="_Toc13809"/>
      <w:bookmarkStart w:id="591" w:name="_Toc12044"/>
      <w:bookmarkStart w:id="592" w:name="_Toc19245"/>
      <w:bookmarkStart w:id="593" w:name="_Toc25358"/>
      <w:r>
        <w:rPr>
          <w:rFonts w:hint="default" w:ascii="宋体" w:hAnsi="宋体" w:eastAsia="宋体" w:cs="Times New Roman"/>
          <w:b/>
          <w:bCs/>
          <w:color w:val="auto"/>
          <w:kern w:val="2"/>
          <w:sz w:val="30"/>
          <w:szCs w:val="32"/>
          <w:lang w:val="en-US" w:eastAsia="zh-CN" w:bidi="ar-SA"/>
        </w:rPr>
        <w:t>5.3.6.</w:t>
      </w:r>
      <w:r>
        <w:rPr>
          <w:rFonts w:hint="eastAsia" w:ascii="宋体" w:hAnsi="宋体" w:eastAsia="宋体" w:cs="宋体"/>
          <w:color w:val="auto"/>
        </w:rPr>
        <w:t>环境保护目标</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14:paraId="2252F029">
      <w:pPr>
        <w:ind w:firstLine="480"/>
        <w:rPr>
          <w:rFonts w:hint="eastAsia" w:ascii="宋体" w:hAnsi="宋体" w:eastAsia="宋体" w:cs="宋体"/>
        </w:rPr>
      </w:pPr>
      <w:r>
        <w:rPr>
          <w:rFonts w:hint="eastAsia" w:ascii="宋体" w:hAnsi="宋体" w:eastAsia="宋体" w:cs="宋体"/>
        </w:rPr>
        <w:t>努力把工程施工对环境的不利影响减至最低限度，做到环保设施与工程建设“三同时”，施工全过程零投诉，全面贯彻绿色施工理念。在对本项目的施工环境现状进行综合分析、评价和解析的基础上，根据本标段道路的性质、功能以及绿化立地条件，结合现场的建设布局，通过对各种临建设施方案的综合平衡与汇总，考虑预计可能投入的资金情况，根据绿化环境、防护功能及景观观赏等综合因素考虑，制定本项目绿化目标为：</w:t>
      </w:r>
    </w:p>
    <w:p w14:paraId="234C4454">
      <w:pPr>
        <w:ind w:firstLine="480"/>
        <w:rPr>
          <w:rFonts w:hint="eastAsia" w:ascii="宋体" w:hAnsi="宋体" w:eastAsia="宋体" w:cs="宋体"/>
        </w:rPr>
      </w:pPr>
      <w:r>
        <w:rPr>
          <w:rFonts w:hint="eastAsia" w:ascii="宋体" w:hAnsi="宋体" w:eastAsia="宋体" w:cs="宋体"/>
        </w:rPr>
        <w:t>1、项目建设在满足标准化建设的条件下尽量减少对周围环境的破坏。</w:t>
      </w:r>
    </w:p>
    <w:p w14:paraId="7E666EE4">
      <w:pPr>
        <w:ind w:firstLine="480"/>
        <w:rPr>
          <w:rFonts w:hint="eastAsia" w:ascii="宋体" w:hAnsi="宋体" w:eastAsia="宋体" w:cs="宋体"/>
        </w:rPr>
      </w:pPr>
      <w:r>
        <w:rPr>
          <w:rFonts w:hint="eastAsia" w:ascii="宋体" w:hAnsi="宋体" w:eastAsia="宋体" w:cs="宋体"/>
        </w:rPr>
        <w:t>2、钢筋加工厂的建设，尽量</w:t>
      </w:r>
      <w:r>
        <w:rPr>
          <w:rFonts w:hint="eastAsia" w:ascii="宋体" w:hAnsi="宋体" w:cs="宋体"/>
          <w:lang w:val="en-US" w:eastAsia="zh-CN"/>
        </w:rPr>
        <w:t>减少</w:t>
      </w:r>
      <w:r>
        <w:rPr>
          <w:rFonts w:hint="eastAsia" w:ascii="宋体" w:hAnsi="宋体" w:eastAsia="宋体" w:cs="宋体"/>
        </w:rPr>
        <w:t>对周围环境的破坏，并将钢筋加工厂建设成为封闭式厂房。</w:t>
      </w:r>
    </w:p>
    <w:p w14:paraId="0C1A5245">
      <w:pPr>
        <w:ind w:firstLine="480"/>
        <w:rPr>
          <w:rFonts w:hint="eastAsia" w:ascii="宋体" w:hAnsi="宋体" w:eastAsia="宋体" w:cs="宋体"/>
        </w:rPr>
      </w:pPr>
      <w:r>
        <w:rPr>
          <w:rFonts w:hint="eastAsia" w:ascii="宋体" w:hAnsi="宋体" w:eastAsia="宋体" w:cs="宋体"/>
        </w:rPr>
        <w:t>3、施工临时便道的选择和建设考虑到利用既有道路改造，同时便道施工后将便道边坡处的绿化进行恢复。</w:t>
      </w:r>
    </w:p>
    <w:p w14:paraId="72C63B95">
      <w:pPr>
        <w:ind w:firstLine="480"/>
        <w:rPr>
          <w:rFonts w:hint="eastAsia" w:ascii="宋体" w:hAnsi="宋体" w:eastAsia="宋体" w:cs="宋体"/>
        </w:rPr>
      </w:pPr>
      <w:r>
        <w:rPr>
          <w:rFonts w:hint="eastAsia" w:ascii="宋体" w:hAnsi="宋体" w:eastAsia="宋体" w:cs="宋体"/>
        </w:rPr>
        <w:t>4、临时用电使用后进行集中防护及绿化，使之融入周围环境。</w:t>
      </w:r>
    </w:p>
    <w:p w14:paraId="37CA99FA">
      <w:pPr>
        <w:adjustRightInd w:val="0"/>
        <w:snapToGrid w:val="0"/>
        <w:ind w:firstLine="470" w:firstLineChars="196"/>
        <w:rPr>
          <w:rFonts w:hint="eastAsia" w:ascii="宋体" w:hAnsi="宋体" w:eastAsia="宋体" w:cs="宋体"/>
        </w:rPr>
      </w:pPr>
      <w:r>
        <w:rPr>
          <w:rFonts w:hint="eastAsia" w:ascii="宋体" w:hAnsi="宋体" w:eastAsia="宋体" w:cs="宋体"/>
        </w:rPr>
        <w:t>5、桥梁的施工尽量不破坏桥区环境，并做好后续陆地段绿化施工。</w:t>
      </w:r>
    </w:p>
    <w:tbl>
      <w:tblPr>
        <w:tblStyle w:val="47"/>
        <w:tblW w:w="9042"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97"/>
        <w:gridCol w:w="3298"/>
        <w:gridCol w:w="5047"/>
      </w:tblGrid>
      <w:tr w14:paraId="20B78A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71"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74588048">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序号</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41F9D5EA">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目标</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448F2E00">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指标</w:t>
            </w:r>
          </w:p>
        </w:tc>
      </w:tr>
      <w:tr w14:paraId="668C4EF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84"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4D78509D">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1</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4D90ABE6">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生活、生产污水排放符合当地环保部门的规定</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53C37C1F">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污水排放符合标准及相关方的规定；减少污水排放量。</w:t>
            </w:r>
          </w:p>
        </w:tc>
      </w:tr>
      <w:tr w14:paraId="5E6186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984"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0D1E5C07">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2</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0BA4362E">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减少污染气体排放及扬尘污染</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6A984ED9">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废气排放符合标准规定；达标率90%以上；有害毒烟经当地环保部门批准排放。</w:t>
            </w:r>
          </w:p>
        </w:tc>
      </w:tr>
      <w:tr w14:paraId="0DCBAE0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47"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2B10B798">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3</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58BE3753">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生活、生产垃圾分类处理</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4AF6C1CA">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生活垃圾，统一收集处理。建筑垃圾、废弃材料统一集中处理。</w:t>
            </w:r>
          </w:p>
        </w:tc>
      </w:tr>
      <w:tr w14:paraId="1325AF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44"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2D4AF789">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4</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282D18C2">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噪声排放符合要求</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42ECC7A1">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噪声排放符合标准规定；按规定时间施工。</w:t>
            </w:r>
          </w:p>
        </w:tc>
      </w:tr>
      <w:tr w14:paraId="48CED3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44"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58BFBECC">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5</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2A7C5298">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危险废弃物处理符合法规要求</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7DB7DFE9">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分类管理，合理处置，处理率100%。</w:t>
            </w:r>
          </w:p>
        </w:tc>
      </w:tr>
      <w:tr w14:paraId="038844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93" w:hRule="atLeast"/>
          <w:jc w:val="center"/>
        </w:trPr>
        <w:tc>
          <w:tcPr>
            <w:tcW w:w="697" w:type="dxa"/>
            <w:tcBorders>
              <w:top w:val="dotted" w:color="auto" w:sz="8" w:space="0"/>
              <w:left w:val="dotted" w:color="auto" w:sz="8" w:space="0"/>
              <w:bottom w:val="dotted" w:color="auto" w:sz="8" w:space="0"/>
              <w:right w:val="dotted" w:color="auto" w:sz="8" w:space="0"/>
            </w:tcBorders>
            <w:shd w:val="clear" w:color="auto" w:fill="FFFFFF"/>
            <w:vAlign w:val="center"/>
          </w:tcPr>
          <w:p w14:paraId="1248A0D5">
            <w:pPr>
              <w:pStyle w:val="117"/>
              <w:spacing w:line="360" w:lineRule="auto"/>
              <w:rPr>
                <w:rFonts w:hint="eastAsia" w:ascii="宋体" w:hAnsi="宋体" w:eastAsia="宋体" w:cs="宋体"/>
                <w:sz w:val="21"/>
                <w:szCs w:val="21"/>
              </w:rPr>
            </w:pPr>
            <w:r>
              <w:rPr>
                <w:rFonts w:hint="eastAsia" w:ascii="宋体" w:hAnsi="宋体" w:eastAsia="宋体" w:cs="宋体"/>
                <w:sz w:val="21"/>
                <w:szCs w:val="21"/>
              </w:rPr>
              <w:t>6</w:t>
            </w:r>
          </w:p>
        </w:tc>
        <w:tc>
          <w:tcPr>
            <w:tcW w:w="3298" w:type="dxa"/>
            <w:tcBorders>
              <w:top w:val="dotted" w:color="auto" w:sz="8" w:space="0"/>
              <w:left w:val="dotted" w:color="auto" w:sz="8" w:space="0"/>
              <w:bottom w:val="dotted" w:color="auto" w:sz="8" w:space="0"/>
              <w:right w:val="dotted" w:color="auto" w:sz="8" w:space="0"/>
            </w:tcBorders>
            <w:shd w:val="clear" w:color="auto" w:fill="FFFFFF"/>
            <w:vAlign w:val="center"/>
          </w:tcPr>
          <w:p w14:paraId="7F71AF03">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节约水、电能源</w:t>
            </w:r>
          </w:p>
        </w:tc>
        <w:tc>
          <w:tcPr>
            <w:tcW w:w="5047" w:type="dxa"/>
            <w:tcBorders>
              <w:top w:val="dotted" w:color="auto" w:sz="8" w:space="0"/>
              <w:left w:val="dotted" w:color="auto" w:sz="8" w:space="0"/>
              <w:bottom w:val="dotted" w:color="auto" w:sz="8" w:space="0"/>
              <w:right w:val="dotted" w:color="auto" w:sz="8" w:space="0"/>
            </w:tcBorders>
            <w:shd w:val="clear" w:color="auto" w:fill="FFFFFF"/>
            <w:vAlign w:val="center"/>
          </w:tcPr>
          <w:p w14:paraId="53ABFB96">
            <w:pPr>
              <w:pStyle w:val="117"/>
              <w:spacing w:line="360" w:lineRule="auto"/>
              <w:jc w:val="left"/>
              <w:rPr>
                <w:rFonts w:hint="eastAsia" w:ascii="宋体" w:hAnsi="宋体" w:eastAsia="宋体" w:cs="宋体"/>
                <w:sz w:val="21"/>
                <w:szCs w:val="21"/>
              </w:rPr>
            </w:pPr>
            <w:r>
              <w:rPr>
                <w:rFonts w:hint="eastAsia" w:ascii="宋体" w:hAnsi="宋体" w:eastAsia="宋体" w:cs="宋体"/>
                <w:sz w:val="21"/>
                <w:szCs w:val="21"/>
              </w:rPr>
              <w:t>按规定使用，按时计量。</w:t>
            </w:r>
          </w:p>
        </w:tc>
      </w:tr>
    </w:tbl>
    <w:p w14:paraId="73415372">
      <w:pPr>
        <w:pStyle w:val="5"/>
        <w:numPr>
          <w:ilvl w:val="2"/>
          <w:numId w:val="0"/>
        </w:numPr>
        <w:spacing w:line="360" w:lineRule="auto"/>
        <w:ind w:left="720" w:leftChars="0" w:hanging="720" w:firstLineChars="0"/>
        <w:rPr>
          <w:rFonts w:hint="eastAsia" w:ascii="宋体" w:hAnsi="宋体" w:eastAsia="宋体" w:cs="宋体"/>
          <w:color w:val="auto"/>
        </w:rPr>
      </w:pPr>
      <w:bookmarkStart w:id="594" w:name="_Toc7473"/>
      <w:bookmarkStart w:id="595" w:name="_Toc11008"/>
      <w:bookmarkStart w:id="596" w:name="_Toc7334"/>
      <w:bookmarkStart w:id="597" w:name="_Toc8179"/>
      <w:bookmarkStart w:id="598" w:name="_Toc13773"/>
      <w:bookmarkStart w:id="599" w:name="_Toc24482"/>
      <w:bookmarkStart w:id="600" w:name="_Toc4058"/>
      <w:bookmarkStart w:id="601" w:name="_Toc22741"/>
      <w:bookmarkStart w:id="602" w:name="_Toc10046"/>
      <w:bookmarkStart w:id="603" w:name="_Toc21674"/>
      <w:bookmarkStart w:id="604" w:name="_Toc21357"/>
      <w:r>
        <w:rPr>
          <w:rFonts w:hint="default" w:ascii="宋体" w:hAnsi="宋体" w:eastAsia="宋体" w:cs="Times New Roman"/>
          <w:b/>
          <w:bCs/>
          <w:color w:val="auto"/>
          <w:kern w:val="2"/>
          <w:sz w:val="30"/>
          <w:szCs w:val="32"/>
          <w:lang w:val="en-US" w:eastAsia="zh-CN" w:bidi="ar-SA"/>
        </w:rPr>
        <w:t>5.3.7.</w:t>
      </w:r>
      <w:r>
        <w:rPr>
          <w:rFonts w:hint="eastAsia" w:ascii="宋体" w:hAnsi="宋体" w:eastAsia="宋体" w:cs="宋体"/>
          <w:color w:val="auto"/>
        </w:rPr>
        <w:t>职业健康目标</w:t>
      </w:r>
      <w:bookmarkEnd w:id="594"/>
      <w:bookmarkEnd w:id="595"/>
      <w:bookmarkEnd w:id="596"/>
      <w:bookmarkEnd w:id="597"/>
      <w:bookmarkEnd w:id="598"/>
      <w:bookmarkEnd w:id="599"/>
      <w:bookmarkEnd w:id="600"/>
      <w:bookmarkEnd w:id="601"/>
      <w:bookmarkEnd w:id="602"/>
      <w:bookmarkEnd w:id="603"/>
      <w:bookmarkEnd w:id="604"/>
    </w:p>
    <w:p w14:paraId="6A06E21F">
      <w:pPr>
        <w:ind w:firstLine="480"/>
        <w:rPr>
          <w:rFonts w:hint="eastAsia" w:ascii="宋体" w:hAnsi="宋体" w:eastAsia="宋体" w:cs="宋体"/>
        </w:rPr>
      </w:pPr>
      <w:r>
        <w:rPr>
          <w:rFonts w:hint="eastAsia" w:ascii="宋体" w:hAnsi="宋体" w:eastAsia="宋体" w:cs="宋体"/>
        </w:rPr>
        <w:t>加强作业场所有毒有害气体、粉尘、噪声的检测和治理，达到国家和行业卫生标准，强化劳动保护用品的使用监督，为作业人员提供符合安全卫生标准的劳动保护设施和个人防护用品，控制职业病，杜绝急性、大范围、群体性职业中毒事件。</w:t>
      </w:r>
    </w:p>
    <w:p w14:paraId="6F87E814">
      <w:pPr>
        <w:pStyle w:val="5"/>
        <w:numPr>
          <w:ilvl w:val="2"/>
          <w:numId w:val="0"/>
        </w:numPr>
        <w:spacing w:line="360" w:lineRule="auto"/>
        <w:ind w:left="720" w:leftChars="0" w:hanging="720" w:firstLineChars="0"/>
        <w:rPr>
          <w:rFonts w:hint="eastAsia" w:ascii="宋体" w:hAnsi="宋体" w:eastAsia="宋体" w:cs="宋体"/>
          <w:color w:val="auto"/>
        </w:rPr>
      </w:pPr>
      <w:bookmarkStart w:id="605" w:name="_Toc16185"/>
      <w:bookmarkStart w:id="606" w:name="_Toc477253520"/>
      <w:bookmarkStart w:id="607" w:name="_Toc16914"/>
      <w:bookmarkStart w:id="608" w:name="_Toc22451"/>
      <w:bookmarkStart w:id="609" w:name="_Toc18400"/>
      <w:bookmarkStart w:id="610" w:name="_Toc30717"/>
      <w:bookmarkStart w:id="611" w:name="_Toc18871"/>
      <w:bookmarkStart w:id="612" w:name="_Toc477254875"/>
      <w:bookmarkStart w:id="613" w:name="_Toc28718"/>
      <w:bookmarkStart w:id="614" w:name="_Toc4543"/>
      <w:bookmarkStart w:id="615" w:name="_Toc24308"/>
      <w:bookmarkStart w:id="616" w:name="_Toc11019"/>
      <w:bookmarkStart w:id="617" w:name="_Toc4257"/>
      <w:bookmarkStart w:id="618" w:name="_Toc12963"/>
      <w:bookmarkStart w:id="619" w:name="_Toc12938"/>
      <w:bookmarkStart w:id="620" w:name="_Toc10397"/>
      <w:r>
        <w:rPr>
          <w:rFonts w:hint="default" w:ascii="宋体" w:hAnsi="宋体" w:eastAsia="宋体" w:cs="Times New Roman"/>
          <w:b/>
          <w:bCs/>
          <w:color w:val="auto"/>
          <w:kern w:val="2"/>
          <w:sz w:val="30"/>
          <w:szCs w:val="32"/>
          <w:lang w:val="en-US" w:eastAsia="zh-CN" w:bidi="ar-SA"/>
        </w:rPr>
        <w:t>5.3.8.</w:t>
      </w:r>
      <w:r>
        <w:rPr>
          <w:rFonts w:hint="eastAsia" w:ascii="宋体" w:hAnsi="宋体" w:eastAsia="宋体" w:cs="宋体"/>
          <w:color w:val="auto"/>
        </w:rPr>
        <w:t>廉政目标</w:t>
      </w:r>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2E660D7A">
      <w:pPr>
        <w:ind w:firstLine="480"/>
        <w:rPr>
          <w:rFonts w:hint="eastAsia" w:ascii="宋体" w:hAnsi="宋体" w:eastAsia="宋体" w:cs="宋体"/>
        </w:rPr>
      </w:pPr>
      <w:r>
        <w:rPr>
          <w:rFonts w:hint="eastAsia" w:ascii="宋体" w:hAnsi="宋体" w:eastAsia="宋体" w:cs="宋体"/>
        </w:rPr>
        <w:t>开展党风廉政建设，并专门设立党风廉政教育室，确保工程实施过程中不发生廉政事故。</w:t>
      </w:r>
    </w:p>
    <w:bookmarkEnd w:id="470"/>
    <w:bookmarkEnd w:id="471"/>
    <w:bookmarkEnd w:id="472"/>
    <w:bookmarkEnd w:id="473"/>
    <w:bookmarkEnd w:id="474"/>
    <w:bookmarkEnd w:id="475"/>
    <w:bookmarkEnd w:id="476"/>
    <w:bookmarkEnd w:id="477"/>
    <w:bookmarkEnd w:id="478"/>
    <w:bookmarkEnd w:id="479"/>
    <w:bookmarkEnd w:id="480"/>
    <w:p w14:paraId="359ABB5D">
      <w:pPr>
        <w:pStyle w:val="4"/>
        <w:numPr>
          <w:ilvl w:val="1"/>
          <w:numId w:val="0"/>
        </w:numPr>
        <w:spacing w:line="360" w:lineRule="auto"/>
        <w:ind w:firstLine="0" w:firstLineChars="0"/>
        <w:rPr>
          <w:rFonts w:hint="eastAsia" w:ascii="宋体" w:hAnsi="宋体" w:eastAsia="宋体" w:cs="宋体"/>
          <w:color w:val="auto"/>
        </w:rPr>
      </w:pPr>
      <w:bookmarkStart w:id="621" w:name="_Toc9238"/>
      <w:bookmarkStart w:id="622" w:name="_Toc21073"/>
      <w:bookmarkStart w:id="623" w:name="_Toc21515"/>
      <w:bookmarkStart w:id="624" w:name="_Toc29909"/>
      <w:bookmarkStart w:id="625" w:name="_Toc16825"/>
      <w:bookmarkStart w:id="626" w:name="_Toc17613"/>
      <w:bookmarkStart w:id="627" w:name="_Toc10089"/>
      <w:bookmarkStart w:id="628" w:name="_Toc10723"/>
      <w:bookmarkStart w:id="629" w:name="_Toc554"/>
      <w:bookmarkStart w:id="630" w:name="_Toc23451"/>
      <w:bookmarkStart w:id="631" w:name="_Toc27374"/>
      <w:bookmarkStart w:id="632" w:name="_Toc392933472"/>
      <w:bookmarkStart w:id="633" w:name="_Toc14805"/>
      <w:r>
        <w:rPr>
          <w:rFonts w:hint="default" w:ascii="宋体" w:hAnsi="宋体" w:eastAsia="宋体" w:cs="Times New Roman"/>
          <w:b/>
          <w:bCs/>
          <w:color w:val="auto"/>
          <w:kern w:val="2"/>
          <w:sz w:val="32"/>
          <w:szCs w:val="32"/>
          <w:lang w:val="en-US" w:eastAsia="zh-CN" w:bidi="ar-SA"/>
        </w:rPr>
        <w:t>5.4.</w:t>
      </w:r>
      <w:r>
        <w:rPr>
          <w:rFonts w:hint="eastAsia" w:ascii="宋体" w:hAnsi="宋体" w:eastAsia="宋体" w:cs="宋体"/>
          <w:color w:val="auto"/>
        </w:rPr>
        <w:t>施工任务划分及进场计划</w:t>
      </w:r>
      <w:bookmarkEnd w:id="621"/>
      <w:bookmarkEnd w:id="622"/>
      <w:bookmarkEnd w:id="623"/>
      <w:bookmarkEnd w:id="624"/>
      <w:bookmarkEnd w:id="625"/>
      <w:bookmarkEnd w:id="626"/>
      <w:bookmarkEnd w:id="627"/>
      <w:bookmarkEnd w:id="628"/>
      <w:bookmarkEnd w:id="629"/>
      <w:bookmarkEnd w:id="630"/>
      <w:bookmarkEnd w:id="631"/>
      <w:bookmarkEnd w:id="632"/>
      <w:bookmarkEnd w:id="633"/>
    </w:p>
    <w:p w14:paraId="580ECA4A">
      <w:pPr>
        <w:pStyle w:val="5"/>
        <w:numPr>
          <w:ilvl w:val="2"/>
          <w:numId w:val="0"/>
        </w:numPr>
        <w:spacing w:line="360" w:lineRule="auto"/>
        <w:ind w:left="720" w:leftChars="0" w:hanging="720" w:firstLineChars="0"/>
        <w:rPr>
          <w:rFonts w:hint="eastAsia" w:ascii="宋体" w:hAnsi="宋体" w:eastAsia="宋体" w:cs="宋体"/>
          <w:color w:val="auto"/>
        </w:rPr>
      </w:pPr>
      <w:bookmarkStart w:id="634" w:name="_Toc5082"/>
      <w:bookmarkStart w:id="635" w:name="_Toc26450"/>
      <w:bookmarkStart w:id="636" w:name="_Toc8279"/>
      <w:bookmarkStart w:id="637" w:name="_Toc24786"/>
      <w:bookmarkStart w:id="638" w:name="_Toc15283"/>
      <w:bookmarkStart w:id="639" w:name="_Toc25188"/>
      <w:bookmarkStart w:id="640" w:name="_Toc30705"/>
      <w:bookmarkStart w:id="641" w:name="_Toc861"/>
      <w:bookmarkStart w:id="642" w:name="_Toc12673"/>
      <w:bookmarkStart w:id="643" w:name="_Toc3008"/>
      <w:bookmarkStart w:id="644" w:name="_Toc2244"/>
      <w:bookmarkStart w:id="645" w:name="_Toc2431"/>
      <w:bookmarkStart w:id="646" w:name="_Toc19288"/>
      <w:bookmarkStart w:id="647" w:name="_Toc9015"/>
      <w:bookmarkStart w:id="648" w:name="_Toc18611"/>
      <w:bookmarkStart w:id="649" w:name="_Toc9701"/>
      <w:bookmarkStart w:id="650" w:name="_Toc10391"/>
      <w:r>
        <w:rPr>
          <w:rFonts w:hint="default" w:ascii="宋体" w:hAnsi="宋体" w:eastAsia="宋体" w:cs="Times New Roman"/>
          <w:b/>
          <w:bCs/>
          <w:color w:val="auto"/>
          <w:kern w:val="2"/>
          <w:sz w:val="30"/>
          <w:szCs w:val="32"/>
          <w:lang w:val="en-US" w:eastAsia="zh-CN" w:bidi="ar-SA"/>
        </w:rPr>
        <w:t>5.4.1.</w:t>
      </w:r>
      <w:r>
        <w:rPr>
          <w:rFonts w:hint="eastAsia" w:ascii="宋体" w:hAnsi="宋体" w:eastAsia="宋体" w:cs="宋体"/>
          <w:color w:val="auto"/>
        </w:rPr>
        <w:t>总体施工顺序</w:t>
      </w:r>
      <w:bookmarkEnd w:id="634"/>
      <w:bookmarkEnd w:id="635"/>
      <w:bookmarkEnd w:id="636"/>
      <w:bookmarkEnd w:id="637"/>
      <w:bookmarkEnd w:id="638"/>
      <w:bookmarkEnd w:id="639"/>
      <w:bookmarkEnd w:id="640"/>
      <w:bookmarkEnd w:id="641"/>
      <w:bookmarkEnd w:id="642"/>
      <w:bookmarkEnd w:id="643"/>
      <w:bookmarkEnd w:id="644"/>
    </w:p>
    <w:p w14:paraId="135F8F4E">
      <w:pPr>
        <w:ind w:firstLine="480"/>
        <w:rPr>
          <w:rFonts w:hint="eastAsia" w:ascii="宋体" w:hAnsi="宋体" w:eastAsia="宋体" w:cs="宋体"/>
        </w:rPr>
      </w:pPr>
      <w:r>
        <w:rPr>
          <w:rFonts w:hint="eastAsia" w:ascii="宋体" w:hAnsi="宋体" w:eastAsia="宋体" w:cs="宋体"/>
        </w:rPr>
        <w:t>本项目涉及的路基、路面、桥涵等关键工序均采用首件制控制措施。提前编制上报施工方案，过程严格认真详实记录施工相关数据，并及时进行首件制分析总结，经监理业主审批后作为后续施工的依据，并严格遵照执行。遇特殊情况及现场变化状况较大时，及时重新按首件制思路进行施工管理。</w:t>
      </w:r>
    </w:p>
    <w:p w14:paraId="2B216BA2">
      <w:pPr>
        <w:ind w:firstLine="480"/>
        <w:rPr>
          <w:rFonts w:hint="eastAsia" w:ascii="宋体" w:hAnsi="宋体" w:eastAsia="宋体" w:cs="宋体"/>
        </w:rPr>
      </w:pPr>
      <w:r>
        <w:rPr>
          <w:rFonts w:hint="eastAsia" w:ascii="宋体" w:hAnsi="宋体" w:eastAsia="宋体" w:cs="宋体"/>
          <w:szCs w:val="20"/>
        </w:rPr>
        <w:t>根据招、投标文件及合同文件要求，结合现场地勘实际情况，针对红线内永久用地交付时间、地面附着物评估及征迁计划、以及分段施工的局面。</w:t>
      </w:r>
      <w:r>
        <w:rPr>
          <w:rFonts w:hint="eastAsia" w:ascii="宋体" w:hAnsi="宋体" w:eastAsia="宋体" w:cs="宋体"/>
        </w:rPr>
        <w:t>路基土石方结合征拆情况组织分段施工实现流水化作业。结合工期要求，确立以桥梁</w:t>
      </w:r>
      <w:r>
        <w:rPr>
          <w:rFonts w:hint="eastAsia" w:ascii="宋体" w:hAnsi="宋体" w:cs="宋体"/>
          <w:lang w:eastAsia="zh-CN"/>
        </w:rPr>
        <w:t>、</w:t>
      </w:r>
      <w:r>
        <w:rPr>
          <w:rFonts w:hint="eastAsia" w:ascii="宋体" w:hAnsi="宋体" w:cs="宋体"/>
          <w:lang w:val="en-US" w:eastAsia="zh-CN"/>
        </w:rPr>
        <w:t>金星互通，诏安东互通</w:t>
      </w:r>
      <w:r>
        <w:rPr>
          <w:rFonts w:hint="eastAsia" w:ascii="宋体" w:hAnsi="宋体" w:eastAsia="宋体" w:cs="宋体"/>
        </w:rPr>
        <w:t>为施工重点，配备先进机械设备，采用机械化作业，组织多个工作面均衡快速施工。</w:t>
      </w:r>
    </w:p>
    <w:p w14:paraId="4810D2CB">
      <w:pPr>
        <w:pStyle w:val="5"/>
        <w:numPr>
          <w:ilvl w:val="2"/>
          <w:numId w:val="0"/>
        </w:numPr>
        <w:spacing w:line="360" w:lineRule="auto"/>
        <w:ind w:left="720" w:leftChars="0" w:hanging="720" w:firstLineChars="0"/>
        <w:rPr>
          <w:rFonts w:hint="eastAsia" w:ascii="宋体" w:hAnsi="宋体" w:eastAsia="宋体" w:cs="宋体"/>
          <w:color w:val="auto"/>
          <w:highlight w:val="none"/>
        </w:rPr>
      </w:pPr>
      <w:bookmarkStart w:id="651" w:name="_Toc1744"/>
      <w:bookmarkStart w:id="652" w:name="_Toc27279"/>
      <w:bookmarkStart w:id="653" w:name="_Toc30672"/>
      <w:bookmarkStart w:id="654" w:name="_Toc16777"/>
      <w:bookmarkStart w:id="655" w:name="_Toc13667"/>
      <w:r>
        <w:rPr>
          <w:rFonts w:hint="default" w:ascii="宋体" w:hAnsi="宋体" w:eastAsia="宋体" w:cs="Times New Roman"/>
          <w:b/>
          <w:bCs/>
          <w:color w:val="auto"/>
          <w:kern w:val="2"/>
          <w:sz w:val="30"/>
          <w:szCs w:val="32"/>
          <w:lang w:val="en-US" w:eastAsia="zh-CN" w:bidi="ar-SA"/>
        </w:rPr>
        <w:t>5.4.2.</w:t>
      </w:r>
      <w:r>
        <w:rPr>
          <w:rFonts w:hint="eastAsia" w:ascii="宋体" w:hAnsi="宋体" w:eastAsia="宋体" w:cs="宋体"/>
          <w:color w:val="auto"/>
          <w:highlight w:val="none"/>
        </w:rPr>
        <w:t>施工任务划分</w:t>
      </w:r>
      <w:bookmarkEnd w:id="651"/>
      <w:bookmarkEnd w:id="652"/>
      <w:bookmarkEnd w:id="653"/>
      <w:bookmarkEnd w:id="654"/>
      <w:bookmarkEnd w:id="655"/>
    </w:p>
    <w:p w14:paraId="032F85C6">
      <w:pPr>
        <w:ind w:firstLine="480"/>
        <w:rPr>
          <w:rFonts w:hint="eastAsia" w:ascii="宋体" w:hAnsi="宋体" w:eastAsia="宋体" w:cs="宋体"/>
          <w:highlight w:val="none"/>
          <w:lang w:val="en-US" w:eastAsia="zh-CN"/>
        </w:rPr>
      </w:pPr>
      <w:r>
        <w:rPr>
          <w:rFonts w:hint="eastAsia" w:ascii="宋体" w:hAnsi="宋体" w:eastAsia="宋体" w:cs="宋体"/>
          <w:highlight w:val="none"/>
        </w:rPr>
        <w:t>根据我标段工程规模和工期进度的要求，项目部分为具体分为</w:t>
      </w:r>
      <w:r>
        <w:rPr>
          <w:rFonts w:hint="eastAsia" w:ascii="宋体" w:hAnsi="宋体" w:cs="宋体"/>
          <w:highlight w:val="none"/>
          <w:lang w:val="en-US" w:eastAsia="zh-CN"/>
        </w:rPr>
        <w:t>8</w:t>
      </w:r>
      <w:r>
        <w:rPr>
          <w:rFonts w:hint="eastAsia" w:ascii="宋体" w:hAnsi="宋体" w:eastAsia="宋体" w:cs="宋体"/>
          <w:highlight w:val="none"/>
        </w:rPr>
        <w:t>个专业队伍：路基施工队</w:t>
      </w:r>
      <w:r>
        <w:rPr>
          <w:rFonts w:hint="eastAsia" w:ascii="宋体" w:hAnsi="宋体" w:cs="宋体"/>
          <w:highlight w:val="none"/>
          <w:lang w:val="en-US" w:eastAsia="zh-CN"/>
        </w:rPr>
        <w:t>2</w:t>
      </w:r>
      <w:r>
        <w:rPr>
          <w:rFonts w:hint="eastAsia" w:ascii="宋体" w:hAnsi="宋体" w:eastAsia="宋体" w:cs="宋体"/>
          <w:highlight w:val="none"/>
        </w:rPr>
        <w:t>个</w:t>
      </w:r>
      <w:r>
        <w:rPr>
          <w:rFonts w:hint="eastAsia" w:ascii="宋体" w:hAnsi="宋体" w:cs="宋体"/>
          <w:highlight w:val="none"/>
          <w:lang w:eastAsia="zh-CN"/>
        </w:rPr>
        <w:t>；</w:t>
      </w:r>
      <w:r>
        <w:rPr>
          <w:rFonts w:hint="eastAsia" w:ascii="宋体" w:hAnsi="宋体" w:eastAsia="宋体" w:cs="宋体"/>
          <w:highlight w:val="none"/>
        </w:rPr>
        <w:t>桥</w:t>
      </w:r>
      <w:r>
        <w:rPr>
          <w:rFonts w:hint="eastAsia" w:ascii="宋体" w:hAnsi="宋体" w:cs="宋体"/>
          <w:highlight w:val="none"/>
          <w:lang w:val="en-US" w:eastAsia="zh-CN"/>
        </w:rPr>
        <w:t>涵</w:t>
      </w:r>
      <w:r>
        <w:rPr>
          <w:rFonts w:hint="eastAsia" w:ascii="宋体" w:hAnsi="宋体" w:eastAsia="宋体" w:cs="宋体"/>
          <w:highlight w:val="none"/>
        </w:rPr>
        <w:t>施工队</w:t>
      </w:r>
      <w:r>
        <w:rPr>
          <w:rFonts w:hint="eastAsia" w:ascii="宋体" w:hAnsi="宋体" w:cs="宋体"/>
          <w:highlight w:val="none"/>
          <w:lang w:val="en-US" w:eastAsia="zh-CN"/>
        </w:rPr>
        <w:t>3</w:t>
      </w:r>
      <w:r>
        <w:rPr>
          <w:rFonts w:hint="eastAsia" w:ascii="宋体" w:hAnsi="宋体" w:eastAsia="宋体" w:cs="宋体"/>
          <w:highlight w:val="none"/>
        </w:rPr>
        <w:t>个</w:t>
      </w:r>
      <w:r>
        <w:rPr>
          <w:rFonts w:hint="eastAsia" w:ascii="宋体" w:hAnsi="宋体" w:cs="宋体"/>
          <w:highlight w:val="none"/>
          <w:lang w:eastAsia="zh-CN"/>
        </w:rPr>
        <w:t>；</w:t>
      </w:r>
      <w:r>
        <w:rPr>
          <w:rFonts w:hint="eastAsia" w:ascii="宋体" w:hAnsi="宋体" w:eastAsia="宋体" w:cs="宋体"/>
          <w:highlight w:val="none"/>
        </w:rPr>
        <w:t>路面施工队</w:t>
      </w:r>
      <w:r>
        <w:rPr>
          <w:rFonts w:hint="eastAsia" w:ascii="宋体" w:hAnsi="宋体" w:cs="宋体"/>
          <w:highlight w:val="none"/>
          <w:lang w:val="en-US" w:eastAsia="zh-CN"/>
        </w:rPr>
        <w:t>1个</w:t>
      </w:r>
      <w:r>
        <w:rPr>
          <w:rFonts w:hint="eastAsia" w:ascii="宋体" w:hAnsi="宋体" w:cs="宋体"/>
          <w:highlight w:val="none"/>
          <w:lang w:eastAsia="zh-CN"/>
        </w:rPr>
        <w:t>；</w:t>
      </w:r>
      <w:r>
        <w:rPr>
          <w:rFonts w:hint="eastAsia" w:ascii="宋体" w:hAnsi="宋体" w:cs="宋体"/>
          <w:highlight w:val="none"/>
          <w:lang w:val="en-US" w:eastAsia="zh-CN"/>
        </w:rPr>
        <w:t>交安</w:t>
      </w:r>
      <w:r>
        <w:rPr>
          <w:rFonts w:hint="eastAsia" w:ascii="宋体" w:hAnsi="宋体" w:eastAsia="宋体" w:cs="宋体"/>
          <w:highlight w:val="none"/>
        </w:rPr>
        <w:t>工队1个</w:t>
      </w:r>
      <w:r>
        <w:rPr>
          <w:rFonts w:hint="eastAsia" w:ascii="宋体" w:hAnsi="宋体" w:cs="宋体"/>
          <w:highlight w:val="none"/>
          <w:lang w:eastAsia="zh-CN"/>
        </w:rPr>
        <w:t>，</w:t>
      </w:r>
      <w:r>
        <w:rPr>
          <w:rFonts w:hint="eastAsia" w:ascii="宋体" w:hAnsi="宋体" w:cs="宋体"/>
          <w:highlight w:val="none"/>
          <w:lang w:val="en-US" w:eastAsia="zh-CN"/>
        </w:rPr>
        <w:t>绿化</w:t>
      </w:r>
      <w:r>
        <w:rPr>
          <w:rFonts w:hint="eastAsia" w:ascii="宋体" w:hAnsi="宋体" w:eastAsia="宋体" w:cs="宋体"/>
          <w:highlight w:val="none"/>
        </w:rPr>
        <w:t>工队1个。</w:t>
      </w:r>
    </w:p>
    <w:bookmarkEnd w:id="9"/>
    <w:bookmarkEnd w:id="41"/>
    <w:bookmarkEnd w:id="42"/>
    <w:bookmarkEnd w:id="43"/>
    <w:bookmarkEnd w:id="44"/>
    <w:bookmarkEnd w:id="45"/>
    <w:bookmarkEnd w:id="46"/>
    <w:bookmarkEnd w:id="47"/>
    <w:bookmarkEnd w:id="48"/>
    <w:bookmarkEnd w:id="49"/>
    <w:bookmarkEnd w:id="50"/>
    <w:bookmarkEnd w:id="51"/>
    <w:bookmarkEnd w:id="441"/>
    <w:bookmarkEnd w:id="442"/>
    <w:bookmarkEnd w:id="443"/>
    <w:bookmarkEnd w:id="444"/>
    <w:bookmarkEnd w:id="445"/>
    <w:bookmarkEnd w:id="446"/>
    <w:bookmarkEnd w:id="645"/>
    <w:bookmarkEnd w:id="646"/>
    <w:bookmarkEnd w:id="647"/>
    <w:bookmarkEnd w:id="648"/>
    <w:bookmarkEnd w:id="649"/>
    <w:bookmarkEnd w:id="650"/>
    <w:p w14:paraId="12A7C733">
      <w:pPr>
        <w:pStyle w:val="2"/>
        <w:numPr>
          <w:ilvl w:val="0"/>
          <w:numId w:val="0"/>
        </w:numPr>
        <w:spacing w:line="360" w:lineRule="auto"/>
        <w:ind w:left="432" w:leftChars="0" w:hanging="432" w:firstLineChars="0"/>
        <w:jc w:val="left"/>
        <w:rPr>
          <w:rFonts w:hint="eastAsia" w:ascii="宋体" w:hAnsi="宋体" w:eastAsia="宋体" w:cs="宋体"/>
          <w:color w:val="auto"/>
          <w:highlight w:val="none"/>
        </w:rPr>
      </w:pPr>
      <w:bookmarkStart w:id="656" w:name="_Toc16700"/>
      <w:bookmarkStart w:id="657" w:name="_Toc8579"/>
      <w:bookmarkStart w:id="658" w:name="_Toc13877"/>
      <w:bookmarkStart w:id="659" w:name="_Toc647"/>
      <w:bookmarkStart w:id="660" w:name="_Toc16306"/>
      <w:bookmarkStart w:id="661" w:name="_Toc4373"/>
      <w:bookmarkStart w:id="662" w:name="_Toc392165575"/>
      <w:bookmarkStart w:id="663" w:name="_Toc260037147"/>
      <w:bookmarkStart w:id="664" w:name="_Toc9896"/>
      <w:bookmarkStart w:id="665" w:name="_Toc232929164"/>
      <w:bookmarkStart w:id="666" w:name="_Toc392933463"/>
      <w:bookmarkStart w:id="667" w:name="_Toc26884"/>
      <w:bookmarkStart w:id="668" w:name="_Toc260036542"/>
      <w:bookmarkStart w:id="669" w:name="_Toc28702"/>
      <w:bookmarkStart w:id="670" w:name="_Toc24666"/>
      <w:bookmarkStart w:id="671" w:name="_Toc260036538"/>
      <w:bookmarkStart w:id="672" w:name="_Toc414"/>
      <w:bookmarkStart w:id="673" w:name="_Toc260037151"/>
      <w:bookmarkStart w:id="674" w:name="_Toc232929168"/>
      <w:bookmarkStart w:id="675" w:name="_Toc20509"/>
      <w:bookmarkStart w:id="676" w:name="_Toc26866"/>
      <w:bookmarkStart w:id="677" w:name="_Toc349913596"/>
      <w:bookmarkStart w:id="678" w:name="_Toc12569"/>
      <w:bookmarkStart w:id="679" w:name="_Toc12536"/>
      <w:bookmarkStart w:id="680" w:name="_Toc477254865"/>
      <w:bookmarkStart w:id="681" w:name="_Toc475990868"/>
      <w:bookmarkStart w:id="682" w:name="_Toc477253510"/>
      <w:r>
        <w:rPr>
          <w:rFonts w:hint="eastAsia" w:cs="Times New Roman"/>
          <w:b/>
          <w:bCs/>
          <w:color w:val="auto"/>
          <w:kern w:val="36"/>
          <w:sz w:val="36"/>
          <w:szCs w:val="48"/>
          <w:lang w:val="en-US" w:eastAsia="zh-CN" w:bidi="ar-SA"/>
        </w:rPr>
        <w:t>第六章</w:t>
      </w:r>
      <w:r>
        <w:rPr>
          <w:rFonts w:hint="default" w:ascii="宋体" w:hAnsi="宋体" w:eastAsia="宋体" w:cs="Times New Roman"/>
          <w:b/>
          <w:bCs/>
          <w:color w:val="auto"/>
          <w:kern w:val="36"/>
          <w:sz w:val="36"/>
          <w:szCs w:val="48"/>
          <w:lang w:val="en-US" w:eastAsia="zh-CN" w:bidi="ar-SA"/>
        </w:rPr>
        <w:t>.</w:t>
      </w:r>
      <w:r>
        <w:rPr>
          <w:rFonts w:hint="eastAsia" w:ascii="宋体" w:hAnsi="宋体" w:eastAsia="宋体" w:cs="宋体"/>
          <w:color w:val="auto"/>
          <w:highlight w:val="none"/>
        </w:rPr>
        <w:t>工程</w:t>
      </w:r>
      <w:r>
        <w:rPr>
          <w:rFonts w:hint="eastAsia" w:cs="宋体"/>
          <w:color w:val="auto"/>
          <w:highlight w:val="none"/>
          <w:lang w:val="en-US" w:eastAsia="zh-CN"/>
        </w:rPr>
        <w:t>重难</w:t>
      </w:r>
      <w:r>
        <w:rPr>
          <w:rFonts w:hint="eastAsia" w:ascii="宋体" w:hAnsi="宋体" w:eastAsia="宋体" w:cs="宋体"/>
          <w:color w:val="auto"/>
          <w:highlight w:val="none"/>
        </w:rPr>
        <w:t>点分析</w:t>
      </w:r>
      <w:bookmarkEnd w:id="656"/>
      <w:bookmarkEnd w:id="657"/>
      <w:bookmarkEnd w:id="658"/>
      <w:bookmarkEnd w:id="659"/>
      <w:bookmarkEnd w:id="660"/>
    </w:p>
    <w:p w14:paraId="2A26CA08">
      <w:pPr>
        <w:pStyle w:val="4"/>
        <w:numPr>
          <w:ilvl w:val="1"/>
          <w:numId w:val="0"/>
        </w:numPr>
        <w:spacing w:line="360" w:lineRule="auto"/>
        <w:ind w:firstLine="0" w:firstLineChars="0"/>
        <w:rPr>
          <w:rFonts w:hint="eastAsia" w:ascii="宋体" w:hAnsi="宋体" w:eastAsia="宋体" w:cs="宋体"/>
          <w:color w:val="auto"/>
          <w:highlight w:val="none"/>
        </w:rPr>
      </w:pPr>
      <w:bookmarkStart w:id="683" w:name="_Toc12706"/>
      <w:bookmarkStart w:id="684" w:name="_Toc12589"/>
      <w:bookmarkStart w:id="685" w:name="_Toc32606"/>
      <w:bookmarkStart w:id="686" w:name="_Toc18469"/>
      <w:bookmarkStart w:id="687" w:name="_Toc7930"/>
      <w:bookmarkStart w:id="688" w:name="_Toc22332"/>
      <w:bookmarkStart w:id="689" w:name="_Toc16813"/>
      <w:bookmarkStart w:id="690" w:name="_Toc5925"/>
      <w:bookmarkStart w:id="691" w:name="_Toc6898"/>
      <w:r>
        <w:rPr>
          <w:rFonts w:hint="default" w:ascii="宋体" w:hAnsi="宋体" w:eastAsia="宋体" w:cs="Times New Roman"/>
          <w:b/>
          <w:bCs/>
          <w:color w:val="auto"/>
          <w:kern w:val="2"/>
          <w:sz w:val="32"/>
          <w:szCs w:val="32"/>
          <w:lang w:val="en-US" w:eastAsia="zh-CN" w:bidi="ar-SA"/>
        </w:rPr>
        <w:t>6.1.</w:t>
      </w:r>
      <w:r>
        <w:rPr>
          <w:rFonts w:hint="eastAsia" w:ascii="宋体" w:hAnsi="宋体" w:eastAsia="宋体" w:cs="宋体"/>
          <w:color w:val="auto"/>
          <w:highlight w:val="none"/>
        </w:rPr>
        <w:t>施工组织难度大</w:t>
      </w:r>
      <w:bookmarkEnd w:id="683"/>
      <w:bookmarkEnd w:id="684"/>
      <w:bookmarkEnd w:id="685"/>
      <w:bookmarkEnd w:id="686"/>
      <w:bookmarkEnd w:id="687"/>
      <w:bookmarkEnd w:id="688"/>
      <w:bookmarkEnd w:id="689"/>
      <w:bookmarkEnd w:id="690"/>
      <w:bookmarkEnd w:id="691"/>
    </w:p>
    <w:p w14:paraId="798CCCF4">
      <w:pPr>
        <w:pStyle w:val="14"/>
        <w:ind w:firstLine="480"/>
        <w:rPr>
          <w:rFonts w:hint="eastAsia" w:ascii="宋体" w:hAnsi="宋体" w:eastAsia="宋体" w:cs="宋体"/>
          <w:highlight w:val="none"/>
        </w:rPr>
      </w:pPr>
      <w:r>
        <w:rPr>
          <w:rFonts w:hint="eastAsia" w:ascii="宋体" w:hAnsi="宋体" w:eastAsia="宋体" w:cs="宋体"/>
          <w:highlight w:val="none"/>
        </w:rPr>
        <w:t>本标段工程包含</w:t>
      </w:r>
      <w:r>
        <w:rPr>
          <w:rFonts w:hint="eastAsia" w:ascii="宋体" w:hAnsi="宋体" w:eastAsia="宋体" w:cs="宋体"/>
          <w:highlight w:val="none"/>
          <w:lang w:val="en-US" w:eastAsia="zh-CN"/>
        </w:rPr>
        <w:t>路基路面</w:t>
      </w:r>
      <w:r>
        <w:rPr>
          <w:rFonts w:hint="eastAsia" w:ascii="宋体" w:hAnsi="宋体" w:eastAsia="宋体" w:cs="宋体"/>
          <w:highlight w:val="none"/>
        </w:rPr>
        <w:t>、桥梁、涵洞</w:t>
      </w:r>
      <w:r>
        <w:rPr>
          <w:rFonts w:hint="eastAsia" w:ascii="宋体" w:hAnsi="宋体" w:eastAsia="宋体" w:cs="宋体"/>
          <w:highlight w:val="none"/>
          <w:lang w:eastAsia="zh-CN"/>
        </w:rPr>
        <w:t>、</w:t>
      </w:r>
      <w:r>
        <w:rPr>
          <w:rFonts w:hint="eastAsia" w:ascii="宋体" w:hAnsi="宋体" w:eastAsia="宋体" w:cs="宋体"/>
          <w:highlight w:val="none"/>
          <w:lang w:val="en-US" w:eastAsia="zh-CN"/>
        </w:rPr>
        <w:t>绿化</w:t>
      </w:r>
      <w:r>
        <w:rPr>
          <w:rFonts w:hint="eastAsia" w:ascii="宋体" w:hAnsi="宋体" w:eastAsia="宋体" w:cs="宋体"/>
          <w:highlight w:val="none"/>
        </w:rPr>
        <w:t>等，项目繁多。交叉工序多，必须做到有机密切配合，协调一致，其中桥梁</w:t>
      </w:r>
      <w:r>
        <w:rPr>
          <w:rFonts w:hint="eastAsia" w:ascii="宋体" w:hAnsi="宋体" w:cs="宋体"/>
          <w:highlight w:val="none"/>
          <w:lang w:val="en-US" w:eastAsia="zh-CN"/>
        </w:rPr>
        <w:t>26座，涵洞73道</w:t>
      </w:r>
      <w:r>
        <w:rPr>
          <w:rFonts w:hint="eastAsia" w:ascii="宋体" w:hAnsi="宋体" w:eastAsia="宋体" w:cs="宋体"/>
          <w:highlight w:val="none"/>
        </w:rPr>
        <w:t>，更增加了总体施工组织难度很大。</w:t>
      </w:r>
    </w:p>
    <w:p w14:paraId="20693585">
      <w:pPr>
        <w:pStyle w:val="14"/>
        <w:ind w:firstLine="480"/>
        <w:rPr>
          <w:rFonts w:hint="eastAsia" w:ascii="宋体" w:hAnsi="宋体" w:eastAsia="宋体" w:cs="宋体"/>
          <w:highlight w:val="none"/>
        </w:rPr>
      </w:pPr>
      <w:r>
        <w:rPr>
          <w:rFonts w:hint="eastAsia" w:ascii="宋体" w:hAnsi="宋体" w:eastAsia="宋体" w:cs="宋体"/>
          <w:highlight w:val="none"/>
        </w:rPr>
        <w:t>对策：针对本项目繁多，施工组织难度大，根据工程实际情况，本着“精干、高效”的原则，抽调具有丰富施工经验的管理人员和技术人员组建项目经理部，统一指挥本工程的各项施工。项目经理部设项目经理一名，项目书记一名，项目总工一名，</w:t>
      </w:r>
      <w:r>
        <w:rPr>
          <w:rFonts w:hint="eastAsia" w:ascii="宋体" w:hAnsi="宋体" w:cs="宋体"/>
          <w:highlight w:val="none"/>
          <w:lang w:val="en-US" w:eastAsia="zh-CN"/>
        </w:rPr>
        <w:t>副经理两名，安全总监一名，</w:t>
      </w:r>
      <w:r>
        <w:rPr>
          <w:rFonts w:hint="eastAsia" w:ascii="宋体" w:hAnsi="宋体" w:eastAsia="宋体" w:cs="宋体"/>
          <w:highlight w:val="none"/>
        </w:rPr>
        <w:t>并设六部两室，共</w:t>
      </w:r>
      <w:r>
        <w:rPr>
          <w:rFonts w:hint="eastAsia" w:ascii="宋体" w:hAnsi="宋体" w:cs="宋体"/>
          <w:highlight w:val="none"/>
          <w:lang w:val="en-US" w:eastAsia="zh-CN"/>
        </w:rPr>
        <w:t>60</w:t>
      </w:r>
      <w:r>
        <w:rPr>
          <w:rFonts w:hint="eastAsia" w:ascii="宋体" w:hAnsi="宋体" w:eastAsia="宋体" w:cs="宋体"/>
          <w:highlight w:val="none"/>
        </w:rPr>
        <w:t>人，对该项目实施项目管理。实行项目经理负责制，定期组织协调各施工队伍按项目要求施工，避免交叉施工而影响工期、质量、安全和环保等事情发生，全面履行合同，满足业主期望。各部门均由具有丰富施工经验和工作能力的人员组成，分别负责本工程项目的施工技术、安全、质量、计划、财务、物资、设备、环保、协调、测量试验、行政管理等各项工作，全面保证本工程项目的建设任务。</w:t>
      </w:r>
    </w:p>
    <w:p w14:paraId="00EA9EEF">
      <w:pPr>
        <w:pStyle w:val="4"/>
        <w:numPr>
          <w:ilvl w:val="1"/>
          <w:numId w:val="0"/>
        </w:numPr>
        <w:spacing w:line="360" w:lineRule="auto"/>
        <w:ind w:firstLine="0" w:firstLineChars="0"/>
        <w:rPr>
          <w:rFonts w:hint="eastAsia"/>
        </w:rPr>
      </w:pPr>
      <w:bookmarkStart w:id="692" w:name="_Toc25779"/>
      <w:bookmarkStart w:id="693" w:name="_Toc21495"/>
      <w:bookmarkStart w:id="694" w:name="_Toc2256"/>
      <w:bookmarkStart w:id="695" w:name="_Toc17001"/>
      <w:bookmarkStart w:id="696" w:name="_Toc11517"/>
      <w:bookmarkStart w:id="697" w:name="_Toc20182"/>
      <w:bookmarkStart w:id="698" w:name="_Toc19251"/>
      <w:bookmarkStart w:id="699" w:name="_Toc14466"/>
      <w:bookmarkStart w:id="700" w:name="_Toc23190"/>
      <w:r>
        <w:rPr>
          <w:rFonts w:hint="default" w:ascii="宋体" w:hAnsi="宋体" w:eastAsia="宋体" w:cs="Times New Roman"/>
          <w:b/>
          <w:bCs/>
          <w:color w:val="auto"/>
          <w:kern w:val="2"/>
          <w:sz w:val="32"/>
          <w:szCs w:val="32"/>
          <w:lang w:val="en-US" w:eastAsia="zh-CN" w:bidi="ar-SA"/>
        </w:rPr>
        <w:t>6.2.</w:t>
      </w:r>
      <w:r>
        <w:rPr>
          <w:rFonts w:hint="eastAsia" w:ascii="宋体" w:hAnsi="宋体" w:eastAsia="宋体" w:cs="宋体"/>
          <w:color w:val="auto"/>
          <w:highlight w:val="none"/>
          <w:lang w:val="en-US" w:eastAsia="zh-CN"/>
        </w:rPr>
        <w:t>沿</w:t>
      </w:r>
      <w:bookmarkEnd w:id="692"/>
      <w:bookmarkEnd w:id="693"/>
      <w:bookmarkEnd w:id="694"/>
      <w:bookmarkEnd w:id="695"/>
      <w:bookmarkEnd w:id="696"/>
      <w:bookmarkEnd w:id="697"/>
      <w:bookmarkEnd w:id="698"/>
      <w:bookmarkEnd w:id="699"/>
      <w:r>
        <w:rPr>
          <w:rFonts w:hint="eastAsia" w:ascii="宋体" w:hAnsi="宋体" w:eastAsia="宋体" w:cs="宋体"/>
          <w:color w:val="auto"/>
          <w:highlight w:val="none"/>
          <w:lang w:val="en-US" w:eastAsia="zh-CN"/>
        </w:rPr>
        <w:t>交通组织压力大，施工管理难度大</w:t>
      </w:r>
      <w:bookmarkEnd w:id="700"/>
    </w:p>
    <w:p w14:paraId="317ABD36">
      <w:pPr>
        <w:pStyle w:val="14"/>
        <w:ind w:firstLine="480"/>
        <w:rPr>
          <w:rFonts w:hint="eastAsia" w:ascii="宋体" w:hAnsi="宋体" w:eastAsia="宋体" w:cs="宋体"/>
          <w:highlight w:val="none"/>
          <w:lang w:val="en-US" w:eastAsia="zh-CN"/>
        </w:rPr>
      </w:pPr>
      <w:r>
        <w:rPr>
          <w:rFonts w:hint="eastAsia" w:ascii="宋体" w:hAnsi="宋体" w:eastAsia="宋体" w:cs="宋体"/>
          <w:highlight w:val="none"/>
          <w:lang w:val="en-US" w:eastAsia="zh-CN"/>
        </w:rPr>
        <w:t>本项目为高速公路改扩建工程，采用边通车边施工模式，施工期间既有高速公路维持运营，既有高速公路路产保护要求高，占用路面收费标准高，施工组织及交通组织是本项目的重点和难点。</w:t>
      </w:r>
    </w:p>
    <w:p w14:paraId="046F3CAB">
      <w:pPr>
        <w:pStyle w:val="14"/>
        <w:ind w:firstLine="480"/>
        <w:rPr>
          <w:rFonts w:hint="eastAsia" w:ascii="宋体" w:hAnsi="宋体" w:eastAsia="宋体" w:cs="宋体"/>
          <w:highlight w:val="none"/>
          <w:lang w:val="en-US" w:eastAsia="zh-CN"/>
        </w:rPr>
      </w:pPr>
      <w:r>
        <w:rPr>
          <w:rFonts w:hint="eastAsia" w:ascii="宋体" w:hAnsi="宋体" w:eastAsia="宋体" w:cs="宋体"/>
          <w:highlight w:val="none"/>
          <w:lang w:val="en-US" w:eastAsia="zh-CN"/>
        </w:rPr>
        <w:t>对策：做好项目总体施工进度计划，通过总体进度计划详细分解各阶段施工任务。选派经验丰富的施工管理人员和优秀的队伍，工序安排有严密的计划，紧抓关键线路，形成流水作业，环环紧扣，科学合理组织。</w:t>
      </w:r>
    </w:p>
    <w:p w14:paraId="6D081248">
      <w:pPr>
        <w:pStyle w:val="14"/>
        <w:ind w:firstLine="480"/>
        <w:rPr>
          <w:rFonts w:hint="default" w:ascii="宋体" w:hAnsi="宋体" w:eastAsia="宋体" w:cs="宋体"/>
          <w:highlight w:val="none"/>
          <w:lang w:val="en-US" w:eastAsia="zh-CN"/>
        </w:rPr>
      </w:pPr>
      <w:r>
        <w:rPr>
          <w:rFonts w:hint="eastAsia" w:ascii="宋体" w:hAnsi="宋体" w:eastAsia="宋体" w:cs="宋体"/>
          <w:highlight w:val="none"/>
          <w:lang w:val="en-US" w:eastAsia="zh-CN"/>
        </w:rPr>
        <w:t>编制合同段实施性交通组织方案，并根据施工现场实际情况制定相应交通组织应急预案。按照相关规定向监理人、发包人、路政以及交警部门报批，严格按照审查后的方案执行落实。</w:t>
      </w:r>
    </w:p>
    <w:p w14:paraId="13C073F8">
      <w:pPr>
        <w:pStyle w:val="14"/>
        <w:rPr>
          <w:rFonts w:hint="eastAsia" w:ascii="宋体" w:hAnsi="宋体" w:eastAsia="宋体" w:cs="宋体"/>
        </w:rPr>
      </w:pPr>
    </w:p>
    <w:p w14:paraId="19C94F0D">
      <w:pPr>
        <w:pStyle w:val="4"/>
        <w:numPr>
          <w:ilvl w:val="1"/>
          <w:numId w:val="0"/>
        </w:numPr>
        <w:spacing w:line="360" w:lineRule="auto"/>
        <w:ind w:firstLine="0" w:firstLineChars="0"/>
        <w:rPr>
          <w:rFonts w:hint="default" w:ascii="宋体" w:hAnsi="宋体" w:cs="宋体"/>
          <w:color w:val="auto"/>
          <w:highlight w:val="none"/>
          <w:lang w:val="en-US" w:eastAsia="zh-CN"/>
        </w:rPr>
      </w:pPr>
      <w:bookmarkStart w:id="701" w:name="_Toc10163"/>
      <w:r>
        <w:rPr>
          <w:rFonts w:hint="default" w:ascii="宋体" w:hAnsi="宋体" w:eastAsia="宋体" w:cs="Times New Roman"/>
          <w:b/>
          <w:bCs/>
          <w:color w:val="auto"/>
          <w:kern w:val="2"/>
          <w:sz w:val="32"/>
          <w:szCs w:val="32"/>
          <w:lang w:val="en-US" w:eastAsia="zh-CN" w:bidi="ar-SA"/>
        </w:rPr>
        <w:t>6.</w:t>
      </w:r>
      <w:r>
        <w:rPr>
          <w:rFonts w:hint="eastAsia" w:ascii="宋体" w:hAnsi="宋体" w:cs="Times New Roman"/>
          <w:b/>
          <w:bCs/>
          <w:color w:val="auto"/>
          <w:kern w:val="2"/>
          <w:sz w:val="32"/>
          <w:szCs w:val="32"/>
          <w:lang w:val="en-US" w:eastAsia="zh-CN" w:bidi="ar-SA"/>
        </w:rPr>
        <w:t>3</w:t>
      </w:r>
      <w:r>
        <w:rPr>
          <w:rFonts w:hint="default" w:ascii="宋体" w:hAnsi="宋体" w:eastAsia="宋体" w:cs="Times New Roman"/>
          <w:b/>
          <w:bCs/>
          <w:color w:val="auto"/>
          <w:kern w:val="2"/>
          <w:sz w:val="32"/>
          <w:szCs w:val="32"/>
          <w:lang w:val="en-US" w:eastAsia="zh-CN" w:bidi="ar-SA"/>
        </w:rPr>
        <w:t>.</w:t>
      </w:r>
      <w:r>
        <w:rPr>
          <w:rFonts w:hint="eastAsia" w:ascii="宋体" w:hAnsi="宋体" w:eastAsia="宋体" w:cs="宋体"/>
          <w:color w:val="auto"/>
          <w:highlight w:val="none"/>
          <w:lang w:val="en-US" w:eastAsia="zh-CN"/>
        </w:rPr>
        <w:t>土石方调配难度大</w:t>
      </w:r>
      <w:bookmarkEnd w:id="701"/>
    </w:p>
    <w:p w14:paraId="5893973C">
      <w:pPr>
        <w:pStyle w:val="14"/>
        <w:ind w:firstLine="480"/>
        <w:rPr>
          <w:rFonts w:hint="eastAsia" w:ascii="宋体" w:hAnsi="宋体" w:eastAsia="宋体" w:cs="宋体"/>
          <w:lang w:val="en-US" w:eastAsia="zh-CN"/>
        </w:rPr>
      </w:pPr>
      <w:r>
        <w:rPr>
          <w:rFonts w:hint="eastAsia" w:ascii="宋体" w:hAnsi="宋体" w:eastAsia="宋体" w:cs="宋体"/>
          <w:lang w:val="en-US" w:eastAsia="zh-CN"/>
        </w:rPr>
        <w:t>本标段全线17.5km，本标段填方106.82万方，路基挖方110.86万方，总填挖方量基本平衡，标段起点开始6公里内的主线与金星互通挖填基本平衡，虽然后半段总填挖量也平衡，但标尾6公里主要为填方，自身不能平衡，需从诏安东互通主线附近调至标尾约42万方土石方，最大运距在7.5公里左右，而既有高速公路占用费用高，因此对施工便道要求高，整体土方调配仍是项目的重难点。</w:t>
      </w:r>
    </w:p>
    <w:p w14:paraId="717AFA32">
      <w:pPr>
        <w:pStyle w:val="14"/>
        <w:ind w:firstLine="480"/>
        <w:rPr>
          <w:rFonts w:hint="eastAsia" w:ascii="宋体" w:hAnsi="宋体" w:eastAsia="宋体" w:cs="宋体"/>
          <w:lang w:val="en-US" w:eastAsia="zh-CN"/>
        </w:rPr>
      </w:pPr>
      <w:r>
        <w:rPr>
          <w:rFonts w:hint="eastAsia" w:ascii="宋体" w:hAnsi="宋体" w:eastAsia="宋体" w:cs="宋体"/>
          <w:lang w:val="en-US" w:eastAsia="zh-CN"/>
        </w:rPr>
        <w:t>对策：招标选择有丰富经验的施工队伍，配备专业的路基工程师，做好工区划分工作，同时依据桩号算出每公里的填挖方量，做好路基土石方调配表以施工便道，依据总体施工计划，合理组织填挖施工。</w:t>
      </w:r>
    </w:p>
    <w:p w14:paraId="4E358171">
      <w:pPr>
        <w:pStyle w:val="14"/>
        <w:ind w:firstLine="480"/>
        <w:rPr>
          <w:rFonts w:hint="default" w:ascii="宋体" w:hAnsi="宋体" w:eastAsia="宋体" w:cs="宋体"/>
          <w:b/>
          <w:bCs/>
          <w:color w:val="auto"/>
          <w:kern w:val="2"/>
          <w:sz w:val="32"/>
          <w:szCs w:val="32"/>
          <w:highlight w:val="none"/>
          <w:lang w:val="en-US" w:eastAsia="zh-CN" w:bidi="ar-SA"/>
        </w:rPr>
      </w:pPr>
      <w:r>
        <w:rPr>
          <w:rFonts w:hint="default" w:ascii="宋体" w:hAnsi="宋体" w:eastAsia="宋体" w:cs="Times New Roman"/>
          <w:b/>
          <w:bCs/>
          <w:color w:val="auto"/>
          <w:kern w:val="2"/>
          <w:sz w:val="32"/>
          <w:szCs w:val="32"/>
          <w:lang w:val="en-US" w:eastAsia="zh-CN" w:bidi="ar-SA"/>
        </w:rPr>
        <w:t>6</w:t>
      </w:r>
      <w:r>
        <w:rPr>
          <w:rFonts w:hint="default" w:ascii="宋体" w:hAnsi="宋体" w:eastAsia="宋体" w:cs="宋体"/>
          <w:b/>
          <w:bCs/>
          <w:color w:val="auto"/>
          <w:kern w:val="2"/>
          <w:sz w:val="32"/>
          <w:szCs w:val="32"/>
          <w:highlight w:val="none"/>
          <w:lang w:val="en-US" w:eastAsia="zh-CN" w:bidi="ar-SA"/>
        </w:rPr>
        <w:t>.</w:t>
      </w:r>
      <w:r>
        <w:rPr>
          <w:rFonts w:hint="eastAsia" w:ascii="宋体" w:hAnsi="宋体" w:cs="宋体"/>
          <w:b/>
          <w:bCs/>
          <w:color w:val="auto"/>
          <w:kern w:val="2"/>
          <w:sz w:val="32"/>
          <w:szCs w:val="32"/>
          <w:highlight w:val="none"/>
          <w:lang w:val="en-US" w:eastAsia="zh-CN" w:bidi="ar-SA"/>
        </w:rPr>
        <w:t>4</w:t>
      </w:r>
      <w:r>
        <w:rPr>
          <w:rFonts w:hint="default" w:ascii="宋体" w:hAnsi="宋体" w:eastAsia="宋体" w:cs="宋体"/>
          <w:b/>
          <w:bCs/>
          <w:color w:val="auto"/>
          <w:kern w:val="2"/>
          <w:sz w:val="32"/>
          <w:szCs w:val="32"/>
          <w:highlight w:val="none"/>
          <w:lang w:val="en-US" w:eastAsia="zh-CN" w:bidi="ar-SA"/>
        </w:rPr>
        <w:t>.</w:t>
      </w:r>
      <w:r>
        <w:rPr>
          <w:rFonts w:hint="eastAsia" w:ascii="宋体" w:hAnsi="宋体" w:eastAsia="宋体" w:cs="宋体"/>
          <w:b/>
          <w:bCs/>
          <w:color w:val="auto"/>
          <w:kern w:val="2"/>
          <w:sz w:val="32"/>
          <w:szCs w:val="32"/>
          <w:highlight w:val="none"/>
          <w:lang w:val="en-US" w:eastAsia="zh-CN" w:bidi="ar-SA"/>
        </w:rPr>
        <w:t>安全风险等级高</w:t>
      </w:r>
    </w:p>
    <w:p w14:paraId="2996C13C">
      <w:pPr>
        <w:pStyle w:val="14"/>
        <w:ind w:firstLine="480"/>
        <w:rPr>
          <w:rFonts w:hint="default" w:ascii="宋体" w:hAnsi="宋体" w:eastAsia="宋体" w:cs="宋体"/>
          <w:lang w:val="en-US" w:eastAsia="zh-CN"/>
        </w:rPr>
      </w:pPr>
      <w:r>
        <w:rPr>
          <w:rFonts w:hint="eastAsia" w:ascii="宋体" w:hAnsi="宋体" w:eastAsia="宋体" w:cs="宋体"/>
          <w:lang w:val="en-US" w:eastAsia="zh-CN"/>
        </w:rPr>
        <w:t>本标段全长17.5km，全线涉及桥梁26座（含互通匝道桥），桥梁工点较多，危险源分散，管理难度大。</w:t>
      </w:r>
    </w:p>
    <w:p w14:paraId="1D05C022">
      <w:pPr>
        <w:pStyle w:val="14"/>
        <w:ind w:firstLine="480"/>
        <w:rPr>
          <w:rFonts w:hint="default" w:ascii="宋体" w:hAnsi="宋体" w:eastAsia="宋体" w:cs="宋体"/>
          <w:lang w:val="en-US" w:eastAsia="zh-CN"/>
        </w:rPr>
      </w:pPr>
      <w:r>
        <w:rPr>
          <w:rFonts w:hint="eastAsia" w:ascii="宋体" w:hAnsi="宋体" w:eastAsia="宋体" w:cs="宋体"/>
          <w:lang w:val="en-US" w:eastAsia="zh-CN"/>
        </w:rPr>
        <w:t>对策：</w:t>
      </w:r>
      <w:r>
        <w:rPr>
          <w:rFonts w:hint="default" w:ascii="宋体" w:hAnsi="宋体" w:eastAsia="宋体" w:cs="宋体"/>
          <w:lang w:val="en-US" w:eastAsia="zh-CN"/>
        </w:rPr>
        <w:t>采用HAZOP（危险与可操作性分析）、JSA（作业安全分析）等方法，全面识别危险源（如高空坠落、</w:t>
      </w:r>
      <w:r>
        <w:rPr>
          <w:rFonts w:hint="eastAsia" w:ascii="宋体" w:hAnsi="宋体" w:eastAsia="宋体" w:cs="宋体"/>
          <w:lang w:val="en-US" w:eastAsia="zh-CN"/>
        </w:rPr>
        <w:t>触电、机械伤害、车辆伤害等</w:t>
      </w:r>
      <w:r>
        <w:rPr>
          <w:rFonts w:hint="default" w:ascii="宋体" w:hAnsi="宋体" w:eastAsia="宋体" w:cs="宋体"/>
          <w:lang w:val="en-US" w:eastAsia="zh-CN"/>
        </w:rPr>
        <w:t>）。</w:t>
      </w:r>
    </w:p>
    <w:p w14:paraId="2F6282D1">
      <w:pPr>
        <w:pStyle w:val="14"/>
        <w:ind w:firstLine="480"/>
        <w:rPr>
          <w:rFonts w:hint="eastAsia" w:ascii="宋体" w:hAnsi="宋体" w:eastAsia="宋体" w:cs="宋体"/>
          <w:lang w:val="en-US" w:eastAsia="zh-CN"/>
        </w:rPr>
      </w:pPr>
      <w:r>
        <w:rPr>
          <w:rFonts w:hint="default" w:ascii="宋体" w:hAnsi="宋体" w:eastAsia="宋体" w:cs="宋体"/>
          <w:lang w:val="en-US" w:eastAsia="zh-CN"/>
        </w:rPr>
        <w:t>风险评估：运用LEC法（风险矩阵）量化风险等级，确定重大风险（如</w:t>
      </w:r>
      <w:r>
        <w:rPr>
          <w:rFonts w:hint="eastAsia" w:ascii="宋体" w:hAnsi="宋体" w:eastAsia="宋体" w:cs="宋体"/>
          <w:lang w:val="en-US" w:eastAsia="zh-CN"/>
        </w:rPr>
        <w:t>施工防坠落，物体打击</w:t>
      </w:r>
      <w:r>
        <w:rPr>
          <w:rFonts w:hint="default" w:ascii="宋体" w:hAnsi="宋体" w:eastAsia="宋体" w:cs="宋体"/>
          <w:lang w:val="en-US" w:eastAsia="zh-CN"/>
        </w:rPr>
        <w:t>）</w:t>
      </w:r>
      <w:r>
        <w:rPr>
          <w:rFonts w:hint="eastAsia" w:ascii="宋体" w:hAnsi="宋体" w:eastAsia="宋体" w:cs="宋体"/>
          <w:lang w:val="en-US" w:eastAsia="zh-CN"/>
        </w:rPr>
        <w:t>，</w:t>
      </w:r>
      <w:r>
        <w:rPr>
          <w:rFonts w:hint="default" w:ascii="宋体" w:hAnsi="宋体" w:eastAsia="宋体" w:cs="宋体"/>
          <w:lang w:val="en-US" w:eastAsia="zh-CN"/>
        </w:rPr>
        <w:t>控制</w:t>
      </w:r>
      <w:r>
        <w:rPr>
          <w:rFonts w:hint="eastAsia" w:ascii="宋体" w:hAnsi="宋体" w:eastAsia="宋体" w:cs="宋体"/>
          <w:lang w:val="en-US" w:eastAsia="zh-CN"/>
        </w:rPr>
        <w:t>方法、</w:t>
      </w:r>
      <w:r>
        <w:rPr>
          <w:rFonts w:hint="default" w:ascii="宋体" w:hAnsi="宋体" w:eastAsia="宋体" w:cs="宋体"/>
          <w:lang w:val="en-US" w:eastAsia="zh-CN"/>
        </w:rPr>
        <w:t>措施</w:t>
      </w:r>
      <w:r>
        <w:rPr>
          <w:rFonts w:hint="eastAsia" w:ascii="宋体" w:hAnsi="宋体" w:eastAsia="宋体" w:cs="宋体"/>
          <w:lang w:val="en-US" w:eastAsia="zh-CN"/>
        </w:rPr>
        <w:t>。</w:t>
      </w:r>
    </w:p>
    <w:p w14:paraId="12445B79">
      <w:pPr>
        <w:pStyle w:val="14"/>
        <w:ind w:firstLine="480"/>
        <w:rPr>
          <w:rFonts w:hint="eastAsia" w:ascii="宋体" w:hAnsi="宋体" w:eastAsia="宋体" w:cs="宋体"/>
          <w:lang w:val="en-US" w:eastAsia="zh-CN"/>
        </w:rPr>
      </w:pPr>
      <w:r>
        <w:rPr>
          <w:rFonts w:hint="default" w:ascii="宋体" w:hAnsi="宋体" w:eastAsia="宋体" w:cs="宋体"/>
          <w:lang w:val="en-US" w:eastAsia="zh-CN"/>
        </w:rPr>
        <w:t>在施工安全管理中，PDCA循环是一种有效的工具，能够系统化地识别、控制和减少安全隐患。</w:t>
      </w:r>
      <w:r>
        <w:rPr>
          <w:rFonts w:hint="eastAsia" w:ascii="宋体" w:hAnsi="宋体" w:eastAsia="宋体" w:cs="宋体"/>
          <w:lang w:val="en-US" w:eastAsia="zh-CN"/>
        </w:rPr>
        <w:t>在现场施工过程中完善安全防护，采取必要的警示及加固措施，定期开展检查，制定应急预案，同时，加强施工人员的安全教育和培训，针对特殊工种安排岗前及定期体检，合理安排作息时间，提高全员安全意识，确保施工安全。</w:t>
      </w:r>
    </w:p>
    <w:p w14:paraId="01EA9693">
      <w:pPr>
        <w:pStyle w:val="14"/>
        <w:ind w:firstLine="480"/>
        <w:rPr>
          <w:rFonts w:hint="default" w:ascii="宋体" w:hAnsi="宋体" w:eastAsia="宋体" w:cs="宋体"/>
          <w:b/>
          <w:bCs/>
          <w:color w:val="auto"/>
          <w:kern w:val="2"/>
          <w:sz w:val="32"/>
          <w:szCs w:val="32"/>
          <w:highlight w:val="none"/>
          <w:lang w:val="en-US" w:eastAsia="zh-CN" w:bidi="ar-SA"/>
        </w:rPr>
      </w:pPr>
      <w:r>
        <w:rPr>
          <w:rFonts w:hint="default" w:ascii="宋体" w:hAnsi="宋体" w:eastAsia="宋体" w:cs="Times New Roman"/>
          <w:b/>
          <w:bCs/>
          <w:color w:val="auto"/>
          <w:kern w:val="2"/>
          <w:sz w:val="32"/>
          <w:szCs w:val="32"/>
          <w:lang w:val="en-US" w:eastAsia="zh-CN" w:bidi="ar-SA"/>
        </w:rPr>
        <w:t>6</w:t>
      </w:r>
      <w:r>
        <w:rPr>
          <w:rFonts w:hint="default" w:ascii="宋体" w:hAnsi="宋体" w:eastAsia="宋体" w:cs="宋体"/>
          <w:b/>
          <w:bCs/>
          <w:color w:val="auto"/>
          <w:kern w:val="2"/>
          <w:sz w:val="32"/>
          <w:szCs w:val="32"/>
          <w:highlight w:val="none"/>
          <w:lang w:val="en-US" w:eastAsia="zh-CN" w:bidi="ar-SA"/>
        </w:rPr>
        <w:t>.</w:t>
      </w:r>
      <w:r>
        <w:rPr>
          <w:rFonts w:hint="eastAsia" w:ascii="宋体" w:hAnsi="宋体" w:cs="宋体"/>
          <w:b/>
          <w:bCs/>
          <w:color w:val="auto"/>
          <w:kern w:val="2"/>
          <w:sz w:val="32"/>
          <w:szCs w:val="32"/>
          <w:highlight w:val="none"/>
          <w:lang w:val="en-US" w:eastAsia="zh-CN" w:bidi="ar-SA"/>
        </w:rPr>
        <w:t>5</w:t>
      </w:r>
      <w:r>
        <w:rPr>
          <w:rFonts w:hint="default" w:ascii="宋体" w:hAnsi="宋体" w:eastAsia="宋体" w:cs="宋体"/>
          <w:b/>
          <w:bCs/>
          <w:color w:val="auto"/>
          <w:kern w:val="2"/>
          <w:sz w:val="32"/>
          <w:szCs w:val="32"/>
          <w:highlight w:val="none"/>
          <w:lang w:val="en-US" w:eastAsia="zh-CN" w:bidi="ar-SA"/>
        </w:rPr>
        <w:t>.</w:t>
      </w:r>
      <w:r>
        <w:rPr>
          <w:rFonts w:hint="eastAsia" w:ascii="宋体" w:hAnsi="宋体" w:eastAsia="宋体" w:cs="宋体"/>
          <w:b/>
          <w:bCs/>
          <w:color w:val="auto"/>
          <w:kern w:val="2"/>
          <w:sz w:val="32"/>
          <w:szCs w:val="32"/>
          <w:highlight w:val="none"/>
          <w:lang w:val="en-US" w:eastAsia="zh-CN" w:bidi="ar-SA"/>
        </w:rPr>
        <w:t>钢箱梁顶推难度大</w:t>
      </w:r>
    </w:p>
    <w:p w14:paraId="78B3D616">
      <w:pPr>
        <w:pStyle w:val="14"/>
        <w:ind w:firstLine="480"/>
        <w:rPr>
          <w:rFonts w:hint="eastAsia" w:ascii="宋体" w:hAnsi="宋体" w:eastAsia="宋体" w:cs="宋体"/>
          <w:lang w:val="en-US" w:eastAsia="zh-CN"/>
        </w:rPr>
      </w:pPr>
      <w:r>
        <w:rPr>
          <w:rFonts w:hint="eastAsia" w:ascii="宋体" w:hAnsi="宋体" w:eastAsia="宋体" w:cs="宋体"/>
          <w:lang w:val="en-US" w:eastAsia="zh-CN"/>
        </w:rPr>
        <w:t>顶推法是一种先进的桥梁架设技术，其核心原理是在桥梁中间的</w:t>
      </w:r>
      <w:r>
        <w:rPr>
          <w:rFonts w:hint="eastAsia" w:ascii="宋体" w:hAnsi="宋体" w:cs="宋体"/>
          <w:lang w:val="en-US" w:eastAsia="zh-CN"/>
        </w:rPr>
        <w:t>拼装平台上</w:t>
      </w:r>
      <w:r>
        <w:rPr>
          <w:rFonts w:hint="eastAsia" w:ascii="宋体" w:hAnsi="宋体" w:eastAsia="宋体" w:cs="宋体"/>
          <w:lang w:val="en-US" w:eastAsia="zh-CN"/>
        </w:rPr>
        <w:t>逐节段拼装钢箱梁，然后通过顶推装置，将梁体水平向前推移，就像“穿针引线”一样，直至梁体到达设计位置。这种方法的最大优点是对桥下交通干扰小，无需大型吊装设备，作业集中，安全可控。但其技术难度也相应较高。</w:t>
      </w:r>
    </w:p>
    <w:p w14:paraId="375591F4">
      <w:pPr>
        <w:pStyle w:val="14"/>
        <w:ind w:firstLine="480"/>
        <w:rPr>
          <w:rFonts w:hint="default" w:ascii="宋体" w:hAnsi="宋体" w:eastAsia="宋体" w:cs="宋体"/>
          <w:lang w:val="en-US" w:eastAsia="zh-CN"/>
        </w:rPr>
      </w:pPr>
      <w:r>
        <w:rPr>
          <w:rFonts w:hint="eastAsia" w:ascii="宋体" w:hAnsi="宋体" w:eastAsia="宋体" w:cs="宋体"/>
          <w:lang w:val="en-US" w:eastAsia="zh-CN"/>
        </w:rPr>
        <w:t>对策：选择有丰富顶推经验的专业分包队伍，施工前对顶推方案专家评审并交底；施工过程中对</w:t>
      </w:r>
      <w:r>
        <w:rPr>
          <w:rFonts w:hint="default" w:ascii="宋体" w:hAnsi="宋体" w:eastAsia="宋体" w:cs="宋体"/>
          <w:lang w:val="en-US" w:eastAsia="zh-CN"/>
        </w:rPr>
        <w:t>应力应变实时监测：在梁体关键截面（如最大弯矩处、支点处）和临时墩上布置传感器，实时监测应力、应变，与理论值对比，确保在安全范围内</w:t>
      </w:r>
      <w:r>
        <w:rPr>
          <w:rFonts w:hint="eastAsia" w:ascii="宋体" w:hAnsi="宋体" w:eastAsia="宋体" w:cs="宋体"/>
          <w:lang w:val="en-US" w:eastAsia="zh-CN"/>
        </w:rPr>
        <w:t>；对线形实时监测：使用全站仪、GPS、水准仪等，对梁体关键点的三维坐标进行全程跟踪测量，指导纠偏；制定详细的顶推方案和作业指导书：明确每一步的操作流程、技术标准和责任人并编制应急预案及进行模拟演练。</w:t>
      </w:r>
    </w:p>
    <w:p w14:paraId="3E365CA0">
      <w:pPr>
        <w:pStyle w:val="14"/>
        <w:ind w:firstLine="480"/>
        <w:rPr>
          <w:rFonts w:hint="default"/>
          <w:highlight w:val="none"/>
          <w:lang w:val="en-US" w:eastAsia="zh-CN"/>
        </w:rPr>
      </w:pPr>
    </w:p>
    <w:p w14:paraId="0A382132">
      <w:pPr>
        <w:pStyle w:val="15"/>
        <w:rPr>
          <w:rFonts w:hint="default"/>
          <w:lang w:val="en-US" w:eastAsia="zh-CN"/>
        </w:rPr>
      </w:pPr>
    </w:p>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14:paraId="0576E463">
      <w:pPr>
        <w:pStyle w:val="2"/>
        <w:numPr>
          <w:ilvl w:val="0"/>
          <w:numId w:val="0"/>
        </w:numPr>
        <w:spacing w:line="360" w:lineRule="auto"/>
        <w:ind w:left="432" w:leftChars="0" w:hanging="432" w:firstLineChars="0"/>
        <w:jc w:val="left"/>
        <w:rPr>
          <w:rFonts w:hint="default" w:ascii="宋体" w:hAnsi="宋体" w:eastAsia="宋体" w:cs="宋体"/>
          <w:color w:val="auto"/>
          <w:highlight w:val="none"/>
          <w:lang w:val="en-US" w:eastAsia="zh-CN"/>
        </w:rPr>
      </w:pPr>
      <w:bookmarkStart w:id="702" w:name="_Toc30177"/>
      <w:bookmarkStart w:id="703" w:name="_Toc30352"/>
      <w:bookmarkStart w:id="704" w:name="_Toc9914"/>
      <w:bookmarkStart w:id="705" w:name="_Toc11116"/>
      <w:bookmarkStart w:id="706" w:name="_Toc260037159"/>
      <w:bookmarkStart w:id="707" w:name="_Toc1423"/>
      <w:bookmarkStart w:id="708" w:name="_Toc8235"/>
      <w:bookmarkStart w:id="709" w:name="_Toc20012"/>
      <w:bookmarkStart w:id="710" w:name="_Toc24024"/>
      <w:bookmarkStart w:id="711" w:name="_Toc20059"/>
      <w:bookmarkStart w:id="712" w:name="_Toc214"/>
      <w:bookmarkStart w:id="713" w:name="_Toc26705"/>
      <w:bookmarkStart w:id="714" w:name="_Toc392165587"/>
      <w:bookmarkStart w:id="715" w:name="_Toc260036550"/>
      <w:bookmarkStart w:id="716" w:name="_Toc392933475"/>
      <w:bookmarkStart w:id="717" w:name="_Toc23471"/>
      <w:bookmarkStart w:id="718" w:name="_Toc232929175"/>
      <w:r>
        <w:rPr>
          <w:rFonts w:hint="eastAsia" w:cs="Times New Roman"/>
          <w:b/>
          <w:bCs/>
          <w:color w:val="auto"/>
          <w:kern w:val="36"/>
          <w:sz w:val="36"/>
          <w:szCs w:val="48"/>
          <w:lang w:val="en-US" w:eastAsia="zh-CN" w:bidi="ar-SA"/>
        </w:rPr>
        <w:t>第七章</w:t>
      </w:r>
      <w:r>
        <w:rPr>
          <w:rFonts w:hint="default" w:ascii="宋体" w:hAnsi="宋体" w:eastAsia="宋体" w:cs="Times New Roman"/>
          <w:b/>
          <w:bCs/>
          <w:color w:val="auto"/>
          <w:kern w:val="36"/>
          <w:sz w:val="36"/>
          <w:szCs w:val="48"/>
          <w:lang w:val="en-US" w:eastAsia="zh-CN" w:bidi="ar-SA"/>
        </w:rPr>
        <w:t>.</w:t>
      </w:r>
      <w:r>
        <w:rPr>
          <w:rFonts w:hint="eastAsia" w:ascii="宋体" w:hAnsi="宋体" w:eastAsia="宋体" w:cs="宋体"/>
          <w:color w:val="auto"/>
          <w:highlight w:val="none"/>
        </w:rPr>
        <w:t>施工进度</w:t>
      </w:r>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r>
        <w:rPr>
          <w:rFonts w:hint="eastAsia" w:cs="宋体"/>
          <w:color w:val="auto"/>
          <w:highlight w:val="none"/>
          <w:lang w:val="en-US" w:eastAsia="zh-CN"/>
        </w:rPr>
        <w:t>计划及保障措施</w:t>
      </w:r>
      <w:bookmarkEnd w:id="717"/>
    </w:p>
    <w:p w14:paraId="02E00B65">
      <w:pPr>
        <w:pStyle w:val="4"/>
        <w:numPr>
          <w:ilvl w:val="1"/>
          <w:numId w:val="0"/>
        </w:numPr>
        <w:spacing w:line="360" w:lineRule="auto"/>
        <w:ind w:firstLine="0" w:firstLineChars="0"/>
        <w:rPr>
          <w:rFonts w:hint="eastAsia" w:ascii="宋体" w:hAnsi="宋体" w:eastAsia="宋体" w:cs="宋体"/>
          <w:color w:val="auto"/>
          <w:highlight w:val="none"/>
        </w:rPr>
      </w:pPr>
      <w:bookmarkStart w:id="719" w:name="_Toc29754"/>
      <w:bookmarkStart w:id="720" w:name="_Toc43"/>
      <w:bookmarkStart w:id="721" w:name="_Toc25099"/>
      <w:bookmarkStart w:id="722" w:name="_Toc15175"/>
      <w:bookmarkStart w:id="723" w:name="_Toc5354"/>
      <w:bookmarkStart w:id="724" w:name="_Toc30117"/>
      <w:bookmarkStart w:id="725" w:name="_Toc28525"/>
      <w:r>
        <w:rPr>
          <w:rFonts w:hint="default" w:ascii="宋体" w:hAnsi="宋体" w:eastAsia="宋体" w:cs="Times New Roman"/>
          <w:b/>
          <w:bCs/>
          <w:color w:val="auto"/>
          <w:kern w:val="2"/>
          <w:sz w:val="32"/>
          <w:szCs w:val="32"/>
          <w:lang w:val="en-US" w:eastAsia="zh-CN" w:bidi="ar-SA"/>
        </w:rPr>
        <w:t>7.1.</w:t>
      </w:r>
      <w:r>
        <w:rPr>
          <w:rFonts w:hint="eastAsia" w:ascii="宋体" w:hAnsi="宋体" w:eastAsia="宋体" w:cs="宋体"/>
          <w:color w:val="auto"/>
          <w:highlight w:val="none"/>
        </w:rPr>
        <w:t>总体安排思路</w:t>
      </w:r>
      <w:bookmarkEnd w:id="719"/>
      <w:bookmarkEnd w:id="720"/>
      <w:bookmarkEnd w:id="721"/>
      <w:bookmarkEnd w:id="722"/>
      <w:bookmarkEnd w:id="723"/>
      <w:bookmarkEnd w:id="724"/>
      <w:bookmarkEnd w:id="725"/>
    </w:p>
    <w:p w14:paraId="643BB8A8">
      <w:pPr>
        <w:ind w:firstLine="480"/>
        <w:rPr>
          <w:rFonts w:hint="eastAsia" w:ascii="宋体" w:hAnsi="宋体" w:eastAsia="宋体" w:cs="宋体"/>
        </w:rPr>
      </w:pPr>
      <w:r>
        <w:rPr>
          <w:rFonts w:hint="eastAsia" w:ascii="宋体" w:hAnsi="宋体" w:eastAsia="宋体" w:cs="宋体"/>
        </w:rPr>
        <w:t>我部组织专业人员在认真阅读了设计图纸、招标文件的同时，并对施工现场进行了仔细地踏勘，结合我司的技术和设备力量，按照业主的要求，做好施工总体计划、施工工期安排及工期保证的计划，确保本工程保质、保量按期完成地完成。</w:t>
      </w:r>
    </w:p>
    <w:p w14:paraId="007612EA">
      <w:pPr>
        <w:ind w:firstLine="480"/>
        <w:rPr>
          <w:rFonts w:hint="eastAsia" w:ascii="宋体" w:hAnsi="宋体" w:eastAsia="宋体" w:cs="宋体"/>
          <w:highlight w:val="none"/>
        </w:rPr>
      </w:pPr>
      <w:r>
        <w:rPr>
          <w:rFonts w:hint="eastAsia" w:ascii="宋体" w:hAnsi="宋体" w:eastAsia="宋体" w:cs="宋体"/>
        </w:rPr>
        <w:t>根据合同对工期的要求，结合本工程规模、特点，拟定进度计划安排</w:t>
      </w:r>
      <w:r>
        <w:rPr>
          <w:rFonts w:hint="eastAsia" w:ascii="宋体" w:hAnsi="宋体" w:eastAsia="宋体" w:cs="宋体"/>
          <w:highlight w:val="none"/>
        </w:rPr>
        <w:t>（详见附件一、二：沈海线漳州龙海至诏安段(龙海北溪头至诏安闽粤界)扩容工程A12合同段公路工程总体施工进度横道图。</w:t>
      </w:r>
    </w:p>
    <w:p w14:paraId="220E102D">
      <w:pPr>
        <w:pStyle w:val="4"/>
        <w:numPr>
          <w:ilvl w:val="1"/>
          <w:numId w:val="0"/>
        </w:numPr>
        <w:spacing w:line="360" w:lineRule="auto"/>
        <w:ind w:firstLine="0" w:firstLineChars="0"/>
        <w:rPr>
          <w:rFonts w:hint="eastAsia" w:ascii="宋体" w:hAnsi="宋体" w:eastAsia="宋体" w:cs="宋体"/>
          <w:color w:val="auto"/>
        </w:rPr>
      </w:pPr>
      <w:bookmarkStart w:id="726" w:name="_Toc19483"/>
      <w:bookmarkStart w:id="727" w:name="_Toc11447"/>
      <w:bookmarkStart w:id="728" w:name="_Toc30121"/>
      <w:bookmarkStart w:id="729" w:name="_Toc17961"/>
      <w:bookmarkStart w:id="730" w:name="_Toc15176"/>
      <w:bookmarkStart w:id="731" w:name="_Toc2401"/>
      <w:bookmarkStart w:id="732" w:name="_Toc24589"/>
      <w:r>
        <w:rPr>
          <w:rFonts w:hint="default" w:ascii="宋体" w:hAnsi="宋体" w:eastAsia="宋体" w:cs="Times New Roman"/>
          <w:b/>
          <w:bCs/>
          <w:color w:val="auto"/>
          <w:kern w:val="2"/>
          <w:sz w:val="32"/>
          <w:szCs w:val="32"/>
          <w:lang w:val="en-US" w:eastAsia="zh-CN" w:bidi="ar-SA"/>
        </w:rPr>
        <w:t>7.2.</w:t>
      </w:r>
      <w:r>
        <w:rPr>
          <w:rFonts w:hint="eastAsia" w:ascii="宋体" w:hAnsi="宋体" w:eastAsia="宋体" w:cs="宋体"/>
          <w:color w:val="auto"/>
        </w:rPr>
        <w:t>工期目标</w:t>
      </w:r>
      <w:bookmarkEnd w:id="726"/>
      <w:bookmarkEnd w:id="727"/>
      <w:bookmarkEnd w:id="728"/>
      <w:bookmarkEnd w:id="729"/>
      <w:bookmarkEnd w:id="730"/>
      <w:bookmarkEnd w:id="731"/>
      <w:bookmarkEnd w:id="732"/>
    </w:p>
    <w:p w14:paraId="7900B7B3">
      <w:pPr>
        <w:ind w:firstLine="480"/>
        <w:rPr>
          <w:rFonts w:hint="eastAsia" w:ascii="宋体" w:hAnsi="宋体" w:eastAsia="宋体" w:cs="宋体"/>
          <w:highlight w:val="none"/>
        </w:rPr>
      </w:pPr>
      <w:r>
        <w:rPr>
          <w:rFonts w:hint="eastAsia" w:ascii="宋体" w:hAnsi="宋体" w:eastAsia="宋体" w:cs="宋体"/>
          <w:highlight w:val="none"/>
        </w:rPr>
        <w:t>按照招标文件、合同文件及有关对工期的要求，并根据我公司类似工程的施工经验及实力，计划于202</w:t>
      </w:r>
      <w:r>
        <w:rPr>
          <w:rFonts w:hint="eastAsia" w:ascii="宋体" w:hAnsi="宋体" w:cs="宋体"/>
          <w:highlight w:val="none"/>
          <w:lang w:val="en-US" w:eastAsia="zh-CN"/>
        </w:rPr>
        <w:t>6</w:t>
      </w:r>
      <w:r>
        <w:rPr>
          <w:rFonts w:hint="eastAsia" w:ascii="宋体" w:hAnsi="宋体" w:eastAsia="宋体" w:cs="宋体"/>
          <w:highlight w:val="none"/>
        </w:rPr>
        <w:t>年</w:t>
      </w:r>
      <w:r>
        <w:rPr>
          <w:rFonts w:hint="eastAsia" w:ascii="宋体" w:hAnsi="宋体" w:cs="宋体"/>
          <w:highlight w:val="none"/>
          <w:lang w:val="en-US" w:eastAsia="zh-CN"/>
        </w:rPr>
        <w:t>7</w:t>
      </w:r>
      <w:r>
        <w:rPr>
          <w:rFonts w:hint="eastAsia" w:ascii="宋体" w:hAnsi="宋体" w:eastAsia="宋体" w:cs="宋体"/>
          <w:highlight w:val="none"/>
        </w:rPr>
        <w:t>月</w:t>
      </w:r>
      <w:r>
        <w:rPr>
          <w:rFonts w:hint="eastAsia" w:ascii="宋体" w:hAnsi="宋体" w:eastAsia="宋体" w:cs="宋体"/>
          <w:highlight w:val="none"/>
          <w:lang w:val="en-US" w:eastAsia="zh-CN"/>
        </w:rPr>
        <w:t>1</w:t>
      </w:r>
      <w:r>
        <w:rPr>
          <w:rFonts w:hint="eastAsia" w:ascii="宋体" w:hAnsi="宋体" w:eastAsia="宋体" w:cs="宋体"/>
          <w:highlight w:val="none"/>
        </w:rPr>
        <w:t>日开工，202</w:t>
      </w:r>
      <w:r>
        <w:rPr>
          <w:rFonts w:hint="eastAsia" w:ascii="宋体" w:hAnsi="宋体" w:cs="宋体"/>
          <w:highlight w:val="none"/>
          <w:lang w:val="en-US" w:eastAsia="zh-CN"/>
        </w:rPr>
        <w:t>8</w:t>
      </w:r>
      <w:r>
        <w:rPr>
          <w:rFonts w:hint="eastAsia" w:ascii="宋体" w:hAnsi="宋体" w:eastAsia="宋体" w:cs="宋体"/>
          <w:highlight w:val="none"/>
        </w:rPr>
        <w:t>年</w:t>
      </w:r>
      <w:r>
        <w:rPr>
          <w:rFonts w:hint="eastAsia" w:ascii="宋体" w:hAnsi="宋体" w:cs="宋体"/>
          <w:highlight w:val="none"/>
          <w:lang w:val="en-US" w:eastAsia="zh-CN"/>
        </w:rPr>
        <w:t>12</w:t>
      </w:r>
      <w:r>
        <w:rPr>
          <w:rFonts w:hint="eastAsia" w:ascii="宋体" w:hAnsi="宋体" w:eastAsia="宋体" w:cs="宋体"/>
          <w:highlight w:val="none"/>
        </w:rPr>
        <w:t>月</w:t>
      </w:r>
      <w:r>
        <w:rPr>
          <w:rFonts w:hint="eastAsia" w:ascii="宋体" w:hAnsi="宋体" w:cs="宋体"/>
          <w:highlight w:val="none"/>
          <w:lang w:val="en-US" w:eastAsia="zh-CN"/>
        </w:rPr>
        <w:t>31</w:t>
      </w:r>
      <w:r>
        <w:rPr>
          <w:rFonts w:hint="eastAsia" w:ascii="宋体" w:hAnsi="宋体" w:eastAsia="宋体" w:cs="宋体"/>
          <w:highlight w:val="none"/>
        </w:rPr>
        <w:t>日完成交工（具体开工日期以开工令时间为准），总工期历时</w:t>
      </w:r>
      <w:r>
        <w:rPr>
          <w:rFonts w:hint="eastAsia" w:ascii="宋体" w:hAnsi="宋体" w:cs="宋体"/>
          <w:highlight w:val="none"/>
          <w:lang w:val="en-US" w:eastAsia="zh-CN"/>
        </w:rPr>
        <w:t>30</w:t>
      </w:r>
      <w:r>
        <w:rPr>
          <w:rFonts w:hint="eastAsia" w:ascii="宋体" w:hAnsi="宋体" w:eastAsia="宋体" w:cs="宋体"/>
          <w:highlight w:val="none"/>
        </w:rPr>
        <w:t>个月。</w:t>
      </w:r>
    </w:p>
    <w:p w14:paraId="08AB1336">
      <w:pPr>
        <w:pStyle w:val="4"/>
        <w:numPr>
          <w:ilvl w:val="1"/>
          <w:numId w:val="0"/>
        </w:numPr>
        <w:spacing w:line="360" w:lineRule="auto"/>
        <w:ind w:firstLine="0" w:firstLineChars="0"/>
        <w:rPr>
          <w:rFonts w:hint="eastAsia" w:ascii="宋体" w:hAnsi="宋体" w:eastAsia="宋体" w:cs="宋体"/>
          <w:color w:val="auto"/>
          <w:highlight w:val="none"/>
        </w:rPr>
      </w:pPr>
      <w:bookmarkStart w:id="733" w:name="_Toc25285"/>
      <w:bookmarkStart w:id="734" w:name="_Toc8694"/>
      <w:bookmarkStart w:id="735" w:name="_Toc15385"/>
      <w:bookmarkStart w:id="736" w:name="_Toc7541"/>
      <w:bookmarkStart w:id="737" w:name="_Toc19831"/>
      <w:bookmarkStart w:id="738" w:name="_Toc21184"/>
      <w:bookmarkStart w:id="739" w:name="_Toc6609"/>
      <w:r>
        <w:rPr>
          <w:rFonts w:hint="default" w:ascii="宋体" w:hAnsi="宋体" w:eastAsia="宋体" w:cs="Times New Roman"/>
          <w:b/>
          <w:bCs/>
          <w:color w:val="auto"/>
          <w:kern w:val="2"/>
          <w:sz w:val="32"/>
          <w:szCs w:val="32"/>
          <w:lang w:val="en-US" w:eastAsia="zh-CN" w:bidi="ar-SA"/>
        </w:rPr>
        <w:t>7.3.</w:t>
      </w:r>
      <w:r>
        <w:rPr>
          <w:rFonts w:hint="eastAsia" w:ascii="宋体" w:hAnsi="宋体" w:eastAsia="宋体" w:cs="宋体"/>
          <w:color w:val="auto"/>
          <w:highlight w:val="none"/>
        </w:rPr>
        <w:t>施工进度计划</w:t>
      </w:r>
      <w:bookmarkEnd w:id="733"/>
      <w:bookmarkEnd w:id="734"/>
      <w:bookmarkEnd w:id="735"/>
      <w:bookmarkEnd w:id="736"/>
      <w:bookmarkEnd w:id="737"/>
      <w:bookmarkEnd w:id="738"/>
      <w:bookmarkEnd w:id="739"/>
    </w:p>
    <w:bookmarkEnd w:id="718"/>
    <w:tbl>
      <w:tblPr>
        <w:tblStyle w:val="47"/>
        <w:tblW w:w="7851" w:type="dxa"/>
        <w:jc w:val="center"/>
        <w:tblLayout w:type="fixed"/>
        <w:tblCellMar>
          <w:top w:w="0" w:type="dxa"/>
          <w:left w:w="0" w:type="dxa"/>
          <w:bottom w:w="0" w:type="dxa"/>
          <w:right w:w="0" w:type="dxa"/>
        </w:tblCellMar>
      </w:tblPr>
      <w:tblGrid>
        <w:gridCol w:w="819"/>
        <w:gridCol w:w="2257"/>
        <w:gridCol w:w="1559"/>
        <w:gridCol w:w="1843"/>
        <w:gridCol w:w="1373"/>
      </w:tblGrid>
      <w:tr w14:paraId="33CF8600">
        <w:tblPrEx>
          <w:tblCellMar>
            <w:top w:w="0" w:type="dxa"/>
            <w:left w:w="0" w:type="dxa"/>
            <w:bottom w:w="0" w:type="dxa"/>
            <w:right w:w="0" w:type="dxa"/>
          </w:tblCellMar>
        </w:tblPrEx>
        <w:trPr>
          <w:trHeight w:val="340" w:hRule="atLeast"/>
          <w:jc w:val="center"/>
        </w:trPr>
        <w:tc>
          <w:tcPr>
            <w:tcW w:w="7851" w:type="dxa"/>
            <w:gridSpan w:val="5"/>
            <w:tcBorders>
              <w:top w:val="nil"/>
              <w:left w:val="nil"/>
              <w:bottom w:val="nil"/>
              <w:right w:val="nil"/>
            </w:tcBorders>
            <w:shd w:val="clear" w:color="auto" w:fill="auto"/>
            <w:tcMar>
              <w:top w:w="15" w:type="dxa"/>
              <w:left w:w="15" w:type="dxa"/>
              <w:right w:w="15" w:type="dxa"/>
            </w:tcMar>
            <w:vAlign w:val="center"/>
          </w:tcPr>
          <w:p w14:paraId="6EA6FF6C">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b/>
              </w:rPr>
            </w:pPr>
            <w:bookmarkStart w:id="740" w:name="_Toc19406"/>
            <w:bookmarkStart w:id="741" w:name="_Toc3999"/>
            <w:bookmarkStart w:id="742" w:name="_Toc26827"/>
            <w:bookmarkStart w:id="743" w:name="_Toc27050"/>
            <w:bookmarkStart w:id="744" w:name="_Toc12418"/>
            <w:bookmarkStart w:id="745" w:name="_Toc18597"/>
            <w:bookmarkStart w:id="746" w:name="_Toc15091"/>
            <w:bookmarkStart w:id="747" w:name="_Toc9715"/>
            <w:bookmarkStart w:id="748" w:name="_Toc5592"/>
            <w:bookmarkStart w:id="749" w:name="_Toc7958"/>
            <w:bookmarkStart w:id="750" w:name="_Toc7627"/>
            <w:r>
              <w:rPr>
                <w:rFonts w:hint="eastAsia" w:ascii="仿宋" w:hAnsi="仿宋" w:eastAsia="仿宋" w:cs="仿宋"/>
                <w:bCs/>
                <w:kern w:val="0"/>
                <w:sz w:val="28"/>
                <w:szCs w:val="28"/>
              </w:rPr>
              <w:t>各分项工程施工进度安排表</w:t>
            </w:r>
          </w:p>
        </w:tc>
      </w:tr>
      <w:tr w14:paraId="4A96B2C5">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2A40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rPr>
            </w:pPr>
            <w:r>
              <w:rPr>
                <w:rFonts w:hint="eastAsia" w:ascii="仿宋" w:hAnsi="仿宋" w:eastAsia="仿宋" w:cs="仿宋"/>
                <w:kern w:val="0"/>
              </w:rPr>
              <w:t>序号</w:t>
            </w:r>
          </w:p>
        </w:tc>
        <w:tc>
          <w:tcPr>
            <w:tcW w:w="225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D78C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rPr>
            </w:pPr>
            <w:r>
              <w:rPr>
                <w:rFonts w:hint="eastAsia" w:ascii="仿宋" w:hAnsi="仿宋" w:eastAsia="仿宋" w:cs="仿宋"/>
                <w:kern w:val="0"/>
              </w:rPr>
              <w:t>名称</w:t>
            </w:r>
          </w:p>
        </w:tc>
        <w:tc>
          <w:tcPr>
            <w:tcW w:w="15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EDC4CE">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rPr>
            </w:pPr>
            <w:r>
              <w:rPr>
                <w:rFonts w:hint="eastAsia" w:ascii="仿宋" w:hAnsi="仿宋" w:eastAsia="仿宋" w:cs="仿宋"/>
                <w:kern w:val="0"/>
              </w:rPr>
              <w:t>开工时间</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604E83">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rPr>
            </w:pPr>
            <w:r>
              <w:rPr>
                <w:rFonts w:hint="eastAsia" w:ascii="仿宋" w:hAnsi="仿宋" w:eastAsia="仿宋" w:cs="仿宋"/>
                <w:kern w:val="0"/>
              </w:rPr>
              <w:t>完工时间</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E4CC70">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rPr>
            </w:pPr>
            <w:r>
              <w:rPr>
                <w:rFonts w:hint="eastAsia" w:ascii="仿宋" w:hAnsi="仿宋" w:eastAsia="仿宋" w:cs="仿宋"/>
                <w:kern w:val="0"/>
              </w:rPr>
              <w:t>备注</w:t>
            </w:r>
          </w:p>
        </w:tc>
      </w:tr>
      <w:tr w14:paraId="7FF6F00E">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85F97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一</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5716B7">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eastAsia="zh-CN"/>
              </w:rPr>
            </w:pPr>
            <w:r>
              <w:rPr>
                <w:rFonts w:hint="eastAsia" w:ascii="仿宋" w:hAnsi="仿宋" w:eastAsia="仿宋" w:cs="仿宋"/>
                <w:kern w:val="0"/>
                <w:lang w:val="en-US" w:eastAsia="zh-CN"/>
              </w:rPr>
              <w:t>清表</w:t>
            </w:r>
          </w:p>
        </w:tc>
        <w:tc>
          <w:tcPr>
            <w:tcW w:w="155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5B4C45">
            <w:pPr>
              <w:keepNext w:val="0"/>
              <w:keepLines w:val="0"/>
              <w:widowControl/>
              <w:suppressLineNumbers w:val="0"/>
              <w:spacing w:before="0" w:beforeAutospacing="0" w:after="0" w:afterAutospacing="0"/>
              <w:ind w:left="0" w:leftChars="0" w:right="0" w:firstLine="0" w:firstLineChars="0"/>
              <w:jc w:val="center"/>
              <w:textAlignment w:val="center"/>
              <w:rPr>
                <w:rFonts w:hint="default" w:ascii="仿宋" w:hAnsi="仿宋" w:eastAsia="仿宋" w:cs="仿宋"/>
                <w:kern w:val="0"/>
                <w:lang w:val="en-US" w:eastAsia="zh-CN"/>
              </w:rPr>
            </w:pPr>
            <w:r>
              <w:rPr>
                <w:rFonts w:hint="eastAsia" w:ascii="仿宋" w:hAnsi="仿宋" w:eastAsia="仿宋" w:cs="仿宋"/>
                <w:kern w:val="0"/>
              </w:rPr>
              <w:t>20</w:t>
            </w:r>
            <w:r>
              <w:rPr>
                <w:rFonts w:hint="eastAsia" w:ascii="仿宋" w:hAnsi="仿宋" w:eastAsia="仿宋" w:cs="仿宋"/>
                <w:kern w:val="0"/>
                <w:lang w:val="en-US" w:eastAsia="zh-CN"/>
              </w:rPr>
              <w:t>25</w:t>
            </w:r>
            <w:r>
              <w:rPr>
                <w:rFonts w:hint="eastAsia" w:ascii="仿宋" w:hAnsi="仿宋" w:eastAsia="仿宋" w:cs="仿宋"/>
                <w:kern w:val="0"/>
              </w:rPr>
              <w:t>/</w:t>
            </w:r>
            <w:r>
              <w:rPr>
                <w:rFonts w:hint="eastAsia" w:ascii="仿宋" w:hAnsi="仿宋" w:eastAsia="仿宋" w:cs="仿宋"/>
                <w:kern w:val="0"/>
                <w:lang w:val="en-US" w:eastAsia="zh-CN"/>
              </w:rPr>
              <w:t>11</w:t>
            </w:r>
            <w:r>
              <w:rPr>
                <w:rFonts w:hint="eastAsia" w:ascii="仿宋" w:hAnsi="仿宋" w:eastAsia="仿宋" w:cs="仿宋"/>
                <w:kern w:val="0"/>
              </w:rPr>
              <w:t>/</w:t>
            </w:r>
            <w:r>
              <w:rPr>
                <w:rFonts w:hint="eastAsia" w:ascii="仿宋" w:hAnsi="仿宋" w:eastAsia="仿宋" w:cs="仿宋"/>
                <w:kern w:val="0"/>
                <w:lang w:val="en-US" w:eastAsia="zh-CN"/>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39F05C">
            <w:pPr>
              <w:keepNext w:val="0"/>
              <w:keepLines w:val="0"/>
              <w:widowControl/>
              <w:suppressLineNumbers w:val="0"/>
              <w:spacing w:before="0" w:beforeAutospacing="0" w:after="0" w:afterAutospacing="0"/>
              <w:ind w:left="0" w:leftChars="0" w:right="0" w:firstLine="0" w:firstLineChars="0"/>
              <w:jc w:val="center"/>
              <w:textAlignment w:val="center"/>
              <w:rPr>
                <w:rFonts w:hint="default" w:ascii="仿宋" w:hAnsi="仿宋" w:eastAsia="仿宋" w:cs="仿宋"/>
                <w:kern w:val="0"/>
                <w:lang w:val="en-US" w:eastAsia="zh-CN"/>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9</w:t>
            </w:r>
            <w:r>
              <w:rPr>
                <w:rFonts w:hint="eastAsia" w:ascii="仿宋" w:hAnsi="仿宋" w:eastAsia="仿宋" w:cs="仿宋"/>
                <w:kern w:val="0"/>
              </w:rPr>
              <w:t>/</w:t>
            </w:r>
            <w:r>
              <w:rPr>
                <w:rFonts w:hint="eastAsia" w:ascii="仿宋" w:hAnsi="仿宋" w:eastAsia="仿宋" w:cs="仿宋"/>
                <w:kern w:val="0"/>
                <w:lang w:val="en-US" w:eastAsia="zh-CN"/>
              </w:rPr>
              <w:t>30</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821370">
            <w:pPr>
              <w:keepNext w:val="0"/>
              <w:keepLines w:val="0"/>
              <w:widowControl/>
              <w:suppressLineNumbers w:val="0"/>
              <w:spacing w:before="0" w:beforeAutospacing="0" w:after="0" w:afterAutospacing="0"/>
              <w:ind w:left="0" w:leftChars="0" w:right="0" w:firstLine="0" w:firstLineChars="0"/>
              <w:jc w:val="center"/>
              <w:textAlignment w:val="center"/>
              <w:rPr>
                <w:rFonts w:hint="default" w:ascii="仿宋" w:hAnsi="仿宋" w:eastAsia="仿宋" w:cs="仿宋"/>
                <w:kern w:val="0"/>
                <w:lang w:val="en-US" w:eastAsia="zh-CN"/>
              </w:rPr>
            </w:pPr>
            <w:r>
              <w:rPr>
                <w:rFonts w:hint="eastAsia" w:ascii="仿宋" w:hAnsi="仿宋" w:eastAsia="仿宋" w:cs="仿宋"/>
                <w:kern w:val="0"/>
                <w:lang w:val="en-US" w:eastAsia="zh-CN"/>
              </w:rPr>
              <w:t>含先行段</w:t>
            </w:r>
          </w:p>
        </w:tc>
      </w:tr>
      <w:tr w14:paraId="0CCB507C">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89F1B0">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二</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BD1CB6">
            <w:pPr>
              <w:keepNext w:val="0"/>
              <w:keepLines w:val="0"/>
              <w:widowControl/>
              <w:suppressLineNumbers w:val="0"/>
              <w:spacing w:before="0" w:beforeAutospacing="0" w:after="0" w:afterAutospacing="0"/>
              <w:ind w:left="0" w:leftChars="0" w:right="0" w:firstLine="0" w:firstLineChars="0"/>
              <w:jc w:val="center"/>
              <w:textAlignment w:val="center"/>
              <w:rPr>
                <w:rFonts w:hint="default" w:ascii="仿宋" w:hAnsi="仿宋" w:eastAsia="仿宋" w:cs="仿宋"/>
                <w:kern w:val="0"/>
                <w:lang w:val="en-US" w:eastAsia="zh-CN"/>
              </w:rPr>
            </w:pPr>
            <w:r>
              <w:rPr>
                <w:rFonts w:hint="eastAsia" w:ascii="仿宋" w:hAnsi="仿宋" w:eastAsia="仿宋" w:cs="仿宋"/>
                <w:kern w:val="0"/>
                <w:lang w:val="en-US" w:eastAsia="zh-CN"/>
              </w:rPr>
              <w:t>施工便道、便桥</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1AA978">
            <w:pPr>
              <w:keepNext w:val="0"/>
              <w:keepLines w:val="0"/>
              <w:widowControl/>
              <w:suppressLineNumbers w:val="0"/>
              <w:spacing w:before="0" w:beforeAutospacing="0" w:after="0" w:afterAutospacing="0"/>
              <w:ind w:left="0" w:leftChars="0" w:right="0" w:firstLine="0" w:firstLineChars="0"/>
              <w:jc w:val="center"/>
              <w:textAlignment w:val="center"/>
              <w:rPr>
                <w:rFonts w:hint="default" w:ascii="仿宋" w:hAnsi="仿宋" w:eastAsia="仿宋" w:cs="仿宋"/>
                <w:kern w:val="0"/>
                <w:lang w:val="en-US" w:eastAsia="zh-CN"/>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1</w:t>
            </w:r>
            <w:r>
              <w:rPr>
                <w:rFonts w:hint="eastAsia" w:ascii="仿宋" w:hAnsi="仿宋" w:eastAsia="仿宋" w:cs="仿宋"/>
                <w:kern w:val="0"/>
              </w:rPr>
              <w:t>/</w:t>
            </w:r>
            <w:r>
              <w:rPr>
                <w:rFonts w:hint="eastAsia" w:ascii="仿宋" w:hAnsi="仿宋" w:eastAsia="仿宋" w:cs="仿宋"/>
                <w:kern w:val="0"/>
                <w:lang w:val="en-US" w:eastAsia="zh-CN"/>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EF8F0F">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val="en-US" w:eastAsia="zh-CN"/>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9</w:t>
            </w:r>
            <w:r>
              <w:rPr>
                <w:rFonts w:hint="eastAsia" w:ascii="仿宋" w:hAnsi="仿宋" w:eastAsia="仿宋" w:cs="仿宋"/>
                <w:kern w:val="0"/>
              </w:rPr>
              <w:t>/3</w:t>
            </w:r>
            <w:r>
              <w:rPr>
                <w:rFonts w:hint="eastAsia" w:ascii="仿宋" w:hAnsi="仿宋" w:eastAsia="仿宋" w:cs="仿宋"/>
                <w:kern w:val="0"/>
                <w:lang w:val="en-US" w:eastAsia="zh-CN"/>
              </w:rPr>
              <w:t>0</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B377ED">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lang w:val="en-US" w:eastAsia="zh-CN"/>
              </w:rPr>
              <w:t>含先行段</w:t>
            </w:r>
          </w:p>
        </w:tc>
      </w:tr>
      <w:tr w14:paraId="18DCBB1E">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1B5ED5">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三</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CCEDF">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val="en-US" w:eastAsia="zh-CN"/>
              </w:rPr>
            </w:pPr>
            <w:r>
              <w:rPr>
                <w:rFonts w:hint="eastAsia" w:ascii="仿宋" w:hAnsi="仿宋" w:eastAsia="仿宋" w:cs="仿宋"/>
                <w:kern w:val="0"/>
                <w:lang w:val="en-US" w:eastAsia="zh-CN"/>
              </w:rPr>
              <w:t>临时用电</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2CB2C8">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1</w:t>
            </w:r>
            <w:r>
              <w:rPr>
                <w:rFonts w:hint="eastAsia" w:ascii="仿宋" w:hAnsi="仿宋" w:eastAsia="仿宋" w:cs="仿宋"/>
                <w:kern w:val="0"/>
              </w:rPr>
              <w:t>/</w:t>
            </w:r>
            <w:r>
              <w:rPr>
                <w:rFonts w:hint="eastAsia" w:ascii="仿宋" w:hAnsi="仿宋" w:eastAsia="仿宋" w:cs="仿宋"/>
                <w:kern w:val="0"/>
                <w:lang w:val="en-US" w:eastAsia="zh-CN"/>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A31600">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10</w:t>
            </w:r>
            <w:r>
              <w:rPr>
                <w:rFonts w:hint="eastAsia" w:ascii="仿宋" w:hAnsi="仿宋" w:eastAsia="仿宋" w:cs="仿宋"/>
                <w:kern w:val="0"/>
              </w:rPr>
              <w:t>/3</w:t>
            </w:r>
            <w:r>
              <w:rPr>
                <w:rFonts w:hint="eastAsia" w:ascii="仿宋" w:hAnsi="仿宋" w:eastAsia="仿宋" w:cs="仿宋"/>
                <w:kern w:val="0"/>
                <w:lang w:val="en-US" w:eastAsia="zh-CN"/>
              </w:rPr>
              <w:t>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C9DFB">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lang w:val="en-US" w:eastAsia="zh-CN"/>
              </w:rPr>
              <w:t>含先行段</w:t>
            </w:r>
          </w:p>
        </w:tc>
      </w:tr>
      <w:tr w14:paraId="5A39EA9E">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251A61">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四</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82FF78">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val="en-US" w:eastAsia="zh-CN"/>
              </w:rPr>
            </w:pPr>
            <w:r>
              <w:rPr>
                <w:rFonts w:hint="eastAsia" w:ascii="仿宋" w:hAnsi="仿宋" w:eastAsia="仿宋" w:cs="仿宋"/>
                <w:kern w:val="0"/>
                <w:lang w:val="en-US" w:eastAsia="zh-CN"/>
              </w:rPr>
              <w:t>钢筋加工厂、拌合站等临时建设</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8C8CBD">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1</w:t>
            </w:r>
            <w:r>
              <w:rPr>
                <w:rFonts w:hint="eastAsia" w:ascii="仿宋" w:hAnsi="仿宋" w:eastAsia="仿宋" w:cs="仿宋"/>
                <w:kern w:val="0"/>
              </w:rPr>
              <w:t>/</w:t>
            </w:r>
            <w:r>
              <w:rPr>
                <w:rFonts w:hint="eastAsia" w:ascii="仿宋" w:hAnsi="仿宋" w:eastAsia="仿宋" w:cs="仿宋"/>
                <w:kern w:val="0"/>
                <w:lang w:val="en-US" w:eastAsia="zh-CN"/>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BFA865">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4</w:t>
            </w:r>
            <w:r>
              <w:rPr>
                <w:rFonts w:hint="eastAsia" w:ascii="仿宋" w:hAnsi="仿宋" w:eastAsia="仿宋" w:cs="仿宋"/>
                <w:kern w:val="0"/>
              </w:rPr>
              <w:t>/3</w:t>
            </w:r>
            <w:r>
              <w:rPr>
                <w:rFonts w:hint="eastAsia" w:ascii="仿宋" w:hAnsi="仿宋" w:eastAsia="仿宋" w:cs="仿宋"/>
                <w:kern w:val="0"/>
                <w:lang w:val="en-US" w:eastAsia="zh-CN"/>
              </w:rPr>
              <w:t>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B3497">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13989F83">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ECDF6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五</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55E38C">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涵洞</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B48E8">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w:t>
            </w:r>
            <w:r>
              <w:rPr>
                <w:rFonts w:hint="eastAsia" w:ascii="仿宋" w:hAnsi="仿宋" w:eastAsia="仿宋" w:cs="仿宋"/>
                <w:kern w:val="0"/>
                <w:lang w:val="en-US" w:eastAsia="zh-CN"/>
              </w:rPr>
              <w:t>26</w:t>
            </w:r>
            <w:r>
              <w:rPr>
                <w:rFonts w:hint="eastAsia" w:ascii="仿宋" w:hAnsi="仿宋" w:eastAsia="仿宋" w:cs="仿宋"/>
                <w:kern w:val="0"/>
              </w:rPr>
              <w:t>/</w:t>
            </w:r>
            <w:r>
              <w:rPr>
                <w:rFonts w:hint="eastAsia" w:ascii="仿宋" w:hAnsi="仿宋" w:eastAsia="仿宋" w:cs="仿宋"/>
                <w:kern w:val="0"/>
                <w:lang w:val="en-US" w:eastAsia="zh-CN"/>
              </w:rPr>
              <w:t>7</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329E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7</w:t>
            </w:r>
            <w:r>
              <w:rPr>
                <w:rFonts w:hint="eastAsia" w:ascii="仿宋" w:hAnsi="仿宋" w:eastAsia="仿宋" w:cs="仿宋"/>
                <w:kern w:val="0"/>
              </w:rPr>
              <w:t>/</w:t>
            </w:r>
            <w:r>
              <w:rPr>
                <w:rFonts w:hint="eastAsia" w:ascii="仿宋" w:hAnsi="仿宋" w:eastAsia="仿宋" w:cs="仿宋"/>
                <w:kern w:val="0"/>
                <w:lang w:val="en-US" w:eastAsia="zh-CN"/>
              </w:rPr>
              <w:t>12</w:t>
            </w:r>
            <w:r>
              <w:rPr>
                <w:rFonts w:hint="eastAsia" w:ascii="仿宋" w:hAnsi="仿宋" w:eastAsia="仿宋" w:cs="仿宋"/>
                <w:kern w:val="0"/>
              </w:rPr>
              <w:t>/31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B8535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0DC9B6EE">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75F7D3">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六</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10A338">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路基</w:t>
            </w:r>
            <w:r>
              <w:rPr>
                <w:rFonts w:hint="eastAsia" w:ascii="仿宋" w:hAnsi="仿宋" w:eastAsia="仿宋" w:cs="仿宋"/>
                <w:kern w:val="0"/>
                <w:lang w:eastAsia="zh-CN"/>
              </w:rPr>
              <w:t>土石</w:t>
            </w:r>
            <w:r>
              <w:rPr>
                <w:rFonts w:hint="eastAsia" w:ascii="仿宋" w:hAnsi="仿宋" w:eastAsia="仿宋" w:cs="仿宋"/>
                <w:kern w:val="0"/>
              </w:rPr>
              <w:t>方</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56671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BA07DF">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1</w:t>
            </w:r>
            <w:r>
              <w:rPr>
                <w:rFonts w:hint="eastAsia" w:ascii="仿宋" w:hAnsi="仿宋" w:eastAsia="仿宋" w:cs="仿宋"/>
                <w:kern w:val="0"/>
              </w:rPr>
              <w:t>/31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DEF01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357D4574">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EB081">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七</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93154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防护与排水</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2F57A6">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w:t>
            </w:r>
            <w:r>
              <w:rPr>
                <w:rFonts w:hint="eastAsia" w:ascii="仿宋" w:hAnsi="仿宋" w:eastAsia="仿宋" w:cs="仿宋"/>
                <w:kern w:val="0"/>
                <w:lang w:val="en-US" w:eastAsia="zh-CN"/>
              </w:rPr>
              <w:t>26</w:t>
            </w:r>
            <w:r>
              <w:rPr>
                <w:rFonts w:hint="eastAsia" w:ascii="仿宋" w:hAnsi="仿宋" w:eastAsia="仿宋" w:cs="仿宋"/>
                <w:kern w:val="0"/>
              </w:rPr>
              <w:t>/</w:t>
            </w:r>
            <w:r>
              <w:rPr>
                <w:rFonts w:hint="eastAsia" w:ascii="仿宋" w:hAnsi="仿宋" w:eastAsia="仿宋" w:cs="仿宋"/>
                <w:kern w:val="0"/>
                <w:lang w:val="en-US" w:eastAsia="zh-CN"/>
              </w:rPr>
              <w:t>10</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6B2B95">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4</w:t>
            </w:r>
            <w:r>
              <w:rPr>
                <w:rFonts w:hint="eastAsia" w:ascii="仿宋" w:hAnsi="仿宋" w:eastAsia="仿宋" w:cs="仿宋"/>
                <w:kern w:val="0"/>
              </w:rPr>
              <w:t>/30</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A72C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40746E0F">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FCEB8F">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sz w:val="24"/>
                <w:szCs w:val="21"/>
                <w:lang w:val="en-US" w:eastAsia="zh-CN" w:bidi="ar-SA"/>
              </w:rPr>
              <w:t>八</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6176A8">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桥梁工程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57F8F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A56215">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3F494">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568CCDFD">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03B9ED">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1</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644D5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桩基</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8DCFB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1</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F817F">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eastAsia="zh-CN"/>
              </w:rPr>
            </w:pPr>
            <w:r>
              <w:rPr>
                <w:rFonts w:hint="eastAsia" w:ascii="仿宋" w:hAnsi="仿宋" w:eastAsia="仿宋" w:cs="仿宋"/>
                <w:kern w:val="0"/>
              </w:rPr>
              <w:t>202</w:t>
            </w:r>
            <w:r>
              <w:rPr>
                <w:rFonts w:hint="eastAsia" w:ascii="仿宋" w:hAnsi="仿宋" w:eastAsia="仿宋" w:cs="仿宋"/>
                <w:kern w:val="0"/>
                <w:lang w:val="en-US" w:eastAsia="zh-CN"/>
              </w:rPr>
              <w:t>7</w:t>
            </w:r>
            <w:r>
              <w:rPr>
                <w:rFonts w:hint="eastAsia" w:ascii="仿宋" w:hAnsi="仿宋" w:eastAsia="仿宋" w:cs="仿宋"/>
                <w:kern w:val="0"/>
              </w:rPr>
              <w:t>/</w:t>
            </w:r>
            <w:r>
              <w:rPr>
                <w:rFonts w:hint="eastAsia" w:ascii="仿宋" w:hAnsi="仿宋" w:eastAsia="仿宋" w:cs="仿宋"/>
                <w:kern w:val="0"/>
                <w:lang w:val="en-US" w:eastAsia="zh-CN"/>
              </w:rPr>
              <w:t>7</w:t>
            </w:r>
            <w:r>
              <w:rPr>
                <w:rFonts w:hint="eastAsia" w:ascii="仿宋" w:hAnsi="仿宋" w:eastAsia="仿宋" w:cs="仿宋"/>
                <w:kern w:val="0"/>
              </w:rPr>
              <w:t>/3</w:t>
            </w:r>
            <w:r>
              <w:rPr>
                <w:rFonts w:hint="eastAsia" w:ascii="仿宋" w:hAnsi="仿宋" w:eastAsia="仿宋" w:cs="仿宋"/>
                <w:kern w:val="0"/>
                <w:lang w:val="en-US" w:eastAsia="zh-CN"/>
              </w:rPr>
              <w:t>0</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31BD52">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lang w:val="en-US" w:eastAsia="zh-CN"/>
              </w:rPr>
              <w:t>含先行段</w:t>
            </w:r>
          </w:p>
        </w:tc>
      </w:tr>
      <w:tr w14:paraId="34E0AD6E">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FDF157">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B9C539">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下部构造</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909F4F">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6</w:t>
            </w:r>
            <w:r>
              <w:rPr>
                <w:rFonts w:hint="eastAsia" w:ascii="仿宋" w:hAnsi="仿宋" w:eastAsia="仿宋" w:cs="仿宋"/>
                <w:kern w:val="0"/>
              </w:rPr>
              <w:t>/</w:t>
            </w:r>
            <w:r>
              <w:rPr>
                <w:rFonts w:hint="eastAsia" w:ascii="仿宋" w:hAnsi="仿宋" w:eastAsia="仿宋" w:cs="仿宋"/>
                <w:kern w:val="0"/>
                <w:lang w:val="en-US" w:eastAsia="zh-CN"/>
              </w:rPr>
              <w:t>5</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2722B3">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eastAsia="zh-CN"/>
              </w:rPr>
            </w:pPr>
            <w:r>
              <w:rPr>
                <w:rFonts w:hint="eastAsia" w:ascii="仿宋" w:hAnsi="仿宋" w:eastAsia="仿宋" w:cs="仿宋"/>
                <w:kern w:val="0"/>
              </w:rPr>
              <w:t>202</w:t>
            </w:r>
            <w:r>
              <w:rPr>
                <w:rFonts w:hint="eastAsia" w:ascii="仿宋" w:hAnsi="仿宋" w:eastAsia="仿宋" w:cs="仿宋"/>
                <w:kern w:val="0"/>
                <w:lang w:val="en-US" w:eastAsia="zh-CN"/>
              </w:rPr>
              <w:t>7</w:t>
            </w:r>
            <w:r>
              <w:rPr>
                <w:rFonts w:hint="eastAsia" w:ascii="仿宋" w:hAnsi="仿宋" w:eastAsia="仿宋" w:cs="仿宋"/>
                <w:kern w:val="0"/>
              </w:rPr>
              <w:t>/</w:t>
            </w:r>
            <w:r>
              <w:rPr>
                <w:rFonts w:hint="eastAsia" w:ascii="仿宋" w:hAnsi="仿宋" w:eastAsia="仿宋" w:cs="仿宋"/>
                <w:kern w:val="0"/>
                <w:lang w:val="en-US" w:eastAsia="zh-CN"/>
              </w:rPr>
              <w:t>9</w:t>
            </w:r>
            <w:r>
              <w:rPr>
                <w:rFonts w:hint="eastAsia" w:ascii="仿宋" w:hAnsi="仿宋" w:eastAsia="仿宋" w:cs="仿宋"/>
                <w:kern w:val="0"/>
              </w:rPr>
              <w:t>/3</w:t>
            </w:r>
            <w:r>
              <w:rPr>
                <w:rFonts w:hint="eastAsia" w:ascii="仿宋" w:hAnsi="仿宋" w:eastAsia="仿宋" w:cs="仿宋"/>
                <w:kern w:val="0"/>
                <w:lang w:val="en-US" w:eastAsia="zh-CN"/>
              </w:rPr>
              <w:t>0</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DA244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lang w:val="en-US" w:eastAsia="zh-CN"/>
              </w:rPr>
              <w:t>含先行段</w:t>
            </w:r>
          </w:p>
        </w:tc>
      </w:tr>
      <w:tr w14:paraId="4142B644">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A1CC70">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3</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DCB756">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上部构造</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0F3D82">
            <w:pPr>
              <w:keepNext w:val="0"/>
              <w:keepLines w:val="0"/>
              <w:widowControl/>
              <w:suppressLineNumbers w:val="0"/>
              <w:spacing w:before="0" w:beforeAutospacing="0" w:after="0" w:afterAutospacing="0"/>
              <w:ind w:left="0" w:leftChars="0" w:right="0" w:firstLine="0" w:firstLineChars="0"/>
              <w:jc w:val="center"/>
              <w:textAlignment w:val="center"/>
              <w:rPr>
                <w:rFonts w:hint="default" w:ascii="仿宋" w:hAnsi="仿宋" w:eastAsia="仿宋" w:cs="仿宋"/>
                <w:kern w:val="0"/>
                <w:lang w:val="en-US" w:eastAsia="zh-CN"/>
              </w:rPr>
            </w:pPr>
            <w:r>
              <w:rPr>
                <w:rFonts w:hint="eastAsia" w:ascii="仿宋" w:hAnsi="仿宋" w:eastAsia="仿宋" w:cs="仿宋"/>
                <w:kern w:val="0"/>
              </w:rPr>
              <w:t>202</w:t>
            </w:r>
            <w:r>
              <w:rPr>
                <w:rFonts w:hint="eastAsia" w:ascii="仿宋" w:hAnsi="仿宋" w:eastAsia="仿宋" w:cs="仿宋"/>
                <w:kern w:val="0"/>
                <w:lang w:val="en-US" w:eastAsia="zh-CN"/>
              </w:rPr>
              <w:t>7</w:t>
            </w:r>
            <w:r>
              <w:rPr>
                <w:rFonts w:hint="eastAsia" w:ascii="仿宋" w:hAnsi="仿宋" w:eastAsia="仿宋" w:cs="仿宋"/>
                <w:kern w:val="0"/>
              </w:rPr>
              <w:t>/</w:t>
            </w:r>
            <w:r>
              <w:rPr>
                <w:rFonts w:hint="eastAsia" w:ascii="仿宋" w:hAnsi="仿宋" w:eastAsia="仿宋" w:cs="仿宋"/>
                <w:kern w:val="0"/>
                <w:lang w:val="en-US" w:eastAsia="zh-CN"/>
              </w:rPr>
              <w:t>3</w:t>
            </w:r>
            <w:r>
              <w:rPr>
                <w:rFonts w:hint="eastAsia" w:ascii="仿宋" w:hAnsi="仿宋" w:eastAsia="仿宋" w:cs="仿宋"/>
                <w:kern w:val="0"/>
              </w:rPr>
              <w:t>/</w:t>
            </w:r>
            <w:r>
              <w:rPr>
                <w:rFonts w:hint="eastAsia" w:ascii="仿宋" w:hAnsi="仿宋" w:eastAsia="仿宋" w:cs="仿宋"/>
                <w:kern w:val="0"/>
                <w:lang w:val="en-US" w:eastAsia="zh-CN"/>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C2712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5</w:t>
            </w:r>
            <w:r>
              <w:rPr>
                <w:rFonts w:hint="eastAsia" w:ascii="仿宋" w:hAnsi="仿宋" w:eastAsia="仿宋" w:cs="仿宋"/>
                <w:kern w:val="0"/>
              </w:rPr>
              <w:t>/31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5126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04E7DD32">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EC8478">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4</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9DBCE0">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桥面附属工程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DBB30B">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val="en-US" w:eastAsia="zh-CN"/>
              </w:rPr>
            </w:pPr>
            <w:r>
              <w:rPr>
                <w:rFonts w:hint="eastAsia" w:ascii="仿宋" w:hAnsi="仿宋" w:eastAsia="仿宋" w:cs="仿宋"/>
                <w:kern w:val="0"/>
              </w:rPr>
              <w:t>20</w:t>
            </w:r>
            <w:r>
              <w:rPr>
                <w:rFonts w:hint="eastAsia" w:ascii="仿宋" w:hAnsi="仿宋" w:eastAsia="仿宋" w:cs="仿宋"/>
                <w:kern w:val="0"/>
                <w:lang w:val="en-US" w:eastAsia="zh-CN"/>
              </w:rPr>
              <w:t>27</w:t>
            </w:r>
            <w:r>
              <w:rPr>
                <w:rFonts w:hint="eastAsia" w:ascii="仿宋" w:hAnsi="仿宋" w:eastAsia="仿宋" w:cs="仿宋"/>
                <w:kern w:val="0"/>
              </w:rPr>
              <w:t>/</w:t>
            </w:r>
            <w:r>
              <w:rPr>
                <w:rFonts w:hint="eastAsia" w:ascii="仿宋" w:hAnsi="仿宋" w:eastAsia="仿宋" w:cs="仿宋"/>
                <w:kern w:val="0"/>
                <w:lang w:val="en-US" w:eastAsia="zh-CN"/>
              </w:rPr>
              <w:t>5</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026E19">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7</w:t>
            </w:r>
            <w:r>
              <w:rPr>
                <w:rFonts w:hint="eastAsia" w:ascii="仿宋" w:hAnsi="仿宋" w:eastAsia="仿宋" w:cs="仿宋"/>
                <w:kern w:val="0"/>
              </w:rPr>
              <w:t>/31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3048A">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4EE4AA48">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23520B">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sz w:val="24"/>
                <w:szCs w:val="21"/>
                <w:lang w:val="en-US" w:eastAsia="zh-CN" w:bidi="ar-SA"/>
              </w:rPr>
              <w:t>九</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C201F1">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路面工程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3E4550">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1</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79D586">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lang w:eastAsia="zh-CN"/>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8</w:t>
            </w:r>
            <w:r>
              <w:rPr>
                <w:rFonts w:hint="eastAsia" w:ascii="仿宋" w:hAnsi="仿宋" w:eastAsia="仿宋" w:cs="仿宋"/>
                <w:kern w:val="0"/>
              </w:rPr>
              <w:t>/3</w:t>
            </w:r>
            <w:r>
              <w:rPr>
                <w:rFonts w:hint="eastAsia" w:ascii="仿宋" w:hAnsi="仿宋" w:eastAsia="仿宋" w:cs="仿宋"/>
                <w:kern w:val="0"/>
                <w:lang w:val="en-US" w:eastAsia="zh-CN"/>
              </w:rPr>
              <w:t>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29C8D3">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r w14:paraId="7801601F">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02C26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仿宋" w:hAnsi="仿宋" w:eastAsia="仿宋" w:cs="仿宋"/>
                <w:kern w:val="0"/>
                <w:sz w:val="24"/>
                <w:szCs w:val="21"/>
                <w:lang w:val="en-US" w:eastAsia="zh-CN" w:bidi="ar-SA"/>
              </w:rPr>
            </w:pPr>
            <w:r>
              <w:rPr>
                <w:rFonts w:hint="eastAsia" w:ascii="仿宋" w:hAnsi="仿宋" w:eastAsia="仿宋" w:cs="仿宋"/>
                <w:kern w:val="0"/>
                <w:sz w:val="24"/>
                <w:szCs w:val="21"/>
                <w:lang w:val="en-US" w:eastAsia="zh-CN" w:bidi="ar-SA"/>
              </w:rPr>
              <w:t>十</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93B80A">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lang w:val="en-US" w:eastAsia="zh-CN"/>
              </w:rPr>
              <w:t>交安</w:t>
            </w:r>
            <w:r>
              <w:rPr>
                <w:rFonts w:hint="eastAsia" w:ascii="仿宋" w:hAnsi="仿宋" w:eastAsia="仿宋" w:cs="仿宋"/>
                <w:kern w:val="0"/>
              </w:rPr>
              <w:t>工程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B212CB">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5</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672FDF">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10</w:t>
            </w:r>
            <w:r>
              <w:rPr>
                <w:rFonts w:hint="eastAsia" w:ascii="仿宋" w:hAnsi="仿宋" w:eastAsia="仿宋" w:cs="仿宋"/>
                <w:kern w:val="0"/>
              </w:rPr>
              <w:t>/3</w:t>
            </w:r>
            <w:r>
              <w:rPr>
                <w:rFonts w:hint="eastAsia" w:ascii="仿宋" w:hAnsi="仿宋" w:eastAsia="仿宋" w:cs="仿宋"/>
                <w:kern w:val="0"/>
                <w:lang w:val="en-US" w:eastAsia="zh-CN"/>
              </w:rPr>
              <w:t>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2D8DCE">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p>
        </w:tc>
      </w:tr>
      <w:tr w14:paraId="29CD33D7">
        <w:tblPrEx>
          <w:tblCellMar>
            <w:top w:w="0" w:type="dxa"/>
            <w:left w:w="0" w:type="dxa"/>
            <w:bottom w:w="0" w:type="dxa"/>
            <w:right w:w="0" w:type="dxa"/>
          </w:tblCellMar>
        </w:tblPrEx>
        <w:trPr>
          <w:trHeight w:val="340" w:hRule="atLeast"/>
          <w:jc w:val="center"/>
        </w:trPr>
        <w:tc>
          <w:tcPr>
            <w:tcW w:w="8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1EEFB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仿宋" w:hAnsi="仿宋" w:eastAsia="仿宋" w:cs="仿宋"/>
                <w:kern w:val="0"/>
                <w:sz w:val="24"/>
                <w:szCs w:val="21"/>
                <w:lang w:val="en-US" w:eastAsia="zh-CN" w:bidi="ar-SA"/>
              </w:rPr>
            </w:pPr>
            <w:r>
              <w:rPr>
                <w:rFonts w:hint="eastAsia" w:ascii="仿宋" w:hAnsi="仿宋" w:eastAsia="仿宋" w:cs="仿宋"/>
                <w:kern w:val="0"/>
                <w:sz w:val="24"/>
                <w:szCs w:val="21"/>
                <w:lang w:val="en-US" w:eastAsia="zh-CN" w:bidi="ar-SA"/>
              </w:rPr>
              <w:t>十一</w:t>
            </w:r>
          </w:p>
        </w:tc>
        <w:tc>
          <w:tcPr>
            <w:tcW w:w="22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49D958">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lang w:val="en-US" w:eastAsia="zh-CN"/>
              </w:rPr>
              <w:t>绿化</w:t>
            </w:r>
            <w:r>
              <w:rPr>
                <w:rFonts w:hint="eastAsia" w:ascii="仿宋" w:hAnsi="仿宋" w:eastAsia="仿宋" w:cs="仿宋"/>
                <w:kern w:val="0"/>
              </w:rPr>
              <w:t>工程</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28EDCA">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5</w:t>
            </w:r>
            <w:r>
              <w:rPr>
                <w:rFonts w:hint="eastAsia" w:ascii="仿宋" w:hAnsi="仿宋" w:eastAsia="仿宋" w:cs="仿宋"/>
                <w:kern w:val="0"/>
              </w:rPr>
              <w:t>/1</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FC609B">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仿宋" w:hAnsi="仿宋" w:eastAsia="仿宋" w:cs="仿宋"/>
                <w:kern w:val="0"/>
                <w:sz w:val="24"/>
                <w:szCs w:val="21"/>
                <w:lang w:val="en-US" w:eastAsia="zh-CN" w:bidi="ar-SA"/>
              </w:rPr>
            </w:pPr>
            <w:r>
              <w:rPr>
                <w:rFonts w:hint="eastAsia" w:ascii="仿宋" w:hAnsi="仿宋" w:eastAsia="仿宋" w:cs="仿宋"/>
                <w:kern w:val="0"/>
              </w:rPr>
              <w:t>202</w:t>
            </w:r>
            <w:r>
              <w:rPr>
                <w:rFonts w:hint="eastAsia" w:ascii="仿宋" w:hAnsi="仿宋" w:eastAsia="仿宋" w:cs="仿宋"/>
                <w:kern w:val="0"/>
                <w:lang w:val="en-US" w:eastAsia="zh-CN"/>
              </w:rPr>
              <w:t>8</w:t>
            </w:r>
            <w:r>
              <w:rPr>
                <w:rFonts w:hint="eastAsia" w:ascii="仿宋" w:hAnsi="仿宋" w:eastAsia="仿宋" w:cs="仿宋"/>
                <w:kern w:val="0"/>
              </w:rPr>
              <w:t>/</w:t>
            </w:r>
            <w:r>
              <w:rPr>
                <w:rFonts w:hint="eastAsia" w:ascii="仿宋" w:hAnsi="仿宋" w:eastAsia="仿宋" w:cs="仿宋"/>
                <w:kern w:val="0"/>
                <w:lang w:val="en-US" w:eastAsia="zh-CN"/>
              </w:rPr>
              <w:t>10</w:t>
            </w:r>
            <w:r>
              <w:rPr>
                <w:rFonts w:hint="eastAsia" w:ascii="仿宋" w:hAnsi="仿宋" w:eastAsia="仿宋" w:cs="仿宋"/>
                <w:kern w:val="0"/>
              </w:rPr>
              <w:t>/3</w:t>
            </w:r>
            <w:r>
              <w:rPr>
                <w:rFonts w:hint="eastAsia" w:ascii="仿宋" w:hAnsi="仿宋" w:eastAsia="仿宋" w:cs="仿宋"/>
                <w:kern w:val="0"/>
                <w:lang w:val="en-US" w:eastAsia="zh-CN"/>
              </w:rPr>
              <w:t>1</w:t>
            </w:r>
          </w:p>
        </w:tc>
        <w:tc>
          <w:tcPr>
            <w:tcW w:w="13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11C7C8">
            <w:pPr>
              <w:keepNext w:val="0"/>
              <w:keepLines w:val="0"/>
              <w:widowControl/>
              <w:suppressLineNumbers w:val="0"/>
              <w:spacing w:before="0" w:beforeAutospacing="0" w:after="0" w:afterAutospacing="0"/>
              <w:ind w:left="0" w:leftChars="0" w:right="0" w:firstLine="0" w:firstLineChars="0"/>
              <w:jc w:val="center"/>
              <w:textAlignment w:val="center"/>
              <w:rPr>
                <w:rFonts w:hint="eastAsia" w:ascii="仿宋" w:hAnsi="仿宋" w:eastAsia="仿宋" w:cs="仿宋"/>
                <w:kern w:val="0"/>
              </w:rPr>
            </w:pPr>
          </w:p>
        </w:tc>
      </w:tr>
    </w:tbl>
    <w:p w14:paraId="6FAC37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p>
    <w:p w14:paraId="0E2B62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1、清表202</w:t>
      </w:r>
      <w:r>
        <w:rPr>
          <w:rFonts w:hint="eastAsia" w:ascii="宋体" w:hAnsi="宋体" w:cs="宋体"/>
          <w:sz w:val="24"/>
          <w:szCs w:val="24"/>
          <w:lang w:val="en-US" w:eastAsia="zh-CN"/>
        </w:rPr>
        <w:t>5</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11</w:t>
      </w:r>
      <w:r>
        <w:rPr>
          <w:rFonts w:hint="eastAsia" w:ascii="宋体" w:hAnsi="宋体" w:eastAsia="宋体" w:cs="宋体"/>
          <w:sz w:val="24"/>
          <w:szCs w:val="24"/>
          <w:lang w:val="en-US" w:eastAsia="zh-CN"/>
        </w:rPr>
        <w:t>月</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日至202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月</w:t>
      </w:r>
      <w:r>
        <w:rPr>
          <w:rFonts w:hint="eastAsia" w:ascii="宋体" w:hAnsi="宋体" w:cs="宋体"/>
          <w:sz w:val="24"/>
          <w:szCs w:val="24"/>
          <w:lang w:val="en-US" w:eastAsia="zh-CN"/>
        </w:rPr>
        <w:t>15日</w:t>
      </w:r>
      <w:r>
        <w:rPr>
          <w:rFonts w:hint="eastAsia" w:ascii="宋体" w:hAnsi="宋体" w:eastAsia="宋体" w:cs="宋体"/>
          <w:sz w:val="24"/>
          <w:szCs w:val="24"/>
          <w:lang w:val="en-US" w:eastAsia="zh-CN"/>
        </w:rPr>
        <w:t>；</w:t>
      </w:r>
    </w:p>
    <w:p w14:paraId="5E5B312D">
      <w:pPr>
        <w:pStyle w:val="46"/>
        <w:ind w:left="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2、施工便道</w:t>
      </w:r>
      <w:r>
        <w:rPr>
          <w:rFonts w:hint="eastAsia" w:ascii="宋体" w:hAnsi="宋体" w:cs="宋体"/>
          <w:sz w:val="24"/>
          <w:szCs w:val="24"/>
          <w:lang w:val="en-US" w:eastAsia="zh-CN"/>
        </w:rPr>
        <w:t>、便桥</w:t>
      </w:r>
      <w:r>
        <w:rPr>
          <w:rFonts w:hint="eastAsia" w:ascii="宋体" w:hAnsi="宋体" w:eastAsia="宋体" w:cs="宋体"/>
          <w:sz w:val="24"/>
          <w:szCs w:val="24"/>
          <w:lang w:val="en-US" w:eastAsia="zh-CN"/>
        </w:rPr>
        <w:t>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月1日至202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9</w:t>
      </w:r>
      <w:r>
        <w:rPr>
          <w:rFonts w:hint="eastAsia" w:ascii="宋体" w:hAnsi="宋体" w:eastAsia="宋体" w:cs="宋体"/>
          <w:sz w:val="24"/>
          <w:szCs w:val="24"/>
          <w:lang w:val="en-US" w:eastAsia="zh-CN"/>
        </w:rPr>
        <w:t>月</w:t>
      </w:r>
      <w:r>
        <w:rPr>
          <w:rFonts w:hint="eastAsia" w:ascii="宋体" w:hAnsi="宋体" w:cs="宋体"/>
          <w:sz w:val="24"/>
          <w:szCs w:val="24"/>
          <w:lang w:val="en-US" w:eastAsia="zh-CN"/>
        </w:rPr>
        <w:t>30日</w:t>
      </w:r>
      <w:r>
        <w:rPr>
          <w:rFonts w:hint="eastAsia" w:ascii="宋体" w:hAnsi="宋体" w:eastAsia="宋体" w:cs="宋体"/>
          <w:sz w:val="24"/>
          <w:szCs w:val="24"/>
          <w:lang w:val="en-US" w:eastAsia="zh-CN"/>
        </w:rPr>
        <w:t>；</w:t>
      </w:r>
    </w:p>
    <w:p w14:paraId="0A6E80CB">
      <w:pPr>
        <w:pStyle w:val="46"/>
        <w:ind w:left="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3、临时用电202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月1日至202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年10月</w:t>
      </w:r>
      <w:r>
        <w:rPr>
          <w:rFonts w:hint="eastAsia" w:ascii="宋体" w:hAnsi="宋体" w:cs="宋体"/>
          <w:sz w:val="24"/>
          <w:szCs w:val="24"/>
          <w:lang w:val="en-US" w:eastAsia="zh-CN"/>
        </w:rPr>
        <w:t>31日</w:t>
      </w:r>
      <w:r>
        <w:rPr>
          <w:rFonts w:hint="eastAsia" w:ascii="宋体" w:hAnsi="宋体" w:eastAsia="宋体" w:cs="宋体"/>
          <w:sz w:val="24"/>
          <w:szCs w:val="24"/>
          <w:lang w:val="en-US" w:eastAsia="zh-CN"/>
        </w:rPr>
        <w:t>；</w:t>
      </w:r>
    </w:p>
    <w:p w14:paraId="269D415A">
      <w:pPr>
        <w:pStyle w:val="46"/>
        <w:ind w:left="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4、钢筋加工厂、预制厂等临时建设计划202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月至202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4</w:t>
      </w:r>
      <w:r>
        <w:rPr>
          <w:rFonts w:hint="eastAsia" w:ascii="宋体" w:hAnsi="宋体" w:eastAsia="宋体" w:cs="宋体"/>
          <w:sz w:val="24"/>
          <w:szCs w:val="24"/>
          <w:lang w:val="en-US" w:eastAsia="zh-CN"/>
        </w:rPr>
        <w:t>月；</w:t>
      </w:r>
    </w:p>
    <w:p w14:paraId="0C03DF8F">
      <w:pPr>
        <w:pStyle w:val="46"/>
        <w:ind w:left="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5、路基工程计划202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月至202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4</w:t>
      </w:r>
      <w:r>
        <w:rPr>
          <w:rFonts w:hint="eastAsia" w:ascii="宋体" w:hAnsi="宋体" w:eastAsia="宋体" w:cs="宋体"/>
          <w:sz w:val="24"/>
          <w:szCs w:val="24"/>
          <w:lang w:val="en-US" w:eastAsia="zh-CN"/>
        </w:rPr>
        <w:t>月；</w:t>
      </w:r>
    </w:p>
    <w:p w14:paraId="4DB0313B">
      <w:pPr>
        <w:pStyle w:val="46"/>
        <w:ind w:left="0" w:leftChars="0"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r>
        <w:rPr>
          <w:rFonts w:hint="eastAsia" w:ascii="宋体" w:hAnsi="宋体" w:cs="宋体"/>
          <w:sz w:val="24"/>
          <w:szCs w:val="24"/>
          <w:lang w:val="en-US" w:eastAsia="zh-CN"/>
        </w:rPr>
        <w:t>桥梁</w:t>
      </w:r>
      <w:r>
        <w:rPr>
          <w:rFonts w:hint="eastAsia" w:ascii="宋体" w:hAnsi="宋体" w:eastAsia="宋体" w:cs="宋体"/>
          <w:sz w:val="24"/>
          <w:szCs w:val="24"/>
          <w:lang w:val="en-US" w:eastAsia="zh-CN"/>
        </w:rPr>
        <w:t>工程计划202</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月至202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7</w:t>
      </w:r>
      <w:r>
        <w:rPr>
          <w:rFonts w:hint="eastAsia" w:ascii="宋体" w:hAnsi="宋体" w:eastAsia="宋体" w:cs="宋体"/>
          <w:sz w:val="24"/>
          <w:szCs w:val="24"/>
          <w:lang w:val="en-US" w:eastAsia="zh-CN"/>
        </w:rPr>
        <w:t>月；</w:t>
      </w:r>
    </w:p>
    <w:p w14:paraId="2CCEA995">
      <w:pPr>
        <w:pStyle w:val="46"/>
        <w:ind w:left="0" w:leftChars="0" w:firstLine="480" w:firstLineChars="200"/>
        <w:rPr>
          <w:rFonts w:hint="eastAsia" w:ascii="宋体" w:hAnsi="宋体" w:eastAsia="宋体" w:cs="宋体"/>
          <w:sz w:val="24"/>
          <w:szCs w:val="24"/>
          <w:lang w:val="en-US" w:eastAsia="zh-CN"/>
        </w:rPr>
      </w:pPr>
      <w:r>
        <w:rPr>
          <w:rFonts w:hint="eastAsia" w:ascii="宋体" w:hAnsi="宋体" w:cs="宋体"/>
          <w:sz w:val="24"/>
          <w:szCs w:val="24"/>
          <w:lang w:val="en-US" w:eastAsia="zh-CN"/>
        </w:rPr>
        <w:t>7</w:t>
      </w:r>
      <w:r>
        <w:rPr>
          <w:rFonts w:hint="eastAsia" w:ascii="宋体" w:hAnsi="宋体" w:eastAsia="宋体" w:cs="宋体"/>
          <w:sz w:val="24"/>
          <w:szCs w:val="24"/>
          <w:lang w:val="en-US" w:eastAsia="zh-CN"/>
        </w:rPr>
        <w:t>、路面工程计划202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w:t>
      </w:r>
      <w:r>
        <w:rPr>
          <w:rFonts w:hint="eastAsia" w:ascii="宋体" w:hAnsi="宋体" w:eastAsia="宋体" w:cs="宋体"/>
          <w:sz w:val="24"/>
          <w:szCs w:val="24"/>
          <w:lang w:val="en-US" w:eastAsia="zh-CN"/>
        </w:rPr>
        <w:t>月至202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月；</w:t>
      </w:r>
    </w:p>
    <w:p w14:paraId="13512E5C">
      <w:pPr>
        <w:pStyle w:val="46"/>
        <w:ind w:left="0" w:leftChars="0" w:firstLine="480" w:firstLineChars="200"/>
        <w:rPr>
          <w:rFonts w:hint="eastAsia" w:ascii="宋体" w:hAnsi="宋体" w:eastAsia="宋体" w:cs="宋体"/>
          <w:sz w:val="24"/>
          <w:szCs w:val="24"/>
          <w:lang w:val="en-US" w:eastAsia="zh-CN"/>
        </w:rPr>
      </w:pPr>
      <w:r>
        <w:rPr>
          <w:rFonts w:hint="eastAsia" w:ascii="宋体" w:hAnsi="宋体" w:cs="宋体"/>
          <w:sz w:val="24"/>
          <w:szCs w:val="24"/>
          <w:lang w:val="en-US" w:eastAsia="zh-CN"/>
        </w:rPr>
        <w:t>8</w:t>
      </w:r>
      <w:r>
        <w:rPr>
          <w:rFonts w:hint="eastAsia" w:ascii="宋体" w:hAnsi="宋体" w:eastAsia="宋体" w:cs="宋体"/>
          <w:sz w:val="24"/>
          <w:szCs w:val="24"/>
          <w:lang w:val="en-US" w:eastAsia="zh-CN"/>
        </w:rPr>
        <w:t>、交安、绿化等工程计划202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5</w:t>
      </w:r>
      <w:r>
        <w:rPr>
          <w:rFonts w:hint="eastAsia" w:ascii="宋体" w:hAnsi="宋体" w:eastAsia="宋体" w:cs="宋体"/>
          <w:sz w:val="24"/>
          <w:szCs w:val="24"/>
          <w:lang w:val="en-US" w:eastAsia="zh-CN"/>
        </w:rPr>
        <w:t>月至202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10</w:t>
      </w:r>
      <w:r>
        <w:rPr>
          <w:rFonts w:hint="eastAsia" w:ascii="宋体" w:hAnsi="宋体" w:eastAsia="宋体" w:cs="宋体"/>
          <w:sz w:val="24"/>
          <w:szCs w:val="24"/>
          <w:lang w:val="en-US" w:eastAsia="zh-CN"/>
        </w:rPr>
        <w:t>月；</w:t>
      </w:r>
    </w:p>
    <w:p w14:paraId="3EF2FE4F">
      <w:pPr>
        <w:pStyle w:val="46"/>
        <w:ind w:left="0" w:leftChars="0" w:firstLine="480" w:firstLineChars="200"/>
        <w:rPr>
          <w:rFonts w:hint="eastAsia" w:ascii="宋体" w:hAnsi="宋体" w:eastAsia="宋体" w:cs="宋体"/>
          <w:sz w:val="24"/>
          <w:szCs w:val="24"/>
          <w:lang w:val="en-US" w:eastAsia="zh-CN"/>
        </w:rPr>
      </w:pPr>
      <w:r>
        <w:rPr>
          <w:rFonts w:hint="eastAsia" w:ascii="宋体" w:hAnsi="宋体" w:cs="宋体"/>
          <w:sz w:val="24"/>
          <w:szCs w:val="24"/>
          <w:lang w:val="en-US" w:eastAsia="zh-CN"/>
        </w:rPr>
        <w:t>9</w:t>
      </w:r>
      <w:r>
        <w:rPr>
          <w:rFonts w:hint="eastAsia" w:ascii="宋体" w:hAnsi="宋体" w:eastAsia="宋体" w:cs="宋体"/>
          <w:sz w:val="24"/>
          <w:szCs w:val="24"/>
          <w:lang w:val="en-US" w:eastAsia="zh-CN"/>
        </w:rPr>
        <w:t>、工程交工计划202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11</w:t>
      </w:r>
      <w:r>
        <w:rPr>
          <w:rFonts w:hint="eastAsia" w:ascii="宋体" w:hAnsi="宋体" w:eastAsia="宋体" w:cs="宋体"/>
          <w:sz w:val="24"/>
          <w:szCs w:val="24"/>
          <w:lang w:val="en-US" w:eastAsia="zh-CN"/>
        </w:rPr>
        <w:t>月至202</w:t>
      </w:r>
      <w:r>
        <w:rPr>
          <w:rFonts w:hint="eastAsia" w:ascii="宋体" w:hAnsi="宋体" w:cs="宋体"/>
          <w:sz w:val="24"/>
          <w:szCs w:val="24"/>
          <w:lang w:val="en-US" w:eastAsia="zh-CN"/>
        </w:rPr>
        <w:t>8</w:t>
      </w:r>
      <w:r>
        <w:rPr>
          <w:rFonts w:hint="eastAsia" w:ascii="宋体" w:hAnsi="宋体" w:eastAsia="宋体" w:cs="宋体"/>
          <w:sz w:val="24"/>
          <w:szCs w:val="24"/>
          <w:lang w:val="en-US" w:eastAsia="zh-CN"/>
        </w:rPr>
        <w:t>年</w:t>
      </w:r>
      <w:r>
        <w:rPr>
          <w:rFonts w:hint="eastAsia" w:ascii="宋体" w:hAnsi="宋体" w:cs="宋体"/>
          <w:sz w:val="24"/>
          <w:szCs w:val="24"/>
          <w:lang w:val="en-US" w:eastAsia="zh-CN"/>
        </w:rPr>
        <w:t>12</w:t>
      </w:r>
      <w:r>
        <w:rPr>
          <w:rFonts w:hint="eastAsia" w:ascii="宋体" w:hAnsi="宋体" w:eastAsia="宋体" w:cs="宋体"/>
          <w:sz w:val="24"/>
          <w:szCs w:val="24"/>
          <w:lang w:val="en-US" w:eastAsia="zh-CN"/>
        </w:rPr>
        <w:t>月</w:t>
      </w:r>
    </w:p>
    <w:p w14:paraId="4E43CD94">
      <w:pPr>
        <w:pStyle w:val="4"/>
        <w:numPr>
          <w:ilvl w:val="1"/>
          <w:numId w:val="0"/>
        </w:numPr>
        <w:spacing w:line="360" w:lineRule="auto"/>
        <w:ind w:firstLine="0" w:firstLineChars="0"/>
        <w:rPr>
          <w:rFonts w:hint="eastAsia"/>
          <w:highlight w:val="none"/>
          <w:lang w:val="en-US" w:eastAsia="zh-CN"/>
        </w:rPr>
      </w:pPr>
      <w:bookmarkStart w:id="751" w:name="_Toc23568"/>
      <w:r>
        <w:rPr>
          <w:rFonts w:hint="default" w:ascii="宋体" w:hAnsi="宋体" w:eastAsia="宋体" w:cs="Times New Roman"/>
          <w:b/>
          <w:bCs/>
          <w:color w:val="auto"/>
          <w:kern w:val="2"/>
          <w:sz w:val="32"/>
          <w:szCs w:val="32"/>
          <w:highlight w:val="none"/>
          <w:lang w:val="en-US" w:eastAsia="zh-CN" w:bidi="ar-SA"/>
        </w:rPr>
        <w:t>7.</w:t>
      </w:r>
      <w:r>
        <w:rPr>
          <w:rFonts w:hint="eastAsia" w:ascii="宋体" w:hAnsi="宋体" w:eastAsia="宋体" w:cs="Times New Roman"/>
          <w:b/>
          <w:bCs/>
          <w:color w:val="auto"/>
          <w:kern w:val="2"/>
          <w:sz w:val="32"/>
          <w:szCs w:val="32"/>
          <w:highlight w:val="none"/>
          <w:lang w:val="en-US" w:eastAsia="zh-CN" w:bidi="ar-SA"/>
        </w:rPr>
        <w:t>4</w:t>
      </w:r>
      <w:r>
        <w:rPr>
          <w:rFonts w:hint="default" w:ascii="宋体" w:hAnsi="宋体" w:eastAsia="宋体" w:cs="Times New Roman"/>
          <w:b/>
          <w:bCs/>
          <w:color w:val="auto"/>
          <w:kern w:val="2"/>
          <w:sz w:val="32"/>
          <w:szCs w:val="32"/>
          <w:highlight w:val="none"/>
          <w:lang w:val="en-US" w:eastAsia="zh-CN" w:bidi="ar-SA"/>
        </w:rPr>
        <w:t>.</w:t>
      </w:r>
      <w:r>
        <w:rPr>
          <w:rFonts w:hint="eastAsia" w:ascii="宋体" w:hAnsi="宋体" w:eastAsia="宋体" w:cs="宋体"/>
          <w:color w:val="auto"/>
          <w:highlight w:val="none"/>
          <w:lang w:val="en-US" w:eastAsia="zh-CN"/>
        </w:rPr>
        <w:t>工期保障措施</w:t>
      </w:r>
      <w:bookmarkEnd w:id="751"/>
    </w:p>
    <w:p w14:paraId="0E363931">
      <w:pPr>
        <w:pStyle w:val="5"/>
        <w:rPr>
          <w:color w:val="auto"/>
        </w:rPr>
      </w:pPr>
      <w:bookmarkStart w:id="752" w:name="_Toc3096"/>
      <w:bookmarkStart w:id="753" w:name="_Toc20322"/>
      <w:r>
        <w:rPr>
          <w:rFonts w:hint="eastAsia"/>
          <w:color w:val="auto"/>
          <w:lang w:val="en-US" w:eastAsia="zh-CN"/>
        </w:rPr>
        <w:t>7.4.1</w:t>
      </w:r>
      <w:r>
        <w:rPr>
          <w:rFonts w:hint="eastAsia"/>
          <w:color w:val="auto"/>
        </w:rPr>
        <w:t>保障工期的基本思路和总体思想</w:t>
      </w:r>
      <w:bookmarkEnd w:id="752"/>
      <w:bookmarkEnd w:id="753"/>
    </w:p>
    <w:p w14:paraId="424EECCE">
      <w:pPr>
        <w:spacing w:line="360" w:lineRule="auto"/>
        <w:ind w:firstLine="480" w:firstLineChars="200"/>
        <w:rPr>
          <w:rFonts w:asciiTheme="minorEastAsia" w:hAnsiTheme="minorEastAsia" w:eastAsiaTheme="minorEastAsia"/>
          <w:sz w:val="24"/>
        </w:rPr>
      </w:pPr>
      <w:bookmarkStart w:id="754" w:name="_Hlk11084331"/>
      <w:r>
        <w:rPr>
          <w:rFonts w:hint="eastAsia" w:asciiTheme="minorEastAsia" w:hAnsiTheme="minorEastAsia" w:eastAsiaTheme="minorEastAsia"/>
          <w:sz w:val="24"/>
        </w:rPr>
        <w:t>项目部做到“三快”即：进场快、安家快、全面展开施工快。抓住最佳施工季节，迅速掀起施工生产高潮，确保工期目标的实现。精心编制实施性施工组织设计，科学组织施工，实行动态管理，及时调整各分项工程的进度计划和机械、劳力配置，确保各项工程按期完成。</w:t>
      </w:r>
    </w:p>
    <w:p w14:paraId="4F2D40AA">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1</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人员调入施工现场后进行详细的施工调查、测量、复测、征地拆迁、三通一平等临时工程的规划和设计，人员、材料、机具设备迅速进场，施工图纸、电力到位。组织生产、生产设施齐头并进，尽早安排开工，尽量缩短施工准备期。</w:t>
      </w:r>
    </w:p>
    <w:p w14:paraId="51567F93">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2、</w:t>
      </w:r>
      <w:r>
        <w:rPr>
          <w:rFonts w:hint="eastAsia" w:asciiTheme="minorEastAsia" w:hAnsiTheme="minorEastAsia" w:eastAsiaTheme="minorEastAsia"/>
          <w:sz w:val="24"/>
        </w:rPr>
        <w:t>施工人员进入工地后施工用电未能及时接通，即用临时发电机发电施工。</w:t>
      </w:r>
    </w:p>
    <w:p w14:paraId="43295BEC">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3、</w:t>
      </w:r>
      <w:r>
        <w:rPr>
          <w:rFonts w:hint="eastAsia" w:asciiTheme="minorEastAsia" w:hAnsiTheme="minorEastAsia" w:eastAsiaTheme="minorEastAsia"/>
          <w:sz w:val="24"/>
        </w:rPr>
        <w:t>组织好施工机械，设备和材料的调运，急用机械设备可在一周内进入施工现场，以满足施工的需要。</w:t>
      </w:r>
    </w:p>
    <w:p w14:paraId="70419CB4">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4、</w:t>
      </w:r>
      <w:r>
        <w:rPr>
          <w:rFonts w:asciiTheme="minorEastAsia" w:hAnsiTheme="minorEastAsia" w:eastAsiaTheme="minorEastAsia"/>
          <w:sz w:val="24"/>
        </w:rPr>
        <w:t xml:space="preserve"> </w:t>
      </w:r>
      <w:r>
        <w:rPr>
          <w:rFonts w:hint="eastAsia" w:asciiTheme="minorEastAsia" w:hAnsiTheme="minorEastAsia" w:eastAsiaTheme="minorEastAsia"/>
          <w:sz w:val="24"/>
        </w:rPr>
        <w:t>建立工期保障体系，分别从技术保证、组织保证、制度保证、经济保证等方面对工期进行控制。</w:t>
      </w:r>
      <w:bookmarkEnd w:id="754"/>
    </w:p>
    <w:p w14:paraId="1478FF51">
      <w:pPr>
        <w:spacing w:line="360" w:lineRule="auto"/>
        <w:rPr>
          <w:rFonts w:asciiTheme="minorEastAsia" w:hAnsiTheme="minorEastAsia" w:eastAsiaTheme="minorEastAsia"/>
          <w:bCs/>
          <w:sz w:val="24"/>
        </w:rPr>
      </w:pPr>
      <w:r>
        <w:rPr>
          <w:rFonts w:asciiTheme="minorEastAsia" w:hAnsiTheme="minorEastAsia" w:eastAsiaTheme="minorEastAsia"/>
          <w:bCs/>
          <w:sz w:val="24"/>
        </w:rPr>
        <mc:AlternateContent>
          <mc:Choice Requires="wpg">
            <w:drawing>
              <wp:inline distT="0" distB="0" distL="114300" distR="114300">
                <wp:extent cx="5554345" cy="7230110"/>
                <wp:effectExtent l="5080" t="4445" r="18415" b="19685"/>
                <wp:docPr id="1568" name="组合 1568"/>
                <wp:cNvGraphicFramePr/>
                <a:graphic xmlns:a="http://schemas.openxmlformats.org/drawingml/2006/main">
                  <a:graphicData uri="http://schemas.microsoft.com/office/word/2010/wordprocessingGroup">
                    <wpg:wgp>
                      <wpg:cNvGrpSpPr/>
                      <wpg:grpSpPr>
                        <a:xfrm>
                          <a:off x="0" y="0"/>
                          <a:ext cx="5554345" cy="7230110"/>
                          <a:chOff x="-59" y="0"/>
                          <a:chExt cx="8747" cy="11709"/>
                        </a:xfrm>
                      </wpg:grpSpPr>
                      <wps:wsp>
                        <wps:cNvPr id="1527" name="直接连接符 1527"/>
                        <wps:cNvCnPr/>
                        <wps:spPr>
                          <a:xfrm>
                            <a:off x="1062" y="895"/>
                            <a:ext cx="0" cy="7679"/>
                          </a:xfrm>
                          <a:prstGeom prst="line">
                            <a:avLst/>
                          </a:prstGeom>
                          <a:ln w="9525" cap="flat" cmpd="sng">
                            <a:solidFill>
                              <a:srgbClr val="000000"/>
                            </a:solidFill>
                            <a:prstDash val="solid"/>
                            <a:headEnd type="none" w="med" len="med"/>
                            <a:tailEnd type="none" w="med" len="med"/>
                          </a:ln>
                        </wps:spPr>
                        <wps:bodyPr upright="1"/>
                      </wps:wsp>
                      <wps:wsp>
                        <wps:cNvPr id="1528" name="直接连接符 1528"/>
                        <wps:cNvCnPr/>
                        <wps:spPr>
                          <a:xfrm>
                            <a:off x="3477" y="895"/>
                            <a:ext cx="0" cy="7670"/>
                          </a:xfrm>
                          <a:prstGeom prst="line">
                            <a:avLst/>
                          </a:prstGeom>
                          <a:ln w="9525" cap="flat" cmpd="sng">
                            <a:solidFill>
                              <a:srgbClr val="000000"/>
                            </a:solidFill>
                            <a:prstDash val="solid"/>
                            <a:headEnd type="none" w="med" len="med"/>
                            <a:tailEnd type="none" w="med" len="med"/>
                          </a:ln>
                        </wps:spPr>
                        <wps:bodyPr upright="1"/>
                      </wps:wsp>
                      <wps:wsp>
                        <wps:cNvPr id="1529" name="直接连接符 1529"/>
                        <wps:cNvCnPr/>
                        <wps:spPr>
                          <a:xfrm>
                            <a:off x="5637" y="895"/>
                            <a:ext cx="1" cy="7670"/>
                          </a:xfrm>
                          <a:prstGeom prst="line">
                            <a:avLst/>
                          </a:prstGeom>
                          <a:ln w="9525" cap="flat" cmpd="sng">
                            <a:solidFill>
                              <a:srgbClr val="000000"/>
                            </a:solidFill>
                            <a:prstDash val="solid"/>
                            <a:headEnd type="none" w="med" len="med"/>
                            <a:tailEnd type="none" w="med" len="med"/>
                          </a:ln>
                        </wps:spPr>
                        <wps:bodyPr upright="1"/>
                      </wps:wsp>
                      <wps:wsp>
                        <wps:cNvPr id="1530" name="直接连接符 1530"/>
                        <wps:cNvCnPr/>
                        <wps:spPr>
                          <a:xfrm>
                            <a:off x="7837" y="895"/>
                            <a:ext cx="0" cy="7673"/>
                          </a:xfrm>
                          <a:prstGeom prst="line">
                            <a:avLst/>
                          </a:prstGeom>
                          <a:ln w="9525" cap="flat" cmpd="sng">
                            <a:solidFill>
                              <a:srgbClr val="000000"/>
                            </a:solidFill>
                            <a:prstDash val="solid"/>
                            <a:headEnd type="none" w="med" len="med"/>
                            <a:tailEnd type="none" w="med" len="med"/>
                          </a:ln>
                        </wps:spPr>
                        <wps:bodyPr upright="1"/>
                      </wps:wsp>
                      <wps:wsp>
                        <wps:cNvPr id="1531" name="直接连接符 1531"/>
                        <wps:cNvCnPr/>
                        <wps:spPr>
                          <a:xfrm>
                            <a:off x="258" y="4336"/>
                            <a:ext cx="0" cy="4226"/>
                          </a:xfrm>
                          <a:prstGeom prst="line">
                            <a:avLst/>
                          </a:prstGeom>
                          <a:ln w="9525" cap="flat" cmpd="sng">
                            <a:solidFill>
                              <a:srgbClr val="000000"/>
                            </a:solidFill>
                            <a:prstDash val="solid"/>
                            <a:headEnd type="none" w="med" len="med"/>
                            <a:tailEnd type="none" w="med" len="med"/>
                          </a:ln>
                        </wps:spPr>
                        <wps:bodyPr upright="1"/>
                      </wps:wsp>
                      <wps:wsp>
                        <wps:cNvPr id="1532" name="直接连接符 1532"/>
                        <wps:cNvCnPr/>
                        <wps:spPr>
                          <a:xfrm>
                            <a:off x="1861" y="4336"/>
                            <a:ext cx="0" cy="4226"/>
                          </a:xfrm>
                          <a:prstGeom prst="line">
                            <a:avLst/>
                          </a:prstGeom>
                          <a:ln w="9525" cap="flat" cmpd="sng">
                            <a:solidFill>
                              <a:srgbClr val="000000"/>
                            </a:solidFill>
                            <a:prstDash val="solid"/>
                            <a:headEnd type="none" w="med" len="med"/>
                            <a:tailEnd type="none" w="med" len="med"/>
                          </a:ln>
                        </wps:spPr>
                        <wps:bodyPr upright="1"/>
                      </wps:wsp>
                      <wps:wsp>
                        <wps:cNvPr id="1533" name="直接连接符 1533"/>
                        <wps:cNvCnPr/>
                        <wps:spPr>
                          <a:xfrm>
                            <a:off x="4830" y="4008"/>
                            <a:ext cx="0" cy="4560"/>
                          </a:xfrm>
                          <a:prstGeom prst="line">
                            <a:avLst/>
                          </a:prstGeom>
                          <a:ln w="9525" cap="flat" cmpd="sng">
                            <a:solidFill>
                              <a:srgbClr val="000000"/>
                            </a:solidFill>
                            <a:prstDash val="solid"/>
                            <a:headEnd type="none" w="med" len="med"/>
                            <a:tailEnd type="none" w="med" len="med"/>
                          </a:ln>
                        </wps:spPr>
                        <wps:bodyPr upright="1"/>
                      </wps:wsp>
                      <wps:wsp>
                        <wps:cNvPr id="1534" name="直接连接符 1534"/>
                        <wps:cNvCnPr/>
                        <wps:spPr>
                          <a:xfrm>
                            <a:off x="6520" y="3999"/>
                            <a:ext cx="0" cy="4569"/>
                          </a:xfrm>
                          <a:prstGeom prst="line">
                            <a:avLst/>
                          </a:prstGeom>
                          <a:ln w="9525" cap="flat" cmpd="sng">
                            <a:solidFill>
                              <a:srgbClr val="000000"/>
                            </a:solidFill>
                            <a:prstDash val="solid"/>
                            <a:headEnd type="none" w="med" len="med"/>
                            <a:tailEnd type="none" w="med" len="med"/>
                          </a:ln>
                        </wps:spPr>
                        <wps:bodyPr upright="1"/>
                      </wps:wsp>
                      <wps:wsp>
                        <wps:cNvPr id="1535" name="直接连接符 1535"/>
                        <wps:cNvCnPr/>
                        <wps:spPr>
                          <a:xfrm>
                            <a:off x="4242" y="269"/>
                            <a:ext cx="0" cy="624"/>
                          </a:xfrm>
                          <a:prstGeom prst="line">
                            <a:avLst/>
                          </a:prstGeom>
                          <a:ln w="9525" cap="flat" cmpd="sng">
                            <a:solidFill>
                              <a:srgbClr val="000000"/>
                            </a:solidFill>
                            <a:prstDash val="solid"/>
                            <a:headEnd type="none" w="med" len="med"/>
                            <a:tailEnd type="none" w="med" len="med"/>
                          </a:ln>
                        </wps:spPr>
                        <wps:bodyPr upright="1"/>
                      </wps:wsp>
                      <wps:wsp>
                        <wps:cNvPr id="1536" name="直接连接符 1536"/>
                        <wps:cNvCnPr/>
                        <wps:spPr>
                          <a:xfrm>
                            <a:off x="1062" y="895"/>
                            <a:ext cx="6764" cy="0"/>
                          </a:xfrm>
                          <a:prstGeom prst="line">
                            <a:avLst/>
                          </a:prstGeom>
                          <a:ln w="9525" cap="flat" cmpd="sng">
                            <a:solidFill>
                              <a:srgbClr val="000000"/>
                            </a:solidFill>
                            <a:prstDash val="solid"/>
                            <a:headEnd type="none" w="med" len="med"/>
                            <a:tailEnd type="none" w="med" len="med"/>
                          </a:ln>
                        </wps:spPr>
                        <wps:bodyPr upright="1"/>
                      </wps:wsp>
                      <wps:wsp>
                        <wps:cNvPr id="1537" name="矩形 1537"/>
                        <wps:cNvSpPr/>
                        <wps:spPr>
                          <a:xfrm>
                            <a:off x="3142" y="0"/>
                            <a:ext cx="2422"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E6A898">
                              <w:pPr>
                                <w:spacing w:line="240" w:lineRule="exact"/>
                                <w:ind w:left="0" w:leftChars="0" w:firstLine="0" w:firstLineChars="0"/>
                                <w:jc w:val="both"/>
                              </w:pPr>
                              <w:r>
                                <w:rPr>
                                  <w:rFonts w:hint="eastAsia"/>
                                </w:rPr>
                                <w:t>项目进度保证体系</w:t>
                              </w:r>
                            </w:p>
                          </w:txbxContent>
                        </wps:txbx>
                        <wps:bodyPr upright="1"/>
                      </wps:wsp>
                      <wps:wsp>
                        <wps:cNvPr id="1538" name="矩形 1538"/>
                        <wps:cNvSpPr/>
                        <wps:spPr>
                          <a:xfrm>
                            <a:off x="2560" y="1215"/>
                            <a:ext cx="1858"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24D68C">
                              <w:pPr>
                                <w:spacing w:line="240" w:lineRule="exact"/>
                                <w:ind w:left="0" w:leftChars="0" w:firstLine="0" w:firstLineChars="0"/>
                                <w:jc w:val="both"/>
                              </w:pPr>
                              <w:r>
                                <w:rPr>
                                  <w:rFonts w:hint="eastAsia"/>
                                </w:rPr>
                                <w:t>组织保证</w:t>
                              </w:r>
                            </w:p>
                          </w:txbxContent>
                        </wps:txbx>
                        <wps:bodyPr upright="1"/>
                      </wps:wsp>
                      <wps:wsp>
                        <wps:cNvPr id="1539" name="矩形 1539"/>
                        <wps:cNvSpPr/>
                        <wps:spPr>
                          <a:xfrm>
                            <a:off x="4720" y="1215"/>
                            <a:ext cx="1858"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D697A0">
                              <w:pPr>
                                <w:spacing w:line="240" w:lineRule="exact"/>
                                <w:jc w:val="center"/>
                              </w:pPr>
                              <w:r>
                                <w:rPr>
                                  <w:rFonts w:hint="eastAsia"/>
                                </w:rPr>
                                <w:t>制度保证</w:t>
                              </w:r>
                            </w:p>
                          </w:txbxContent>
                        </wps:txbx>
                        <wps:bodyPr upright="1"/>
                      </wps:wsp>
                      <wps:wsp>
                        <wps:cNvPr id="1540" name="矩形 1540"/>
                        <wps:cNvSpPr/>
                        <wps:spPr>
                          <a:xfrm>
                            <a:off x="7000" y="1215"/>
                            <a:ext cx="1688"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AEF6CD">
                              <w:pPr>
                                <w:spacing w:line="240" w:lineRule="exact"/>
                                <w:ind w:left="0" w:leftChars="0" w:firstLine="0" w:firstLineChars="0"/>
                                <w:jc w:val="both"/>
                                <w:rPr>
                                  <w:rFonts w:ascii="宋体" w:hAnsi="宋体"/>
                                </w:rPr>
                              </w:pPr>
                              <w:r>
                                <w:rPr>
                                  <w:rFonts w:hint="eastAsia"/>
                                </w:rPr>
                                <w:t>经济保证</w:t>
                              </w:r>
                            </w:p>
                          </w:txbxContent>
                        </wps:txbx>
                        <wps:bodyPr upright="1"/>
                      </wps:wsp>
                      <wps:wsp>
                        <wps:cNvPr id="1541" name="矩形 1541"/>
                        <wps:cNvSpPr/>
                        <wps:spPr>
                          <a:xfrm>
                            <a:off x="250" y="1215"/>
                            <a:ext cx="1728"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283F0D8">
                              <w:pPr>
                                <w:spacing w:line="240" w:lineRule="exact"/>
                                <w:ind w:left="0" w:leftChars="0" w:firstLine="0" w:firstLineChars="0"/>
                                <w:jc w:val="both"/>
                              </w:pPr>
                              <w:r>
                                <w:rPr>
                                  <w:rFonts w:hint="eastAsia"/>
                                </w:rPr>
                                <w:t>技术保证</w:t>
                              </w:r>
                            </w:p>
                          </w:txbxContent>
                        </wps:txbx>
                        <wps:bodyPr upright="1"/>
                      </wps:wsp>
                      <wps:wsp>
                        <wps:cNvPr id="1542" name="矩形 1542"/>
                        <wps:cNvSpPr/>
                        <wps:spPr>
                          <a:xfrm>
                            <a:off x="4652" y="2283"/>
                            <a:ext cx="2150" cy="49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7D8050">
                              <w:pPr>
                                <w:spacing w:line="240" w:lineRule="exact"/>
                                <w:ind w:left="0" w:leftChars="0" w:firstLine="0" w:firstLineChars="0"/>
                                <w:jc w:val="both"/>
                              </w:pPr>
                              <w:r>
                                <w:rPr>
                                  <w:rFonts w:hint="eastAsia"/>
                                </w:rPr>
                                <w:t>各项工期保证措施</w:t>
                              </w:r>
                            </w:p>
                          </w:txbxContent>
                        </wps:txbx>
                        <wps:bodyPr upright="1"/>
                      </wps:wsp>
                      <wps:wsp>
                        <wps:cNvPr id="1543" name="矩形 1543"/>
                        <wps:cNvSpPr/>
                        <wps:spPr>
                          <a:xfrm>
                            <a:off x="7065" y="2307"/>
                            <a:ext cx="1558"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6A0159">
                              <w:pPr>
                                <w:spacing w:line="240" w:lineRule="exact"/>
                                <w:ind w:left="0" w:leftChars="0" w:firstLine="0" w:firstLineChars="0"/>
                                <w:jc w:val="both"/>
                              </w:pPr>
                              <w:r>
                                <w:rPr>
                                  <w:rFonts w:hint="eastAsia"/>
                                </w:rPr>
                                <w:t>包保责任制</w:t>
                              </w:r>
                            </w:p>
                          </w:txbxContent>
                        </wps:txbx>
                        <wps:bodyPr upright="1"/>
                      </wps:wsp>
                      <wps:wsp>
                        <wps:cNvPr id="1544" name="矩形 1544"/>
                        <wps:cNvSpPr/>
                        <wps:spPr>
                          <a:xfrm>
                            <a:off x="2649" y="2315"/>
                            <a:ext cx="1764" cy="5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5ED927F">
                              <w:pPr>
                                <w:spacing w:line="240" w:lineRule="exact"/>
                                <w:ind w:left="0" w:leftChars="0" w:firstLine="0" w:firstLineChars="0"/>
                                <w:jc w:val="both"/>
                              </w:pPr>
                              <w:r>
                                <w:rPr>
                                  <w:rFonts w:hint="eastAsia"/>
                                </w:rPr>
                                <w:t>工期领导小组</w:t>
                              </w:r>
                            </w:p>
                          </w:txbxContent>
                        </wps:txbx>
                        <wps:bodyPr upright="1"/>
                      </wps:wsp>
                      <wps:wsp>
                        <wps:cNvPr id="1545" name="矩形 1545"/>
                        <wps:cNvSpPr/>
                        <wps:spPr>
                          <a:xfrm>
                            <a:off x="75" y="2290"/>
                            <a:ext cx="213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A2A964">
                              <w:pPr>
                                <w:spacing w:line="240" w:lineRule="exact"/>
                                <w:ind w:left="0" w:leftChars="0" w:right="-240" w:rightChars="-100" w:firstLine="0" w:firstLineChars="0"/>
                                <w:jc w:val="both"/>
                                <w:rPr>
                                  <w:spacing w:val="-20"/>
                                  <w:szCs w:val="21"/>
                                </w:rPr>
                              </w:pPr>
                              <w:r>
                                <w:rPr>
                                  <w:rFonts w:hint="eastAsia"/>
                                  <w:spacing w:val="-20"/>
                                  <w:szCs w:val="21"/>
                                </w:rPr>
                                <w:t>高素质的技术人员配备</w:t>
                              </w:r>
                            </w:p>
                          </w:txbxContent>
                        </wps:txbx>
                        <wps:bodyPr upright="1"/>
                      </wps:wsp>
                      <wps:wsp>
                        <wps:cNvPr id="1546" name="矩形 1546"/>
                        <wps:cNvSpPr/>
                        <wps:spPr>
                          <a:xfrm>
                            <a:off x="2649" y="3468"/>
                            <a:ext cx="1653"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9E6BD3B">
                              <w:pPr>
                                <w:spacing w:line="240" w:lineRule="exact"/>
                                <w:ind w:left="0" w:leftChars="0" w:firstLine="0" w:firstLineChars="0"/>
                                <w:jc w:val="both"/>
                              </w:pPr>
                              <w:r>
                                <w:rPr>
                                  <w:rFonts w:hint="eastAsia"/>
                                </w:rPr>
                                <w:t>各职能部门</w:t>
                              </w:r>
                            </w:p>
                          </w:txbxContent>
                        </wps:txbx>
                        <wps:bodyPr upright="1"/>
                      </wps:wsp>
                      <wps:wsp>
                        <wps:cNvPr id="1547" name="矩形 1547"/>
                        <wps:cNvSpPr/>
                        <wps:spPr>
                          <a:xfrm>
                            <a:off x="-59" y="3450"/>
                            <a:ext cx="2586"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C0EEC4">
                              <w:pPr>
                                <w:spacing w:line="240" w:lineRule="exact"/>
                                <w:ind w:left="0" w:leftChars="0" w:right="-120" w:rightChars="-50" w:firstLine="0" w:firstLineChars="0"/>
                                <w:jc w:val="both"/>
                                <w:rPr>
                                  <w:w w:val="80"/>
                                </w:rPr>
                              </w:pPr>
                              <w:r>
                                <w:rPr>
                                  <w:rFonts w:hint="eastAsia"/>
                                </w:rPr>
                                <w:t>实施性的施工组织设计</w:t>
                              </w:r>
                            </w:p>
                          </w:txbxContent>
                        </wps:txbx>
                        <wps:bodyPr upright="1"/>
                      </wps:wsp>
                      <wps:wsp>
                        <wps:cNvPr id="1548" name="矩形 1548"/>
                        <wps:cNvSpPr/>
                        <wps:spPr>
                          <a:xfrm>
                            <a:off x="7094" y="3370"/>
                            <a:ext cx="150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E2328F4">
                              <w:pPr>
                                <w:spacing w:line="240" w:lineRule="exact"/>
                                <w:ind w:left="0" w:leftChars="0" w:firstLine="0" w:firstLineChars="0"/>
                                <w:jc w:val="both"/>
                              </w:pPr>
                              <w:r>
                                <w:rPr>
                                  <w:rFonts w:hint="eastAsia"/>
                                </w:rPr>
                                <w:t>监督检查</w:t>
                              </w:r>
                            </w:p>
                          </w:txbxContent>
                        </wps:txbx>
                        <wps:bodyPr upright="1"/>
                      </wps:wsp>
                      <wps:wsp>
                        <wps:cNvPr id="1549" name="矩形 1549"/>
                        <wps:cNvSpPr/>
                        <wps:spPr>
                          <a:xfrm>
                            <a:off x="0" y="4804"/>
                            <a:ext cx="525" cy="32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DC3929">
                              <w:pPr>
                                <w:spacing w:line="240" w:lineRule="exact"/>
                                <w:jc w:val="center"/>
                              </w:pPr>
                            </w:p>
                            <w:p w14:paraId="66FEE18C">
                              <w:pPr>
                                <w:spacing w:line="240" w:lineRule="exact"/>
                                <w:jc w:val="center"/>
                              </w:pPr>
                              <w:r>
                                <w:rPr>
                                  <w:rFonts w:hint="eastAsia"/>
                                </w:rPr>
                                <w:t>科学组织</w:t>
                              </w:r>
                            </w:p>
                            <w:p w14:paraId="0B6EFE8C">
                              <w:pPr>
                                <w:spacing w:line="240" w:lineRule="exact"/>
                                <w:jc w:val="center"/>
                              </w:pPr>
                              <w:r>
                                <w:rPr>
                                  <w:rFonts w:hint="eastAsia"/>
                                </w:rPr>
                                <w:t>合理安排</w:t>
                              </w:r>
                            </w:p>
                          </w:txbxContent>
                        </wps:txbx>
                        <wps:bodyPr upright="1"/>
                      </wps:wsp>
                      <wps:wsp>
                        <wps:cNvPr id="1550" name="矩形 1550"/>
                        <wps:cNvSpPr/>
                        <wps:spPr>
                          <a:xfrm>
                            <a:off x="815" y="4804"/>
                            <a:ext cx="525" cy="32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B153A3">
                              <w:pPr>
                                <w:spacing w:line="240" w:lineRule="exact"/>
                                <w:jc w:val="center"/>
                              </w:pPr>
                            </w:p>
                            <w:p w14:paraId="7F8F260B">
                              <w:pPr>
                                <w:spacing w:line="240" w:lineRule="exact"/>
                                <w:jc w:val="center"/>
                              </w:pPr>
                              <w:r>
                                <w:rPr>
                                  <w:rFonts w:hint="eastAsia"/>
                                </w:rPr>
                                <w:t>先进的技术装备</w:t>
                              </w:r>
                            </w:p>
                          </w:txbxContent>
                        </wps:txbx>
                        <wps:bodyPr upright="1"/>
                      </wps:wsp>
                      <wps:wsp>
                        <wps:cNvPr id="1551" name="矩形 1551"/>
                        <wps:cNvSpPr/>
                        <wps:spPr>
                          <a:xfrm>
                            <a:off x="1616" y="4805"/>
                            <a:ext cx="525" cy="32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0FA38A1">
                              <w:pPr>
                                <w:spacing w:line="240" w:lineRule="exact"/>
                                <w:jc w:val="center"/>
                              </w:pPr>
                            </w:p>
                            <w:p w14:paraId="6B9CD34D">
                              <w:pPr>
                                <w:spacing w:line="240" w:lineRule="exact"/>
                                <w:jc w:val="center"/>
                              </w:pPr>
                              <w:r>
                                <w:rPr>
                                  <w:rFonts w:hint="eastAsia"/>
                                </w:rPr>
                                <w:t>多方位的技术指导</w:t>
                              </w:r>
                            </w:p>
                          </w:txbxContent>
                        </wps:txbx>
                        <wps:bodyPr upright="1"/>
                      </wps:wsp>
                      <wps:wsp>
                        <wps:cNvPr id="1552" name="矩形 1552"/>
                        <wps:cNvSpPr/>
                        <wps:spPr>
                          <a:xfrm>
                            <a:off x="4505" y="4528"/>
                            <a:ext cx="525" cy="32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3846721">
                              <w:pPr>
                                <w:spacing w:line="240" w:lineRule="exact"/>
                                <w:jc w:val="center"/>
                                <w:rPr>
                                  <w:w w:val="33"/>
                                  <w:sz w:val="10"/>
                                </w:rPr>
                              </w:pPr>
                            </w:p>
                            <w:p w14:paraId="303C384D">
                              <w:pPr>
                                <w:spacing w:line="240" w:lineRule="exact"/>
                                <w:jc w:val="center"/>
                              </w:pPr>
                            </w:p>
                            <w:p w14:paraId="202ECB41">
                              <w:pPr>
                                <w:spacing w:line="240" w:lineRule="exact"/>
                                <w:jc w:val="center"/>
                              </w:pPr>
                              <w:r>
                                <w:rPr>
                                  <w:rFonts w:hint="eastAsia"/>
                                </w:rPr>
                                <w:t>工期保证措施</w:t>
                              </w:r>
                            </w:p>
                          </w:txbxContent>
                        </wps:txbx>
                        <wps:bodyPr upright="1"/>
                      </wps:wsp>
                      <wps:wsp>
                        <wps:cNvPr id="1553" name="矩形 1553"/>
                        <wps:cNvSpPr/>
                        <wps:spPr>
                          <a:xfrm>
                            <a:off x="5365" y="4528"/>
                            <a:ext cx="525" cy="32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D1B588">
                              <w:pPr>
                                <w:spacing w:line="240" w:lineRule="exact"/>
                                <w:jc w:val="center"/>
                              </w:pPr>
                            </w:p>
                            <w:p w14:paraId="1D1E5E53">
                              <w:pPr>
                                <w:spacing w:line="240" w:lineRule="exact"/>
                                <w:jc w:val="center"/>
                              </w:pPr>
                            </w:p>
                            <w:p w14:paraId="767FBACC">
                              <w:pPr>
                                <w:spacing w:line="240" w:lineRule="exact"/>
                                <w:jc w:val="center"/>
                              </w:pPr>
                              <w:r>
                                <w:rPr>
                                  <w:rFonts w:hint="eastAsia"/>
                                </w:rPr>
                                <w:t>工期控制方法</w:t>
                              </w:r>
                            </w:p>
                          </w:txbxContent>
                        </wps:txbx>
                        <wps:bodyPr upright="1"/>
                      </wps:wsp>
                      <wps:wsp>
                        <wps:cNvPr id="1554" name="矩形 1554"/>
                        <wps:cNvSpPr/>
                        <wps:spPr>
                          <a:xfrm>
                            <a:off x="6245" y="4528"/>
                            <a:ext cx="525" cy="32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618F166">
                              <w:pPr>
                                <w:spacing w:line="240" w:lineRule="exact"/>
                                <w:jc w:val="center"/>
                              </w:pPr>
                              <w:r>
                                <w:t xml:space="preserve"> </w:t>
                              </w:r>
                              <w:r>
                                <w:rPr>
                                  <w:rFonts w:hint="eastAsia"/>
                                </w:rPr>
                                <w:t>安全质量的平稳性</w:t>
                              </w:r>
                            </w:p>
                          </w:txbxContent>
                        </wps:txbx>
                        <wps:bodyPr upright="1"/>
                      </wps:wsp>
                      <wps:wsp>
                        <wps:cNvPr id="1555" name="矩形 1555"/>
                        <wps:cNvSpPr/>
                        <wps:spPr>
                          <a:xfrm>
                            <a:off x="7094" y="6532"/>
                            <a:ext cx="150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F13AD4">
                              <w:pPr>
                                <w:spacing w:line="240" w:lineRule="exact"/>
                                <w:ind w:left="0" w:leftChars="0" w:firstLine="0" w:firstLineChars="0"/>
                                <w:jc w:val="both"/>
                              </w:pPr>
                              <w:r>
                                <w:rPr>
                                  <w:rFonts w:hint="eastAsia"/>
                                </w:rPr>
                                <w:t>经济兑现</w:t>
                              </w:r>
                            </w:p>
                          </w:txbxContent>
                        </wps:txbx>
                        <wps:bodyPr upright="1"/>
                      </wps:wsp>
                      <wps:wsp>
                        <wps:cNvPr id="1556" name="矩形 1556"/>
                        <wps:cNvSpPr/>
                        <wps:spPr>
                          <a:xfrm>
                            <a:off x="7094" y="5132"/>
                            <a:ext cx="150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BFBC1D">
                              <w:pPr>
                                <w:spacing w:line="240" w:lineRule="exact"/>
                                <w:ind w:left="0" w:leftChars="0" w:firstLine="0" w:firstLineChars="0"/>
                                <w:jc w:val="both"/>
                              </w:pPr>
                              <w:r>
                                <w:rPr>
                                  <w:rFonts w:hint="eastAsia"/>
                                </w:rPr>
                                <w:t>奖罚分明</w:t>
                              </w:r>
                            </w:p>
                          </w:txbxContent>
                        </wps:txbx>
                        <wps:bodyPr upright="1"/>
                      </wps:wsp>
                      <wps:wsp>
                        <wps:cNvPr id="1557" name="矩形 1557"/>
                        <wps:cNvSpPr/>
                        <wps:spPr>
                          <a:xfrm>
                            <a:off x="2490" y="6517"/>
                            <a:ext cx="1854" cy="76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92F86E">
                              <w:pPr>
                                <w:spacing w:line="240" w:lineRule="exact"/>
                                <w:ind w:left="0" w:leftChars="0" w:firstLine="0" w:firstLineChars="0"/>
                                <w:jc w:val="both"/>
                              </w:pPr>
                              <w:r>
                                <w:rPr>
                                  <w:rFonts w:hint="eastAsia"/>
                                </w:rPr>
                                <w:t>各工班、工种具体责任到人</w:t>
                              </w:r>
                            </w:p>
                          </w:txbxContent>
                        </wps:txbx>
                        <wps:bodyPr upright="1"/>
                      </wps:wsp>
                      <wps:wsp>
                        <wps:cNvPr id="1558" name="矩形 1558"/>
                        <wps:cNvSpPr/>
                        <wps:spPr>
                          <a:xfrm>
                            <a:off x="2739" y="5042"/>
                            <a:ext cx="1679"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3E0512">
                              <w:pPr>
                                <w:spacing w:line="240" w:lineRule="exact"/>
                                <w:ind w:left="0" w:leftChars="0" w:right="-120" w:rightChars="-50" w:firstLine="0" w:firstLineChars="0"/>
                                <w:jc w:val="both"/>
                              </w:pPr>
                              <w:r>
                                <w:rPr>
                                  <w:rFonts w:hint="eastAsia"/>
                                </w:rPr>
                                <w:t>各施工作业队</w:t>
                              </w:r>
                            </w:p>
                          </w:txbxContent>
                        </wps:txbx>
                        <wps:bodyPr upright="1"/>
                      </wps:wsp>
                      <wps:wsp>
                        <wps:cNvPr id="1559" name="直接连接符 1559"/>
                        <wps:cNvCnPr/>
                        <wps:spPr>
                          <a:xfrm>
                            <a:off x="262" y="4336"/>
                            <a:ext cx="1602" cy="0"/>
                          </a:xfrm>
                          <a:prstGeom prst="line">
                            <a:avLst/>
                          </a:prstGeom>
                          <a:ln w="9525" cap="flat" cmpd="sng">
                            <a:solidFill>
                              <a:srgbClr val="000000"/>
                            </a:solidFill>
                            <a:prstDash val="solid"/>
                            <a:headEnd type="none" w="med" len="med"/>
                            <a:tailEnd type="none" w="med" len="med"/>
                          </a:ln>
                        </wps:spPr>
                        <wps:bodyPr upright="1"/>
                      </wps:wsp>
                      <wps:wsp>
                        <wps:cNvPr id="1560" name="直接连接符 1560"/>
                        <wps:cNvCnPr/>
                        <wps:spPr>
                          <a:xfrm>
                            <a:off x="4830" y="4000"/>
                            <a:ext cx="1680" cy="0"/>
                          </a:xfrm>
                          <a:prstGeom prst="line">
                            <a:avLst/>
                          </a:prstGeom>
                          <a:ln w="9525" cap="flat" cmpd="sng">
                            <a:solidFill>
                              <a:srgbClr val="000000"/>
                            </a:solidFill>
                            <a:prstDash val="solid"/>
                            <a:headEnd type="none" w="med" len="med"/>
                            <a:tailEnd type="none" w="med" len="med"/>
                          </a:ln>
                        </wps:spPr>
                        <wps:bodyPr upright="1"/>
                      </wps:wsp>
                      <wps:wsp>
                        <wps:cNvPr id="1561" name="直接连接符 1561"/>
                        <wps:cNvCnPr/>
                        <wps:spPr>
                          <a:xfrm flipV="1">
                            <a:off x="258" y="8571"/>
                            <a:ext cx="7574" cy="1"/>
                          </a:xfrm>
                          <a:prstGeom prst="line">
                            <a:avLst/>
                          </a:prstGeom>
                          <a:ln w="9525" cap="flat" cmpd="sng">
                            <a:solidFill>
                              <a:srgbClr val="000000"/>
                            </a:solidFill>
                            <a:prstDash val="solid"/>
                            <a:headEnd type="none" w="med" len="med"/>
                            <a:tailEnd type="none" w="med" len="med"/>
                          </a:ln>
                        </wps:spPr>
                        <wps:bodyPr upright="1"/>
                      </wps:wsp>
                      <wps:wsp>
                        <wps:cNvPr id="1562" name="任意多边形 1562"/>
                        <wps:cNvSpPr/>
                        <wps:spPr>
                          <a:xfrm>
                            <a:off x="3940" y="8572"/>
                            <a:ext cx="5" cy="530"/>
                          </a:xfrm>
                          <a:custGeom>
                            <a:avLst/>
                            <a:gdLst/>
                            <a:ahLst/>
                            <a:cxnLst/>
                            <a:pathLst>
                              <a:path w="5" h="530">
                                <a:moveTo>
                                  <a:pt x="0" y="0"/>
                                </a:moveTo>
                                <a:lnTo>
                                  <a:pt x="5" y="530"/>
                                </a:lnTo>
                              </a:path>
                            </a:pathLst>
                          </a:custGeom>
                          <a:noFill/>
                          <a:ln w="9525" cap="flat" cmpd="sng">
                            <a:solidFill>
                              <a:srgbClr val="000000"/>
                            </a:solidFill>
                            <a:prstDash val="solid"/>
                            <a:headEnd type="none" w="med" len="med"/>
                            <a:tailEnd type="none" w="med" len="med"/>
                          </a:ln>
                        </wps:spPr>
                        <wps:bodyPr upright="1"/>
                      </wps:wsp>
                      <wps:wsp>
                        <wps:cNvPr id="1563" name="矩形 1563"/>
                        <wps:cNvSpPr/>
                        <wps:spPr>
                          <a:xfrm>
                            <a:off x="1260" y="11076"/>
                            <a:ext cx="5140" cy="633"/>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5EB0AEA8">
                              <w:pPr>
                                <w:pStyle w:val="16"/>
                                <w:tabs>
                                  <w:tab w:val="left" w:pos="2523"/>
                                  <w:tab w:val="left" w:pos="7458"/>
                                </w:tabs>
                                <w:spacing w:line="320" w:lineRule="exact"/>
                                <w:rPr>
                                  <w:rFonts w:hint="eastAsia" w:ascii="黑体" w:hAnsi="黑体" w:eastAsia="黑体" w:cs="黑体"/>
                                  <w:b/>
                                  <w:bCs/>
                                  <w:sz w:val="18"/>
                                  <w:szCs w:val="18"/>
                                </w:rPr>
                              </w:pPr>
                              <w:r>
                                <w:rPr>
                                  <w:rFonts w:hint="eastAsia" w:ascii="黑体" w:hAnsi="黑体" w:eastAsia="黑体" w:cs="黑体"/>
                                  <w:b/>
                                  <w:bCs/>
                                  <w:sz w:val="18"/>
                                  <w:szCs w:val="18"/>
                                </w:rPr>
                                <w:t>图</w:t>
                              </w:r>
                              <w:r>
                                <w:rPr>
                                  <w:rFonts w:hint="eastAsia" w:ascii="黑体" w:hAnsi="黑体" w:eastAsia="黑体" w:cs="黑体"/>
                                  <w:b/>
                                  <w:bCs/>
                                  <w:sz w:val="18"/>
                                  <w:szCs w:val="18"/>
                                  <w:lang w:val="en-US" w:eastAsia="zh-CN"/>
                                </w:rPr>
                                <w:t>6</w:t>
                              </w:r>
                              <w:r>
                                <w:rPr>
                                  <w:rFonts w:hint="eastAsia" w:ascii="黑体" w:hAnsi="黑体" w:eastAsia="黑体" w:cs="黑体"/>
                                  <w:b/>
                                  <w:bCs/>
                                  <w:sz w:val="18"/>
                                  <w:szCs w:val="18"/>
                                </w:rPr>
                                <w:t>.1 工期保证体系框图</w:t>
                              </w:r>
                            </w:p>
                          </w:txbxContent>
                        </wps:txbx>
                        <wps:bodyPr upright="1"/>
                      </wps:wsp>
                      <wps:wsp>
                        <wps:cNvPr id="1564" name="矩形 1564"/>
                        <wps:cNvSpPr/>
                        <wps:spPr>
                          <a:xfrm>
                            <a:off x="2115" y="10236"/>
                            <a:ext cx="3734" cy="575"/>
                          </a:xfrm>
                          <a:prstGeom prst="rect">
                            <a:avLst/>
                          </a:prstGeom>
                          <a:noFill/>
                          <a:ln w="9525" cap="flat" cmpd="sng">
                            <a:solidFill>
                              <a:srgbClr val="000000"/>
                            </a:solidFill>
                            <a:prstDash val="solid"/>
                            <a:miter/>
                            <a:headEnd type="none" w="med" len="med"/>
                            <a:tailEnd type="none" w="med" len="med"/>
                          </a:ln>
                        </wps:spPr>
                        <wps:txbx>
                          <w:txbxContent>
                            <w:p w14:paraId="5C3EDE07">
                              <w:pPr>
                                <w:adjustRightInd w:val="0"/>
                                <w:snapToGrid w:val="0"/>
                                <w:spacing w:line="320" w:lineRule="exact"/>
                                <w:ind w:left="0" w:leftChars="0" w:firstLine="0" w:firstLineChars="0"/>
                                <w:jc w:val="both"/>
                                <w:rPr>
                                  <w:rFonts w:ascii="宋体"/>
                                  <w:kern w:val="21"/>
                                  <w:szCs w:val="21"/>
                                </w:rPr>
                              </w:pPr>
                              <w:r>
                                <w:rPr>
                                  <w:rFonts w:hint="eastAsia" w:ascii="宋体"/>
                                  <w:kern w:val="21"/>
                                  <w:szCs w:val="21"/>
                                </w:rPr>
                                <w:t>逐项检查，全面实现工期目标</w:t>
                              </w:r>
                            </w:p>
                          </w:txbxContent>
                        </wps:txbx>
                        <wps:bodyPr lIns="0" tIns="0" rIns="0" bIns="0" upright="1"/>
                      </wps:wsp>
                      <wps:wsp>
                        <wps:cNvPr id="1565" name="矩形 1565"/>
                        <wps:cNvSpPr/>
                        <wps:spPr>
                          <a:xfrm>
                            <a:off x="2085" y="9114"/>
                            <a:ext cx="3679" cy="5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484114">
                              <w:pPr>
                                <w:adjustRightInd w:val="0"/>
                                <w:snapToGrid w:val="0"/>
                                <w:spacing w:line="320" w:lineRule="exact"/>
                                <w:ind w:left="0" w:leftChars="0" w:firstLine="0" w:firstLineChars="0"/>
                                <w:jc w:val="both"/>
                                <w:rPr>
                                  <w:rFonts w:hint="eastAsia" w:ascii="宋体" w:hAnsi="宋体" w:eastAsia="宋体"/>
                                  <w:kern w:val="21"/>
                                  <w:szCs w:val="21"/>
                                  <w:lang w:eastAsia="zh-CN"/>
                                </w:rPr>
                              </w:pPr>
                              <w:r>
                                <w:rPr>
                                  <w:rFonts w:hint="eastAsia" w:ascii="宋体" w:hAnsi="宋体"/>
                                  <w:kern w:val="21"/>
                                  <w:szCs w:val="21"/>
                                </w:rPr>
                                <w:t>涉及所有施工活动</w:t>
                              </w:r>
                              <w:r>
                                <w:rPr>
                                  <w:rFonts w:hint="eastAsia" w:ascii="宋体" w:hAnsi="宋体"/>
                                  <w:kern w:val="21"/>
                                  <w:szCs w:val="21"/>
                                  <w:lang w:eastAsia="zh-CN"/>
                                </w:rPr>
                                <w:t>（</w:t>
                              </w:r>
                              <w:r>
                                <w:rPr>
                                  <w:rFonts w:hint="eastAsia" w:ascii="宋体" w:hAnsi="宋体"/>
                                  <w:kern w:val="21"/>
                                  <w:szCs w:val="21"/>
                                </w:rPr>
                                <w:t>点、线、面</w:t>
                              </w:r>
                              <w:r>
                                <w:rPr>
                                  <w:rFonts w:hint="eastAsia" w:ascii="宋体" w:hAnsi="宋体"/>
                                  <w:kern w:val="21"/>
                                  <w:szCs w:val="21"/>
                                  <w:lang w:eastAsia="zh-CN"/>
                                </w:rPr>
                                <w:t>）</w:t>
                              </w:r>
                            </w:p>
                          </w:txbxContent>
                        </wps:txbx>
                        <wps:bodyPr lIns="0" tIns="0" rIns="0" bIns="0" upright="1"/>
                      </wps:wsp>
                      <wps:wsp>
                        <wps:cNvPr id="1566" name="任意多边形 1566"/>
                        <wps:cNvSpPr/>
                        <wps:spPr>
                          <a:xfrm>
                            <a:off x="3960" y="9693"/>
                            <a:ext cx="5" cy="530"/>
                          </a:xfrm>
                          <a:custGeom>
                            <a:avLst/>
                            <a:gdLst/>
                            <a:ahLst/>
                            <a:cxnLst/>
                            <a:pathLst>
                              <a:path w="5" h="530">
                                <a:moveTo>
                                  <a:pt x="0" y="0"/>
                                </a:moveTo>
                                <a:lnTo>
                                  <a:pt x="5" y="530"/>
                                </a:lnTo>
                              </a:path>
                            </a:pathLst>
                          </a:custGeom>
                          <a:noFill/>
                          <a:ln w="9525" cap="flat" cmpd="sng">
                            <a:solidFill>
                              <a:srgbClr val="000000"/>
                            </a:solidFill>
                            <a:prstDash val="solid"/>
                            <a:headEnd type="none" w="med" len="med"/>
                            <a:tailEnd type="none" w="med" len="med"/>
                          </a:ln>
                        </wps:spPr>
                        <wps:bodyPr upright="1"/>
                      </wps:wsp>
                    </wpg:wgp>
                  </a:graphicData>
                </a:graphic>
              </wp:inline>
            </w:drawing>
          </mc:Choice>
          <mc:Fallback>
            <w:pict>
              <v:group id="_x0000_s1026" o:spid="_x0000_s1026" o:spt="203" style="height:569.3pt;width:437.35pt;" coordorigin="-59,0" coordsize="8747,11709" o:gfxdata="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">
                <o:lock v:ext="edit" aspectratio="f"/>
                <v:line id="_x0000_s1026" o:spid="_x0000_s1026" o:spt="20" style="position:absolute;left:1062;top:895;height:7679;width:0;" filled="f" stroked="t" coordsize="21600,21600" o:gfxdata="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hUct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3477;top:895;height:7670;width:0;" filled="f" stroked="t" coordsize="21600,21600" o:gfxdata="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3iojH&#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_x0000_s1026" o:spid="_x0000_s1026" o:spt="20" style="position:absolute;left:5637;top:895;height:7670;width:1;" filled="f" stroked="t" coordsize="21600,21600" o:gfxdata="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YtX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7837;top:895;height:7673;width:0;" filled="f" stroked="t" coordsize="21600,21600" o:gfxdata="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lEhy/&#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258;top:4336;height:4226;width:0;" filled="f" stroked="t" coordsize="21600,21600" o:gfxdata="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2m3h7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1861;top:4336;height:4226;width:0;" filled="f" stroked="t" coordsize="21600,21600" o:gfxdata="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7sp8L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4830;top:4008;height:4560;width:0;" filled="f" stroked="t" coordsize="21600,21600" o:gfxdata="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3jGu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6520;top:3999;height:4569;width:0;" filled="f" stroked="t" coordsize="21600,21600" o:gfxdata="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x4UH7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4242;top:269;height:624;width:0;" filled="f" stroked="t" coordsize="21600,21600" o:gfxdata="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SsYS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1062;top:895;height:0;width:6764;" filled="f" stroked="t" coordsize="21600,21600" o:gfxdata="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IAv87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_x0000_s1026" o:spid="_x0000_s1026" o:spt="1" style="position:absolute;left:3142;top:0;height:468;width:2422;" fillcolor="#FFFFFF" filled="t" stroked="t" coordsize="21600,21600" o:gfxdata="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iG0i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BE6A898">
                        <w:pPr>
                          <w:spacing w:line="240" w:lineRule="exact"/>
                          <w:ind w:left="0" w:leftChars="0" w:firstLine="0" w:firstLineChars="0"/>
                          <w:jc w:val="both"/>
                        </w:pPr>
                        <w:r>
                          <w:rPr>
                            <w:rFonts w:hint="eastAsia"/>
                          </w:rPr>
                          <w:t>项目进度保证体系</w:t>
                        </w:r>
                      </w:p>
                    </w:txbxContent>
                  </v:textbox>
                </v:rect>
                <v:rect id="_x0000_s1026" o:spid="_x0000_s1026" o:spt="1" style="position:absolute;left:2560;top:1215;height:468;width:1858;" fillcolor="#FFFFFF" filled="t" stroked="t" coordsize="21600,21600" o:gfxdata="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8X+VC/&#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0224D68C">
                        <w:pPr>
                          <w:spacing w:line="240" w:lineRule="exact"/>
                          <w:ind w:left="0" w:leftChars="0" w:firstLine="0" w:firstLineChars="0"/>
                          <w:jc w:val="both"/>
                        </w:pPr>
                        <w:r>
                          <w:rPr>
                            <w:rFonts w:hint="eastAsia"/>
                          </w:rPr>
                          <w:t>组织保证</w:t>
                        </w:r>
                      </w:p>
                    </w:txbxContent>
                  </v:textbox>
                </v:rect>
                <v:rect id="_x0000_s1026" o:spid="_x0000_s1026" o:spt="1" style="position:absolute;left:4720;top:1215;height:468;width:1858;" fillcolor="#FFFFFF" filled="t" stroked="t" coordsize="21600,21600" o:gfxdata="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W1zL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FD697A0">
                        <w:pPr>
                          <w:spacing w:line="240" w:lineRule="exact"/>
                          <w:jc w:val="center"/>
                        </w:pPr>
                        <w:r>
                          <w:rPr>
                            <w:rFonts w:hint="eastAsia"/>
                          </w:rPr>
                          <w:t>制度保证</w:t>
                        </w:r>
                      </w:p>
                    </w:txbxContent>
                  </v:textbox>
                </v:rect>
                <v:rect id="_x0000_s1026" o:spid="_x0000_s1026" o:spt="1" style="position:absolute;left:7000;top:1215;height:468;width:1688;" fillcolor="#FFFFFF" filled="t" stroked="t" coordsize="21600,21600" o:gfxdata="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nhiu/&#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11AEF6CD">
                        <w:pPr>
                          <w:spacing w:line="240" w:lineRule="exact"/>
                          <w:ind w:left="0" w:leftChars="0" w:firstLine="0" w:firstLineChars="0"/>
                          <w:jc w:val="both"/>
                          <w:rPr>
                            <w:rFonts w:ascii="宋体" w:hAnsi="宋体"/>
                          </w:rPr>
                        </w:pPr>
                        <w:r>
                          <w:rPr>
                            <w:rFonts w:hint="eastAsia"/>
                          </w:rPr>
                          <w:t>经济保证</w:t>
                        </w:r>
                      </w:p>
                    </w:txbxContent>
                  </v:textbox>
                </v:rect>
                <v:rect id="_x0000_s1026" o:spid="_x0000_s1026" o:spt="1" style="position:absolute;left:250;top:1215;height:468;width:1728;" fillcolor="#FFFFFF" filled="t" stroked="t" coordsize="21600,21600" o:gfxdata="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KyOw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283F0D8">
                        <w:pPr>
                          <w:spacing w:line="240" w:lineRule="exact"/>
                          <w:ind w:left="0" w:leftChars="0" w:firstLine="0" w:firstLineChars="0"/>
                          <w:jc w:val="both"/>
                        </w:pPr>
                        <w:r>
                          <w:rPr>
                            <w:rFonts w:hint="eastAsia"/>
                          </w:rPr>
                          <w:t>技术保证</w:t>
                        </w:r>
                      </w:p>
                    </w:txbxContent>
                  </v:textbox>
                </v:rect>
                <v:rect id="_x0000_s1026" o:spid="_x0000_s1026" o:spt="1" style="position:absolute;left:4652;top:2283;height:492;width:2150;" fillcolor="#FFFFFF" filled="t" stroked="t" coordsize="21600,21600" o:gfxdata="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b3H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17D8050">
                        <w:pPr>
                          <w:spacing w:line="240" w:lineRule="exact"/>
                          <w:ind w:left="0" w:leftChars="0" w:firstLine="0" w:firstLineChars="0"/>
                          <w:jc w:val="both"/>
                        </w:pPr>
                        <w:r>
                          <w:rPr>
                            <w:rFonts w:hint="eastAsia"/>
                          </w:rPr>
                          <w:t>各项工期保证措施</w:t>
                        </w:r>
                      </w:p>
                    </w:txbxContent>
                  </v:textbox>
                </v:rect>
                <v:rect id="_x0000_s1026" o:spid="_x0000_s1026" o:spt="1" style="position:absolute;left:7065;top:2307;height:468;width:1558;" fillcolor="#FFFFFF" filled="t" stroked="t" coordsize="21600,21600" o:gfxdata="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tRhc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56A0159">
                        <w:pPr>
                          <w:spacing w:line="240" w:lineRule="exact"/>
                          <w:ind w:left="0" w:leftChars="0" w:firstLine="0" w:firstLineChars="0"/>
                          <w:jc w:val="both"/>
                        </w:pPr>
                        <w:r>
                          <w:rPr>
                            <w:rFonts w:hint="eastAsia"/>
                          </w:rPr>
                          <w:t>包保责任制</w:t>
                        </w:r>
                      </w:p>
                    </w:txbxContent>
                  </v:textbox>
                </v:rect>
                <v:rect id="_x0000_s1026" o:spid="_x0000_s1026" o:spt="1" style="position:absolute;left:2649;top:2315;height:510;width:1764;" fillcolor="#FFFFFF" filled="t" stroked="t" coordsize="21600,21600" o:gfxdata="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cgCi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5ED927F">
                        <w:pPr>
                          <w:spacing w:line="240" w:lineRule="exact"/>
                          <w:ind w:left="0" w:leftChars="0" w:firstLine="0" w:firstLineChars="0"/>
                          <w:jc w:val="both"/>
                        </w:pPr>
                        <w:r>
                          <w:rPr>
                            <w:rFonts w:hint="eastAsia"/>
                          </w:rPr>
                          <w:t>工期领导小组</w:t>
                        </w:r>
                      </w:p>
                    </w:txbxContent>
                  </v:textbox>
                </v:rect>
                <v:rect id="_x0000_s1026" o:spid="_x0000_s1026" o:spt="1" style="position:absolute;left:75;top:2290;height:468;width:2130;" fillcolor="#FFFFFF" filled="t" stroked="t" coordsize="21600,21600" o:gfxdata="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ECWz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FA2A964">
                        <w:pPr>
                          <w:spacing w:line="240" w:lineRule="exact"/>
                          <w:ind w:left="0" w:leftChars="0" w:right="-240" w:rightChars="-100" w:firstLine="0" w:firstLineChars="0"/>
                          <w:jc w:val="both"/>
                          <w:rPr>
                            <w:spacing w:val="-20"/>
                            <w:szCs w:val="21"/>
                          </w:rPr>
                        </w:pPr>
                        <w:r>
                          <w:rPr>
                            <w:rFonts w:hint="eastAsia"/>
                            <w:spacing w:val="-20"/>
                            <w:szCs w:val="21"/>
                          </w:rPr>
                          <w:t>高素质的技术人员配备</w:t>
                        </w:r>
                      </w:p>
                    </w:txbxContent>
                  </v:textbox>
                </v:rect>
                <v:rect id="_x0000_s1026" o:spid="_x0000_s1026" o:spt="1" style="position:absolute;left:2649;top:3468;height:468;width:1653;" fillcolor="#FFFFFF" filled="t" stroked="t" coordsize="21600,21600" o:gfxdata="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wrvE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9E6BD3B">
                        <w:pPr>
                          <w:spacing w:line="240" w:lineRule="exact"/>
                          <w:ind w:left="0" w:leftChars="0" w:firstLine="0" w:firstLineChars="0"/>
                          <w:jc w:val="both"/>
                        </w:pPr>
                        <w:r>
                          <w:rPr>
                            <w:rFonts w:hint="eastAsia"/>
                          </w:rPr>
                          <w:t>各职能部门</w:t>
                        </w:r>
                      </w:p>
                    </w:txbxContent>
                  </v:textbox>
                </v:rect>
                <v:rect id="_x0000_s1026" o:spid="_x0000_s1026" o:spt="1" style="position:absolute;left:-59;top:3450;height:468;width:2586;" fillcolor="#FFFFFF" filled="t" stroked="t" coordsize="21600,21600" o:gfxdata="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jh5f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BC0EEC4">
                        <w:pPr>
                          <w:spacing w:line="240" w:lineRule="exact"/>
                          <w:ind w:left="0" w:leftChars="0" w:right="-120" w:rightChars="-50" w:firstLine="0" w:firstLineChars="0"/>
                          <w:jc w:val="both"/>
                          <w:rPr>
                            <w:w w:val="80"/>
                          </w:rPr>
                        </w:pPr>
                        <w:r>
                          <w:rPr>
                            <w:rFonts w:hint="eastAsia"/>
                          </w:rPr>
                          <w:t>实施性的施工组织设计</w:t>
                        </w:r>
                      </w:p>
                    </w:txbxContent>
                  </v:textbox>
                </v:rect>
                <v:rect id="_x0000_s1026" o:spid="_x0000_s1026" o:spt="1" style="position:absolute;left:7094;top:3370;height:468;width:1500;" fillcolor="#FFFFFF" filled="t" stroked="t" coordsize="21600,21600" o:gfxdata="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Rii2/&#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3E2328F4">
                        <w:pPr>
                          <w:spacing w:line="240" w:lineRule="exact"/>
                          <w:ind w:left="0" w:leftChars="0" w:firstLine="0" w:firstLineChars="0"/>
                          <w:jc w:val="both"/>
                        </w:pPr>
                        <w:r>
                          <w:rPr>
                            <w:rFonts w:hint="eastAsia"/>
                          </w:rPr>
                          <w:t>监督检查</w:t>
                        </w:r>
                      </w:p>
                    </w:txbxContent>
                  </v:textbox>
                </v:rect>
                <v:rect id="_x0000_s1026" o:spid="_x0000_s1026" o:spt="1" style="position:absolute;left:0;top:4804;height:3276;width:525;" fillcolor="#FFFFFF" filled="t" stroked="t" coordsize="21600,21600" o:gfxdata="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dL7a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2FDC3929">
                        <w:pPr>
                          <w:spacing w:line="240" w:lineRule="exact"/>
                          <w:jc w:val="center"/>
                        </w:pPr>
                      </w:p>
                      <w:p w14:paraId="66FEE18C">
                        <w:pPr>
                          <w:spacing w:line="240" w:lineRule="exact"/>
                          <w:jc w:val="center"/>
                        </w:pPr>
                        <w:r>
                          <w:rPr>
                            <w:rFonts w:hint="eastAsia"/>
                          </w:rPr>
                          <w:t>科学组织</w:t>
                        </w:r>
                      </w:p>
                      <w:p w14:paraId="0B6EFE8C">
                        <w:pPr>
                          <w:spacing w:line="240" w:lineRule="exact"/>
                          <w:jc w:val="center"/>
                        </w:pPr>
                        <w:r>
                          <w:rPr>
                            <w:rFonts w:hint="eastAsia"/>
                          </w:rPr>
                          <w:t>合理安排</w:t>
                        </w:r>
                      </w:p>
                    </w:txbxContent>
                  </v:textbox>
                </v:rect>
                <v:rect id="_x0000_s1026" o:spid="_x0000_s1026" o:spt="1" style="position:absolute;left:815;top:4804;height:3276;width:525;" fillcolor="#FFFFFF" filled="t" stroked="t" coordsize="21600,21600" o:gfxdata="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EPa/&#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4CB153A3">
                        <w:pPr>
                          <w:spacing w:line="240" w:lineRule="exact"/>
                          <w:jc w:val="center"/>
                        </w:pPr>
                      </w:p>
                      <w:p w14:paraId="7F8F260B">
                        <w:pPr>
                          <w:spacing w:line="240" w:lineRule="exact"/>
                          <w:jc w:val="center"/>
                        </w:pPr>
                        <w:r>
                          <w:rPr>
                            <w:rFonts w:hint="eastAsia"/>
                          </w:rPr>
                          <w:t>先进的技术装备</w:t>
                        </w:r>
                      </w:p>
                    </w:txbxContent>
                  </v:textbox>
                </v:rect>
                <v:rect id="_x0000_s1026" o:spid="_x0000_s1026" o:spt="1" style="position:absolute;left:1616;top:4805;height:3276;width:525;" fillcolor="#FFFFFF" filled="t" stroked="t" coordsize="21600,21600" o:gfxdata="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8rVt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0FA38A1">
                        <w:pPr>
                          <w:spacing w:line="240" w:lineRule="exact"/>
                          <w:jc w:val="center"/>
                        </w:pPr>
                      </w:p>
                      <w:p w14:paraId="6B9CD34D">
                        <w:pPr>
                          <w:spacing w:line="240" w:lineRule="exact"/>
                          <w:jc w:val="center"/>
                        </w:pPr>
                        <w:r>
                          <w:rPr>
                            <w:rFonts w:hint="eastAsia"/>
                          </w:rPr>
                          <w:t>多方位的技术指导</w:t>
                        </w:r>
                      </w:p>
                    </w:txbxContent>
                  </v:textbox>
                </v:rect>
                <v:rect id="_x0000_s1026" o:spid="_x0000_s1026" o:spt="1" style="position:absolute;left:4505;top:4528;height:3276;width:525;" fillcolor="#FFFFFF" filled="t" stroked="t" coordsize="21600,21600" o:gfxdata="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ICsa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03846721">
                        <w:pPr>
                          <w:spacing w:line="240" w:lineRule="exact"/>
                          <w:jc w:val="center"/>
                          <w:rPr>
                            <w:w w:val="33"/>
                            <w:sz w:val="10"/>
                          </w:rPr>
                        </w:pPr>
                      </w:p>
                      <w:p w14:paraId="303C384D">
                        <w:pPr>
                          <w:spacing w:line="240" w:lineRule="exact"/>
                          <w:jc w:val="center"/>
                        </w:pPr>
                      </w:p>
                      <w:p w14:paraId="202ECB41">
                        <w:pPr>
                          <w:spacing w:line="240" w:lineRule="exact"/>
                          <w:jc w:val="center"/>
                        </w:pPr>
                        <w:r>
                          <w:rPr>
                            <w:rFonts w:hint="eastAsia"/>
                          </w:rPr>
                          <w:t>工期保证措施</w:t>
                        </w:r>
                      </w:p>
                    </w:txbxContent>
                  </v:textbox>
                </v:rect>
                <v:rect id="_x0000_s1026" o:spid="_x0000_s1026" o:spt="1" style="position:absolute;left:5365;top:4528;height:3276;width:525;" fillcolor="#FFFFFF" filled="t" stroked="t" coordsize="21600,21600" o:gfxdata="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bI6B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5D1B588">
                        <w:pPr>
                          <w:spacing w:line="240" w:lineRule="exact"/>
                          <w:jc w:val="center"/>
                        </w:pPr>
                      </w:p>
                      <w:p w14:paraId="1D1E5E53">
                        <w:pPr>
                          <w:spacing w:line="240" w:lineRule="exact"/>
                          <w:jc w:val="center"/>
                        </w:pPr>
                      </w:p>
                      <w:p w14:paraId="767FBACC">
                        <w:pPr>
                          <w:spacing w:line="240" w:lineRule="exact"/>
                          <w:jc w:val="center"/>
                        </w:pPr>
                        <w:r>
                          <w:rPr>
                            <w:rFonts w:hint="eastAsia"/>
                          </w:rPr>
                          <w:t>工期控制方法</w:t>
                        </w:r>
                      </w:p>
                    </w:txbxContent>
                  </v:textbox>
                </v:rect>
                <v:rect id="_x0000_s1026" o:spid="_x0000_s1026" o:spt="1" style="position:absolute;left:6245;top:4528;height:3276;width:525;" fillcolor="#FFFFFF" filled="t" stroked="t" coordsize="21600,21600" o:gfxdata="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hRb1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618F166">
                        <w:pPr>
                          <w:spacing w:line="240" w:lineRule="exact"/>
                          <w:jc w:val="center"/>
                        </w:pPr>
                        <w:r>
                          <w:t xml:space="preserve"> </w:t>
                        </w:r>
                        <w:r>
                          <w:rPr>
                            <w:rFonts w:hint="eastAsia"/>
                          </w:rPr>
                          <w:t>安全质量的平稳性</w:t>
                        </w:r>
                      </w:p>
                    </w:txbxContent>
                  </v:textbox>
                </v:rect>
                <v:rect id="_x0000_s1026" o:spid="_x0000_s1026" o:spt="1" style="position:absolute;left:7094;top:6532;height:468;width:1500;" fillcolor="#FFFFFF" filled="t" stroked="t" coordsize="21600,21600" o:gfxdata="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ybNu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DF13AD4">
                        <w:pPr>
                          <w:spacing w:line="240" w:lineRule="exact"/>
                          <w:ind w:left="0" w:leftChars="0" w:firstLine="0" w:firstLineChars="0"/>
                          <w:jc w:val="both"/>
                        </w:pPr>
                        <w:r>
                          <w:rPr>
                            <w:rFonts w:hint="eastAsia"/>
                          </w:rPr>
                          <w:t>经济兑现</w:t>
                        </w:r>
                      </w:p>
                    </w:txbxContent>
                  </v:textbox>
                </v:rect>
                <v:rect id="_x0000_s1026" o:spid="_x0000_s1026" o:spt="1" style="position:absolute;left:7094;top:5132;height:468;width:1500;" fillcolor="#FFFFFF" filled="t" stroked="t" coordsize="21600,21600" o:gfxdata="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bLRm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17BFBC1D">
                        <w:pPr>
                          <w:spacing w:line="240" w:lineRule="exact"/>
                          <w:ind w:left="0" w:leftChars="0" w:firstLine="0" w:firstLineChars="0"/>
                          <w:jc w:val="both"/>
                        </w:pPr>
                        <w:r>
                          <w:rPr>
                            <w:rFonts w:hint="eastAsia"/>
                          </w:rPr>
                          <w:t>奖罚分明</w:t>
                        </w:r>
                      </w:p>
                    </w:txbxContent>
                  </v:textbox>
                </v:rect>
                <v:rect id="_x0000_s1026" o:spid="_x0000_s1026" o:spt="1" style="position:absolute;left:2490;top:6517;height:767;width:1854;" fillcolor="#FFFFFF" filled="t" stroked="t" coordsize="21600,21600" o:gfxdata="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XiIK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1792F86E">
                        <w:pPr>
                          <w:spacing w:line="240" w:lineRule="exact"/>
                          <w:ind w:left="0" w:leftChars="0" w:firstLine="0" w:firstLineChars="0"/>
                          <w:jc w:val="both"/>
                        </w:pPr>
                        <w:r>
                          <w:rPr>
                            <w:rFonts w:hint="eastAsia"/>
                          </w:rPr>
                          <w:t>各工班、工种具体责任到人</w:t>
                        </w:r>
                      </w:p>
                    </w:txbxContent>
                  </v:textbox>
                </v:rect>
                <v:rect id="_x0000_s1026" o:spid="_x0000_s1026" o:spt="1" style="position:absolute;left:2739;top:5042;height:468;width:1679;" fillcolor="#FFFFFF" filled="t" stroked="t" coordsize="21600,21600" o:gfxdata="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IHPC/&#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7D3E0512">
                        <w:pPr>
                          <w:spacing w:line="240" w:lineRule="exact"/>
                          <w:ind w:left="0" w:leftChars="0" w:right="-120" w:rightChars="-50" w:firstLine="0" w:firstLineChars="0"/>
                          <w:jc w:val="both"/>
                        </w:pPr>
                        <w:r>
                          <w:rPr>
                            <w:rFonts w:hint="eastAsia"/>
                          </w:rPr>
                          <w:t>各施工作业队</w:t>
                        </w:r>
                      </w:p>
                    </w:txbxContent>
                  </v:textbox>
                </v:rect>
                <v:line id="_x0000_s1026" o:spid="_x0000_s1026" o:spt="20" style="position:absolute;left:262;top:4336;height:0;width:1602;" filled="f" stroked="t" coordsize="21600,21600" o:gfxdata="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MBeI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4830;top:4000;height:0;width:1680;" filled="f" stroked="t" coordsize="21600,21600" o:gfxdata="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WPQG/&#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258;top:8571;flip:y;height:1;width:7574;" filled="f" stroked="t" coordsize="21600,21600" o:gfxdata="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2n27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_x0000_s1026" o:spid="_x0000_s1026" o:spt="100" style="position:absolute;left:3940;top:8572;height:530;width:5;" filled="f" stroked="t" coordsize="5,530" o:gfxdata="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6QiyvQAA&#10;AN0AAAAPAAAAAAAAAAEAIAAAACIAAABkcnMvZG93bnJldi54bWxQSwECFAAUAAAACACHTuJAMy8F&#10;njsAAAA5AAAAEAAAAAAAAAABACAAAAAMAQAAZHJzL3NoYXBleG1sLnhtbFBLBQYAAAAABgAGAFsB&#10;AAC2AwAAAAA=&#10;" path="m0,0l5,530e">
                  <v:fill on="f" focussize="0,0"/>
                  <v:stroke color="#000000" joinstyle="round"/>
                  <v:imagedata o:title=""/>
                  <o:lock v:ext="edit" aspectratio="f"/>
                </v:shape>
                <v:rect id="_x0000_s1026" o:spid="_x0000_s1026" o:spt="1" style="position:absolute;left:1260;top:11076;height:633;width:5140;" fillcolor="#FFFFFF" filled="t" stroked="t" coordsize="21600,21600" o:gfxdata="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9Bv5bsAAADd&#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14:paraId="5EB0AEA8">
                        <w:pPr>
                          <w:pStyle w:val="16"/>
                          <w:tabs>
                            <w:tab w:val="left" w:pos="2523"/>
                            <w:tab w:val="left" w:pos="7458"/>
                          </w:tabs>
                          <w:spacing w:line="320" w:lineRule="exact"/>
                          <w:rPr>
                            <w:rFonts w:hint="eastAsia" w:ascii="黑体" w:hAnsi="黑体" w:eastAsia="黑体" w:cs="黑体"/>
                            <w:b/>
                            <w:bCs/>
                            <w:sz w:val="18"/>
                            <w:szCs w:val="18"/>
                          </w:rPr>
                        </w:pPr>
                        <w:r>
                          <w:rPr>
                            <w:rFonts w:hint="eastAsia" w:ascii="黑体" w:hAnsi="黑体" w:eastAsia="黑体" w:cs="黑体"/>
                            <w:b/>
                            <w:bCs/>
                            <w:sz w:val="18"/>
                            <w:szCs w:val="18"/>
                          </w:rPr>
                          <w:t>图</w:t>
                        </w:r>
                        <w:r>
                          <w:rPr>
                            <w:rFonts w:hint="eastAsia" w:ascii="黑体" w:hAnsi="黑体" w:eastAsia="黑体" w:cs="黑体"/>
                            <w:b/>
                            <w:bCs/>
                            <w:sz w:val="18"/>
                            <w:szCs w:val="18"/>
                            <w:lang w:val="en-US" w:eastAsia="zh-CN"/>
                          </w:rPr>
                          <w:t>6</w:t>
                        </w:r>
                        <w:r>
                          <w:rPr>
                            <w:rFonts w:hint="eastAsia" w:ascii="黑体" w:hAnsi="黑体" w:eastAsia="黑体" w:cs="黑体"/>
                            <w:b/>
                            <w:bCs/>
                            <w:sz w:val="18"/>
                            <w:szCs w:val="18"/>
                          </w:rPr>
                          <w:t>.1 工期保证体系框图</w:t>
                        </w:r>
                      </w:p>
                    </w:txbxContent>
                  </v:textbox>
                </v:rect>
                <v:rect id="_x0000_s1026" o:spid="_x0000_s1026" o:spt="1" style="position:absolute;left:2115;top:10236;height:575;width:3734;" filled="f" stroked="t" coordsize="21600,21600" o:gfxdata="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lSlybsAAADd&#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0mm,0mm,0mm,0mm">
                    <w:txbxContent>
                      <w:p w14:paraId="5C3EDE07">
                        <w:pPr>
                          <w:adjustRightInd w:val="0"/>
                          <w:snapToGrid w:val="0"/>
                          <w:spacing w:line="320" w:lineRule="exact"/>
                          <w:ind w:left="0" w:leftChars="0" w:firstLine="0" w:firstLineChars="0"/>
                          <w:jc w:val="both"/>
                          <w:rPr>
                            <w:rFonts w:ascii="宋体"/>
                            <w:kern w:val="21"/>
                            <w:szCs w:val="21"/>
                          </w:rPr>
                        </w:pPr>
                        <w:r>
                          <w:rPr>
                            <w:rFonts w:hint="eastAsia" w:ascii="宋体"/>
                            <w:kern w:val="21"/>
                            <w:szCs w:val="21"/>
                          </w:rPr>
                          <w:t>逐项检查，全面实现工期目标</w:t>
                        </w:r>
                      </w:p>
                    </w:txbxContent>
                  </v:textbox>
                </v:rect>
                <v:rect id="_x0000_s1026" o:spid="_x0000_s1026" o:spt="1" style="position:absolute;left:2085;top:9114;height:575;width:3679;" fillcolor="#FFFFFF" filled="t" stroked="t" coordsize="21600,21600" o:gfxdata="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Acz6&#10;wAAAAN0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14:paraId="43484114">
                        <w:pPr>
                          <w:adjustRightInd w:val="0"/>
                          <w:snapToGrid w:val="0"/>
                          <w:spacing w:line="320" w:lineRule="exact"/>
                          <w:ind w:left="0" w:leftChars="0" w:firstLine="0" w:firstLineChars="0"/>
                          <w:jc w:val="both"/>
                          <w:rPr>
                            <w:rFonts w:hint="eastAsia" w:ascii="宋体" w:hAnsi="宋体" w:eastAsia="宋体"/>
                            <w:kern w:val="21"/>
                            <w:szCs w:val="21"/>
                            <w:lang w:eastAsia="zh-CN"/>
                          </w:rPr>
                        </w:pPr>
                        <w:r>
                          <w:rPr>
                            <w:rFonts w:hint="eastAsia" w:ascii="宋体" w:hAnsi="宋体"/>
                            <w:kern w:val="21"/>
                            <w:szCs w:val="21"/>
                          </w:rPr>
                          <w:t>涉及所有施工活动</w:t>
                        </w:r>
                        <w:r>
                          <w:rPr>
                            <w:rFonts w:hint="eastAsia" w:ascii="宋体" w:hAnsi="宋体"/>
                            <w:kern w:val="21"/>
                            <w:szCs w:val="21"/>
                            <w:lang w:eastAsia="zh-CN"/>
                          </w:rPr>
                          <w:t>（</w:t>
                        </w:r>
                        <w:r>
                          <w:rPr>
                            <w:rFonts w:hint="eastAsia" w:ascii="宋体" w:hAnsi="宋体"/>
                            <w:kern w:val="21"/>
                            <w:szCs w:val="21"/>
                          </w:rPr>
                          <w:t>点、线、面</w:t>
                        </w:r>
                        <w:r>
                          <w:rPr>
                            <w:rFonts w:hint="eastAsia" w:ascii="宋体" w:hAnsi="宋体"/>
                            <w:kern w:val="21"/>
                            <w:szCs w:val="21"/>
                            <w:lang w:eastAsia="zh-CN"/>
                          </w:rPr>
                          <w:t>）</w:t>
                        </w:r>
                      </w:p>
                    </w:txbxContent>
                  </v:textbox>
                </v:rect>
                <v:shape id="_x0000_s1026" o:spid="_x0000_s1026" o:spt="100" style="position:absolute;left:3960;top:9693;height:530;width:5;" filled="f" stroked="t" coordsize="5,530" o:gfxdata="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dIOsb4A&#10;AADdAAAADwAAAAAAAAABACAAAAAiAAAAZHJzL2Rvd25yZXYueG1sUEsBAhQAFAAAAAgAh07iQDMv&#10;BZ47AAAAOQAAABAAAAAAAAAAAQAgAAAADQEAAGRycy9zaGFwZXhtbC54bWxQSwUGAAAAAAYABgBb&#10;AQAAtwMAAAAA&#10;" path="m0,0l5,530e">
                  <v:fill on="f" focussize="0,0"/>
                  <v:stroke color="#000000" joinstyle="round"/>
                  <v:imagedata o:title=""/>
                  <o:lock v:ext="edit" aspectratio="f"/>
                </v:shape>
                <w10:wrap type="none"/>
                <w10:anchorlock/>
              </v:group>
            </w:pict>
          </mc:Fallback>
        </mc:AlternateContent>
      </w:r>
    </w:p>
    <w:p w14:paraId="22CCDDE8">
      <w:pPr>
        <w:pStyle w:val="5"/>
        <w:rPr>
          <w:rFonts w:asciiTheme="minorEastAsia" w:hAnsiTheme="minorEastAsia" w:eastAsiaTheme="minorEastAsia"/>
          <w:color w:val="auto"/>
        </w:rPr>
      </w:pPr>
      <w:bookmarkStart w:id="755" w:name="_Toc4046"/>
      <w:bookmarkStart w:id="756" w:name="_Toc27945"/>
      <w:bookmarkStart w:id="757" w:name="_Hlk11084907"/>
      <w:r>
        <w:rPr>
          <w:rFonts w:hint="eastAsia" w:asciiTheme="minorEastAsia" w:hAnsiTheme="minorEastAsia" w:eastAsiaTheme="minorEastAsia"/>
          <w:color w:val="auto"/>
          <w:lang w:val="en-US" w:eastAsia="zh-CN"/>
        </w:rPr>
        <w:t>7.4.</w:t>
      </w:r>
      <w:r>
        <w:rPr>
          <w:rFonts w:asciiTheme="minorEastAsia" w:hAnsiTheme="minorEastAsia" w:eastAsiaTheme="minorEastAsia"/>
          <w:color w:val="auto"/>
        </w:rPr>
        <w:t>2</w:t>
      </w:r>
      <w:r>
        <w:rPr>
          <w:rFonts w:hint="eastAsia" w:asciiTheme="minorEastAsia" w:hAnsiTheme="minorEastAsia" w:eastAsiaTheme="minorEastAsia"/>
          <w:color w:val="auto"/>
        </w:rPr>
        <w:t>技术保证措施</w:t>
      </w:r>
      <w:bookmarkEnd w:id="755"/>
      <w:bookmarkEnd w:id="756"/>
    </w:p>
    <w:p w14:paraId="00BD79E6">
      <w:pPr>
        <w:spacing w:line="360" w:lineRule="auto"/>
        <w:ind w:firstLine="480" w:firstLineChars="200"/>
        <w:rPr>
          <w:rFonts w:asciiTheme="minorEastAsia" w:hAnsiTheme="minorEastAsia" w:eastAsiaTheme="minorEastAsia"/>
          <w:sz w:val="24"/>
        </w:rPr>
      </w:pPr>
      <w:bookmarkStart w:id="758" w:name="_Hlk11084578"/>
      <w:r>
        <w:rPr>
          <w:rFonts w:hint="eastAsia" w:asciiTheme="minorEastAsia" w:hAnsiTheme="minorEastAsia" w:eastAsiaTheme="minorEastAsia"/>
          <w:sz w:val="24"/>
        </w:rPr>
        <w:t>1</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精心安排施工组织，强化管理，在深入调查，吃透设计意图的基础上，编制实施性施工组织设计，分级负责，认真实施，并在实践中不断优化，施组的实现关键在强化管理上，要高起点、高质量、严要求。</w:t>
      </w:r>
    </w:p>
    <w:p w14:paraId="11F86AB8">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抓施工的程序化作业、标准化施工，通过合理的组织与正确的施工方法，尽快形成生产能力，提高施工进度。</w:t>
      </w:r>
    </w:p>
    <w:p w14:paraId="019434F0">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3</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充分利用网络技术，搞好工程的统筹、网络计划工作，做到技术超前。施工时制定周密的网络计划，牢牢抓住关键工序的管理与施工，控制循环作业时间，缩短工序转换和工序衔接时间，提高施工效率；对施工计划实行动态管理，及时进行信息反馈，不断把实际进度与计划相比较，找差距，找原因，及时调整。同时，进度计划安排充分考虑现场的各种因素，进度安排留有余地。</w:t>
      </w:r>
    </w:p>
    <w:p w14:paraId="7C059708">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4、</w:t>
      </w:r>
      <w:r>
        <w:rPr>
          <w:rFonts w:asciiTheme="minorEastAsia" w:hAnsiTheme="minorEastAsia" w:eastAsiaTheme="minorEastAsia"/>
          <w:sz w:val="24"/>
        </w:rPr>
        <w:t xml:space="preserve"> </w:t>
      </w:r>
      <w:r>
        <w:rPr>
          <w:rFonts w:hint="eastAsia" w:asciiTheme="minorEastAsia" w:hAnsiTheme="minorEastAsia" w:eastAsiaTheme="minorEastAsia"/>
          <w:sz w:val="24"/>
        </w:rPr>
        <w:t>优化施工方案，提高施工进度。</w:t>
      </w:r>
    </w:p>
    <w:p w14:paraId="5BEE2B75">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 xml:space="preserve"> </w:t>
      </w:r>
      <w:r>
        <w:rPr>
          <w:rFonts w:hint="eastAsia" w:asciiTheme="minorEastAsia" w:hAnsiTheme="minorEastAsia" w:eastAsiaTheme="minorEastAsia"/>
          <w:sz w:val="24"/>
        </w:rPr>
        <w:t>注重依靠科技和技术进步提高劳动生产率。采用新技术，对影响施工进度的施工技术难题，开展QC小组活动，组织攻关，充分听取各方面的合理化建议和开展小改革活动，提高施工进度。</w:t>
      </w:r>
    </w:p>
    <w:p w14:paraId="7B1C5461">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6、</w:t>
      </w:r>
      <w:r>
        <w:rPr>
          <w:rFonts w:asciiTheme="minorEastAsia" w:hAnsiTheme="minorEastAsia" w:eastAsiaTheme="minorEastAsia"/>
          <w:sz w:val="24"/>
        </w:rPr>
        <w:t xml:space="preserve"> </w:t>
      </w:r>
      <w:r>
        <w:rPr>
          <w:rFonts w:hint="eastAsia" w:asciiTheme="minorEastAsia" w:hAnsiTheme="minorEastAsia" w:eastAsiaTheme="minorEastAsia"/>
          <w:sz w:val="24"/>
        </w:rPr>
        <w:t>根据施工总进度的要求，分别编制年、季、月、旬施工生产计划，实施中对照检查，找差距，找原因，完善管理，促进施工。</w:t>
      </w:r>
    </w:p>
    <w:p w14:paraId="14CC1105">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7、</w:t>
      </w:r>
      <w:r>
        <w:rPr>
          <w:rFonts w:asciiTheme="minorEastAsia" w:hAnsiTheme="minorEastAsia" w:eastAsiaTheme="minorEastAsia"/>
          <w:sz w:val="24"/>
        </w:rPr>
        <w:t xml:space="preserve"> </w:t>
      </w:r>
      <w:r>
        <w:rPr>
          <w:rFonts w:hint="eastAsia" w:asciiTheme="minorEastAsia" w:hAnsiTheme="minorEastAsia" w:eastAsiaTheme="minorEastAsia"/>
          <w:sz w:val="24"/>
        </w:rPr>
        <w:t>按生产计划情况编制材料供应计划，超前订货加工，近期供货，并备有足够的库存量，保证工程物资供应。</w:t>
      </w:r>
    </w:p>
    <w:p w14:paraId="7EB949AB">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8</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密切与建设单位、监理单位、设计单位和地方政府的关系，齐心协力为本工程建设献计献策。</w:t>
      </w:r>
    </w:p>
    <w:p w14:paraId="17D6F03A">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9</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全面提高人员整体素质。加强技术培训，提高施工人员的操作技术熟练程度，项目经理部的骨干要深入学习项目管理知识，规范操作行为，同时抓好后勤保障工作，一切为生产服务，关心职工的物质、文化生活，充分激发广大职工的生产积极性。</w:t>
      </w:r>
      <w:bookmarkEnd w:id="758"/>
    </w:p>
    <w:p w14:paraId="10D703FA">
      <w:pPr>
        <w:pStyle w:val="5"/>
        <w:rPr>
          <w:rFonts w:asciiTheme="minorEastAsia" w:hAnsiTheme="minorEastAsia" w:eastAsiaTheme="minorEastAsia"/>
          <w:color w:val="auto"/>
        </w:rPr>
      </w:pPr>
      <w:bookmarkStart w:id="759" w:name="_Toc3670"/>
      <w:bookmarkStart w:id="760" w:name="_Toc31436"/>
      <w:r>
        <w:rPr>
          <w:rFonts w:hint="eastAsia" w:asciiTheme="minorEastAsia" w:hAnsiTheme="minorEastAsia" w:eastAsiaTheme="minorEastAsia"/>
          <w:color w:val="auto"/>
          <w:lang w:val="en-US" w:eastAsia="zh-CN"/>
        </w:rPr>
        <w:t>7.4.</w:t>
      </w:r>
      <w:r>
        <w:rPr>
          <w:rFonts w:asciiTheme="minorEastAsia" w:hAnsiTheme="minorEastAsia" w:eastAsiaTheme="minorEastAsia"/>
          <w:color w:val="auto"/>
        </w:rPr>
        <w:t>3</w:t>
      </w:r>
      <w:r>
        <w:rPr>
          <w:rFonts w:hint="eastAsia" w:asciiTheme="minorEastAsia" w:hAnsiTheme="minorEastAsia" w:eastAsiaTheme="minorEastAsia"/>
          <w:color w:val="auto"/>
        </w:rPr>
        <w:t>组织保证措施</w:t>
      </w:r>
      <w:bookmarkEnd w:id="759"/>
      <w:bookmarkEnd w:id="760"/>
    </w:p>
    <w:p w14:paraId="078893EC">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1</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抽调富有实践经验，又年富力强的技术、管理干部，建立精干、务实、高效的项目领导班子，配备数量多、技术强、经验丰富的技术人员，按照经理部的统一部署组建施工队伍，配备充足、结构合理的施工人员和机械设备，承担本合同段工程施工。</w:t>
      </w:r>
    </w:p>
    <w:p w14:paraId="2446A851">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2</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加强施工现场组织管理，作到指挥正确，控制得力、效率高、应变能力强。建立以项目经理部经理、总工程师为首的管理体系，决策重大施工问题，确定重大施工方案，分析施工进度。当实际进度落后施工组织设计要求时，提出加快施工进度措施。</w:t>
      </w:r>
    </w:p>
    <w:p w14:paraId="0C73C8C3">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3、</w:t>
      </w:r>
      <w:r>
        <w:rPr>
          <w:rFonts w:hint="eastAsia" w:asciiTheme="minorEastAsia" w:hAnsiTheme="minorEastAsia" w:eastAsiaTheme="minorEastAsia"/>
          <w:sz w:val="24"/>
        </w:rPr>
        <w:t>我部全力以赴做好施工前的各项工作，使全体参战人员熟悉工程特点、业主要求和投标书内容，以便认真实现我方的承诺。</w:t>
      </w:r>
    </w:p>
    <w:p w14:paraId="1D33D255">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4、</w:t>
      </w:r>
      <w:r>
        <w:rPr>
          <w:rFonts w:hint="eastAsia" w:asciiTheme="minorEastAsia" w:hAnsiTheme="minorEastAsia" w:eastAsiaTheme="minorEastAsia"/>
          <w:sz w:val="24"/>
        </w:rPr>
        <w:t>建立健全岗位责任制、施工人员定岗定责，严格技术标准、工艺措施、严明施工纪律，按设计要求施工。</w:t>
      </w:r>
    </w:p>
    <w:p w14:paraId="2646A3FB">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5、</w:t>
      </w:r>
      <w:r>
        <w:rPr>
          <w:rFonts w:asciiTheme="minorEastAsia" w:hAnsiTheme="minorEastAsia" w:eastAsiaTheme="minorEastAsia"/>
          <w:sz w:val="24"/>
        </w:rPr>
        <w:t xml:space="preserve"> </w:t>
      </w:r>
      <w:r>
        <w:rPr>
          <w:rFonts w:hint="eastAsia" w:asciiTheme="minorEastAsia" w:hAnsiTheme="minorEastAsia" w:eastAsiaTheme="minorEastAsia"/>
          <w:sz w:val="24"/>
        </w:rPr>
        <w:t>深化改革、完善项目管理模式，完善竞争机制和激励机制，实行全员风险承包，任务层层落实。把工期效率和职工个人的经济利益挂钩，兑现奖罚，充分调动全体职工的积极性。</w:t>
      </w:r>
    </w:p>
    <w:p w14:paraId="098FB0CE">
      <w:pPr>
        <w:pStyle w:val="5"/>
        <w:rPr>
          <w:color w:val="auto"/>
        </w:rPr>
      </w:pPr>
      <w:bookmarkStart w:id="761" w:name="_Toc29681"/>
      <w:bookmarkStart w:id="762" w:name="_Toc29296"/>
      <w:r>
        <w:rPr>
          <w:rFonts w:hint="eastAsia"/>
          <w:color w:val="auto"/>
          <w:lang w:val="en-US" w:eastAsia="zh-CN"/>
        </w:rPr>
        <w:t>7.4.</w:t>
      </w:r>
      <w:r>
        <w:rPr>
          <w:rFonts w:hint="eastAsia"/>
          <w:color w:val="auto"/>
        </w:rPr>
        <w:t>4制度保证措施</w:t>
      </w:r>
      <w:bookmarkEnd w:id="761"/>
      <w:bookmarkEnd w:id="762"/>
    </w:p>
    <w:p w14:paraId="551EF779">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在本工程施工开始前，制定严格的安全管理制度，结合本工程的具体情况，制定周密的安全技术方案和安全操作规程，并在施工中狠抓落实，杜绝重大安全事故发生。</w:t>
      </w:r>
    </w:p>
    <w:p w14:paraId="5C38C6C6">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进场后，将在工程质量、工期、安全、文明施工等方面制定严格的管理制度和奖罚制度，并在施工中严格执行，确保工程顺利施工。</w:t>
      </w:r>
    </w:p>
    <w:p w14:paraId="745642FF">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建立例会制度，保证各项计划的落实。项目部将建立例会制度</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每周召开项目经理部主要管理人员会议，协调内部管理事务，总结计划完成情况，发布次日计划。分析工程进展形势，互通信息，协调各方关系，制定工作对策。通过例会制度，使各方信息交流渠道通畅，问题解决及时。</w:t>
      </w:r>
    </w:p>
    <w:p w14:paraId="1EAC2A1C">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项目部还将建立工期奖罚制度，工序交接检制度，总平面管理制度等对工期进行控制。</w:t>
      </w:r>
    </w:p>
    <w:p w14:paraId="06F42D96">
      <w:pPr>
        <w:pStyle w:val="5"/>
        <w:rPr>
          <w:color w:val="auto"/>
        </w:rPr>
      </w:pPr>
      <w:bookmarkStart w:id="763" w:name="_Toc25850"/>
      <w:bookmarkStart w:id="764" w:name="_Toc27022"/>
      <w:r>
        <w:rPr>
          <w:rFonts w:hint="eastAsia"/>
          <w:color w:val="auto"/>
          <w:lang w:val="en-US" w:eastAsia="zh-CN"/>
        </w:rPr>
        <w:t>7.4.5</w:t>
      </w:r>
      <w:r>
        <w:rPr>
          <w:rFonts w:hint="eastAsia"/>
          <w:color w:val="auto"/>
        </w:rPr>
        <w:t>经济保证措施</w:t>
      </w:r>
      <w:bookmarkEnd w:id="763"/>
      <w:bookmarkEnd w:id="764"/>
    </w:p>
    <w:p w14:paraId="7A79A0D2">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将施工班组的工程款付款时间和数量与工程进度挂钩，促使其按期完工。并在施工合同中采取奖罚措施，对由于班组的原因拖延工期者进行必要的经济处罚，对工期提前者给予奖励，提高其完成工期目标的积极性。</w:t>
      </w:r>
    </w:p>
    <w:p w14:paraId="6DEF6B7F">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预留一定比例的工期保证金，对按期完成的班组返还保证金，工期提前的班组在返还保证金的基础上予以适当奖励，对于拖延工期的班组扣除其保证金，并予以经济处罚。</w:t>
      </w:r>
    </w:p>
    <w:p w14:paraId="7C7A1BD4">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对所属班组建立工期考核评比制度，对达不到进度要求的队伍进行警告、罚款直至清退处理。</w:t>
      </w:r>
    </w:p>
    <w:p w14:paraId="403E7EB2">
      <w:pPr>
        <w:pStyle w:val="5"/>
        <w:rPr>
          <w:color w:val="auto"/>
        </w:rPr>
      </w:pPr>
      <w:bookmarkStart w:id="765" w:name="_Toc7174"/>
      <w:bookmarkStart w:id="766" w:name="_Toc27395"/>
      <w:r>
        <w:rPr>
          <w:rFonts w:hint="eastAsia"/>
          <w:color w:val="auto"/>
          <w:lang w:val="en-US" w:eastAsia="zh-CN"/>
        </w:rPr>
        <w:t>7.4.6</w:t>
      </w:r>
      <w:r>
        <w:rPr>
          <w:rFonts w:hint="eastAsia"/>
          <w:color w:val="auto"/>
        </w:rPr>
        <w:t>施工要素配置保障</w:t>
      </w:r>
      <w:bookmarkEnd w:id="765"/>
      <w:bookmarkEnd w:id="766"/>
    </w:p>
    <w:p w14:paraId="65223AA7">
      <w:pPr>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1</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人力资源配置</w:t>
      </w:r>
    </w:p>
    <w:p w14:paraId="46ED3EC7">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为保证工程进度计划目标及管理生产目标，项目部将充分配备项目管理人员及足够的高素质劳动队伍，做到岗位设置齐全以形成严格完整的管理及施工层次。</w:t>
      </w:r>
    </w:p>
    <w:p w14:paraId="5A7C370D">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劳务队伍从我项目部劳务基地和和合格劳务分包商中选择，有着丰富的创优工程经验，善打硬仗和苦仗。</w:t>
      </w:r>
    </w:p>
    <w:p w14:paraId="24E64659">
      <w:pPr>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2</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机械资源配置</w:t>
      </w:r>
    </w:p>
    <w:p w14:paraId="5AC02C6D">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机械是影响施工生产的主要因素之一，大型机械的投入直接影响着项目生产进度及生产成本。对于这些设备的投入，项目部将通过具体计算，以保证生产进度为前提进行合理配置。具体见机械设备配置表。</w:t>
      </w:r>
    </w:p>
    <w:p w14:paraId="40CA860E">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3、</w:t>
      </w:r>
      <w:r>
        <w:rPr>
          <w:rFonts w:asciiTheme="minorEastAsia" w:hAnsiTheme="minorEastAsia" w:eastAsiaTheme="minorEastAsia"/>
          <w:sz w:val="24"/>
        </w:rPr>
        <w:t xml:space="preserve"> </w:t>
      </w:r>
      <w:r>
        <w:rPr>
          <w:rFonts w:hint="eastAsia" w:asciiTheme="minorEastAsia" w:hAnsiTheme="minorEastAsia" w:eastAsiaTheme="minorEastAsia"/>
          <w:sz w:val="24"/>
        </w:rPr>
        <w:t>物资资源配置</w:t>
      </w:r>
    </w:p>
    <w:p w14:paraId="421875AB">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rPr>
        <w:t>为保证施工生产的正常进行，项目部将根据施工总进度需要提出材料采购、加工及进场计划，通过加强物资计划管理，消除物资对施工进度的潜在影响以形成对施工总进度计划实现的有力保障。</w:t>
      </w:r>
    </w:p>
    <w:p w14:paraId="5C1CB9F2">
      <w:pPr>
        <w:pStyle w:val="5"/>
        <w:rPr>
          <w:rFonts w:asciiTheme="minorEastAsia" w:hAnsiTheme="minorEastAsia" w:eastAsiaTheme="minorEastAsia"/>
          <w:color w:val="auto"/>
        </w:rPr>
      </w:pPr>
      <w:bookmarkStart w:id="767" w:name="_Toc18779"/>
      <w:bookmarkStart w:id="768" w:name="_Toc28522"/>
      <w:r>
        <w:rPr>
          <w:rFonts w:hint="eastAsia" w:asciiTheme="minorEastAsia" w:hAnsiTheme="minorEastAsia" w:eastAsiaTheme="minorEastAsia"/>
          <w:color w:val="auto"/>
          <w:lang w:val="en-US" w:eastAsia="zh-CN"/>
        </w:rPr>
        <w:t>7.4.7</w:t>
      </w:r>
      <w:r>
        <w:rPr>
          <w:rFonts w:hint="eastAsia" w:asciiTheme="minorEastAsia" w:hAnsiTheme="minorEastAsia" w:eastAsiaTheme="minorEastAsia"/>
          <w:color w:val="auto"/>
        </w:rPr>
        <w:t>提高机械设备完好率</w:t>
      </w:r>
      <w:bookmarkEnd w:id="767"/>
      <w:bookmarkEnd w:id="768"/>
    </w:p>
    <w:p w14:paraId="6F48422B">
      <w:pPr>
        <w:spacing w:line="360" w:lineRule="auto"/>
        <w:ind w:firstLine="480" w:firstLineChars="200"/>
        <w:rPr>
          <w:rFonts w:asciiTheme="minorEastAsia" w:hAnsiTheme="minorEastAsia" w:eastAsiaTheme="minorEastAsia"/>
          <w:sz w:val="24"/>
        </w:rPr>
      </w:pPr>
      <w:r>
        <w:rPr>
          <w:rFonts w:asciiTheme="minorEastAsia" w:hAnsiTheme="minorEastAsia" w:eastAsiaTheme="minorEastAsia"/>
          <w:sz w:val="24"/>
        </w:rPr>
        <w:t>1</w:t>
      </w:r>
      <w:r>
        <w:rPr>
          <w:rFonts w:hint="eastAsia" w:asciiTheme="minorEastAsia" w:hAnsiTheme="minorEastAsia" w:eastAsiaTheme="minorEastAsia"/>
          <w:sz w:val="24"/>
          <w:lang w:eastAsia="zh-CN"/>
        </w:rPr>
        <w:t>、</w:t>
      </w:r>
      <w:r>
        <w:rPr>
          <w:rFonts w:asciiTheme="minorEastAsia" w:hAnsiTheme="minorEastAsia" w:eastAsiaTheme="minorEastAsia"/>
          <w:sz w:val="24"/>
        </w:rPr>
        <w:t xml:space="preserve"> </w:t>
      </w:r>
      <w:r>
        <w:rPr>
          <w:rFonts w:hint="eastAsia" w:asciiTheme="minorEastAsia" w:hAnsiTheme="minorEastAsia" w:eastAsiaTheme="minorEastAsia"/>
          <w:sz w:val="24"/>
        </w:rPr>
        <w:t>编制机械安全技术操作规程，组织专人深入现场，督促检查设备安全工作情况，发现问题，及时纠正，消除隐患，使机械设备达到安全、优质、高效、低耗地运行。严禁违章指挥、违章操作、违反劳动纪律和无知蛮干等操作行为。</w:t>
      </w:r>
    </w:p>
    <w:p w14:paraId="72ACD9CF">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2、</w:t>
      </w:r>
      <w:r>
        <w:rPr>
          <w:rFonts w:asciiTheme="minorEastAsia" w:hAnsiTheme="minorEastAsia" w:eastAsiaTheme="minorEastAsia"/>
          <w:sz w:val="24"/>
        </w:rPr>
        <w:t xml:space="preserve"> </w:t>
      </w:r>
      <w:r>
        <w:rPr>
          <w:rFonts w:hint="eastAsia" w:asciiTheme="minorEastAsia" w:hAnsiTheme="minorEastAsia" w:eastAsiaTheme="minorEastAsia"/>
          <w:sz w:val="24"/>
        </w:rPr>
        <w:t>严格执行交接班制度，认真填写交接班记录。交班清楚后，接班人应检查移交的运转、维修、油耗等记录情况及设备情况，并开车试运转，确认妥善无误后方能进行工作。</w:t>
      </w:r>
    </w:p>
    <w:p w14:paraId="23F1B8F8">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3、</w:t>
      </w:r>
      <w:r>
        <w:rPr>
          <w:rFonts w:asciiTheme="minorEastAsia" w:hAnsiTheme="minorEastAsia" w:eastAsiaTheme="minorEastAsia"/>
          <w:sz w:val="24"/>
        </w:rPr>
        <w:t xml:space="preserve"> </w:t>
      </w:r>
      <w:r>
        <w:rPr>
          <w:rFonts w:hint="eastAsia" w:asciiTheme="minorEastAsia" w:hAnsiTheme="minorEastAsia" w:eastAsiaTheme="minorEastAsia"/>
          <w:sz w:val="24"/>
        </w:rPr>
        <w:t>机械设备在使用中不得超载作业，或者任意扩大使用范围，应严格按照机械使用说明书的规定条件使用。</w:t>
      </w:r>
    </w:p>
    <w:p w14:paraId="3A18BAE7">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4、</w:t>
      </w:r>
      <w:r>
        <w:rPr>
          <w:rFonts w:asciiTheme="minorEastAsia" w:hAnsiTheme="minorEastAsia" w:eastAsiaTheme="minorEastAsia"/>
          <w:sz w:val="24"/>
        </w:rPr>
        <w:t xml:space="preserve"> </w:t>
      </w:r>
      <w:r>
        <w:rPr>
          <w:rFonts w:hint="eastAsia" w:asciiTheme="minorEastAsia" w:hAnsiTheme="minorEastAsia" w:eastAsiaTheme="minorEastAsia"/>
          <w:sz w:val="24"/>
        </w:rPr>
        <w:t>机械集中停放的场所，要有防火设备和防盗措施，要设专人看守。</w:t>
      </w:r>
    </w:p>
    <w:p w14:paraId="4C36E04E">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5、</w:t>
      </w:r>
      <w:r>
        <w:rPr>
          <w:rFonts w:hint="eastAsia" w:asciiTheme="minorEastAsia" w:hAnsiTheme="minorEastAsia" w:eastAsiaTheme="minorEastAsia"/>
          <w:sz w:val="24"/>
        </w:rPr>
        <w:t>对施工机械用油科学管理，合理使用。施工机械油水管理技术包括</w:t>
      </w:r>
      <w:r>
        <w:rPr>
          <w:rFonts w:hint="eastAsia" w:asciiTheme="minorEastAsia" w:hAnsiTheme="minorEastAsia" w:eastAsiaTheme="minorEastAsia"/>
          <w:sz w:val="24"/>
          <w:lang w:eastAsia="zh-CN"/>
        </w:rPr>
        <w:t>：</w:t>
      </w:r>
      <w:r>
        <w:rPr>
          <w:rFonts w:hint="eastAsia" w:asciiTheme="minorEastAsia" w:hAnsiTheme="minorEastAsia" w:eastAsiaTheme="minorEastAsia"/>
          <w:sz w:val="24"/>
        </w:rPr>
        <w:t>正确选用油品、正确掌握换油期、定期进行油水检测、正确掌握加油量、建立专业化油水管理组织对所有机械进行正常管理。</w:t>
      </w:r>
    </w:p>
    <w:p w14:paraId="511D0746">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6、</w:t>
      </w:r>
      <w:r>
        <w:rPr>
          <w:rFonts w:asciiTheme="minorEastAsia" w:hAnsiTheme="minorEastAsia" w:eastAsiaTheme="minorEastAsia"/>
          <w:sz w:val="24"/>
        </w:rPr>
        <w:t xml:space="preserve"> </w:t>
      </w:r>
      <w:r>
        <w:rPr>
          <w:rFonts w:hint="eastAsia" w:asciiTheme="minorEastAsia" w:hAnsiTheme="minorEastAsia" w:eastAsiaTheme="minorEastAsia"/>
          <w:sz w:val="24"/>
        </w:rPr>
        <w:t>加强对施工设备管、用、养、修的动态管理，做到合理配备机械，保证各道工序的平衡作业，提高工作效率。积极应用现代化电脑联网进行管理，建立设备台帐和技术档案，建立检测、大修项修、技术开发、配件库存、人员培训等信息库，提高机械管理水平。</w:t>
      </w:r>
    </w:p>
    <w:p w14:paraId="74598E81">
      <w:pPr>
        <w:spacing w:line="360" w:lineRule="auto"/>
        <w:ind w:firstLine="480" w:firstLineChars="200"/>
        <w:rPr>
          <w:rFonts w:asciiTheme="minorEastAsia" w:hAnsiTheme="minorEastAsia" w:eastAsiaTheme="minorEastAsia"/>
          <w:sz w:val="24"/>
        </w:rPr>
      </w:pPr>
      <w:r>
        <w:rPr>
          <w:rFonts w:hint="eastAsia" w:asciiTheme="minorEastAsia" w:hAnsiTheme="minorEastAsia" w:eastAsiaTheme="minorEastAsia"/>
          <w:sz w:val="24"/>
          <w:lang w:val="en-US" w:eastAsia="zh-CN"/>
        </w:rPr>
        <w:t>7、</w:t>
      </w:r>
      <w:r>
        <w:rPr>
          <w:rFonts w:asciiTheme="minorEastAsia" w:hAnsiTheme="minorEastAsia" w:eastAsiaTheme="minorEastAsia"/>
          <w:sz w:val="24"/>
        </w:rPr>
        <w:t xml:space="preserve"> </w:t>
      </w:r>
      <w:r>
        <w:rPr>
          <w:rFonts w:hint="eastAsia" w:asciiTheme="minorEastAsia" w:hAnsiTheme="minorEastAsia" w:eastAsiaTheme="minorEastAsia"/>
          <w:sz w:val="24"/>
        </w:rPr>
        <w:t>重要机械应有整机或部分总成配件备用，以保证机械正常运行。</w:t>
      </w:r>
      <w:bookmarkEnd w:id="757"/>
    </w:p>
    <w:p w14:paraId="421B48AE">
      <w:pPr>
        <w:pStyle w:val="22"/>
        <w:jc w:val="both"/>
        <w:rPr>
          <w:rFonts w:hint="default"/>
          <w:lang w:val="en-US" w:eastAsia="zh-CN"/>
        </w:rPr>
      </w:pPr>
      <w:r>
        <w:rPr>
          <w:rFonts w:hint="eastAsia"/>
          <w:lang w:val="en-US" w:eastAsia="zh-CN"/>
        </w:rPr>
        <w:t xml:space="preserve"> </w:t>
      </w:r>
    </w:p>
    <w:bookmarkEnd w:id="740"/>
    <w:bookmarkEnd w:id="741"/>
    <w:bookmarkEnd w:id="742"/>
    <w:bookmarkEnd w:id="743"/>
    <w:bookmarkEnd w:id="744"/>
    <w:bookmarkEnd w:id="745"/>
    <w:bookmarkEnd w:id="746"/>
    <w:bookmarkEnd w:id="747"/>
    <w:bookmarkEnd w:id="748"/>
    <w:bookmarkEnd w:id="749"/>
    <w:bookmarkEnd w:id="750"/>
    <w:p w14:paraId="32BEDC8B">
      <w:pPr>
        <w:pStyle w:val="2"/>
        <w:numPr>
          <w:ilvl w:val="0"/>
          <w:numId w:val="0"/>
        </w:numPr>
        <w:spacing w:line="360" w:lineRule="auto"/>
        <w:ind w:left="432" w:leftChars="0" w:hanging="432" w:firstLineChars="0"/>
        <w:jc w:val="left"/>
        <w:rPr>
          <w:rFonts w:hint="eastAsia" w:ascii="宋体" w:hAnsi="宋体" w:eastAsia="宋体" w:cs="宋体"/>
          <w:color w:val="auto"/>
        </w:rPr>
      </w:pPr>
      <w:bookmarkStart w:id="769" w:name="_Toc9110"/>
      <w:bookmarkStart w:id="770" w:name="_Toc20069"/>
      <w:bookmarkStart w:id="771" w:name="_Toc3126"/>
      <w:bookmarkStart w:id="772" w:name="_Toc2059"/>
      <w:bookmarkStart w:id="773" w:name="_Toc26150"/>
      <w:bookmarkStart w:id="774" w:name="_Toc18917"/>
      <w:bookmarkStart w:id="775" w:name="_Toc1377"/>
      <w:bookmarkStart w:id="776" w:name="_Toc22501"/>
      <w:bookmarkStart w:id="777" w:name="_Toc27538"/>
      <w:bookmarkStart w:id="778" w:name="_Toc4339"/>
      <w:bookmarkStart w:id="779" w:name="_Toc20559"/>
      <w:r>
        <w:rPr>
          <w:rFonts w:hint="eastAsia" w:cs="Times New Roman"/>
          <w:b/>
          <w:bCs/>
          <w:color w:val="auto"/>
          <w:kern w:val="36"/>
          <w:sz w:val="36"/>
          <w:szCs w:val="48"/>
          <w:lang w:val="en-US" w:eastAsia="zh-CN" w:bidi="ar-SA"/>
        </w:rPr>
        <w:t>第八章</w:t>
      </w:r>
      <w:r>
        <w:rPr>
          <w:rFonts w:hint="default" w:ascii="宋体" w:hAnsi="宋体" w:eastAsia="宋体" w:cs="Times New Roman"/>
          <w:b/>
          <w:bCs/>
          <w:color w:val="auto"/>
          <w:kern w:val="36"/>
          <w:sz w:val="36"/>
          <w:szCs w:val="48"/>
          <w:lang w:val="en-US" w:eastAsia="zh-CN" w:bidi="ar-SA"/>
        </w:rPr>
        <w:t>.</w:t>
      </w:r>
      <w:r>
        <w:rPr>
          <w:rFonts w:hint="eastAsia" w:ascii="宋体" w:hAnsi="宋体" w:eastAsia="宋体" w:cs="宋体"/>
          <w:color w:val="auto"/>
        </w:rPr>
        <w:t>主要工程施工方案</w:t>
      </w:r>
      <w:bookmarkEnd w:id="769"/>
      <w:bookmarkEnd w:id="770"/>
      <w:bookmarkEnd w:id="771"/>
      <w:bookmarkEnd w:id="772"/>
      <w:bookmarkEnd w:id="773"/>
      <w:bookmarkEnd w:id="774"/>
      <w:bookmarkEnd w:id="775"/>
      <w:bookmarkEnd w:id="776"/>
      <w:bookmarkEnd w:id="777"/>
      <w:bookmarkEnd w:id="778"/>
      <w:bookmarkEnd w:id="779"/>
    </w:p>
    <w:p w14:paraId="10E1B78B">
      <w:pPr>
        <w:pStyle w:val="4"/>
        <w:rPr>
          <w:rFonts w:hint="default" w:eastAsia="宋体"/>
          <w:highlight w:val="none"/>
          <w:lang w:val="en-US" w:eastAsia="zh-CN"/>
        </w:rPr>
      </w:pPr>
      <w:bookmarkStart w:id="780" w:name="_Toc16213"/>
      <w:bookmarkStart w:id="781" w:name="_Toc2563"/>
      <w:bookmarkStart w:id="782" w:name="_Toc392933495"/>
      <w:bookmarkStart w:id="783" w:name="_Toc392165607"/>
      <w:bookmarkStart w:id="784" w:name="_Toc260037181"/>
      <w:bookmarkStart w:id="785" w:name="_Toc30483"/>
      <w:r>
        <w:rPr>
          <w:rFonts w:hint="eastAsia"/>
          <w:color w:val="auto"/>
          <w:highlight w:val="none"/>
          <w:lang w:val="en-US" w:eastAsia="zh-CN"/>
        </w:rPr>
        <w:t>8.1</w:t>
      </w:r>
      <w:r>
        <w:rPr>
          <w:rFonts w:hint="eastAsia"/>
          <w:color w:val="auto"/>
          <w:highlight w:val="none"/>
        </w:rPr>
        <w:t>路基工程</w:t>
      </w:r>
      <w:bookmarkEnd w:id="780"/>
      <w:bookmarkEnd w:id="781"/>
      <w:bookmarkStart w:id="786" w:name="OLE_LINK78"/>
      <w:bookmarkEnd w:id="786"/>
      <w:r>
        <w:rPr>
          <w:rFonts w:hint="eastAsia"/>
          <w:color w:val="auto"/>
          <w:highlight w:val="none"/>
          <w:lang w:val="en-US" w:eastAsia="zh-CN"/>
        </w:rPr>
        <w:t xml:space="preserve"> </w:t>
      </w:r>
      <w:r>
        <w:rPr>
          <w:rFonts w:hint="eastAsia"/>
          <w:highlight w:val="none"/>
          <w:lang w:val="en-US" w:eastAsia="zh-CN"/>
        </w:rPr>
        <w:t xml:space="preserve"> </w:t>
      </w:r>
    </w:p>
    <w:p w14:paraId="59571B77">
      <w:pPr>
        <w:pStyle w:val="178"/>
        <w:rPr>
          <w:rFonts w:hint="eastAsia" w:asciiTheme="minorEastAsia" w:hAnsiTheme="minorEastAsia" w:eastAsiaTheme="minorEastAsia"/>
          <w:szCs w:val="24"/>
          <w:highlight w:val="none"/>
          <w:lang w:val="en-US" w:eastAsia="zh-CN"/>
        </w:rPr>
      </w:pPr>
      <w:r>
        <w:rPr>
          <w:rFonts w:hint="eastAsia" w:asciiTheme="minorEastAsia" w:hAnsiTheme="minorEastAsia" w:eastAsiaTheme="minorEastAsia"/>
          <w:szCs w:val="24"/>
          <w:highlight w:val="none"/>
        </w:rPr>
        <w:t>A</w:t>
      </w:r>
      <w:r>
        <w:rPr>
          <w:rFonts w:hint="eastAsia" w:asciiTheme="minorEastAsia" w:hAnsiTheme="minorEastAsia" w:eastAsiaTheme="minorEastAsia"/>
          <w:szCs w:val="24"/>
          <w:highlight w:val="none"/>
          <w:lang w:val="en-US" w:eastAsia="zh-CN"/>
        </w:rPr>
        <w:t>12</w:t>
      </w:r>
      <w:r>
        <w:rPr>
          <w:rFonts w:hint="eastAsia" w:asciiTheme="minorEastAsia" w:hAnsiTheme="minorEastAsia" w:eastAsiaTheme="minorEastAsia"/>
          <w:szCs w:val="24"/>
          <w:highlight w:val="none"/>
        </w:rPr>
        <w:t>合同段</w:t>
      </w:r>
      <w:r>
        <w:rPr>
          <w:rFonts w:hint="eastAsia" w:asciiTheme="minorEastAsia" w:hAnsiTheme="minorEastAsia" w:eastAsiaTheme="minorEastAsia"/>
          <w:szCs w:val="24"/>
          <w:highlight w:val="none"/>
          <w:lang w:val="en-US" w:eastAsia="zh-CN"/>
        </w:rPr>
        <w:t>主线</w:t>
      </w:r>
      <w:r>
        <w:rPr>
          <w:rFonts w:hint="eastAsia" w:asciiTheme="minorEastAsia" w:hAnsiTheme="minorEastAsia" w:eastAsiaTheme="minorEastAsia"/>
          <w:szCs w:val="24"/>
          <w:highlight w:val="none"/>
        </w:rPr>
        <w:t>路基</w:t>
      </w:r>
      <w:r>
        <w:rPr>
          <w:rFonts w:hint="eastAsia" w:asciiTheme="minorEastAsia" w:hAnsiTheme="minorEastAsia" w:eastAsiaTheme="minorEastAsia"/>
          <w:szCs w:val="24"/>
          <w:highlight w:val="none"/>
          <w:lang w:val="en-US" w:eastAsia="zh-CN"/>
        </w:rPr>
        <w:t>为拓宽工程</w:t>
      </w:r>
      <w:r>
        <w:rPr>
          <w:rFonts w:hint="eastAsia" w:asciiTheme="minorEastAsia" w:hAnsiTheme="minorEastAsia" w:eastAsiaTheme="minorEastAsia"/>
          <w:szCs w:val="24"/>
          <w:highlight w:val="none"/>
        </w:rPr>
        <w:t>，</w:t>
      </w:r>
      <w:r>
        <w:rPr>
          <w:rFonts w:hint="eastAsia" w:asciiTheme="minorEastAsia" w:hAnsiTheme="minorEastAsia" w:eastAsiaTheme="minorEastAsia"/>
          <w:szCs w:val="24"/>
          <w:highlight w:val="none"/>
          <w:lang w:val="en-US" w:eastAsia="zh-CN"/>
        </w:rPr>
        <w:t>当采用整体式路基时，采用两侧拓宽；当采用分离式路基时，采用单侧拓宽。路基设计标准：高速公路双向8车道，</w:t>
      </w:r>
    </w:p>
    <w:p w14:paraId="56FAACE3">
      <w:pPr>
        <w:pStyle w:val="178"/>
        <w:ind w:left="0" w:leftChars="0" w:firstLine="0" w:firstLineChars="0"/>
        <w:rPr>
          <w:rFonts w:hint="eastAsia" w:asciiTheme="minorEastAsia" w:hAnsiTheme="minorEastAsia" w:eastAsiaTheme="minorEastAsia"/>
          <w:szCs w:val="24"/>
          <w:highlight w:val="none"/>
        </w:rPr>
      </w:pPr>
      <w:r>
        <w:rPr>
          <w:rFonts w:hint="eastAsia" w:asciiTheme="minorEastAsia" w:hAnsiTheme="minorEastAsia" w:eastAsiaTheme="minorEastAsia"/>
          <w:szCs w:val="24"/>
          <w:highlight w:val="none"/>
          <w:lang w:val="en-US" w:eastAsia="zh-CN"/>
        </w:rPr>
        <w:t>路基宽度：整体式：42m；断面布设为：2X(0.750m(左侧路缘带）+4X3.75m(行车道+3.0m(硬路肩，含右侧路缘带)+0.75m(土路肩)+3.0m(中央分隔带）。分离式：20.75m；断面布设为：0.750m(土路肩)+1.25m（硬路肩）+4X3.75m(行车道+3.0m(硬路肩，含右侧路缘带)+0.75m(土路肩）。路基挖方110.86万方，填方106.82万方，弃土场 1 处，弃土方量为 48.6 万方，取土场 1 处，取土方量为 1.9 万方。路基拓宽示意图见图8.1。路基段落分布见表4.8。</w:t>
      </w:r>
    </w:p>
    <w:p w14:paraId="147728FE">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t>图8.1路基拼宽示意图</w:t>
      </w:r>
    </w:p>
    <w:p w14:paraId="0026AD5A">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t>整体式路基（双向八车道）两侧拼宽路段</w:t>
      </w:r>
    </w:p>
    <w:p w14:paraId="4F1E9B1B">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drawing>
          <wp:inline distT="0" distB="0" distL="114300" distR="114300">
            <wp:extent cx="5266055" cy="2237740"/>
            <wp:effectExtent l="0" t="0" r="6985" b="2540"/>
            <wp:docPr id="21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图片 25"/>
                    <pic:cNvPicPr>
                      <a:picLocks noChangeAspect="1"/>
                    </pic:cNvPicPr>
                  </pic:nvPicPr>
                  <pic:blipFill>
                    <a:blip r:embed="rId39"/>
                    <a:stretch>
                      <a:fillRect/>
                    </a:stretch>
                  </pic:blipFill>
                  <pic:spPr>
                    <a:xfrm>
                      <a:off x="0" y="0"/>
                      <a:ext cx="5266055" cy="2237740"/>
                    </a:xfrm>
                    <a:prstGeom prst="rect">
                      <a:avLst/>
                    </a:prstGeom>
                    <a:noFill/>
                    <a:ln>
                      <a:noFill/>
                    </a:ln>
                  </pic:spPr>
                </pic:pic>
              </a:graphicData>
            </a:graphic>
          </wp:inline>
        </w:drawing>
      </w:r>
    </w:p>
    <w:p w14:paraId="505251E9">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p>
    <w:p w14:paraId="15C0091C">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t>分离式路基（整幅四车道）单侧分离路段</w:t>
      </w:r>
    </w:p>
    <w:p w14:paraId="51CA27B1">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drawing>
          <wp:inline distT="0" distB="0" distL="114300" distR="114300">
            <wp:extent cx="5269865" cy="2099945"/>
            <wp:effectExtent l="0" t="0" r="3175" b="3175"/>
            <wp:docPr id="210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图片 26"/>
                    <pic:cNvPicPr>
                      <a:picLocks noChangeAspect="1"/>
                    </pic:cNvPicPr>
                  </pic:nvPicPr>
                  <pic:blipFill>
                    <a:blip r:embed="rId40"/>
                    <a:stretch>
                      <a:fillRect/>
                    </a:stretch>
                  </pic:blipFill>
                  <pic:spPr>
                    <a:xfrm>
                      <a:off x="0" y="0"/>
                      <a:ext cx="5269865" cy="2099945"/>
                    </a:xfrm>
                    <a:prstGeom prst="rect">
                      <a:avLst/>
                    </a:prstGeom>
                    <a:noFill/>
                    <a:ln>
                      <a:noFill/>
                    </a:ln>
                  </pic:spPr>
                </pic:pic>
              </a:graphicData>
            </a:graphic>
          </wp:inline>
        </w:drawing>
      </w:r>
    </w:p>
    <w:p w14:paraId="1C510CEE">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t>表8.1  路基里程段落分布</w:t>
      </w:r>
    </w:p>
    <w:tbl>
      <w:tblPr>
        <w:tblStyle w:val="47"/>
        <w:tblW w:w="850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9"/>
        <w:gridCol w:w="2556"/>
        <w:gridCol w:w="1232"/>
        <w:gridCol w:w="1520"/>
        <w:gridCol w:w="1489"/>
        <w:gridCol w:w="878"/>
      </w:tblGrid>
      <w:tr w14:paraId="626214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6" w:hRule="atLeast"/>
          <w:jc w:val="center"/>
        </w:trPr>
        <w:tc>
          <w:tcPr>
            <w:tcW w:w="829" w:type="dxa"/>
            <w:tcBorders>
              <w:top w:val="single" w:color="000000" w:sz="8" w:space="0"/>
              <w:left w:val="single" w:color="000000" w:sz="8" w:space="0"/>
              <w:bottom w:val="single" w:color="000000" w:sz="8" w:space="0"/>
              <w:right w:val="single" w:color="000000" w:sz="8" w:space="0"/>
            </w:tcBorders>
            <w:shd w:val="clear" w:color="auto" w:fill="auto"/>
            <w:noWrap/>
            <w:vAlign w:val="bottom"/>
          </w:tcPr>
          <w:p w14:paraId="773C859C">
            <w:pPr>
              <w:spacing w:line="360" w:lineRule="auto"/>
              <w:ind w:left="0" w:leftChars="0" w:firstLine="0" w:firstLineChars="0"/>
              <w:jc w:val="both"/>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序号</w:t>
            </w:r>
          </w:p>
        </w:tc>
        <w:tc>
          <w:tcPr>
            <w:tcW w:w="2556" w:type="dxa"/>
            <w:tcBorders>
              <w:top w:val="single" w:color="000000" w:sz="8" w:space="0"/>
              <w:left w:val="nil"/>
              <w:bottom w:val="single" w:color="000000" w:sz="8" w:space="0"/>
              <w:right w:val="single" w:color="000000" w:sz="8" w:space="0"/>
            </w:tcBorders>
            <w:shd w:val="clear" w:color="auto" w:fill="auto"/>
            <w:noWrap/>
            <w:vAlign w:val="bottom"/>
          </w:tcPr>
          <w:p w14:paraId="7B3DFDD8">
            <w:pPr>
              <w:spacing w:line="360" w:lineRule="auto"/>
              <w:jc w:val="both"/>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起讫里程</w:t>
            </w:r>
          </w:p>
        </w:tc>
        <w:tc>
          <w:tcPr>
            <w:tcW w:w="1232" w:type="dxa"/>
            <w:tcBorders>
              <w:top w:val="single" w:color="000000" w:sz="8" w:space="0"/>
              <w:left w:val="nil"/>
              <w:bottom w:val="single" w:color="000000" w:sz="8" w:space="0"/>
              <w:right w:val="single" w:color="000000" w:sz="8" w:space="0"/>
            </w:tcBorders>
            <w:shd w:val="clear" w:color="auto" w:fill="auto"/>
            <w:noWrap/>
            <w:vAlign w:val="bottom"/>
          </w:tcPr>
          <w:p w14:paraId="0513A57E">
            <w:pPr>
              <w:spacing w:line="360" w:lineRule="auto"/>
              <w:ind w:left="0" w:leftChars="0" w:firstLine="0" w:firstLineChars="0"/>
              <w:jc w:val="both"/>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长度m</w:t>
            </w:r>
          </w:p>
        </w:tc>
        <w:tc>
          <w:tcPr>
            <w:tcW w:w="1520" w:type="dxa"/>
            <w:tcBorders>
              <w:top w:val="single" w:color="000000" w:sz="8" w:space="0"/>
              <w:left w:val="nil"/>
              <w:bottom w:val="single" w:color="000000" w:sz="8" w:space="0"/>
              <w:right w:val="single" w:color="000000" w:sz="8" w:space="0"/>
            </w:tcBorders>
            <w:shd w:val="clear" w:color="auto" w:fill="auto"/>
            <w:noWrap/>
            <w:vAlign w:val="bottom"/>
          </w:tcPr>
          <w:p w14:paraId="385C25D1">
            <w:pPr>
              <w:spacing w:line="360" w:lineRule="auto"/>
              <w:ind w:left="0" w:leftChars="0" w:firstLine="0" w:firstLineChars="0"/>
              <w:jc w:val="both"/>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挖方数量m³</w:t>
            </w:r>
          </w:p>
        </w:tc>
        <w:tc>
          <w:tcPr>
            <w:tcW w:w="1489" w:type="dxa"/>
            <w:tcBorders>
              <w:top w:val="single" w:color="000000" w:sz="8" w:space="0"/>
              <w:left w:val="nil"/>
              <w:bottom w:val="single" w:color="000000" w:sz="8" w:space="0"/>
              <w:right w:val="single" w:color="000000" w:sz="8" w:space="0"/>
            </w:tcBorders>
            <w:shd w:val="clear" w:color="auto" w:fill="auto"/>
            <w:noWrap/>
            <w:vAlign w:val="bottom"/>
          </w:tcPr>
          <w:p w14:paraId="79359328">
            <w:pPr>
              <w:spacing w:line="360" w:lineRule="auto"/>
              <w:ind w:left="0" w:leftChars="0" w:firstLine="0" w:firstLineChars="0"/>
              <w:jc w:val="both"/>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填方数量m³</w:t>
            </w:r>
          </w:p>
        </w:tc>
        <w:tc>
          <w:tcPr>
            <w:tcW w:w="878" w:type="dxa"/>
            <w:tcBorders>
              <w:top w:val="single" w:color="000000" w:sz="8" w:space="0"/>
              <w:left w:val="nil"/>
              <w:bottom w:val="single" w:color="000000" w:sz="8" w:space="0"/>
              <w:right w:val="single" w:color="000000" w:sz="8" w:space="0"/>
            </w:tcBorders>
            <w:shd w:val="clear" w:color="auto" w:fill="auto"/>
            <w:noWrap/>
            <w:vAlign w:val="bottom"/>
          </w:tcPr>
          <w:p w14:paraId="54B388B7">
            <w:pPr>
              <w:spacing w:line="360" w:lineRule="auto"/>
              <w:ind w:left="0" w:leftChars="0" w:firstLine="0" w:firstLineChars="0"/>
              <w:jc w:val="both"/>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备注</w:t>
            </w:r>
          </w:p>
        </w:tc>
      </w:tr>
      <w:tr w14:paraId="5F2076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10" w:hRule="atLeast"/>
          <w:jc w:val="center"/>
        </w:trPr>
        <w:tc>
          <w:tcPr>
            <w:tcW w:w="829" w:type="dxa"/>
            <w:tcBorders>
              <w:top w:val="nil"/>
              <w:left w:val="single" w:color="000000" w:sz="8" w:space="0"/>
              <w:bottom w:val="single" w:color="auto" w:sz="4" w:space="0"/>
              <w:right w:val="single" w:color="000000" w:sz="8" w:space="0"/>
            </w:tcBorders>
            <w:shd w:val="clear" w:color="auto" w:fill="auto"/>
            <w:noWrap/>
            <w:vAlign w:val="bottom"/>
          </w:tcPr>
          <w:p w14:paraId="7FC02526">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w:t>
            </w:r>
          </w:p>
        </w:tc>
        <w:tc>
          <w:tcPr>
            <w:tcW w:w="2556" w:type="dxa"/>
            <w:tcBorders>
              <w:top w:val="nil"/>
              <w:left w:val="nil"/>
              <w:bottom w:val="single" w:color="auto" w:sz="4" w:space="0"/>
              <w:right w:val="single" w:color="000000" w:sz="8" w:space="0"/>
            </w:tcBorders>
            <w:shd w:val="clear" w:color="auto" w:fill="auto"/>
            <w:noWrap/>
            <w:vAlign w:val="center"/>
          </w:tcPr>
          <w:p w14:paraId="7E34A3CE">
            <w:pPr>
              <w:keepNext w:val="0"/>
              <w:keepLines w:val="0"/>
              <w:widowControl/>
              <w:suppressLineNumbers w:val="0"/>
              <w:ind w:left="0" w:leftChars="0" w:firstLine="0" w:firstLineChars="0"/>
              <w:jc w:val="left"/>
              <w:textAlignment w:val="center"/>
              <w:rPr>
                <w:rFonts w:hint="default" w:cs="宋体" w:asciiTheme="minorEastAsia" w:hAnsiTheme="minorEastAsia" w:eastAsiaTheme="minorEastAsia"/>
                <w:kern w:val="0"/>
                <w:sz w:val="24"/>
                <w:szCs w:val="24"/>
                <w:highlight w:val="none"/>
                <w:lang w:val="en-US"/>
              </w:rPr>
            </w:pPr>
            <w:r>
              <w:rPr>
                <w:rFonts w:ascii="宋体" w:hAnsi="宋体" w:eastAsia="宋体" w:cs="宋体"/>
                <w:i w:val="0"/>
                <w:iCs w:val="0"/>
                <w:color w:val="000000"/>
                <w:kern w:val="0"/>
                <w:sz w:val="24"/>
                <w:szCs w:val="24"/>
                <w:u w:val="none"/>
                <w:lang w:val="en-US" w:eastAsia="zh-CN" w:bidi="ar"/>
              </w:rPr>
              <w:t>K116+000～K117+000</w:t>
            </w:r>
          </w:p>
        </w:tc>
        <w:tc>
          <w:tcPr>
            <w:tcW w:w="1232" w:type="dxa"/>
            <w:tcBorders>
              <w:top w:val="nil"/>
              <w:left w:val="nil"/>
              <w:bottom w:val="single" w:color="auto" w:sz="4" w:space="0"/>
              <w:right w:val="single" w:color="000000" w:sz="8" w:space="0"/>
            </w:tcBorders>
            <w:shd w:val="clear" w:color="auto" w:fill="auto"/>
            <w:noWrap/>
            <w:vAlign w:val="bottom"/>
          </w:tcPr>
          <w:p w14:paraId="41C166E1">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nil"/>
              <w:left w:val="nil"/>
              <w:bottom w:val="single" w:color="auto" w:sz="4" w:space="0"/>
              <w:right w:val="single" w:color="000000" w:sz="8" w:space="0"/>
            </w:tcBorders>
            <w:shd w:val="clear" w:color="auto" w:fill="auto"/>
            <w:noWrap/>
            <w:vAlign w:val="bottom"/>
          </w:tcPr>
          <w:p w14:paraId="2CBCF0FA">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40246</w:t>
            </w:r>
          </w:p>
        </w:tc>
        <w:tc>
          <w:tcPr>
            <w:tcW w:w="1489" w:type="dxa"/>
            <w:tcBorders>
              <w:top w:val="nil"/>
              <w:left w:val="nil"/>
              <w:bottom w:val="single" w:color="auto" w:sz="4" w:space="0"/>
              <w:right w:val="single" w:color="000000" w:sz="8" w:space="0"/>
            </w:tcBorders>
            <w:shd w:val="clear" w:color="auto" w:fill="auto"/>
            <w:noWrap/>
            <w:vAlign w:val="bottom"/>
          </w:tcPr>
          <w:p w14:paraId="4040FBF5">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12175</w:t>
            </w:r>
          </w:p>
        </w:tc>
        <w:tc>
          <w:tcPr>
            <w:tcW w:w="878" w:type="dxa"/>
            <w:vMerge w:val="restart"/>
            <w:tcBorders>
              <w:top w:val="nil"/>
              <w:left w:val="nil"/>
              <w:right w:val="single" w:color="000000" w:sz="8" w:space="0"/>
            </w:tcBorders>
            <w:shd w:val="clear" w:color="auto" w:fill="auto"/>
            <w:noWrap/>
            <w:vAlign w:val="center"/>
          </w:tcPr>
          <w:p w14:paraId="6D042B56">
            <w:pPr>
              <w:spacing w:line="360" w:lineRule="auto"/>
              <w:ind w:left="0" w:leftChars="0" w:firstLine="0" w:firstLineChars="0"/>
              <w:jc w:val="both"/>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主线</w:t>
            </w:r>
          </w:p>
        </w:tc>
      </w:tr>
      <w:tr w14:paraId="5A1B5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B6786CC">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2</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1B5D756">
            <w:pPr>
              <w:keepNext w:val="0"/>
              <w:keepLines w:val="0"/>
              <w:widowControl/>
              <w:suppressLineNumbers w:val="0"/>
              <w:ind w:left="0" w:leftChars="0" w:firstLine="0" w:firstLineChars="0"/>
              <w:jc w:val="left"/>
              <w:textAlignment w:val="center"/>
              <w:rPr>
                <w:rFonts w:hint="default" w:cs="宋体" w:asciiTheme="minorEastAsia" w:hAnsiTheme="minorEastAsia" w:eastAsiaTheme="minorEastAsia"/>
                <w:kern w:val="0"/>
                <w:sz w:val="24"/>
                <w:szCs w:val="24"/>
                <w:highlight w:val="none"/>
                <w:lang w:val="en-US"/>
              </w:rPr>
            </w:pPr>
            <w:r>
              <w:rPr>
                <w:rFonts w:ascii="宋体" w:hAnsi="宋体" w:eastAsia="宋体" w:cs="宋体"/>
                <w:i w:val="0"/>
                <w:iCs w:val="0"/>
                <w:color w:val="000000"/>
                <w:kern w:val="0"/>
                <w:sz w:val="24"/>
                <w:szCs w:val="24"/>
                <w:u w:val="none"/>
                <w:lang w:val="en-US" w:eastAsia="zh-CN" w:bidi="ar"/>
              </w:rPr>
              <w:t>K117+000～K118+000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208E810">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8594E81">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81720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C99B0E5">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7789</w:t>
            </w:r>
          </w:p>
        </w:tc>
        <w:tc>
          <w:tcPr>
            <w:tcW w:w="878" w:type="dxa"/>
            <w:vMerge w:val="continue"/>
            <w:tcBorders>
              <w:left w:val="nil"/>
              <w:right w:val="single" w:color="000000" w:sz="8" w:space="0"/>
            </w:tcBorders>
            <w:shd w:val="clear" w:color="auto" w:fill="auto"/>
            <w:noWrap/>
            <w:vAlign w:val="center"/>
          </w:tcPr>
          <w:p w14:paraId="6C68FE9D">
            <w:pPr>
              <w:spacing w:line="360" w:lineRule="auto"/>
              <w:jc w:val="center"/>
              <w:rPr>
                <w:rFonts w:hint="eastAsia" w:cs="宋体" w:asciiTheme="minorEastAsia" w:hAnsiTheme="minorEastAsia" w:eastAsiaTheme="minorEastAsia"/>
                <w:kern w:val="0"/>
                <w:szCs w:val="21"/>
                <w:highlight w:val="none"/>
                <w:lang w:val="en-US" w:eastAsia="zh-CN"/>
              </w:rPr>
            </w:pPr>
          </w:p>
        </w:tc>
      </w:tr>
      <w:tr w14:paraId="5846C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000000" w:sz="8" w:space="0"/>
              <w:bottom w:val="single" w:color="000000" w:sz="8" w:space="0"/>
              <w:right w:val="single" w:color="000000" w:sz="8" w:space="0"/>
            </w:tcBorders>
            <w:shd w:val="clear" w:color="auto" w:fill="auto"/>
            <w:noWrap/>
            <w:vAlign w:val="bottom"/>
          </w:tcPr>
          <w:p w14:paraId="72A5BF57">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3</w:t>
            </w:r>
          </w:p>
        </w:tc>
        <w:tc>
          <w:tcPr>
            <w:tcW w:w="2556" w:type="dxa"/>
            <w:tcBorders>
              <w:top w:val="single" w:color="auto" w:sz="4" w:space="0"/>
              <w:left w:val="nil"/>
              <w:bottom w:val="single" w:color="auto" w:sz="4" w:space="0"/>
              <w:right w:val="single" w:color="000000" w:sz="8" w:space="0"/>
            </w:tcBorders>
            <w:shd w:val="clear" w:color="auto" w:fill="auto"/>
            <w:noWrap/>
            <w:vAlign w:val="center"/>
          </w:tcPr>
          <w:p w14:paraId="0A11CC6C">
            <w:pPr>
              <w:keepNext w:val="0"/>
              <w:keepLines w:val="0"/>
              <w:widowControl/>
              <w:suppressLineNumbers w:val="0"/>
              <w:ind w:left="0" w:leftChars="0" w:firstLine="0" w:firstLineChars="0"/>
              <w:jc w:val="left"/>
              <w:textAlignment w:val="center"/>
              <w:rPr>
                <w:rFonts w:hint="default" w:cs="宋体" w:asciiTheme="minorEastAsia" w:hAnsiTheme="minorEastAsia" w:eastAsiaTheme="minorEastAsia"/>
                <w:kern w:val="0"/>
                <w:sz w:val="24"/>
                <w:szCs w:val="24"/>
                <w:highlight w:val="none"/>
                <w:lang w:val="en-US"/>
              </w:rPr>
            </w:pPr>
            <w:r>
              <w:rPr>
                <w:rFonts w:ascii="宋体" w:hAnsi="宋体" w:eastAsia="宋体" w:cs="宋体"/>
                <w:i w:val="0"/>
                <w:iCs w:val="0"/>
                <w:color w:val="000000"/>
                <w:kern w:val="0"/>
                <w:sz w:val="24"/>
                <w:szCs w:val="24"/>
                <w:u w:val="none"/>
                <w:lang w:val="en-US" w:eastAsia="zh-CN" w:bidi="ar"/>
              </w:rPr>
              <w:t>K118+000～K119+000</w:t>
            </w:r>
          </w:p>
        </w:tc>
        <w:tc>
          <w:tcPr>
            <w:tcW w:w="1232" w:type="dxa"/>
            <w:tcBorders>
              <w:top w:val="single" w:color="auto" w:sz="4" w:space="0"/>
              <w:left w:val="nil"/>
              <w:bottom w:val="single" w:color="auto" w:sz="4" w:space="0"/>
              <w:right w:val="single" w:color="000000" w:sz="8" w:space="0"/>
            </w:tcBorders>
            <w:shd w:val="clear" w:color="auto" w:fill="auto"/>
            <w:noWrap/>
            <w:vAlign w:val="bottom"/>
          </w:tcPr>
          <w:p w14:paraId="4325438A">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nil"/>
              <w:bottom w:val="single" w:color="auto" w:sz="4" w:space="0"/>
              <w:right w:val="single" w:color="000000" w:sz="8" w:space="0"/>
            </w:tcBorders>
            <w:shd w:val="clear" w:color="auto" w:fill="auto"/>
            <w:noWrap/>
            <w:vAlign w:val="bottom"/>
          </w:tcPr>
          <w:p w14:paraId="17B49959">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46288</w:t>
            </w:r>
          </w:p>
        </w:tc>
        <w:tc>
          <w:tcPr>
            <w:tcW w:w="1489" w:type="dxa"/>
            <w:tcBorders>
              <w:top w:val="single" w:color="auto" w:sz="4" w:space="0"/>
              <w:left w:val="nil"/>
              <w:bottom w:val="single" w:color="auto" w:sz="4" w:space="0"/>
              <w:right w:val="single" w:color="auto" w:sz="4" w:space="0"/>
            </w:tcBorders>
            <w:shd w:val="clear" w:color="auto" w:fill="auto"/>
            <w:noWrap/>
            <w:vAlign w:val="bottom"/>
          </w:tcPr>
          <w:p w14:paraId="713375BB">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28937</w:t>
            </w:r>
          </w:p>
        </w:tc>
        <w:tc>
          <w:tcPr>
            <w:tcW w:w="878" w:type="dxa"/>
            <w:vMerge w:val="continue"/>
            <w:tcBorders>
              <w:left w:val="nil"/>
              <w:right w:val="single" w:color="000000" w:sz="8" w:space="0"/>
            </w:tcBorders>
            <w:shd w:val="clear" w:color="auto" w:fill="auto"/>
            <w:noWrap/>
            <w:vAlign w:val="bottom"/>
          </w:tcPr>
          <w:p w14:paraId="29E74F15">
            <w:pPr>
              <w:spacing w:line="360" w:lineRule="auto"/>
              <w:jc w:val="center"/>
              <w:rPr>
                <w:rFonts w:hint="eastAsia" w:cs="宋体" w:asciiTheme="minorEastAsia" w:hAnsiTheme="minorEastAsia" w:eastAsiaTheme="minorEastAsia"/>
                <w:kern w:val="0"/>
                <w:szCs w:val="21"/>
                <w:highlight w:val="none"/>
                <w:lang w:val="en-US" w:eastAsia="zh-CN"/>
              </w:rPr>
            </w:pPr>
          </w:p>
        </w:tc>
      </w:tr>
      <w:tr w14:paraId="55D387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auto" w:sz="4" w:space="0"/>
              <w:right w:val="single" w:color="auto" w:sz="4" w:space="0"/>
            </w:tcBorders>
            <w:shd w:val="clear" w:color="auto" w:fill="auto"/>
            <w:noWrap/>
            <w:vAlign w:val="bottom"/>
          </w:tcPr>
          <w:p w14:paraId="15BC8814">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4</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C1767D">
            <w:pPr>
              <w:keepNext w:val="0"/>
              <w:keepLines w:val="0"/>
              <w:widowControl/>
              <w:suppressLineNumbers w:val="0"/>
              <w:ind w:left="0" w:leftChars="0" w:firstLine="0" w:firstLineChars="0"/>
              <w:jc w:val="left"/>
              <w:textAlignment w:val="center"/>
              <w:rPr>
                <w:rFonts w:hint="default" w:cs="宋体" w:asciiTheme="minorEastAsia" w:hAnsiTheme="minorEastAsia" w:eastAsiaTheme="minorEastAsia"/>
                <w:kern w:val="0"/>
                <w:sz w:val="24"/>
                <w:szCs w:val="24"/>
                <w:highlight w:val="none"/>
                <w:lang w:val="en-US"/>
              </w:rPr>
            </w:pPr>
            <w:r>
              <w:rPr>
                <w:rFonts w:ascii="宋体" w:hAnsi="宋体" w:eastAsia="宋体" w:cs="宋体"/>
                <w:i w:val="0"/>
                <w:iCs w:val="0"/>
                <w:color w:val="000000"/>
                <w:kern w:val="0"/>
                <w:sz w:val="24"/>
                <w:szCs w:val="24"/>
                <w:u w:val="none"/>
                <w:lang w:val="en-US" w:eastAsia="zh-CN" w:bidi="ar"/>
              </w:rPr>
              <w:t>K119+000～K120+0</w:t>
            </w:r>
            <w:r>
              <w:rPr>
                <w:rFonts w:hint="eastAsia" w:ascii="宋体" w:hAnsi="宋体" w:cs="宋体"/>
                <w:i w:val="0"/>
                <w:iCs w:val="0"/>
                <w:color w:val="000000"/>
                <w:kern w:val="0"/>
                <w:sz w:val="24"/>
                <w:szCs w:val="24"/>
                <w:u w:val="none"/>
                <w:lang w:val="en-US" w:eastAsia="zh-CN" w:bidi="ar"/>
              </w:rPr>
              <w:t>6</w:t>
            </w:r>
            <w:r>
              <w:rPr>
                <w:rFonts w:ascii="宋体" w:hAnsi="宋体" w:eastAsia="宋体" w:cs="宋体"/>
                <w:i w:val="0"/>
                <w:iCs w:val="0"/>
                <w:color w:val="000000"/>
                <w:kern w:val="0"/>
                <w:sz w:val="24"/>
                <w:szCs w:val="24"/>
                <w:u w:val="none"/>
                <w:lang w:val="en-US" w:eastAsia="zh-CN" w:bidi="ar"/>
              </w:rPr>
              <w:t>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9689C31">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1060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AC69CCE">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89435</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DA6EE6C">
            <w:pPr>
              <w:spacing w:line="360" w:lineRule="auto"/>
              <w:jc w:val="left"/>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19772</w:t>
            </w:r>
          </w:p>
        </w:tc>
        <w:tc>
          <w:tcPr>
            <w:tcW w:w="878" w:type="dxa"/>
            <w:vMerge w:val="continue"/>
            <w:tcBorders>
              <w:left w:val="nil"/>
              <w:bottom w:val="single" w:color="auto" w:sz="4" w:space="0"/>
              <w:right w:val="single" w:color="000000" w:sz="8" w:space="0"/>
            </w:tcBorders>
            <w:shd w:val="clear" w:color="auto" w:fill="auto"/>
            <w:noWrap/>
            <w:vAlign w:val="bottom"/>
          </w:tcPr>
          <w:p w14:paraId="60616F06">
            <w:pPr>
              <w:spacing w:line="360" w:lineRule="auto"/>
              <w:jc w:val="center"/>
              <w:rPr>
                <w:rFonts w:hint="eastAsia" w:cs="宋体" w:asciiTheme="minorEastAsia" w:hAnsiTheme="minorEastAsia" w:eastAsiaTheme="minorEastAsia"/>
                <w:kern w:val="0"/>
                <w:szCs w:val="21"/>
                <w:highlight w:val="none"/>
                <w:lang w:val="en-US" w:eastAsia="zh-CN"/>
              </w:rPr>
            </w:pPr>
          </w:p>
        </w:tc>
      </w:tr>
      <w:tr w14:paraId="726BD5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0FC6BE0">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5</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0FD072">
            <w:pPr>
              <w:keepNext w:val="0"/>
              <w:keepLines w:val="0"/>
              <w:widowControl/>
              <w:suppressLineNumbers w:val="0"/>
              <w:ind w:left="0" w:leftChars="0" w:firstLine="0" w:firstLineChars="0"/>
              <w:jc w:val="center"/>
              <w:textAlignment w:val="center"/>
              <w:rPr>
                <w:rFonts w:hint="eastAsia" w:cs="宋体" w:asciiTheme="minorEastAsia" w:hAnsiTheme="minorEastAsia" w:eastAsiaTheme="minorEastAsia"/>
                <w:kern w:val="0"/>
                <w:sz w:val="24"/>
                <w:szCs w:val="24"/>
                <w:highlight w:val="none"/>
              </w:rPr>
            </w:pPr>
            <w:r>
              <w:rPr>
                <w:rFonts w:hint="eastAsia" w:cs="宋体" w:asciiTheme="minorEastAsia" w:hAnsiTheme="minorEastAsia" w:eastAsiaTheme="minorEastAsia"/>
                <w:kern w:val="0"/>
                <w:sz w:val="24"/>
                <w:szCs w:val="24"/>
                <w:highlight w:val="none"/>
              </w:rPr>
              <w:t>K120+060~K121+260</w:t>
            </w:r>
          </w:p>
          <w:p w14:paraId="79071ADA">
            <w:pPr>
              <w:pStyle w:val="56"/>
              <w:jc w:val="center"/>
              <w:rPr>
                <w:rFonts w:hint="eastAsia" w:cs="宋体" w:asciiTheme="minorEastAsia" w:hAnsiTheme="minorEastAsia" w:eastAsiaTheme="minorEastAsia"/>
                <w:kern w:val="0"/>
                <w:sz w:val="24"/>
                <w:szCs w:val="24"/>
                <w:highlight w:val="none"/>
              </w:rPr>
            </w:pPr>
            <w:r>
              <w:rPr>
                <w:rFonts w:hint="eastAsia" w:cs="宋体" w:asciiTheme="minorEastAsia" w:hAnsiTheme="minorEastAsia" w:eastAsiaTheme="minorEastAsia"/>
                <w:kern w:val="0"/>
                <w:sz w:val="24"/>
                <w:szCs w:val="24"/>
                <w:highlight w:val="none"/>
                <w:lang w:val="en-US" w:eastAsia="zh-CN"/>
              </w:rPr>
              <w:t>金星互通主线</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52955A6">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EA275F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18200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DB0A71A">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62646</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A8C5E67">
            <w:pPr>
              <w:spacing w:line="360" w:lineRule="auto"/>
              <w:ind w:left="0" w:leftChars="0" w:firstLine="0" w:firstLineChars="0"/>
              <w:jc w:val="both"/>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互通主 线</w:t>
            </w:r>
          </w:p>
        </w:tc>
      </w:tr>
      <w:tr w14:paraId="219570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000000" w:sz="8" w:space="0"/>
              <w:bottom w:val="single" w:color="000000" w:sz="8" w:space="0"/>
              <w:right w:val="single" w:color="auto" w:sz="4" w:space="0"/>
            </w:tcBorders>
            <w:shd w:val="clear" w:color="auto" w:fill="auto"/>
            <w:noWrap/>
            <w:vAlign w:val="bottom"/>
          </w:tcPr>
          <w:p w14:paraId="4B762E47">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6</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2A38F08">
            <w:pPr>
              <w:spacing w:line="360" w:lineRule="auto"/>
              <w:ind w:left="0" w:leftChars="0" w:firstLine="0" w:firstLineChars="0"/>
              <w:jc w:val="center"/>
              <w:rPr>
                <w:rFonts w:hint="eastAsia" w:cs="宋体" w:asciiTheme="minorEastAsia" w:hAnsiTheme="minorEastAsia" w:eastAsiaTheme="minorEastAsia"/>
                <w:kern w:val="0"/>
                <w:sz w:val="24"/>
                <w:szCs w:val="24"/>
                <w:highlight w:val="none"/>
                <w:lang w:val="en-US" w:eastAsia="zh-CN"/>
              </w:rPr>
            </w:pPr>
            <w:r>
              <w:rPr>
                <w:rFonts w:hint="eastAsia" w:cs="宋体" w:asciiTheme="minorEastAsia" w:hAnsiTheme="minorEastAsia" w:eastAsiaTheme="minorEastAsia"/>
                <w:kern w:val="0"/>
                <w:sz w:val="24"/>
                <w:szCs w:val="24"/>
                <w:highlight w:val="none"/>
                <w:lang w:val="en-US" w:eastAsia="zh-CN"/>
              </w:rPr>
              <w:t>K120+060~K121+260</w:t>
            </w:r>
          </w:p>
          <w:p w14:paraId="147E52D5">
            <w:pPr>
              <w:pStyle w:val="56"/>
              <w:jc w:val="center"/>
              <w:rPr>
                <w:rFonts w:hint="default" w:eastAsiaTheme="minorEastAsia"/>
                <w:sz w:val="24"/>
                <w:szCs w:val="24"/>
                <w:lang w:val="en-US" w:eastAsia="zh-CN"/>
              </w:rPr>
            </w:pPr>
            <w:r>
              <w:rPr>
                <w:rFonts w:hint="eastAsia" w:cs="宋体" w:asciiTheme="minorEastAsia" w:hAnsiTheme="minorEastAsia" w:eastAsiaTheme="minorEastAsia"/>
                <w:kern w:val="0"/>
                <w:sz w:val="24"/>
                <w:szCs w:val="24"/>
                <w:highlight w:val="none"/>
                <w:lang w:val="en-US" w:eastAsia="zh-CN"/>
              </w:rPr>
              <w:t>金星互通匝道</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99EE32B">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7F2F841">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12290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4B42459">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104968</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1EAFB8F">
            <w:pPr>
              <w:spacing w:line="360" w:lineRule="auto"/>
              <w:ind w:left="0" w:leftChars="0" w:firstLine="0" w:firstLineChars="0"/>
              <w:jc w:val="both"/>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互通匝 道</w:t>
            </w:r>
          </w:p>
        </w:tc>
      </w:tr>
      <w:tr w14:paraId="6772EC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000000" w:sz="8" w:space="0"/>
              <w:right w:val="single" w:color="auto" w:sz="4" w:space="0"/>
            </w:tcBorders>
            <w:shd w:val="clear" w:color="auto" w:fill="auto"/>
            <w:noWrap/>
            <w:vAlign w:val="bottom"/>
          </w:tcPr>
          <w:p w14:paraId="7EA285BC">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7</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CF942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sz w:val="24"/>
                <w:szCs w:val="24"/>
                <w:lang w:val="en-US"/>
              </w:rPr>
            </w:pPr>
            <w:r>
              <w:rPr>
                <w:rFonts w:hint="eastAsia" w:asciiTheme="minorEastAsia" w:hAnsiTheme="minorEastAsia" w:eastAsiaTheme="minorEastAsia" w:cstheme="minorEastAsia"/>
                <w:i w:val="0"/>
                <w:iCs w:val="0"/>
                <w:color w:val="000000"/>
                <w:kern w:val="0"/>
                <w:sz w:val="24"/>
                <w:szCs w:val="24"/>
                <w:u w:val="none"/>
                <w:lang w:val="en-US" w:eastAsia="zh-CN" w:bidi="ar"/>
              </w:rPr>
              <w:t>K121+260～K122+000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14AA62F">
            <w:pPr>
              <w:spacing w:line="360" w:lineRule="auto"/>
              <w:ind w:left="0" w:leftChars="0" w:firstLine="0" w:firstLineChars="0"/>
              <w:jc w:val="center"/>
              <w:rPr>
                <w:rFonts w:hint="eastAsia" w:asciiTheme="minorEastAsia" w:hAnsiTheme="minorEastAsia" w:eastAsiaTheme="minorEastAsia" w:cstheme="minorEastAsia"/>
                <w:kern w:val="0"/>
                <w:sz w:val="24"/>
                <w:szCs w:val="24"/>
                <w:highlight w:val="none"/>
                <w:lang w:val="en-US" w:eastAsia="zh-CN"/>
              </w:rPr>
            </w:pPr>
            <w:r>
              <w:rPr>
                <w:rFonts w:hint="eastAsia" w:asciiTheme="minorEastAsia" w:hAnsiTheme="minorEastAsia" w:eastAsiaTheme="minorEastAsia" w:cstheme="minorEastAsia"/>
                <w:kern w:val="0"/>
                <w:sz w:val="24"/>
                <w:szCs w:val="24"/>
                <w:highlight w:val="none"/>
                <w:lang w:val="en-US" w:eastAsia="zh-CN"/>
              </w:rPr>
              <w:t>740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CE0C85F">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9700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3248E31">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27714</w:t>
            </w:r>
          </w:p>
        </w:tc>
        <w:tc>
          <w:tcPr>
            <w:tcW w:w="878" w:type="dxa"/>
            <w:vMerge w:val="restart"/>
            <w:tcBorders>
              <w:top w:val="single" w:color="auto" w:sz="4" w:space="0"/>
              <w:left w:val="single" w:color="auto" w:sz="4" w:space="0"/>
              <w:right w:val="single" w:color="auto" w:sz="4" w:space="0"/>
            </w:tcBorders>
            <w:shd w:val="clear" w:color="auto" w:fill="auto"/>
            <w:noWrap/>
            <w:vAlign w:val="center"/>
          </w:tcPr>
          <w:p w14:paraId="7BFE4325">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主线</w:t>
            </w:r>
          </w:p>
        </w:tc>
      </w:tr>
      <w:tr w14:paraId="1D0CC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000000" w:sz="8" w:space="0"/>
              <w:right w:val="single" w:color="000000" w:sz="8" w:space="0"/>
            </w:tcBorders>
            <w:shd w:val="clear" w:color="auto" w:fill="auto"/>
            <w:noWrap/>
            <w:vAlign w:val="bottom"/>
          </w:tcPr>
          <w:p w14:paraId="03D1CB0F">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8</w:t>
            </w:r>
          </w:p>
        </w:tc>
        <w:tc>
          <w:tcPr>
            <w:tcW w:w="2556" w:type="dxa"/>
            <w:tcBorders>
              <w:top w:val="single" w:color="auto" w:sz="4" w:space="0"/>
              <w:left w:val="nil"/>
              <w:bottom w:val="single" w:color="000000" w:sz="8" w:space="0"/>
              <w:right w:val="single" w:color="000000" w:sz="8" w:space="0"/>
            </w:tcBorders>
            <w:shd w:val="clear" w:color="auto" w:fill="auto"/>
            <w:noWrap/>
            <w:vAlign w:val="center"/>
          </w:tcPr>
          <w:p w14:paraId="42E76D0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eastAsiaTheme="minorEastAsia" w:cstheme="minorEastAsia"/>
                <w:i w:val="0"/>
                <w:iCs w:val="0"/>
                <w:color w:val="000000"/>
                <w:kern w:val="0"/>
                <w:sz w:val="24"/>
                <w:szCs w:val="24"/>
                <w:u w:val="none"/>
                <w:lang w:val="en-US" w:eastAsia="zh-CN" w:bidi="ar"/>
              </w:rPr>
              <w:t>K122+000～K123+000</w:t>
            </w:r>
          </w:p>
        </w:tc>
        <w:tc>
          <w:tcPr>
            <w:tcW w:w="1232" w:type="dxa"/>
            <w:tcBorders>
              <w:top w:val="single" w:color="auto" w:sz="4" w:space="0"/>
              <w:left w:val="nil"/>
              <w:bottom w:val="single" w:color="000000" w:sz="8" w:space="0"/>
              <w:right w:val="single" w:color="000000" w:sz="8" w:space="0"/>
            </w:tcBorders>
            <w:shd w:val="clear" w:color="auto" w:fill="auto"/>
            <w:noWrap/>
            <w:vAlign w:val="bottom"/>
          </w:tcPr>
          <w:p w14:paraId="26D82FB2">
            <w:pPr>
              <w:spacing w:line="360" w:lineRule="auto"/>
              <w:ind w:left="0" w:leftChars="0" w:firstLine="0" w:firstLineChars="0"/>
              <w:jc w:val="center"/>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eastAsiaTheme="minorEastAsia" w:cstheme="minorEastAsia"/>
                <w:kern w:val="0"/>
                <w:sz w:val="24"/>
                <w:szCs w:val="24"/>
                <w:highlight w:val="none"/>
                <w:lang w:val="en-US" w:eastAsia="zh-CN" w:bidi="ar-SA"/>
              </w:rPr>
              <w:t>1000</w:t>
            </w:r>
          </w:p>
        </w:tc>
        <w:tc>
          <w:tcPr>
            <w:tcW w:w="1520" w:type="dxa"/>
            <w:tcBorders>
              <w:top w:val="single" w:color="auto" w:sz="4" w:space="0"/>
              <w:left w:val="nil"/>
              <w:bottom w:val="single" w:color="000000" w:sz="8" w:space="0"/>
              <w:right w:val="single" w:color="000000" w:sz="8" w:space="0"/>
            </w:tcBorders>
            <w:shd w:val="clear" w:color="auto" w:fill="auto"/>
            <w:noWrap/>
            <w:vAlign w:val="bottom"/>
          </w:tcPr>
          <w:p w14:paraId="7BC36F4C">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19081</w:t>
            </w:r>
          </w:p>
        </w:tc>
        <w:tc>
          <w:tcPr>
            <w:tcW w:w="1489" w:type="dxa"/>
            <w:tcBorders>
              <w:top w:val="single" w:color="auto" w:sz="4" w:space="0"/>
              <w:left w:val="nil"/>
              <w:bottom w:val="single" w:color="000000" w:sz="8" w:space="0"/>
              <w:right w:val="single" w:color="000000" w:sz="8" w:space="0"/>
            </w:tcBorders>
            <w:shd w:val="clear" w:color="auto" w:fill="auto"/>
            <w:noWrap/>
            <w:vAlign w:val="bottom"/>
          </w:tcPr>
          <w:p w14:paraId="29B8F7B7">
            <w:pPr>
              <w:spacing w:line="360" w:lineRule="auto"/>
              <w:jc w:val="center"/>
              <w:rPr>
                <w:rFonts w:hint="default" w:cs="宋体" w:asciiTheme="minorEastAsia" w:hAnsiTheme="minorEastAsia" w:eastAsiaTheme="minorEastAsia"/>
                <w:kern w:val="0"/>
                <w:sz w:val="21"/>
                <w:szCs w:val="21"/>
                <w:highlight w:val="none"/>
                <w:lang w:val="en-US" w:eastAsia="zh-CN" w:bidi="ar-SA"/>
              </w:rPr>
            </w:pPr>
            <w:r>
              <w:rPr>
                <w:rFonts w:hint="eastAsia" w:cs="宋体" w:asciiTheme="minorEastAsia" w:hAnsiTheme="minorEastAsia" w:eastAsiaTheme="minorEastAsia"/>
                <w:kern w:val="0"/>
                <w:sz w:val="21"/>
                <w:szCs w:val="21"/>
                <w:highlight w:val="none"/>
                <w:lang w:val="en-US" w:eastAsia="zh-CN" w:bidi="ar-SA"/>
              </w:rPr>
              <w:t>31387</w:t>
            </w:r>
          </w:p>
        </w:tc>
        <w:tc>
          <w:tcPr>
            <w:tcW w:w="878" w:type="dxa"/>
            <w:vMerge w:val="continue"/>
            <w:tcBorders>
              <w:left w:val="single" w:color="auto" w:sz="4" w:space="0"/>
              <w:right w:val="single" w:color="auto" w:sz="4" w:space="0"/>
            </w:tcBorders>
            <w:shd w:val="clear" w:color="auto" w:fill="auto"/>
            <w:noWrap/>
            <w:vAlign w:val="center"/>
          </w:tcPr>
          <w:p w14:paraId="07066136">
            <w:pPr>
              <w:spacing w:line="360" w:lineRule="auto"/>
              <w:jc w:val="center"/>
              <w:rPr>
                <w:rFonts w:hint="eastAsia" w:cs="宋体" w:asciiTheme="minorEastAsia" w:hAnsiTheme="minorEastAsia" w:eastAsiaTheme="minorEastAsia"/>
                <w:kern w:val="0"/>
                <w:szCs w:val="21"/>
                <w:highlight w:val="none"/>
                <w:lang w:val="en-US" w:eastAsia="zh-CN"/>
              </w:rPr>
            </w:pPr>
          </w:p>
        </w:tc>
      </w:tr>
      <w:tr w14:paraId="79C2B0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000000" w:sz="8" w:space="0"/>
              <w:right w:val="single" w:color="000000" w:sz="8" w:space="0"/>
            </w:tcBorders>
            <w:shd w:val="clear" w:color="auto" w:fill="auto"/>
            <w:noWrap/>
            <w:vAlign w:val="bottom"/>
          </w:tcPr>
          <w:p w14:paraId="6674770F">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9</w:t>
            </w:r>
          </w:p>
        </w:tc>
        <w:tc>
          <w:tcPr>
            <w:tcW w:w="2556" w:type="dxa"/>
            <w:tcBorders>
              <w:top w:val="nil"/>
              <w:left w:val="nil"/>
              <w:bottom w:val="single" w:color="000000" w:sz="8" w:space="0"/>
              <w:right w:val="single" w:color="000000" w:sz="8" w:space="0"/>
            </w:tcBorders>
            <w:shd w:val="clear" w:color="auto" w:fill="auto"/>
            <w:noWrap/>
            <w:vAlign w:val="center"/>
          </w:tcPr>
          <w:p w14:paraId="6088A23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eastAsiaTheme="minorEastAsia" w:cstheme="minorEastAsia"/>
                <w:i w:val="0"/>
                <w:iCs w:val="0"/>
                <w:color w:val="000000"/>
                <w:kern w:val="0"/>
                <w:sz w:val="24"/>
                <w:szCs w:val="24"/>
                <w:u w:val="none"/>
                <w:lang w:val="en-US" w:eastAsia="zh-CN" w:bidi="ar"/>
              </w:rPr>
              <w:t>K123+000～K124+000</w:t>
            </w:r>
          </w:p>
        </w:tc>
        <w:tc>
          <w:tcPr>
            <w:tcW w:w="1232" w:type="dxa"/>
            <w:tcBorders>
              <w:top w:val="nil"/>
              <w:left w:val="nil"/>
              <w:bottom w:val="single" w:color="000000" w:sz="8" w:space="0"/>
              <w:right w:val="single" w:color="000000" w:sz="8" w:space="0"/>
            </w:tcBorders>
            <w:shd w:val="clear" w:color="auto" w:fill="auto"/>
            <w:noWrap/>
            <w:vAlign w:val="bottom"/>
          </w:tcPr>
          <w:p w14:paraId="481EBEAD">
            <w:pPr>
              <w:spacing w:line="360" w:lineRule="auto"/>
              <w:ind w:left="0" w:leftChars="0" w:firstLine="0" w:firstLineChars="0"/>
              <w:jc w:val="center"/>
              <w:rPr>
                <w:rFonts w:hint="eastAsia" w:asciiTheme="minorEastAsia" w:hAnsiTheme="minorEastAsia" w:eastAsiaTheme="minorEastAsia" w:cstheme="minorEastAsia"/>
                <w:kern w:val="0"/>
                <w:sz w:val="24"/>
                <w:szCs w:val="24"/>
                <w:highlight w:val="none"/>
                <w:lang w:val="en-US" w:eastAsia="zh-CN"/>
              </w:rPr>
            </w:pPr>
            <w:r>
              <w:rPr>
                <w:rFonts w:hint="eastAsia" w:asciiTheme="minorEastAsia" w:hAnsiTheme="minorEastAsia" w:eastAsiaTheme="minorEastAsia" w:cstheme="minorEastAsia"/>
                <w:kern w:val="0"/>
                <w:sz w:val="24"/>
                <w:szCs w:val="24"/>
                <w:highlight w:val="none"/>
                <w:lang w:val="en-US" w:eastAsia="zh-CN"/>
              </w:rPr>
              <w:t>1000</w:t>
            </w:r>
          </w:p>
        </w:tc>
        <w:tc>
          <w:tcPr>
            <w:tcW w:w="1520" w:type="dxa"/>
            <w:tcBorders>
              <w:top w:val="nil"/>
              <w:left w:val="nil"/>
              <w:bottom w:val="single" w:color="000000" w:sz="8" w:space="0"/>
              <w:right w:val="single" w:color="000000" w:sz="8" w:space="0"/>
            </w:tcBorders>
            <w:shd w:val="clear" w:color="auto" w:fill="auto"/>
            <w:noWrap/>
            <w:vAlign w:val="bottom"/>
          </w:tcPr>
          <w:p w14:paraId="65463AE3">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12991</w:t>
            </w:r>
          </w:p>
        </w:tc>
        <w:tc>
          <w:tcPr>
            <w:tcW w:w="1489" w:type="dxa"/>
            <w:tcBorders>
              <w:top w:val="nil"/>
              <w:left w:val="nil"/>
              <w:bottom w:val="single" w:color="000000" w:sz="8" w:space="0"/>
              <w:right w:val="single" w:color="000000" w:sz="8" w:space="0"/>
            </w:tcBorders>
            <w:shd w:val="clear" w:color="auto" w:fill="auto"/>
            <w:noWrap/>
            <w:vAlign w:val="bottom"/>
          </w:tcPr>
          <w:p w14:paraId="61282C2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35829</w:t>
            </w:r>
          </w:p>
        </w:tc>
        <w:tc>
          <w:tcPr>
            <w:tcW w:w="878" w:type="dxa"/>
            <w:vMerge w:val="continue"/>
            <w:tcBorders>
              <w:left w:val="single" w:color="auto" w:sz="4" w:space="0"/>
              <w:right w:val="single" w:color="auto" w:sz="4" w:space="0"/>
            </w:tcBorders>
            <w:shd w:val="clear" w:color="auto" w:fill="auto"/>
            <w:noWrap/>
            <w:vAlign w:val="bottom"/>
          </w:tcPr>
          <w:p w14:paraId="3430619C">
            <w:pPr>
              <w:spacing w:line="360" w:lineRule="auto"/>
              <w:jc w:val="center"/>
              <w:rPr>
                <w:rFonts w:hint="eastAsia" w:cs="宋体" w:asciiTheme="minorEastAsia" w:hAnsiTheme="minorEastAsia" w:eastAsiaTheme="minorEastAsia"/>
                <w:kern w:val="0"/>
                <w:szCs w:val="21"/>
                <w:highlight w:val="none"/>
                <w:lang w:val="en-US" w:eastAsia="zh-CN"/>
              </w:rPr>
            </w:pPr>
          </w:p>
        </w:tc>
      </w:tr>
      <w:tr w14:paraId="012AE1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000000" w:sz="8" w:space="0"/>
              <w:right w:val="single" w:color="000000" w:sz="8" w:space="0"/>
            </w:tcBorders>
            <w:shd w:val="clear" w:color="auto" w:fill="auto"/>
            <w:noWrap/>
            <w:vAlign w:val="bottom"/>
          </w:tcPr>
          <w:p w14:paraId="05188A09">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10</w:t>
            </w:r>
          </w:p>
        </w:tc>
        <w:tc>
          <w:tcPr>
            <w:tcW w:w="2556" w:type="dxa"/>
            <w:tcBorders>
              <w:top w:val="nil"/>
              <w:left w:val="nil"/>
              <w:bottom w:val="single" w:color="000000" w:sz="8" w:space="0"/>
              <w:right w:val="single" w:color="000000" w:sz="8" w:space="0"/>
            </w:tcBorders>
            <w:shd w:val="clear" w:color="auto" w:fill="auto"/>
            <w:noWrap/>
            <w:vAlign w:val="center"/>
          </w:tcPr>
          <w:p w14:paraId="7B9A5C4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eastAsiaTheme="minorEastAsia" w:cstheme="minorEastAsia"/>
                <w:i w:val="0"/>
                <w:iCs w:val="0"/>
                <w:color w:val="000000"/>
                <w:kern w:val="0"/>
                <w:sz w:val="24"/>
                <w:szCs w:val="24"/>
                <w:u w:val="none"/>
                <w:lang w:val="en-US" w:eastAsia="zh-CN" w:bidi="ar"/>
              </w:rPr>
              <w:t>K124+000～K125+280</w:t>
            </w:r>
          </w:p>
        </w:tc>
        <w:tc>
          <w:tcPr>
            <w:tcW w:w="1232" w:type="dxa"/>
            <w:tcBorders>
              <w:top w:val="nil"/>
              <w:left w:val="nil"/>
              <w:bottom w:val="single" w:color="000000" w:sz="8" w:space="0"/>
              <w:right w:val="single" w:color="000000" w:sz="8" w:space="0"/>
            </w:tcBorders>
            <w:shd w:val="clear" w:color="auto" w:fill="auto"/>
            <w:noWrap/>
            <w:vAlign w:val="bottom"/>
          </w:tcPr>
          <w:p w14:paraId="7863BE6D">
            <w:pPr>
              <w:spacing w:line="360" w:lineRule="auto"/>
              <w:ind w:left="0" w:leftChars="0" w:firstLine="0" w:firstLineChars="0"/>
              <w:jc w:val="center"/>
              <w:rPr>
                <w:rFonts w:hint="eastAsia" w:asciiTheme="minorEastAsia" w:hAnsiTheme="minorEastAsia" w:eastAsiaTheme="minorEastAsia" w:cstheme="minorEastAsia"/>
                <w:kern w:val="0"/>
                <w:sz w:val="24"/>
                <w:szCs w:val="24"/>
                <w:highlight w:val="none"/>
                <w:lang w:val="en-US" w:eastAsia="zh-CN"/>
              </w:rPr>
            </w:pPr>
            <w:r>
              <w:rPr>
                <w:rFonts w:hint="eastAsia" w:asciiTheme="minorEastAsia" w:hAnsiTheme="minorEastAsia" w:eastAsiaTheme="minorEastAsia" w:cstheme="minorEastAsia"/>
                <w:kern w:val="0"/>
                <w:sz w:val="24"/>
                <w:szCs w:val="24"/>
                <w:highlight w:val="none"/>
                <w:lang w:val="en-US" w:eastAsia="zh-CN"/>
              </w:rPr>
              <w:t>1280</w:t>
            </w:r>
          </w:p>
        </w:tc>
        <w:tc>
          <w:tcPr>
            <w:tcW w:w="1520" w:type="dxa"/>
            <w:tcBorders>
              <w:top w:val="nil"/>
              <w:left w:val="nil"/>
              <w:bottom w:val="single" w:color="000000" w:sz="8" w:space="0"/>
              <w:right w:val="single" w:color="000000" w:sz="8" w:space="0"/>
            </w:tcBorders>
            <w:shd w:val="clear" w:color="auto" w:fill="auto"/>
            <w:noWrap/>
            <w:vAlign w:val="bottom"/>
          </w:tcPr>
          <w:p w14:paraId="1500032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372248</w:t>
            </w:r>
          </w:p>
        </w:tc>
        <w:tc>
          <w:tcPr>
            <w:tcW w:w="1489" w:type="dxa"/>
            <w:tcBorders>
              <w:top w:val="nil"/>
              <w:left w:val="nil"/>
              <w:bottom w:val="single" w:color="000000" w:sz="8" w:space="0"/>
              <w:right w:val="single" w:color="000000" w:sz="8" w:space="0"/>
            </w:tcBorders>
            <w:shd w:val="clear" w:color="auto" w:fill="auto"/>
            <w:noWrap/>
            <w:vAlign w:val="bottom"/>
          </w:tcPr>
          <w:p w14:paraId="71B21A8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6892</w:t>
            </w:r>
          </w:p>
        </w:tc>
        <w:tc>
          <w:tcPr>
            <w:tcW w:w="878" w:type="dxa"/>
            <w:vMerge w:val="continue"/>
            <w:tcBorders>
              <w:left w:val="single" w:color="auto" w:sz="4" w:space="0"/>
              <w:bottom w:val="single" w:color="auto" w:sz="4" w:space="0"/>
              <w:right w:val="single" w:color="auto" w:sz="4" w:space="0"/>
            </w:tcBorders>
            <w:shd w:val="clear" w:color="auto" w:fill="auto"/>
            <w:noWrap/>
            <w:vAlign w:val="bottom"/>
          </w:tcPr>
          <w:p w14:paraId="19B28057">
            <w:pPr>
              <w:spacing w:line="360" w:lineRule="auto"/>
              <w:jc w:val="center"/>
              <w:rPr>
                <w:rFonts w:hint="eastAsia" w:cs="宋体" w:asciiTheme="minorEastAsia" w:hAnsiTheme="minorEastAsia" w:eastAsiaTheme="minorEastAsia"/>
                <w:kern w:val="0"/>
                <w:szCs w:val="21"/>
                <w:highlight w:val="none"/>
                <w:lang w:val="en-US" w:eastAsia="zh-CN"/>
              </w:rPr>
            </w:pPr>
          </w:p>
        </w:tc>
      </w:tr>
      <w:tr w14:paraId="61817A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000000" w:sz="8" w:space="0"/>
              <w:right w:val="single" w:color="000000" w:sz="8" w:space="0"/>
            </w:tcBorders>
            <w:shd w:val="clear" w:color="auto" w:fill="auto"/>
            <w:noWrap/>
            <w:vAlign w:val="bottom"/>
          </w:tcPr>
          <w:p w14:paraId="06FEB169">
            <w:pPr>
              <w:spacing w:line="360" w:lineRule="auto"/>
              <w:ind w:left="0" w:leftChars="0" w:firstLine="0" w:firstLineChars="0"/>
              <w:jc w:val="center"/>
              <w:rPr>
                <w:rFonts w:hint="eastAsia" w:cs="宋体" w:asciiTheme="minorEastAsia" w:hAnsiTheme="minorEastAsia" w:eastAsiaTheme="minorEastAsia"/>
                <w:kern w:val="0"/>
                <w:szCs w:val="21"/>
                <w:highlight w:val="none"/>
              </w:rPr>
            </w:pPr>
            <w:r>
              <w:rPr>
                <w:rFonts w:hint="eastAsia" w:cs="宋体" w:asciiTheme="minorEastAsia" w:hAnsiTheme="minorEastAsia" w:eastAsiaTheme="minorEastAsia"/>
                <w:kern w:val="0"/>
                <w:szCs w:val="21"/>
                <w:highlight w:val="none"/>
                <w:lang w:val="en-US" w:eastAsia="zh-CN"/>
              </w:rPr>
              <w:t>11</w:t>
            </w:r>
          </w:p>
        </w:tc>
        <w:tc>
          <w:tcPr>
            <w:tcW w:w="2556" w:type="dxa"/>
            <w:tcBorders>
              <w:top w:val="nil"/>
              <w:left w:val="nil"/>
              <w:bottom w:val="single" w:color="000000" w:sz="8" w:space="0"/>
              <w:right w:val="single" w:color="000000" w:sz="8" w:space="0"/>
            </w:tcBorders>
            <w:shd w:val="clear" w:color="auto" w:fill="auto"/>
            <w:noWrap/>
            <w:vAlign w:val="center"/>
          </w:tcPr>
          <w:p w14:paraId="3D7FD37B">
            <w:pPr>
              <w:keepNext w:val="0"/>
              <w:keepLines w:val="0"/>
              <w:widowControl/>
              <w:suppressLineNumbers w:val="0"/>
              <w:ind w:left="0" w:leftChars="0" w:firstLine="240" w:firstLineChars="100"/>
              <w:jc w:val="both"/>
              <w:textAlignment w:val="center"/>
              <w:rPr>
                <w:rFonts w:hint="eastAsia" w:cs="宋体" w:asciiTheme="minorEastAsia" w:hAnsiTheme="minorEastAsia" w:eastAsiaTheme="minorEastAsia"/>
                <w:kern w:val="0"/>
                <w:sz w:val="24"/>
                <w:szCs w:val="24"/>
                <w:highlight w:val="none"/>
                <w:lang w:val="en-US" w:eastAsia="zh-CN" w:bidi="ar-SA"/>
              </w:rPr>
            </w:pPr>
            <w:r>
              <w:rPr>
                <w:rFonts w:hint="eastAsia" w:cs="宋体" w:asciiTheme="minorEastAsia" w:hAnsiTheme="minorEastAsia" w:eastAsiaTheme="minorEastAsia"/>
                <w:kern w:val="0"/>
                <w:sz w:val="24"/>
                <w:szCs w:val="24"/>
                <w:highlight w:val="none"/>
                <w:lang w:val="en-US" w:eastAsia="zh-CN" w:bidi="ar-SA"/>
              </w:rPr>
              <w:t>K125+280~K126+610</w:t>
            </w:r>
          </w:p>
          <w:p w14:paraId="6AC2EC78">
            <w:pPr>
              <w:pStyle w:val="56"/>
              <w:jc w:val="center"/>
              <w:rPr>
                <w:rFonts w:hint="default"/>
                <w:sz w:val="24"/>
                <w:szCs w:val="24"/>
                <w:lang w:val="en-US" w:eastAsia="zh-CN"/>
              </w:rPr>
            </w:pPr>
            <w:r>
              <w:rPr>
                <w:rFonts w:hint="eastAsia"/>
                <w:sz w:val="24"/>
                <w:szCs w:val="24"/>
                <w:lang w:val="en-US" w:eastAsia="zh-CN"/>
              </w:rPr>
              <w:t>诏安东互通主线</w:t>
            </w:r>
          </w:p>
        </w:tc>
        <w:tc>
          <w:tcPr>
            <w:tcW w:w="1232" w:type="dxa"/>
            <w:tcBorders>
              <w:top w:val="nil"/>
              <w:left w:val="nil"/>
              <w:bottom w:val="single" w:color="000000" w:sz="8" w:space="0"/>
              <w:right w:val="single" w:color="000000" w:sz="8" w:space="0"/>
            </w:tcBorders>
            <w:shd w:val="clear" w:color="auto" w:fill="auto"/>
            <w:noWrap/>
            <w:vAlign w:val="bottom"/>
          </w:tcPr>
          <w:p w14:paraId="3C483E31">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1330</w:t>
            </w:r>
          </w:p>
        </w:tc>
        <w:tc>
          <w:tcPr>
            <w:tcW w:w="1520" w:type="dxa"/>
            <w:tcBorders>
              <w:top w:val="nil"/>
              <w:left w:val="nil"/>
              <w:bottom w:val="single" w:color="000000" w:sz="8" w:space="0"/>
              <w:right w:val="single" w:color="000000" w:sz="8" w:space="0"/>
            </w:tcBorders>
            <w:shd w:val="clear" w:color="auto" w:fill="auto"/>
            <w:noWrap/>
            <w:vAlign w:val="bottom"/>
          </w:tcPr>
          <w:p w14:paraId="7509AB3D">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256973</w:t>
            </w:r>
          </w:p>
        </w:tc>
        <w:tc>
          <w:tcPr>
            <w:tcW w:w="1489" w:type="dxa"/>
            <w:tcBorders>
              <w:top w:val="nil"/>
              <w:left w:val="nil"/>
              <w:bottom w:val="single" w:color="000000" w:sz="8" w:space="0"/>
              <w:right w:val="single" w:color="000000" w:sz="8" w:space="0"/>
            </w:tcBorders>
            <w:shd w:val="clear" w:color="auto" w:fill="auto"/>
            <w:noWrap/>
            <w:vAlign w:val="bottom"/>
          </w:tcPr>
          <w:p w14:paraId="4B645F49">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40044</w:t>
            </w:r>
          </w:p>
        </w:tc>
        <w:tc>
          <w:tcPr>
            <w:tcW w:w="878" w:type="dxa"/>
            <w:tcBorders>
              <w:top w:val="single" w:color="auto" w:sz="4" w:space="0"/>
              <w:left w:val="nil"/>
              <w:bottom w:val="single" w:color="auto" w:sz="4" w:space="0"/>
              <w:right w:val="single" w:color="000000" w:sz="8" w:space="0"/>
            </w:tcBorders>
            <w:shd w:val="clear" w:color="auto" w:fill="auto"/>
            <w:noWrap/>
            <w:vAlign w:val="bottom"/>
          </w:tcPr>
          <w:p w14:paraId="5B68CDF7">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互通主 线</w:t>
            </w:r>
          </w:p>
        </w:tc>
      </w:tr>
      <w:tr w14:paraId="3F259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nil"/>
              <w:left w:val="single" w:color="000000" w:sz="8" w:space="0"/>
              <w:bottom w:val="single" w:color="auto" w:sz="4" w:space="0"/>
              <w:right w:val="single" w:color="000000" w:sz="8" w:space="0"/>
            </w:tcBorders>
            <w:shd w:val="clear" w:color="auto" w:fill="auto"/>
            <w:noWrap/>
            <w:vAlign w:val="bottom"/>
          </w:tcPr>
          <w:p w14:paraId="1A75B78C">
            <w:pPr>
              <w:spacing w:line="360" w:lineRule="auto"/>
              <w:ind w:left="0" w:leftChars="0" w:firstLine="0" w:firstLineChars="0"/>
              <w:jc w:val="center"/>
              <w:rPr>
                <w:rFonts w:hint="default" w:cs="宋体" w:asciiTheme="minorEastAsia" w:hAnsiTheme="minorEastAsia" w:eastAsiaTheme="minorEastAsia"/>
                <w:kern w:val="0"/>
                <w:szCs w:val="21"/>
                <w:highlight w:val="none"/>
              </w:rPr>
            </w:pPr>
            <w:r>
              <w:rPr>
                <w:rFonts w:hint="default" w:cs="宋体" w:asciiTheme="minorEastAsia" w:hAnsiTheme="minorEastAsia" w:eastAsiaTheme="minorEastAsia"/>
                <w:kern w:val="0"/>
                <w:szCs w:val="21"/>
                <w:highlight w:val="none"/>
                <w:lang w:val="en-US" w:eastAsia="zh-CN"/>
              </w:rPr>
              <w:t>12</w:t>
            </w:r>
          </w:p>
        </w:tc>
        <w:tc>
          <w:tcPr>
            <w:tcW w:w="2556" w:type="dxa"/>
            <w:tcBorders>
              <w:top w:val="nil"/>
              <w:left w:val="nil"/>
              <w:bottom w:val="single" w:color="auto" w:sz="4" w:space="0"/>
              <w:right w:val="single" w:color="000000" w:sz="8" w:space="0"/>
            </w:tcBorders>
            <w:shd w:val="clear" w:color="auto" w:fill="auto"/>
            <w:noWrap/>
            <w:vAlign w:val="bottom"/>
          </w:tcPr>
          <w:p w14:paraId="007A133E">
            <w:pPr>
              <w:spacing w:line="360" w:lineRule="auto"/>
              <w:ind w:left="0" w:leftChars="0" w:firstLine="240" w:firstLineChars="100"/>
              <w:jc w:val="both"/>
              <w:rPr>
                <w:rFonts w:hint="eastAsia" w:cs="宋体" w:asciiTheme="minorEastAsia" w:hAnsiTheme="minorEastAsia" w:eastAsiaTheme="minorEastAsia"/>
                <w:kern w:val="0"/>
                <w:sz w:val="24"/>
                <w:szCs w:val="24"/>
                <w:highlight w:val="none"/>
                <w:lang w:val="en-US" w:eastAsia="zh-CN" w:bidi="ar-SA"/>
              </w:rPr>
            </w:pPr>
            <w:r>
              <w:rPr>
                <w:rFonts w:hint="eastAsia" w:cs="宋体" w:asciiTheme="minorEastAsia" w:hAnsiTheme="minorEastAsia" w:eastAsiaTheme="minorEastAsia"/>
                <w:kern w:val="0"/>
                <w:sz w:val="24"/>
                <w:szCs w:val="24"/>
                <w:highlight w:val="none"/>
                <w:lang w:val="en-US" w:eastAsia="zh-CN" w:bidi="ar-SA"/>
              </w:rPr>
              <w:t>K125+280~K126+610</w:t>
            </w:r>
          </w:p>
          <w:p w14:paraId="39650794">
            <w:pPr>
              <w:pStyle w:val="56"/>
              <w:jc w:val="center"/>
              <w:rPr>
                <w:rFonts w:hint="default"/>
                <w:sz w:val="24"/>
                <w:szCs w:val="24"/>
                <w:lang w:val="en-US" w:eastAsia="zh-CN"/>
              </w:rPr>
            </w:pPr>
            <w:r>
              <w:rPr>
                <w:rFonts w:hint="eastAsia" w:cs="宋体" w:asciiTheme="minorEastAsia" w:hAnsiTheme="minorEastAsia" w:eastAsiaTheme="minorEastAsia"/>
                <w:kern w:val="0"/>
                <w:sz w:val="24"/>
                <w:szCs w:val="24"/>
                <w:highlight w:val="none"/>
                <w:lang w:val="en-US" w:eastAsia="zh-CN" w:bidi="ar-SA"/>
              </w:rPr>
              <w:t>诏安东互通匝道</w:t>
            </w:r>
          </w:p>
        </w:tc>
        <w:tc>
          <w:tcPr>
            <w:tcW w:w="1232" w:type="dxa"/>
            <w:tcBorders>
              <w:top w:val="nil"/>
              <w:left w:val="nil"/>
              <w:bottom w:val="single" w:color="auto" w:sz="4" w:space="0"/>
              <w:right w:val="single" w:color="000000" w:sz="8" w:space="0"/>
            </w:tcBorders>
            <w:shd w:val="clear" w:color="auto" w:fill="auto"/>
            <w:noWrap/>
            <w:vAlign w:val="bottom"/>
          </w:tcPr>
          <w:p w14:paraId="23177676">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1330</w:t>
            </w:r>
          </w:p>
        </w:tc>
        <w:tc>
          <w:tcPr>
            <w:tcW w:w="1520" w:type="dxa"/>
            <w:tcBorders>
              <w:top w:val="nil"/>
              <w:left w:val="nil"/>
              <w:bottom w:val="single" w:color="auto" w:sz="4" w:space="0"/>
              <w:right w:val="single" w:color="000000" w:sz="8" w:space="0"/>
            </w:tcBorders>
            <w:shd w:val="clear" w:color="auto" w:fill="auto"/>
            <w:noWrap/>
            <w:vAlign w:val="bottom"/>
          </w:tcPr>
          <w:p w14:paraId="721E30B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113862</w:t>
            </w:r>
          </w:p>
        </w:tc>
        <w:tc>
          <w:tcPr>
            <w:tcW w:w="1489" w:type="dxa"/>
            <w:tcBorders>
              <w:top w:val="nil"/>
              <w:left w:val="nil"/>
              <w:bottom w:val="single" w:color="auto" w:sz="4" w:space="0"/>
              <w:right w:val="single" w:color="000000" w:sz="8" w:space="0"/>
            </w:tcBorders>
            <w:shd w:val="clear" w:color="auto" w:fill="auto"/>
            <w:noWrap/>
            <w:vAlign w:val="bottom"/>
          </w:tcPr>
          <w:p w14:paraId="01F744B7">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31052</w:t>
            </w:r>
          </w:p>
        </w:tc>
        <w:tc>
          <w:tcPr>
            <w:tcW w:w="878" w:type="dxa"/>
            <w:tcBorders>
              <w:top w:val="single" w:color="auto" w:sz="4" w:space="0"/>
              <w:left w:val="nil"/>
              <w:bottom w:val="single" w:color="auto" w:sz="4" w:space="0"/>
              <w:right w:val="single" w:color="000000" w:sz="8" w:space="0"/>
            </w:tcBorders>
            <w:shd w:val="clear" w:color="auto" w:fill="auto"/>
            <w:noWrap/>
            <w:vAlign w:val="bottom"/>
          </w:tcPr>
          <w:p w14:paraId="4EEC2C92">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互通匝 道</w:t>
            </w:r>
          </w:p>
        </w:tc>
      </w:tr>
      <w:tr w14:paraId="3C5E52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B02DCF4">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bookmarkStart w:id="787" w:name="_Toc325962393"/>
            <w:bookmarkStart w:id="788" w:name="_Toc325961894"/>
            <w:r>
              <w:rPr>
                <w:rFonts w:hint="eastAsia" w:cs="宋体" w:asciiTheme="minorEastAsia" w:hAnsiTheme="minorEastAsia" w:eastAsiaTheme="minorEastAsia"/>
                <w:kern w:val="0"/>
                <w:szCs w:val="21"/>
                <w:highlight w:val="none"/>
                <w:lang w:val="en-US" w:eastAsia="zh-CN"/>
              </w:rPr>
              <w:t>13</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0A8E3D">
            <w:pPr>
              <w:keepNext w:val="0"/>
              <w:keepLines w:val="0"/>
              <w:widowControl/>
              <w:suppressLineNumbers w:val="0"/>
              <w:ind w:left="0" w:leftChars="0" w:firstLine="0" w:firstLineChars="0"/>
              <w:jc w:val="both"/>
              <w:textAlignment w:val="center"/>
              <w:rPr>
                <w:rFonts w:hint="eastAsia" w:cs="宋体" w:asciiTheme="minorEastAsia" w:hAnsiTheme="minorEastAsia" w:eastAsiaTheme="minorEastAsia"/>
                <w:kern w:val="0"/>
                <w:sz w:val="24"/>
                <w:szCs w:val="24"/>
                <w:highlight w:val="none"/>
                <w:lang w:val="en-US" w:eastAsia="zh-CN" w:bidi="ar-SA"/>
              </w:rPr>
            </w:pPr>
            <w:r>
              <w:rPr>
                <w:rFonts w:ascii="宋体" w:hAnsi="宋体" w:eastAsia="宋体" w:cs="宋体"/>
                <w:i w:val="0"/>
                <w:iCs w:val="0"/>
                <w:color w:val="000000"/>
                <w:kern w:val="0"/>
                <w:sz w:val="24"/>
                <w:szCs w:val="24"/>
                <w:u w:val="none"/>
                <w:lang w:val="en-US" w:eastAsia="zh-CN" w:bidi="ar"/>
              </w:rPr>
              <w:t>K126+610～K127+000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B77410A">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390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85965F6">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107</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84A9ACE">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50639</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0B10716">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701051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69A49DD">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14</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7C1CA8">
            <w:pPr>
              <w:keepNext w:val="0"/>
              <w:keepLines w:val="0"/>
              <w:widowControl/>
              <w:suppressLineNumbers w:val="0"/>
              <w:ind w:left="0" w:leftChars="0" w:firstLine="0" w:firstLineChars="0"/>
              <w:jc w:val="both"/>
              <w:textAlignment w:val="center"/>
              <w:rPr>
                <w:rFonts w:hint="eastAsia" w:cs="宋体" w:asciiTheme="minorEastAsia" w:hAnsiTheme="minorEastAsia" w:eastAsiaTheme="minorEastAsia"/>
                <w:kern w:val="0"/>
                <w:sz w:val="24"/>
                <w:szCs w:val="24"/>
                <w:highlight w:val="none"/>
                <w:lang w:val="en-US" w:eastAsia="zh-CN" w:bidi="ar-SA"/>
              </w:rPr>
            </w:pPr>
            <w:r>
              <w:rPr>
                <w:rFonts w:ascii="宋体" w:hAnsi="宋体" w:eastAsia="宋体" w:cs="宋体"/>
                <w:i w:val="0"/>
                <w:iCs w:val="0"/>
                <w:color w:val="000000"/>
                <w:kern w:val="0"/>
                <w:sz w:val="24"/>
                <w:szCs w:val="24"/>
                <w:u w:val="none"/>
                <w:lang w:val="en-US" w:eastAsia="zh-CN" w:bidi="ar"/>
              </w:rPr>
              <w:t>K127+000～K128+000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15C4FC0">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50D5419">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36434</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0DC0C32">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11335</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371BBD1">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7BC33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EEE1A4B">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15</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5649E4">
            <w:pPr>
              <w:keepNext w:val="0"/>
              <w:keepLines w:val="0"/>
              <w:widowControl/>
              <w:suppressLineNumbers w:val="0"/>
              <w:ind w:left="0" w:leftChars="0" w:firstLine="0" w:firstLineChars="0"/>
              <w:jc w:val="both"/>
              <w:textAlignment w:val="center"/>
              <w:rPr>
                <w:rFonts w:ascii="宋体" w:hAnsi="宋体" w:eastAsia="宋体" w:cs="宋体"/>
                <w:i w:val="0"/>
                <w:iCs w:val="0"/>
                <w:color w:val="000000"/>
                <w:kern w:val="0"/>
                <w:sz w:val="24"/>
                <w:szCs w:val="24"/>
                <w:u w:val="none"/>
                <w:lang w:val="en-US" w:eastAsia="zh-CN" w:bidi="ar"/>
              </w:rPr>
            </w:pPr>
            <w:r>
              <w:rPr>
                <w:rFonts w:ascii="宋体" w:hAnsi="宋体" w:eastAsia="宋体" w:cs="宋体"/>
                <w:i w:val="0"/>
                <w:iCs w:val="0"/>
                <w:color w:val="000000"/>
                <w:kern w:val="0"/>
                <w:sz w:val="24"/>
                <w:szCs w:val="24"/>
                <w:u w:val="none"/>
                <w:lang w:val="en-US" w:eastAsia="zh-CN" w:bidi="ar"/>
              </w:rPr>
              <w:t>K128+000～K129+000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9CC7A71">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429C8AE">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24</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B86248D">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82425</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22FE8EE">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3481CE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31BE569">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16</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0E1395">
            <w:pPr>
              <w:keepNext w:val="0"/>
              <w:keepLines w:val="0"/>
              <w:widowControl/>
              <w:suppressLineNumbers w:val="0"/>
              <w:ind w:left="0" w:leftChars="0" w:firstLine="0" w:firstLineChars="0"/>
              <w:jc w:val="both"/>
              <w:textAlignment w:val="center"/>
              <w:rPr>
                <w:rFonts w:ascii="宋体" w:hAnsi="宋体" w:eastAsia="宋体" w:cs="宋体"/>
                <w:i w:val="0"/>
                <w:iCs w:val="0"/>
                <w:color w:val="000000"/>
                <w:kern w:val="0"/>
                <w:sz w:val="24"/>
                <w:szCs w:val="24"/>
                <w:u w:val="none"/>
                <w:lang w:val="en-US" w:eastAsia="zh-CN" w:bidi="ar"/>
              </w:rPr>
            </w:pPr>
            <w:r>
              <w:rPr>
                <w:rFonts w:ascii="宋体" w:hAnsi="宋体" w:eastAsia="宋体" w:cs="宋体"/>
                <w:i w:val="0"/>
                <w:iCs w:val="0"/>
                <w:color w:val="000000"/>
                <w:kern w:val="0"/>
                <w:sz w:val="24"/>
                <w:szCs w:val="24"/>
                <w:u w:val="none"/>
                <w:lang w:val="en-US" w:eastAsia="zh-CN" w:bidi="ar"/>
              </w:rPr>
              <w:t>K129+000～K130+000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83BB68B">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49C1A4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648</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876B42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83270</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2714B92C">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4F0BC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1ED57FA">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17</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3C05170">
            <w:pPr>
              <w:keepNext w:val="0"/>
              <w:keepLines w:val="0"/>
              <w:widowControl/>
              <w:suppressLineNumbers w:val="0"/>
              <w:ind w:left="0" w:leftChars="0" w:firstLine="0" w:firstLineChars="0"/>
              <w:jc w:val="both"/>
              <w:textAlignment w:val="center"/>
              <w:rPr>
                <w:rFonts w:ascii="宋体" w:hAnsi="宋体" w:eastAsia="宋体" w:cs="宋体"/>
                <w:i w:val="0"/>
                <w:iCs w:val="0"/>
                <w:color w:val="000000"/>
                <w:kern w:val="0"/>
                <w:sz w:val="24"/>
                <w:szCs w:val="24"/>
                <w:u w:val="none"/>
                <w:lang w:val="en-US" w:eastAsia="zh-CN" w:bidi="ar"/>
              </w:rPr>
            </w:pPr>
            <w:r>
              <w:rPr>
                <w:rFonts w:ascii="宋体" w:hAnsi="宋体" w:eastAsia="宋体" w:cs="宋体"/>
                <w:i w:val="0"/>
                <w:iCs w:val="0"/>
                <w:color w:val="000000"/>
                <w:kern w:val="0"/>
                <w:sz w:val="24"/>
                <w:szCs w:val="24"/>
                <w:u w:val="none"/>
                <w:lang w:val="en-US" w:eastAsia="zh-CN" w:bidi="ar"/>
              </w:rPr>
              <w:t>K130+000～K131+000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8889E77">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64C50AC">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28</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6B37D7C">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111334</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5F0D1F1">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2EBC19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793C51C">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18</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A64E7F">
            <w:pPr>
              <w:keepNext w:val="0"/>
              <w:keepLines w:val="0"/>
              <w:widowControl/>
              <w:suppressLineNumbers w:val="0"/>
              <w:ind w:left="0" w:leftChars="0" w:firstLine="0" w:firstLineChars="0"/>
              <w:jc w:val="both"/>
              <w:textAlignment w:val="center"/>
              <w:rPr>
                <w:rFonts w:ascii="宋体" w:hAnsi="宋体" w:eastAsia="宋体" w:cs="宋体"/>
                <w:i w:val="0"/>
                <w:iCs w:val="0"/>
                <w:color w:val="000000"/>
                <w:kern w:val="0"/>
                <w:sz w:val="24"/>
                <w:szCs w:val="24"/>
                <w:u w:val="none"/>
                <w:lang w:val="en-US" w:eastAsia="zh-CN" w:bidi="ar"/>
              </w:rPr>
            </w:pPr>
            <w:r>
              <w:rPr>
                <w:rFonts w:ascii="宋体" w:hAnsi="宋体" w:eastAsia="宋体" w:cs="宋体"/>
                <w:i w:val="0"/>
                <w:iCs w:val="0"/>
                <w:color w:val="000000"/>
                <w:kern w:val="0"/>
                <w:sz w:val="24"/>
                <w:szCs w:val="24"/>
                <w:u w:val="none"/>
                <w:lang w:val="en-US" w:eastAsia="zh-CN" w:bidi="ar"/>
              </w:rPr>
              <w:t>K131+000～K132+000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64BA420C">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81734A1">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34</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4269728">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45867</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37422AC5">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08359E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18CD98A">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19</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7A9DBE8">
            <w:pPr>
              <w:keepNext w:val="0"/>
              <w:keepLines w:val="0"/>
              <w:widowControl/>
              <w:suppressLineNumbers w:val="0"/>
              <w:ind w:left="0" w:leftChars="0" w:firstLine="0" w:firstLineChars="0"/>
              <w:jc w:val="both"/>
              <w:textAlignment w:val="center"/>
              <w:rPr>
                <w:rFonts w:ascii="宋体" w:hAnsi="宋体" w:eastAsia="宋体" w:cs="宋体"/>
                <w:i w:val="0"/>
                <w:iCs w:val="0"/>
                <w:color w:val="000000"/>
                <w:kern w:val="0"/>
                <w:sz w:val="24"/>
                <w:szCs w:val="24"/>
                <w:u w:val="none"/>
                <w:lang w:val="en-US" w:eastAsia="zh-CN" w:bidi="ar"/>
              </w:rPr>
            </w:pPr>
            <w:r>
              <w:rPr>
                <w:rFonts w:ascii="宋体" w:hAnsi="宋体" w:eastAsia="宋体" w:cs="宋体"/>
                <w:i w:val="0"/>
                <w:iCs w:val="0"/>
                <w:color w:val="000000"/>
                <w:kern w:val="0"/>
                <w:sz w:val="24"/>
                <w:szCs w:val="24"/>
                <w:u w:val="none"/>
                <w:lang w:val="en-US" w:eastAsia="zh-CN" w:bidi="ar"/>
              </w:rPr>
              <w:t>K132+000～K133+000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8DD41C0">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1000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08A44D4">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140</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68FF065">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161873</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148C7FB9">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r w14:paraId="6538E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10" w:hRule="atLeast"/>
          <w:jc w:val="center"/>
        </w:trPr>
        <w:tc>
          <w:tcPr>
            <w:tcW w:w="82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560520D6">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20</w:t>
            </w:r>
          </w:p>
        </w:tc>
        <w:tc>
          <w:tcPr>
            <w:tcW w:w="25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7B0DA9">
            <w:pPr>
              <w:keepNext w:val="0"/>
              <w:keepLines w:val="0"/>
              <w:widowControl/>
              <w:suppressLineNumbers w:val="0"/>
              <w:ind w:left="0" w:leftChars="0" w:firstLine="0" w:firstLineChars="0"/>
              <w:jc w:val="both"/>
              <w:textAlignment w:val="center"/>
              <w:rPr>
                <w:rFonts w:ascii="宋体" w:hAnsi="宋体" w:eastAsia="宋体" w:cs="宋体"/>
                <w:i w:val="0"/>
                <w:iCs w:val="0"/>
                <w:color w:val="000000"/>
                <w:kern w:val="0"/>
                <w:sz w:val="24"/>
                <w:szCs w:val="24"/>
                <w:u w:val="none"/>
                <w:lang w:val="en-US" w:eastAsia="zh-CN" w:bidi="ar"/>
              </w:rPr>
            </w:pPr>
            <w:r>
              <w:rPr>
                <w:rFonts w:ascii="宋体" w:hAnsi="宋体" w:eastAsia="宋体" w:cs="宋体"/>
                <w:i w:val="0"/>
                <w:iCs w:val="0"/>
                <w:color w:val="000000"/>
                <w:kern w:val="0"/>
                <w:sz w:val="24"/>
                <w:szCs w:val="24"/>
                <w:u w:val="none"/>
                <w:lang w:val="en-US" w:eastAsia="zh-CN" w:bidi="ar"/>
              </w:rPr>
              <w:t>K133+000～K133+500</w:t>
            </w:r>
          </w:p>
        </w:tc>
        <w:tc>
          <w:tcPr>
            <w:tcW w:w="1232" w:type="dxa"/>
            <w:tcBorders>
              <w:top w:val="single" w:color="auto" w:sz="4" w:space="0"/>
              <w:left w:val="single" w:color="auto" w:sz="4" w:space="0"/>
              <w:bottom w:val="single" w:color="auto" w:sz="4" w:space="0"/>
              <w:right w:val="single" w:color="auto" w:sz="4" w:space="0"/>
            </w:tcBorders>
            <w:shd w:val="clear" w:color="auto" w:fill="auto"/>
            <w:noWrap/>
            <w:vAlign w:val="bottom"/>
          </w:tcPr>
          <w:p w14:paraId="4FFC217C">
            <w:pPr>
              <w:spacing w:line="360" w:lineRule="auto"/>
              <w:ind w:left="0" w:leftChars="0" w:firstLine="0" w:firstLineChars="0"/>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500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4CAAA3B">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54</w:t>
            </w:r>
          </w:p>
        </w:tc>
        <w:tc>
          <w:tcPr>
            <w:tcW w:w="1489" w:type="dxa"/>
            <w:tcBorders>
              <w:top w:val="single" w:color="auto" w:sz="4" w:space="0"/>
              <w:left w:val="single" w:color="auto" w:sz="4" w:space="0"/>
              <w:bottom w:val="single" w:color="auto" w:sz="4" w:space="0"/>
              <w:right w:val="single" w:color="auto" w:sz="4" w:space="0"/>
            </w:tcBorders>
            <w:shd w:val="clear" w:color="auto" w:fill="auto"/>
            <w:noWrap/>
            <w:vAlign w:val="bottom"/>
          </w:tcPr>
          <w:p w14:paraId="71234C35">
            <w:pPr>
              <w:spacing w:line="360" w:lineRule="auto"/>
              <w:jc w:val="center"/>
              <w:rPr>
                <w:rFonts w:hint="default" w:cs="宋体" w:asciiTheme="minorEastAsia" w:hAnsiTheme="minorEastAsia" w:eastAsiaTheme="minorEastAsia"/>
                <w:kern w:val="0"/>
                <w:szCs w:val="21"/>
                <w:highlight w:val="none"/>
                <w:lang w:val="en-US" w:eastAsia="zh-CN"/>
              </w:rPr>
            </w:pPr>
            <w:r>
              <w:rPr>
                <w:rFonts w:hint="eastAsia" w:cs="宋体" w:asciiTheme="minorEastAsia" w:hAnsiTheme="minorEastAsia" w:eastAsiaTheme="minorEastAsia"/>
                <w:kern w:val="0"/>
                <w:szCs w:val="21"/>
                <w:highlight w:val="none"/>
                <w:lang w:val="en-US" w:eastAsia="zh-CN"/>
              </w:rPr>
              <w:t>24182</w:t>
            </w:r>
          </w:p>
        </w:tc>
        <w:tc>
          <w:tcPr>
            <w:tcW w:w="878" w:type="dxa"/>
            <w:tcBorders>
              <w:top w:val="single" w:color="auto" w:sz="4" w:space="0"/>
              <w:left w:val="single" w:color="auto" w:sz="4" w:space="0"/>
              <w:bottom w:val="single" w:color="auto" w:sz="4" w:space="0"/>
              <w:right w:val="single" w:color="auto" w:sz="4" w:space="0"/>
            </w:tcBorders>
            <w:shd w:val="clear" w:color="auto" w:fill="auto"/>
            <w:noWrap/>
            <w:vAlign w:val="bottom"/>
          </w:tcPr>
          <w:p w14:paraId="03A8815F">
            <w:pPr>
              <w:spacing w:line="360" w:lineRule="auto"/>
              <w:ind w:left="0" w:leftChars="0" w:firstLine="0" w:firstLineChars="0"/>
              <w:jc w:val="both"/>
              <w:rPr>
                <w:rFonts w:hint="eastAsia" w:cs="宋体" w:asciiTheme="minorEastAsia" w:hAnsiTheme="minorEastAsia" w:eastAsiaTheme="minorEastAsia"/>
                <w:kern w:val="0"/>
                <w:szCs w:val="21"/>
                <w:highlight w:val="none"/>
                <w:lang w:val="en-US" w:eastAsia="zh-CN"/>
              </w:rPr>
            </w:pPr>
          </w:p>
        </w:tc>
      </w:tr>
    </w:tbl>
    <w:p w14:paraId="55B68182">
      <w:pPr>
        <w:pStyle w:val="5"/>
        <w:rPr>
          <w:rFonts w:asciiTheme="minorEastAsia" w:hAnsiTheme="minorEastAsia" w:eastAsiaTheme="minorEastAsia"/>
        </w:rPr>
      </w:pPr>
      <w:bookmarkStart w:id="789" w:name="_Toc5041"/>
      <w:r>
        <w:rPr>
          <w:rFonts w:hint="eastAsia" w:asciiTheme="minorEastAsia" w:hAnsiTheme="minorEastAsia" w:eastAsiaTheme="minorEastAsia"/>
          <w:color w:val="auto"/>
          <w:lang w:val="en-US" w:eastAsia="zh-CN"/>
        </w:rPr>
        <w:t>8.1.1</w:t>
      </w:r>
      <w:r>
        <w:rPr>
          <w:rFonts w:hint="eastAsia" w:asciiTheme="minorEastAsia" w:hAnsiTheme="minorEastAsia" w:eastAsiaTheme="minorEastAsia"/>
          <w:color w:val="auto"/>
        </w:rPr>
        <w:t>挖方路基</w:t>
      </w:r>
      <w:bookmarkEnd w:id="787"/>
      <w:bookmarkEnd w:id="788"/>
      <w:bookmarkEnd w:id="789"/>
      <w:r>
        <w:rPr>
          <w:rFonts w:asciiTheme="minorEastAsia" w:hAnsiTheme="minorEastAsia" w:eastAsiaTheme="minorEastAsia"/>
        </w:rPr>
        <w:tab/>
      </w:r>
    </w:p>
    <w:p w14:paraId="26AE45A2">
      <w:pPr>
        <w:pStyle w:val="178"/>
        <w:rPr>
          <w:rFonts w:asciiTheme="minorEastAsia" w:hAnsiTheme="minorEastAsia" w:eastAsiaTheme="minorEastAsia"/>
          <w:szCs w:val="24"/>
        </w:rPr>
      </w:pPr>
      <w:r>
        <w:rPr>
          <w:rFonts w:asciiTheme="minorEastAsia" w:hAnsiTheme="minorEastAsia" w:eastAsiaTheme="minorEastAsia"/>
          <w:szCs w:val="24"/>
        </w:rPr>
        <w:t>路堑开挖施工工艺见图</w:t>
      </w:r>
      <w:r>
        <w:rPr>
          <w:rFonts w:hint="eastAsia" w:asciiTheme="minorEastAsia" w:hAnsiTheme="minorEastAsia" w:eastAsiaTheme="minorEastAsia"/>
          <w:szCs w:val="24"/>
          <w:lang w:val="en-US" w:eastAsia="zh-CN"/>
        </w:rPr>
        <w:t>8</w:t>
      </w:r>
      <w:r>
        <w:rPr>
          <w:rFonts w:asciiTheme="minorEastAsia" w:hAnsiTheme="minorEastAsia" w:eastAsiaTheme="minorEastAsia"/>
          <w:szCs w:val="24"/>
        </w:rPr>
        <w:t>.</w:t>
      </w:r>
      <w:r>
        <w:rPr>
          <w:rFonts w:hint="eastAsia" w:asciiTheme="minorEastAsia" w:hAnsiTheme="minorEastAsia" w:eastAsiaTheme="minorEastAsia"/>
          <w:szCs w:val="24"/>
          <w:lang w:val="en-US" w:eastAsia="zh-CN"/>
        </w:rPr>
        <w:t>2</w:t>
      </w:r>
      <w:r>
        <w:rPr>
          <w:rFonts w:hint="eastAsia" w:asciiTheme="minorEastAsia" w:hAnsiTheme="minorEastAsia" w:eastAsiaTheme="minorEastAsia"/>
          <w:szCs w:val="24"/>
        </w:rPr>
        <w:t>。</w:t>
      </w:r>
    </w:p>
    <w:p w14:paraId="3C960FA7">
      <w:pPr>
        <w:pStyle w:val="178"/>
        <w:ind w:firstLine="0" w:firstLineChars="0"/>
        <w:jc w:val="center"/>
        <w:rPr>
          <w:rFonts w:cs="宋体" w:asciiTheme="minorEastAsia" w:hAnsiTheme="minorEastAsia" w:eastAsiaTheme="minorEastAsia"/>
          <w:sz w:val="28"/>
          <w:szCs w:val="28"/>
        </w:rPr>
      </w:pPr>
      <w:r>
        <w:rPr>
          <w:rFonts w:cs="宋体" w:asciiTheme="minorEastAsia" w:hAnsiTheme="minorEastAsia" w:eastAsiaTheme="minorEastAsia"/>
          <w:sz w:val="28"/>
          <w:szCs w:val="28"/>
        </w:rPr>
        <mc:AlternateContent>
          <mc:Choice Requires="wpg">
            <w:drawing>
              <wp:inline distT="0" distB="0" distL="114300" distR="114300">
                <wp:extent cx="4933950" cy="5055870"/>
                <wp:effectExtent l="4445" t="4445" r="14605" b="14605"/>
                <wp:docPr id="271" name="组合 760"/>
                <wp:cNvGraphicFramePr/>
                <a:graphic xmlns:a="http://schemas.openxmlformats.org/drawingml/2006/main">
                  <a:graphicData uri="http://schemas.microsoft.com/office/word/2010/wordprocessingGroup">
                    <wpg:wgp>
                      <wpg:cNvGrpSpPr/>
                      <wpg:grpSpPr>
                        <a:xfrm>
                          <a:off x="0" y="0"/>
                          <a:ext cx="4933950" cy="5055870"/>
                          <a:chOff x="6324" y="329247"/>
                          <a:chExt cx="7770" cy="9176"/>
                        </a:xfrm>
                      </wpg:grpSpPr>
                      <wpg:grpSp>
                        <wpg:cNvPr id="272" name="组合 484"/>
                        <wpg:cNvGrpSpPr/>
                        <wpg:grpSpPr>
                          <a:xfrm>
                            <a:off x="6324" y="329247"/>
                            <a:ext cx="7771" cy="9177"/>
                            <a:chOff x="0" y="0"/>
                            <a:chExt cx="7771" cy="9900"/>
                          </a:xfrm>
                        </wpg:grpSpPr>
                        <wps:wsp>
                          <wps:cNvPr id="273" name="任意多边形 60"/>
                          <wps:cNvSpPr/>
                          <wps:spPr>
                            <a:xfrm>
                              <a:off x="3236" y="5336"/>
                              <a:ext cx="3596" cy="1420"/>
                            </a:xfrm>
                            <a:custGeom>
                              <a:avLst/>
                              <a:gdLst/>
                              <a:ahLst/>
                              <a:cxnLst/>
                              <a:pathLst>
                                <a:path w="3600" h="1380">
                                  <a:moveTo>
                                    <a:pt x="3600" y="0"/>
                                  </a:moveTo>
                                  <a:lnTo>
                                    <a:pt x="3600" y="1380"/>
                                  </a:lnTo>
                                  <a:lnTo>
                                    <a:pt x="0" y="1380"/>
                                  </a:lnTo>
                                  <a:lnTo>
                                    <a:pt x="0" y="920"/>
                                  </a:lnTo>
                                </a:path>
                              </a:pathLst>
                            </a:custGeom>
                            <a:noFill/>
                            <a:ln w="6350" cap="flat" cmpd="sng">
                              <a:solidFill>
                                <a:srgbClr val="000000"/>
                              </a:solidFill>
                              <a:prstDash val="solid"/>
                              <a:headEnd type="none" w="med" len="med"/>
                              <a:tailEnd type="none" w="med" len="med"/>
                            </a:ln>
                          </wps:spPr>
                          <wps:bodyPr upright="1"/>
                        </wps:wsp>
                        <wps:wsp>
                          <wps:cNvPr id="274" name="文本框 486"/>
                          <wps:cNvSpPr txBox="1"/>
                          <wps:spPr>
                            <a:xfrm>
                              <a:off x="0" y="5407"/>
                              <a:ext cx="1798"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E16A20">
                                <w:pPr>
                                  <w:pStyle w:val="183"/>
                                </w:pPr>
                                <w:r>
                                  <w:rPr>
                                    <w:rFonts w:hint="eastAsia"/>
                                  </w:rPr>
                                  <w:t>改良或加固基床</w:t>
                                </w:r>
                              </w:p>
                            </w:txbxContent>
                          </wps:txbx>
                          <wps:bodyPr lIns="0" tIns="0" rIns="0" bIns="0" upright="1"/>
                        </wps:wsp>
                        <wps:wsp>
                          <wps:cNvPr id="275" name="文本框 487"/>
                          <wps:cNvSpPr txBox="1"/>
                          <wps:spPr>
                            <a:xfrm>
                              <a:off x="2083" y="4226"/>
                              <a:ext cx="2377"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DF3115">
                                <w:pPr>
                                  <w:pStyle w:val="183"/>
                                </w:pPr>
                                <w:r>
                                  <w:rPr>
                                    <w:rFonts w:hint="eastAsia"/>
                                  </w:rPr>
                                  <w:t>机械开挖运输</w:t>
                                </w:r>
                              </w:p>
                            </w:txbxContent>
                          </wps:txbx>
                          <wps:bodyPr lIns="0" tIns="0" rIns="0" bIns="0" upright="1"/>
                        </wps:wsp>
                        <wps:wsp>
                          <wps:cNvPr id="276" name="文本框 488"/>
                          <wps:cNvSpPr txBox="1"/>
                          <wps:spPr>
                            <a:xfrm>
                              <a:off x="4215" y="0"/>
                              <a:ext cx="1958"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289530">
                                <w:pPr>
                                  <w:pStyle w:val="183"/>
                                </w:pPr>
                                <w:r>
                                  <w:rPr>
                                    <w:rFonts w:hint="eastAsia"/>
                                  </w:rPr>
                                  <w:t>施工组织准备</w:t>
                                </w:r>
                              </w:p>
                            </w:txbxContent>
                          </wps:txbx>
                          <wps:bodyPr lIns="0" tIns="0" rIns="0" bIns="0" upright="1"/>
                        </wps:wsp>
                        <wps:wsp>
                          <wps:cNvPr id="277" name="文本框 489"/>
                          <wps:cNvSpPr txBox="1"/>
                          <wps:spPr>
                            <a:xfrm>
                              <a:off x="4215" y="653"/>
                              <a:ext cx="1958"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CF8AF2">
                                <w:pPr>
                                  <w:pStyle w:val="183"/>
                                </w:pPr>
                                <w:r>
                                  <w:rPr>
                                    <w:rFonts w:hint="eastAsia"/>
                                  </w:rPr>
                                  <w:t>场 地 清 理</w:t>
                                </w:r>
                              </w:p>
                            </w:txbxContent>
                          </wps:txbx>
                          <wps:bodyPr lIns="0" tIns="0" rIns="0" bIns="0" upright="1"/>
                        </wps:wsp>
                        <wps:wsp>
                          <wps:cNvPr id="278" name="文本框 490"/>
                          <wps:cNvSpPr txBox="1"/>
                          <wps:spPr>
                            <a:xfrm>
                              <a:off x="4215" y="1415"/>
                              <a:ext cx="1958" cy="40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58721D2">
                                <w:pPr>
                                  <w:pStyle w:val="183"/>
                                </w:pPr>
                                <w:r>
                                  <w:rPr>
                                    <w:rFonts w:hint="eastAsia"/>
                                  </w:rPr>
                                  <w:t>测 量 放 样</w:t>
                                </w:r>
                              </w:p>
                            </w:txbxContent>
                          </wps:txbx>
                          <wps:bodyPr lIns="0" tIns="0" rIns="0" bIns="0" upright="1"/>
                        </wps:wsp>
                        <wps:wsp>
                          <wps:cNvPr id="279" name="文本框 491"/>
                          <wps:cNvSpPr txBox="1"/>
                          <wps:spPr>
                            <a:xfrm>
                              <a:off x="4215" y="3039"/>
                              <a:ext cx="1958"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BE541D">
                                <w:pPr>
                                  <w:pStyle w:val="183"/>
                                </w:pPr>
                                <w:r>
                                  <w:rPr>
                                    <w:rFonts w:hint="eastAsia"/>
                                  </w:rPr>
                                  <w:t>施作堑顶水沟</w:t>
                                </w:r>
                              </w:p>
                            </w:txbxContent>
                          </wps:txbx>
                          <wps:bodyPr lIns="0" tIns="0" rIns="0" bIns="0" upright="1"/>
                        </wps:wsp>
                        <wps:wsp>
                          <wps:cNvPr id="280" name="直线 492"/>
                          <wps:cNvCnPr/>
                          <wps:spPr>
                            <a:xfrm>
                              <a:off x="3216" y="2396"/>
                              <a:ext cx="0" cy="236"/>
                            </a:xfrm>
                            <a:prstGeom prst="line">
                              <a:avLst/>
                            </a:prstGeom>
                            <a:ln w="6350" cap="flat" cmpd="sng">
                              <a:solidFill>
                                <a:srgbClr val="000000"/>
                              </a:solidFill>
                              <a:prstDash val="solid"/>
                              <a:headEnd type="none" w="med" len="med"/>
                              <a:tailEnd type="stealth" w="med" len="med"/>
                            </a:ln>
                          </wps:spPr>
                          <wps:bodyPr upright="1"/>
                        </wps:wsp>
                        <wps:wsp>
                          <wps:cNvPr id="281" name="文本框 493"/>
                          <wps:cNvSpPr txBox="1"/>
                          <wps:spPr>
                            <a:xfrm>
                              <a:off x="2697" y="2648"/>
                              <a:ext cx="1258" cy="40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2CCD82">
                                <w:pPr>
                                  <w:pStyle w:val="183"/>
                                </w:pPr>
                                <w:r>
                                  <w:rPr>
                                    <w:rFonts w:hint="eastAsia"/>
                                  </w:rPr>
                                  <w:t>预 加 固</w:t>
                                </w:r>
                              </w:p>
                            </w:txbxContent>
                          </wps:txbx>
                          <wps:bodyPr lIns="0" tIns="0" rIns="0" bIns="0" upright="1"/>
                        </wps:wsp>
                        <wps:wsp>
                          <wps:cNvPr id="282" name="直线 494"/>
                          <wps:cNvCnPr/>
                          <wps:spPr>
                            <a:xfrm>
                              <a:off x="3206" y="3212"/>
                              <a:ext cx="1019" cy="0"/>
                            </a:xfrm>
                            <a:prstGeom prst="line">
                              <a:avLst/>
                            </a:prstGeom>
                            <a:ln w="6350" cap="flat" cmpd="sng">
                              <a:solidFill>
                                <a:srgbClr val="000000"/>
                              </a:solidFill>
                              <a:prstDash val="solid"/>
                              <a:headEnd type="none" w="med" len="med"/>
                              <a:tailEnd type="stealth" w="med" len="med"/>
                            </a:ln>
                          </wps:spPr>
                          <wps:bodyPr upright="1"/>
                        </wps:wsp>
                        <wps:wsp>
                          <wps:cNvPr id="283" name="直线 495"/>
                          <wps:cNvCnPr/>
                          <wps:spPr>
                            <a:xfrm flipV="1">
                              <a:off x="3186" y="3039"/>
                              <a:ext cx="0" cy="167"/>
                            </a:xfrm>
                            <a:prstGeom prst="line">
                              <a:avLst/>
                            </a:prstGeom>
                            <a:ln w="6350" cap="flat" cmpd="sng">
                              <a:solidFill>
                                <a:srgbClr val="000000"/>
                              </a:solidFill>
                              <a:prstDash val="solid"/>
                              <a:headEnd type="none" w="med" len="med"/>
                              <a:tailEnd type="none" w="med" len="med"/>
                            </a:ln>
                          </wps:spPr>
                          <wps:bodyPr upright="1"/>
                        </wps:wsp>
                        <wps:wsp>
                          <wps:cNvPr id="284" name="文本框 496"/>
                          <wps:cNvSpPr txBox="1"/>
                          <wps:spPr>
                            <a:xfrm>
                              <a:off x="5414" y="2616"/>
                              <a:ext cx="679" cy="355"/>
                            </a:xfrm>
                            <a:prstGeom prst="rect">
                              <a:avLst/>
                            </a:prstGeom>
                            <a:noFill/>
                            <a:ln w="6350" cap="flat" cmpd="sng">
                              <a:solidFill>
                                <a:srgbClr val="FFFFFF"/>
                              </a:solidFill>
                              <a:prstDash val="solid"/>
                              <a:miter/>
                              <a:headEnd type="none" w="med" len="med"/>
                              <a:tailEnd type="none" w="med" len="med"/>
                            </a:ln>
                          </wps:spPr>
                          <wps:txbx>
                            <w:txbxContent>
                              <w:p w14:paraId="06A4D527">
                                <w:pPr>
                                  <w:pStyle w:val="183"/>
                                </w:pPr>
                                <w:r>
                                  <w:rPr>
                                    <w:rFonts w:hint="eastAsia"/>
                                  </w:rPr>
                                  <w:t xml:space="preserve">是 </w:t>
                                </w:r>
                              </w:p>
                            </w:txbxContent>
                          </wps:txbx>
                          <wps:bodyPr lIns="0" tIns="0" rIns="0" bIns="0" upright="1"/>
                        </wps:wsp>
                        <wps:wsp>
                          <wps:cNvPr id="285" name="文本框 497"/>
                          <wps:cNvSpPr txBox="1"/>
                          <wps:spPr>
                            <a:xfrm>
                              <a:off x="3416" y="1990"/>
                              <a:ext cx="579" cy="304"/>
                            </a:xfrm>
                            <a:prstGeom prst="rect">
                              <a:avLst/>
                            </a:prstGeom>
                            <a:noFill/>
                            <a:ln w="6350" cap="flat" cmpd="sng">
                              <a:solidFill>
                                <a:srgbClr val="FFFFFF"/>
                              </a:solidFill>
                              <a:prstDash val="solid"/>
                              <a:miter/>
                              <a:headEnd type="none" w="med" len="med"/>
                              <a:tailEnd type="none" w="med" len="med"/>
                            </a:ln>
                          </wps:spPr>
                          <wps:txbx>
                            <w:txbxContent>
                              <w:p w14:paraId="31FDA103">
                                <w:pPr>
                                  <w:pStyle w:val="183"/>
                                </w:pPr>
                                <w:r>
                                  <w:rPr>
                                    <w:rFonts w:hint="eastAsia"/>
                                  </w:rPr>
                                  <w:t>否</w:t>
                                </w:r>
                              </w:p>
                            </w:txbxContent>
                          </wps:txbx>
                          <wps:bodyPr lIns="0" tIns="0" rIns="0" bIns="0" upright="1"/>
                        </wps:wsp>
                        <wps:wsp>
                          <wps:cNvPr id="286" name="直线 498"/>
                          <wps:cNvCnPr/>
                          <wps:spPr>
                            <a:xfrm>
                              <a:off x="5214" y="3461"/>
                              <a:ext cx="0" cy="320"/>
                            </a:xfrm>
                            <a:prstGeom prst="line">
                              <a:avLst/>
                            </a:prstGeom>
                            <a:ln w="6350" cap="flat" cmpd="sng">
                              <a:solidFill>
                                <a:srgbClr val="000000"/>
                              </a:solidFill>
                              <a:prstDash val="solid"/>
                              <a:headEnd type="none" w="med" len="med"/>
                              <a:tailEnd type="stealth" w="med" len="med"/>
                            </a:ln>
                          </wps:spPr>
                          <wps:bodyPr upright="1"/>
                        </wps:wsp>
                        <wps:wsp>
                          <wps:cNvPr id="287" name="文本框 499"/>
                          <wps:cNvSpPr txBox="1"/>
                          <wps:spPr>
                            <a:xfrm>
                              <a:off x="2038" y="4875"/>
                              <a:ext cx="2457" cy="40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B89826">
                                <w:pPr>
                                  <w:pStyle w:val="183"/>
                                </w:pPr>
                                <w:r>
                                  <w:rPr>
                                    <w:rFonts w:hint="eastAsia"/>
                                  </w:rPr>
                                  <w:t>检查地基允许承载力</w:t>
                                </w:r>
                              </w:p>
                            </w:txbxContent>
                          </wps:txbx>
                          <wps:bodyPr lIns="0" tIns="0" rIns="0" bIns="0" upright="1"/>
                        </wps:wsp>
                        <wps:wsp>
                          <wps:cNvPr id="288" name="文本框 500"/>
                          <wps:cNvSpPr txBox="1"/>
                          <wps:spPr>
                            <a:xfrm>
                              <a:off x="2058" y="5935"/>
                              <a:ext cx="2457"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6047D2">
                                <w:pPr>
                                  <w:pStyle w:val="183"/>
                                </w:pPr>
                                <w:r>
                                  <w:rPr>
                                    <w:rFonts w:hint="eastAsia"/>
                                  </w:rPr>
                                  <w:t>修整基床表面</w:t>
                                </w:r>
                              </w:p>
                            </w:txbxContent>
                          </wps:txbx>
                          <wps:bodyPr lIns="0" tIns="0" rIns="0" bIns="0" upright="1"/>
                        </wps:wsp>
                        <wps:wsp>
                          <wps:cNvPr id="289" name="直线 501"/>
                          <wps:cNvCnPr/>
                          <wps:spPr>
                            <a:xfrm rot="-10800000" flipV="1">
                              <a:off x="3256" y="3773"/>
                              <a:ext cx="0" cy="456"/>
                            </a:xfrm>
                            <a:prstGeom prst="line">
                              <a:avLst/>
                            </a:prstGeom>
                            <a:ln w="6350" cap="flat" cmpd="sng">
                              <a:solidFill>
                                <a:srgbClr val="000000"/>
                              </a:solidFill>
                              <a:prstDash val="solid"/>
                              <a:headEnd type="none" w="med" len="med"/>
                              <a:tailEnd type="stealth" w="med" len="med"/>
                            </a:ln>
                          </wps:spPr>
                          <wps:bodyPr upright="1"/>
                        </wps:wsp>
                        <wps:wsp>
                          <wps:cNvPr id="290" name="直线 502"/>
                          <wps:cNvCnPr/>
                          <wps:spPr>
                            <a:xfrm>
                              <a:off x="3261" y="3781"/>
                              <a:ext cx="3616" cy="0"/>
                            </a:xfrm>
                            <a:prstGeom prst="line">
                              <a:avLst/>
                            </a:prstGeom>
                            <a:ln w="6350" cap="flat" cmpd="sng">
                              <a:solidFill>
                                <a:srgbClr val="000000"/>
                              </a:solidFill>
                              <a:prstDash val="solid"/>
                              <a:headEnd type="none" w="med" len="med"/>
                              <a:tailEnd type="none" w="med" len="med"/>
                            </a:ln>
                          </wps:spPr>
                          <wps:bodyPr upright="1"/>
                        </wps:wsp>
                        <wps:wsp>
                          <wps:cNvPr id="291" name="直线 503"/>
                          <wps:cNvCnPr/>
                          <wps:spPr>
                            <a:xfrm>
                              <a:off x="6872" y="3781"/>
                              <a:ext cx="0" cy="1115"/>
                            </a:xfrm>
                            <a:prstGeom prst="line">
                              <a:avLst/>
                            </a:prstGeom>
                            <a:ln w="6350" cap="flat" cmpd="sng">
                              <a:solidFill>
                                <a:srgbClr val="000000"/>
                              </a:solidFill>
                              <a:prstDash val="solid"/>
                              <a:headEnd type="none" w="med" len="med"/>
                              <a:tailEnd type="stealth" w="med" len="med"/>
                            </a:ln>
                          </wps:spPr>
                          <wps:bodyPr upright="1"/>
                        </wps:wsp>
                        <wps:wsp>
                          <wps:cNvPr id="292" name="文本框 504"/>
                          <wps:cNvSpPr txBox="1"/>
                          <wps:spPr>
                            <a:xfrm>
                              <a:off x="7012" y="3931"/>
                              <a:ext cx="699" cy="490"/>
                            </a:xfrm>
                            <a:prstGeom prst="rect">
                              <a:avLst/>
                            </a:prstGeom>
                            <a:noFill/>
                            <a:ln w="6350" cap="flat" cmpd="sng">
                              <a:solidFill>
                                <a:srgbClr val="FFFFFF"/>
                              </a:solidFill>
                              <a:prstDash val="solid"/>
                              <a:miter/>
                              <a:headEnd type="none" w="med" len="med"/>
                              <a:tailEnd type="none" w="med" len="med"/>
                            </a:ln>
                          </wps:spPr>
                          <wps:txbx>
                            <w:txbxContent>
                              <w:p w14:paraId="12425A0B">
                                <w:pPr>
                                  <w:pStyle w:val="183"/>
                                  <w:ind w:left="0" w:leftChars="0" w:firstLine="0" w:firstLineChars="0"/>
                                  <w:jc w:val="both"/>
                                </w:pPr>
                                <w:r>
                                  <w:rPr>
                                    <w:rFonts w:hint="eastAsia"/>
                                  </w:rPr>
                                  <w:t>石方</w:t>
                                </w:r>
                              </w:p>
                            </w:txbxContent>
                          </wps:txbx>
                          <wps:bodyPr lIns="0" tIns="0" rIns="0" bIns="0" upright="1"/>
                        </wps:wsp>
                        <wps:wsp>
                          <wps:cNvPr id="293" name="文本框 505"/>
                          <wps:cNvSpPr txBox="1"/>
                          <wps:spPr>
                            <a:xfrm>
                              <a:off x="2456" y="3793"/>
                              <a:ext cx="699" cy="354"/>
                            </a:xfrm>
                            <a:prstGeom prst="rect">
                              <a:avLst/>
                            </a:prstGeom>
                            <a:noFill/>
                            <a:ln w="6350" cap="flat" cmpd="sng">
                              <a:solidFill>
                                <a:srgbClr val="FFFFFF"/>
                              </a:solidFill>
                              <a:prstDash val="solid"/>
                              <a:miter/>
                              <a:headEnd type="none" w="med" len="med"/>
                              <a:tailEnd type="none" w="med" len="med"/>
                            </a:ln>
                          </wps:spPr>
                          <wps:txbx>
                            <w:txbxContent>
                              <w:p w14:paraId="3B6C9015">
                                <w:pPr>
                                  <w:pStyle w:val="183"/>
                                </w:pPr>
                                <w:r>
                                  <w:rPr>
                                    <w:rFonts w:hint="eastAsia"/>
                                  </w:rPr>
                                  <w:t>土</w:t>
                                </w:r>
                              </w:p>
                            </w:txbxContent>
                          </wps:txbx>
                          <wps:bodyPr lIns="0" tIns="0" rIns="0" bIns="0" upright="1"/>
                        </wps:wsp>
                        <wps:wsp>
                          <wps:cNvPr id="294" name="文本框 506"/>
                          <wps:cNvSpPr txBox="1"/>
                          <wps:spPr>
                            <a:xfrm>
                              <a:off x="3396" y="3814"/>
                              <a:ext cx="1079" cy="357"/>
                            </a:xfrm>
                            <a:prstGeom prst="rect">
                              <a:avLst/>
                            </a:prstGeom>
                            <a:noFill/>
                            <a:ln w="6350" cap="flat" cmpd="sng">
                              <a:solidFill>
                                <a:srgbClr val="FFFFFF"/>
                              </a:solidFill>
                              <a:prstDash val="solid"/>
                              <a:miter/>
                              <a:headEnd type="none" w="med" len="med"/>
                              <a:tailEnd type="none" w="med" len="med"/>
                            </a:ln>
                          </wps:spPr>
                          <wps:txbx>
                            <w:txbxContent>
                              <w:p w14:paraId="62E9E1D7">
                                <w:pPr>
                                  <w:pStyle w:val="183"/>
                                </w:pPr>
                              </w:p>
                            </w:txbxContent>
                          </wps:txbx>
                          <wps:bodyPr lIns="0" tIns="0" rIns="0" bIns="0" upright="1"/>
                        </wps:wsp>
                        <wps:wsp>
                          <wps:cNvPr id="295" name="自选图形 82"/>
                          <wps:cNvSpPr/>
                          <wps:spPr>
                            <a:xfrm>
                              <a:off x="999" y="5005"/>
                              <a:ext cx="1038" cy="1"/>
                            </a:xfrm>
                            <a:custGeom>
                              <a:avLst/>
                              <a:gdLst/>
                              <a:ahLst/>
                              <a:cxnLst/>
                              <a:pathLst>
                                <a:path w="1039" h="2">
                                  <a:moveTo>
                                    <a:pt x="1039" y="2"/>
                                  </a:moveTo>
                                  <a:lnTo>
                                    <a:pt x="0" y="0"/>
                                  </a:lnTo>
                                </a:path>
                              </a:pathLst>
                            </a:custGeom>
                            <a:noFill/>
                            <a:ln w="6350" cap="flat" cmpd="sng">
                              <a:solidFill>
                                <a:srgbClr val="000000"/>
                              </a:solidFill>
                              <a:prstDash val="solid"/>
                              <a:round/>
                              <a:headEnd type="none" w="med" len="med"/>
                              <a:tailEnd type="none" w="med" len="med"/>
                            </a:ln>
                          </wps:spPr>
                          <wps:bodyPr lIns="0" tIns="0" rIns="0" bIns="0" upright="1"/>
                        </wps:wsp>
                        <wps:wsp>
                          <wps:cNvPr id="296" name="任意多边形 83"/>
                          <wps:cNvSpPr/>
                          <wps:spPr>
                            <a:xfrm>
                              <a:off x="999" y="5005"/>
                              <a:ext cx="1" cy="395"/>
                            </a:xfrm>
                            <a:custGeom>
                              <a:avLst/>
                              <a:gdLst/>
                              <a:ahLst/>
                              <a:cxnLst/>
                              <a:pathLst>
                                <a:path w="1" h="465">
                                  <a:moveTo>
                                    <a:pt x="0" y="0"/>
                                  </a:moveTo>
                                  <a:lnTo>
                                    <a:pt x="0" y="465"/>
                                  </a:lnTo>
                                </a:path>
                              </a:pathLst>
                            </a:custGeom>
                            <a:noFill/>
                            <a:ln w="6350" cap="flat" cmpd="sng">
                              <a:solidFill>
                                <a:srgbClr val="000000"/>
                              </a:solidFill>
                              <a:prstDash val="solid"/>
                              <a:headEnd type="none" w="med" len="med"/>
                              <a:tailEnd type="stealth" w="med" len="med"/>
                            </a:ln>
                          </wps:spPr>
                          <wps:bodyPr upright="1"/>
                        </wps:wsp>
                        <wps:wsp>
                          <wps:cNvPr id="297" name="文本框 509"/>
                          <wps:cNvSpPr txBox="1"/>
                          <wps:spPr>
                            <a:xfrm>
                              <a:off x="100" y="4534"/>
                              <a:ext cx="1898" cy="405"/>
                            </a:xfrm>
                            <a:prstGeom prst="rect">
                              <a:avLst/>
                            </a:prstGeom>
                            <a:noFill/>
                            <a:ln w="6350" cap="flat" cmpd="sng">
                              <a:solidFill>
                                <a:srgbClr val="FFFFFF"/>
                              </a:solidFill>
                              <a:prstDash val="solid"/>
                              <a:miter/>
                              <a:headEnd type="none" w="med" len="med"/>
                              <a:tailEnd type="none" w="med" len="med"/>
                            </a:ln>
                          </wps:spPr>
                          <wps:txbx>
                            <w:txbxContent>
                              <w:p w14:paraId="0E556DE1">
                                <w:pPr>
                                  <w:pStyle w:val="183"/>
                                </w:pPr>
                                <w:r>
                                  <w:rPr>
                                    <w:rFonts w:hint="eastAsia"/>
                                  </w:rPr>
                                  <w:t>不合格</w:t>
                                </w:r>
                              </w:p>
                            </w:txbxContent>
                          </wps:txbx>
                          <wps:bodyPr lIns="0" tIns="0" rIns="0" bIns="0" upright="1"/>
                        </wps:wsp>
                        <wps:wsp>
                          <wps:cNvPr id="298" name="文本框 510"/>
                          <wps:cNvSpPr txBox="1"/>
                          <wps:spPr>
                            <a:xfrm>
                              <a:off x="3496" y="5417"/>
                              <a:ext cx="1938" cy="372"/>
                            </a:xfrm>
                            <a:prstGeom prst="rect">
                              <a:avLst/>
                            </a:prstGeom>
                            <a:noFill/>
                            <a:ln w="6350" cap="flat" cmpd="sng">
                              <a:solidFill>
                                <a:srgbClr val="FFFFFF"/>
                              </a:solidFill>
                              <a:prstDash val="solid"/>
                              <a:miter/>
                              <a:headEnd type="none" w="med" len="med"/>
                              <a:tailEnd type="none" w="med" len="med"/>
                            </a:ln>
                          </wps:spPr>
                          <wps:txbx>
                            <w:txbxContent>
                              <w:p w14:paraId="72E8E907">
                                <w:pPr>
                                  <w:pStyle w:val="183"/>
                                </w:pPr>
                                <w:r>
                                  <w:rPr>
                                    <w:rFonts w:hint="eastAsia"/>
                                  </w:rPr>
                                  <w:t>合格</w:t>
                                </w:r>
                              </w:p>
                            </w:txbxContent>
                          </wps:txbx>
                          <wps:bodyPr lIns="0" tIns="0" rIns="0" bIns="0" upright="1"/>
                        </wps:wsp>
                        <wps:wsp>
                          <wps:cNvPr id="400" name="文本框 511"/>
                          <wps:cNvSpPr txBox="1"/>
                          <wps:spPr>
                            <a:xfrm>
                              <a:off x="3975" y="7254"/>
                              <a:ext cx="2298"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50FA206">
                                <w:pPr>
                                  <w:pStyle w:val="183"/>
                                </w:pPr>
                                <w:r>
                                  <w:rPr>
                                    <w:rFonts w:hint="eastAsia"/>
                                  </w:rPr>
                                  <w:t>边坡及路基面整修</w:t>
                                </w:r>
                              </w:p>
                            </w:txbxContent>
                          </wps:txbx>
                          <wps:bodyPr lIns="0" tIns="0" rIns="0" bIns="0" upright="1"/>
                        </wps:wsp>
                        <wps:wsp>
                          <wps:cNvPr id="401" name="文本框 512"/>
                          <wps:cNvSpPr txBox="1"/>
                          <wps:spPr>
                            <a:xfrm>
                              <a:off x="3975" y="7911"/>
                              <a:ext cx="2318" cy="40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A6D408C">
                                <w:pPr>
                                  <w:pStyle w:val="183"/>
                                </w:pPr>
                                <w:r>
                                  <w:rPr>
                                    <w:rFonts w:hint="eastAsia"/>
                                  </w:rPr>
                                  <w:t>加 固 及 防 护</w:t>
                                </w:r>
                              </w:p>
                            </w:txbxContent>
                          </wps:txbx>
                          <wps:bodyPr lIns="0" tIns="0" rIns="0" bIns="0" upright="1"/>
                        </wps:wsp>
                        <wps:wsp>
                          <wps:cNvPr id="402" name="文本框 513"/>
                          <wps:cNvSpPr txBox="1"/>
                          <wps:spPr>
                            <a:xfrm>
                              <a:off x="3935" y="9495"/>
                              <a:ext cx="2338"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2B58EB">
                                <w:pPr>
                                  <w:pStyle w:val="183"/>
                                </w:pPr>
                                <w:r>
                                  <w:rPr>
                                    <w:rFonts w:hint="eastAsia"/>
                                  </w:rPr>
                                  <w:t>路 堑 成 型</w:t>
                                </w:r>
                              </w:p>
                            </w:txbxContent>
                          </wps:txbx>
                          <wps:bodyPr lIns="0" tIns="0" rIns="0" bIns="0" upright="1"/>
                        </wps:wsp>
                        <wps:wsp>
                          <wps:cNvPr id="403" name="文本框 514"/>
                          <wps:cNvSpPr txBox="1"/>
                          <wps:spPr>
                            <a:xfrm>
                              <a:off x="4280" y="9029"/>
                              <a:ext cx="639" cy="407"/>
                            </a:xfrm>
                            <a:prstGeom prst="rect">
                              <a:avLst/>
                            </a:prstGeom>
                            <a:noFill/>
                            <a:ln w="6350" cap="flat" cmpd="sng">
                              <a:solidFill>
                                <a:srgbClr val="FFFFFF"/>
                              </a:solidFill>
                              <a:prstDash val="solid"/>
                              <a:miter/>
                              <a:headEnd type="none" w="med" len="med"/>
                              <a:tailEnd type="none" w="med" len="med"/>
                            </a:ln>
                          </wps:spPr>
                          <wps:txbx>
                            <w:txbxContent>
                              <w:p w14:paraId="260CA56D">
                                <w:pPr>
                                  <w:pStyle w:val="183"/>
                                </w:pPr>
                                <w:r>
                                  <w:rPr>
                                    <w:rFonts w:hint="eastAsia"/>
                                  </w:rPr>
                                  <w:t>合</w:t>
                                </w:r>
                              </w:p>
                            </w:txbxContent>
                          </wps:txbx>
                          <wps:bodyPr lIns="0" tIns="0" rIns="0" bIns="0" anchor="b" anchorCtr="0" upright="1"/>
                        </wps:wsp>
                        <wps:wsp>
                          <wps:cNvPr id="404" name="直线 90"/>
                          <wps:cNvCnPr/>
                          <wps:spPr>
                            <a:xfrm>
                              <a:off x="2617" y="8872"/>
                              <a:ext cx="0" cy="205"/>
                            </a:xfrm>
                            <a:prstGeom prst="line">
                              <a:avLst/>
                            </a:prstGeom>
                            <a:ln w="6350" cap="flat" cmpd="sng">
                              <a:solidFill>
                                <a:srgbClr val="000000"/>
                              </a:solidFill>
                              <a:prstDash val="solid"/>
                              <a:headEnd type="none" w="med" len="med"/>
                              <a:tailEnd type="stealth" w="med" len="med"/>
                            </a:ln>
                          </wps:spPr>
                          <wps:bodyPr upright="1"/>
                        </wps:wsp>
                        <wps:wsp>
                          <wps:cNvPr id="405" name="文本框 516"/>
                          <wps:cNvSpPr txBox="1"/>
                          <wps:spPr>
                            <a:xfrm>
                              <a:off x="1878" y="9043"/>
                              <a:ext cx="1578"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06BBC00">
                                <w:pPr>
                                  <w:pStyle w:val="183"/>
                                </w:pPr>
                                <w:r>
                                  <w:rPr>
                                    <w:rFonts w:hint="eastAsia"/>
                                  </w:rPr>
                                  <w:t>碾压、整型</w:t>
                                </w:r>
                              </w:p>
                            </w:txbxContent>
                          </wps:txbx>
                          <wps:bodyPr lIns="0" tIns="0" rIns="0" bIns="0" upright="1"/>
                        </wps:wsp>
                        <wps:wsp>
                          <wps:cNvPr id="406" name="直线 92"/>
                          <wps:cNvCnPr/>
                          <wps:spPr>
                            <a:xfrm>
                              <a:off x="2632" y="9731"/>
                              <a:ext cx="1298" cy="0"/>
                            </a:xfrm>
                            <a:prstGeom prst="line">
                              <a:avLst/>
                            </a:prstGeom>
                            <a:ln w="6350" cap="flat" cmpd="sng">
                              <a:solidFill>
                                <a:srgbClr val="000000"/>
                              </a:solidFill>
                              <a:prstDash val="solid"/>
                              <a:headEnd type="none" w="med" len="med"/>
                              <a:tailEnd type="stealth" w="med" len="med"/>
                            </a:ln>
                          </wps:spPr>
                          <wps:bodyPr upright="1"/>
                        </wps:wsp>
                        <wps:wsp>
                          <wps:cNvPr id="407" name="直线 93"/>
                          <wps:cNvCnPr/>
                          <wps:spPr>
                            <a:xfrm>
                              <a:off x="2632" y="9465"/>
                              <a:ext cx="0" cy="270"/>
                            </a:xfrm>
                            <a:prstGeom prst="line">
                              <a:avLst/>
                            </a:prstGeom>
                            <a:ln w="6350" cap="flat" cmpd="sng">
                              <a:solidFill>
                                <a:srgbClr val="000000"/>
                              </a:solidFill>
                              <a:prstDash val="solid"/>
                              <a:headEnd type="none" w="med" len="med"/>
                              <a:tailEnd type="none" w="med" len="med"/>
                            </a:ln>
                          </wps:spPr>
                          <wps:bodyPr upright="1"/>
                        </wps:wsp>
                        <wps:wsp>
                          <wps:cNvPr id="408" name="文本框 519"/>
                          <wps:cNvSpPr txBox="1"/>
                          <wps:spPr>
                            <a:xfrm>
                              <a:off x="2617" y="8350"/>
                              <a:ext cx="1199" cy="389"/>
                            </a:xfrm>
                            <a:prstGeom prst="rect">
                              <a:avLst/>
                            </a:prstGeom>
                            <a:noFill/>
                            <a:ln w="6350" cap="flat" cmpd="sng">
                              <a:solidFill>
                                <a:srgbClr val="FFFFFF"/>
                              </a:solidFill>
                              <a:prstDash val="solid"/>
                              <a:miter/>
                              <a:headEnd type="none" w="med" len="med"/>
                              <a:tailEnd type="none" w="med" len="med"/>
                            </a:ln>
                          </wps:spPr>
                          <wps:txbx>
                            <w:txbxContent>
                              <w:p w14:paraId="53F21A69">
                                <w:pPr>
                                  <w:pStyle w:val="183"/>
                                </w:pPr>
                                <w:r>
                                  <w:rPr>
                                    <w:rFonts w:hint="eastAsia"/>
                                  </w:rPr>
                                  <w:t>不合格</w:t>
                                </w:r>
                              </w:p>
                            </w:txbxContent>
                          </wps:txbx>
                          <wps:bodyPr lIns="0" tIns="0" rIns="0" bIns="0" upright="1"/>
                        </wps:wsp>
                        <wps:wsp>
                          <wps:cNvPr id="409" name="直线 520"/>
                          <wps:cNvCnPr/>
                          <wps:spPr>
                            <a:xfrm>
                              <a:off x="5119" y="7659"/>
                              <a:ext cx="0" cy="265"/>
                            </a:xfrm>
                            <a:prstGeom prst="line">
                              <a:avLst/>
                            </a:prstGeom>
                            <a:ln w="6350" cap="flat" cmpd="sng">
                              <a:solidFill>
                                <a:srgbClr val="000000"/>
                              </a:solidFill>
                              <a:prstDash val="solid"/>
                              <a:headEnd type="none" w="med" len="med"/>
                              <a:tailEnd type="stealth" w="med" len="med"/>
                            </a:ln>
                          </wps:spPr>
                          <wps:bodyPr upright="1"/>
                        </wps:wsp>
                        <wps:wsp>
                          <wps:cNvPr id="410" name="任意多边形 96"/>
                          <wps:cNvSpPr/>
                          <wps:spPr>
                            <a:xfrm>
                              <a:off x="5116" y="8320"/>
                              <a:ext cx="3" cy="230"/>
                            </a:xfrm>
                            <a:custGeom>
                              <a:avLst/>
                              <a:gdLst/>
                              <a:ahLst/>
                              <a:cxnLst/>
                              <a:pathLst>
                                <a:path w="3" h="230">
                                  <a:moveTo>
                                    <a:pt x="3" y="0"/>
                                  </a:moveTo>
                                  <a:lnTo>
                                    <a:pt x="0" y="230"/>
                                  </a:lnTo>
                                </a:path>
                              </a:pathLst>
                            </a:custGeom>
                            <a:noFill/>
                            <a:ln w="6350" cap="flat" cmpd="sng">
                              <a:solidFill>
                                <a:srgbClr val="000000"/>
                              </a:solidFill>
                              <a:prstDash val="solid"/>
                              <a:headEnd type="none" w="med" len="med"/>
                              <a:tailEnd type="stealth" w="med" len="med"/>
                            </a:ln>
                          </wps:spPr>
                          <wps:bodyPr upright="1"/>
                        </wps:wsp>
                        <wps:wsp>
                          <wps:cNvPr id="411" name="文本框 522"/>
                          <wps:cNvSpPr txBox="1"/>
                          <wps:spPr>
                            <a:xfrm>
                              <a:off x="5539" y="9019"/>
                              <a:ext cx="639" cy="409"/>
                            </a:xfrm>
                            <a:prstGeom prst="rect">
                              <a:avLst/>
                            </a:prstGeom>
                            <a:noFill/>
                            <a:ln w="6350" cap="flat" cmpd="sng">
                              <a:solidFill>
                                <a:srgbClr val="FFFFFF"/>
                              </a:solidFill>
                              <a:prstDash val="solid"/>
                              <a:miter/>
                              <a:headEnd type="none" w="med" len="med"/>
                              <a:tailEnd type="none" w="med" len="med"/>
                            </a:ln>
                          </wps:spPr>
                          <wps:txbx>
                            <w:txbxContent>
                              <w:p w14:paraId="7A569D1E">
                                <w:pPr>
                                  <w:pStyle w:val="183"/>
                                </w:pPr>
                                <w:r>
                                  <w:rPr>
                                    <w:rFonts w:hint="eastAsia"/>
                                  </w:rPr>
                                  <w:t>格</w:t>
                                </w:r>
                              </w:p>
                            </w:txbxContent>
                          </wps:txbx>
                          <wps:bodyPr lIns="0" tIns="0" rIns="0" bIns="0" anchor="b" anchorCtr="0" upright="1"/>
                        </wps:wsp>
                        <wps:wsp>
                          <wps:cNvPr id="412" name="直线 98"/>
                          <wps:cNvCnPr/>
                          <wps:spPr>
                            <a:xfrm flipH="1">
                              <a:off x="5119" y="9176"/>
                              <a:ext cx="1" cy="332"/>
                            </a:xfrm>
                            <a:prstGeom prst="line">
                              <a:avLst/>
                            </a:prstGeom>
                            <a:ln w="6350" cap="flat" cmpd="sng">
                              <a:solidFill>
                                <a:srgbClr val="000000"/>
                              </a:solidFill>
                              <a:prstDash val="solid"/>
                              <a:headEnd type="none" w="med" len="med"/>
                              <a:tailEnd type="stealth" w="med" len="med"/>
                            </a:ln>
                          </wps:spPr>
                          <wps:bodyPr upright="1"/>
                        </wps:wsp>
                        <wps:wsp>
                          <wps:cNvPr id="413" name="直线 99"/>
                          <wps:cNvCnPr/>
                          <wps:spPr>
                            <a:xfrm>
                              <a:off x="3231" y="4627"/>
                              <a:ext cx="0" cy="263"/>
                            </a:xfrm>
                            <a:prstGeom prst="line">
                              <a:avLst/>
                            </a:prstGeom>
                            <a:ln w="6350" cap="flat" cmpd="sng">
                              <a:solidFill>
                                <a:srgbClr val="000000"/>
                              </a:solidFill>
                              <a:prstDash val="solid"/>
                              <a:headEnd type="none" w="med" len="med"/>
                              <a:tailEnd type="stealth" w="med" len="med"/>
                            </a:ln>
                          </wps:spPr>
                          <wps:bodyPr upright="1"/>
                        </wps:wsp>
                        <wps:wsp>
                          <wps:cNvPr id="414" name="直线 100"/>
                          <wps:cNvCnPr/>
                          <wps:spPr>
                            <a:xfrm>
                              <a:off x="3231" y="5285"/>
                              <a:ext cx="0" cy="660"/>
                            </a:xfrm>
                            <a:prstGeom prst="line">
                              <a:avLst/>
                            </a:prstGeom>
                            <a:ln w="6350" cap="flat" cmpd="sng">
                              <a:solidFill>
                                <a:srgbClr val="000000"/>
                              </a:solidFill>
                              <a:prstDash val="solid"/>
                              <a:headEnd type="none" w="med" len="med"/>
                              <a:tailEnd type="stealth" w="med" len="med"/>
                            </a:ln>
                          </wps:spPr>
                          <wps:bodyPr upright="1"/>
                        </wps:wsp>
                        <wps:wsp>
                          <wps:cNvPr id="415" name="自选图形 101"/>
                          <wps:cNvSpPr/>
                          <wps:spPr>
                            <a:xfrm>
                              <a:off x="963" y="5811"/>
                              <a:ext cx="6" cy="303"/>
                            </a:xfrm>
                            <a:custGeom>
                              <a:avLst/>
                              <a:gdLst/>
                              <a:ahLst/>
                              <a:cxnLst/>
                              <a:pathLst>
                                <a:path w="6" h="355">
                                  <a:moveTo>
                                    <a:pt x="6" y="0"/>
                                  </a:moveTo>
                                  <a:lnTo>
                                    <a:pt x="0" y="355"/>
                                  </a:lnTo>
                                </a:path>
                              </a:pathLst>
                            </a:custGeom>
                            <a:noFill/>
                            <a:ln w="6350" cap="flat" cmpd="sng">
                              <a:solidFill>
                                <a:srgbClr val="000000"/>
                              </a:solidFill>
                              <a:prstDash val="solid"/>
                              <a:round/>
                              <a:headEnd type="none" w="med" len="med"/>
                              <a:tailEnd type="none" w="med" len="med"/>
                            </a:ln>
                          </wps:spPr>
                          <wps:bodyPr lIns="0" tIns="0" rIns="0" bIns="0" upright="1"/>
                        </wps:wsp>
                        <wps:wsp>
                          <wps:cNvPr id="416" name="任意多边形 102"/>
                          <wps:cNvSpPr/>
                          <wps:spPr>
                            <a:xfrm>
                              <a:off x="5194" y="418"/>
                              <a:ext cx="6" cy="235"/>
                            </a:xfrm>
                            <a:custGeom>
                              <a:avLst/>
                              <a:gdLst/>
                              <a:ahLst/>
                              <a:cxnLst/>
                              <a:pathLst>
                                <a:path w="6" h="273">
                                  <a:moveTo>
                                    <a:pt x="0" y="0"/>
                                  </a:moveTo>
                                  <a:lnTo>
                                    <a:pt x="6" y="273"/>
                                  </a:lnTo>
                                </a:path>
                              </a:pathLst>
                            </a:custGeom>
                            <a:noFill/>
                            <a:ln w="6350" cap="flat" cmpd="sng">
                              <a:solidFill>
                                <a:srgbClr val="000000"/>
                              </a:solidFill>
                              <a:prstDash val="solid"/>
                              <a:headEnd type="none" w="med" len="med"/>
                              <a:tailEnd type="stealth" w="med" len="med"/>
                            </a:ln>
                          </wps:spPr>
                          <wps:bodyPr upright="1"/>
                        </wps:wsp>
                        <wps:wsp>
                          <wps:cNvPr id="417" name="任意多边形 103"/>
                          <wps:cNvSpPr/>
                          <wps:spPr>
                            <a:xfrm>
                              <a:off x="5191" y="1066"/>
                              <a:ext cx="3" cy="344"/>
                            </a:xfrm>
                            <a:custGeom>
                              <a:avLst/>
                              <a:gdLst/>
                              <a:ahLst/>
                              <a:cxnLst/>
                              <a:pathLst>
                                <a:path w="3" h="344">
                                  <a:moveTo>
                                    <a:pt x="3" y="0"/>
                                  </a:moveTo>
                                  <a:lnTo>
                                    <a:pt x="0" y="344"/>
                                  </a:lnTo>
                                </a:path>
                              </a:pathLst>
                            </a:custGeom>
                            <a:noFill/>
                            <a:ln w="6350" cap="flat" cmpd="sng">
                              <a:solidFill>
                                <a:srgbClr val="000000"/>
                              </a:solidFill>
                              <a:prstDash val="solid"/>
                              <a:headEnd type="none" w="med" len="med"/>
                              <a:tailEnd type="stealth" w="med" len="med"/>
                            </a:ln>
                          </wps:spPr>
                          <wps:bodyPr upright="1"/>
                        </wps:wsp>
                        <wps:wsp>
                          <wps:cNvPr id="418" name="任意多边形 104"/>
                          <wps:cNvSpPr/>
                          <wps:spPr>
                            <a:xfrm>
                              <a:off x="5194" y="1826"/>
                              <a:ext cx="6" cy="192"/>
                            </a:xfrm>
                            <a:custGeom>
                              <a:avLst/>
                              <a:gdLst/>
                              <a:ahLst/>
                              <a:cxnLst/>
                              <a:pathLst>
                                <a:path w="6" h="413">
                                  <a:moveTo>
                                    <a:pt x="0" y="0"/>
                                  </a:moveTo>
                                  <a:lnTo>
                                    <a:pt x="6" y="413"/>
                                  </a:lnTo>
                                </a:path>
                              </a:pathLst>
                            </a:custGeom>
                            <a:noFill/>
                            <a:ln w="6350" cap="flat" cmpd="sng">
                              <a:solidFill>
                                <a:srgbClr val="000000"/>
                              </a:solidFill>
                              <a:prstDash val="solid"/>
                              <a:headEnd type="none" w="med" len="med"/>
                              <a:tailEnd type="stealth" w="med" len="med"/>
                            </a:ln>
                          </wps:spPr>
                          <wps:bodyPr upright="1"/>
                        </wps:wsp>
                        <wps:wsp>
                          <wps:cNvPr id="419" name="任意多边形 105"/>
                          <wps:cNvSpPr/>
                          <wps:spPr>
                            <a:xfrm>
                              <a:off x="5176" y="2687"/>
                              <a:ext cx="4" cy="343"/>
                            </a:xfrm>
                            <a:custGeom>
                              <a:avLst/>
                              <a:gdLst/>
                              <a:ahLst/>
                              <a:cxnLst/>
                              <a:pathLst>
                                <a:path w="4" h="343">
                                  <a:moveTo>
                                    <a:pt x="4" y="0"/>
                                  </a:moveTo>
                                  <a:lnTo>
                                    <a:pt x="0" y="343"/>
                                  </a:lnTo>
                                </a:path>
                              </a:pathLst>
                            </a:custGeom>
                            <a:noFill/>
                            <a:ln w="6350" cap="flat" cmpd="sng">
                              <a:solidFill>
                                <a:srgbClr val="000000"/>
                              </a:solidFill>
                              <a:prstDash val="solid"/>
                              <a:headEnd type="none" w="med" len="med"/>
                              <a:tailEnd type="stealth" w="med" len="med"/>
                            </a:ln>
                          </wps:spPr>
                          <wps:bodyPr upright="1"/>
                        </wps:wsp>
                        <wps:wsp>
                          <wps:cNvPr id="420" name="直线 532"/>
                          <wps:cNvCnPr/>
                          <wps:spPr>
                            <a:xfrm>
                              <a:off x="5154" y="6756"/>
                              <a:ext cx="0" cy="501"/>
                            </a:xfrm>
                            <a:prstGeom prst="line">
                              <a:avLst/>
                            </a:prstGeom>
                            <a:ln w="6350" cap="flat" cmpd="sng">
                              <a:solidFill>
                                <a:srgbClr val="000000"/>
                              </a:solidFill>
                              <a:prstDash val="solid"/>
                              <a:headEnd type="none" w="med" len="med"/>
                              <a:tailEnd type="stealth" w="med" len="med"/>
                            </a:ln>
                          </wps:spPr>
                          <wps:bodyPr upright="1"/>
                        </wps:wsp>
                        <wps:wsp>
                          <wps:cNvPr id="421" name="自选图形 533"/>
                          <wps:cNvSpPr/>
                          <wps:spPr>
                            <a:xfrm>
                              <a:off x="3778" y="8541"/>
                              <a:ext cx="2681" cy="701"/>
                            </a:xfrm>
                            <a:prstGeom prst="diamond">
                              <a:avLst/>
                            </a:prstGeom>
                            <a:solidFill>
                              <a:srgbClr val="FFFFFF"/>
                            </a:solidFill>
                            <a:ln w="6350" cap="flat" cmpd="sng">
                              <a:solidFill>
                                <a:srgbClr val="000000"/>
                              </a:solidFill>
                              <a:prstDash val="solid"/>
                              <a:miter/>
                              <a:headEnd type="none" w="med" len="med"/>
                              <a:tailEnd type="none" w="med" len="med"/>
                            </a:ln>
                          </wps:spPr>
                          <wps:txbx>
                            <w:txbxContent>
                              <w:p w14:paraId="74AE0AA2">
                                <w:pPr>
                                  <w:pStyle w:val="183"/>
                                  <w:ind w:left="0" w:leftChars="0" w:firstLine="0" w:firstLineChars="0"/>
                                  <w:jc w:val="both"/>
                                </w:pPr>
                                <w:r>
                                  <w:rPr>
                                    <w:rFonts w:hint="eastAsia"/>
                                  </w:rPr>
                                  <w:t>路基面检查</w:t>
                                </w:r>
                              </w:p>
                            </w:txbxContent>
                          </wps:txbx>
                          <wps:bodyPr lIns="0" tIns="0" rIns="0" bIns="0" upright="1"/>
                        </wps:wsp>
                        <wps:wsp>
                          <wps:cNvPr id="422" name="任意多边形 108"/>
                          <wps:cNvSpPr/>
                          <wps:spPr>
                            <a:xfrm>
                              <a:off x="2611" y="8865"/>
                              <a:ext cx="1230" cy="1"/>
                            </a:xfrm>
                            <a:custGeom>
                              <a:avLst/>
                              <a:gdLst/>
                              <a:ahLst/>
                              <a:cxnLst/>
                              <a:pathLst>
                                <a:path w="1230" h="1">
                                  <a:moveTo>
                                    <a:pt x="0" y="0"/>
                                  </a:moveTo>
                                  <a:lnTo>
                                    <a:pt x="1230" y="0"/>
                                  </a:lnTo>
                                </a:path>
                              </a:pathLst>
                            </a:custGeom>
                            <a:noFill/>
                            <a:ln w="6350" cap="flat" cmpd="sng">
                              <a:solidFill>
                                <a:srgbClr val="000000"/>
                              </a:solidFill>
                              <a:prstDash val="solid"/>
                              <a:headEnd type="none" w="med" len="med"/>
                              <a:tailEnd type="none" w="med" len="med"/>
                            </a:ln>
                          </wps:spPr>
                          <wps:bodyPr upright="1"/>
                        </wps:wsp>
                        <wps:wsp>
                          <wps:cNvPr id="423" name="自选图形 535"/>
                          <wps:cNvSpPr/>
                          <wps:spPr>
                            <a:xfrm>
                              <a:off x="3562" y="2035"/>
                              <a:ext cx="3208" cy="684"/>
                            </a:xfrm>
                            <a:prstGeom prst="diamond">
                              <a:avLst/>
                            </a:prstGeom>
                            <a:solidFill>
                              <a:srgbClr val="FFFFFF"/>
                            </a:solidFill>
                            <a:ln w="9525" cap="flat" cmpd="sng">
                              <a:solidFill>
                                <a:srgbClr val="000000"/>
                              </a:solidFill>
                              <a:prstDash val="solid"/>
                              <a:miter/>
                              <a:headEnd type="none" w="med" len="med"/>
                              <a:tailEnd type="none" w="med" len="med"/>
                            </a:ln>
                          </wps:spPr>
                          <wps:txbx>
                            <w:txbxContent>
                              <w:p w14:paraId="0D7390E3">
                                <w:pPr>
                                  <w:pStyle w:val="183"/>
                                </w:pPr>
                                <w:r>
                                  <w:rPr>
                                    <w:rFonts w:hint="eastAsia"/>
                                  </w:rPr>
                                  <w:t>山体稳定检查</w:t>
                                </w:r>
                              </w:p>
                            </w:txbxContent>
                          </wps:txbx>
                          <wps:bodyPr lIns="91440" tIns="0" rIns="91440" bIns="0" upright="1"/>
                        </wps:wsp>
                        <wps:wsp>
                          <wps:cNvPr id="424" name="任意多边形 110"/>
                          <wps:cNvSpPr/>
                          <wps:spPr>
                            <a:xfrm>
                              <a:off x="3211" y="2399"/>
                              <a:ext cx="415" cy="1"/>
                            </a:xfrm>
                            <a:custGeom>
                              <a:avLst/>
                              <a:gdLst/>
                              <a:ahLst/>
                              <a:cxnLst/>
                              <a:pathLst>
                                <a:path w="415" h="1">
                                  <a:moveTo>
                                    <a:pt x="0" y="1"/>
                                  </a:moveTo>
                                  <a:lnTo>
                                    <a:pt x="415" y="0"/>
                                  </a:lnTo>
                                </a:path>
                              </a:pathLst>
                            </a:custGeom>
                            <a:noFill/>
                            <a:ln w="6350" cap="flat" cmpd="sng">
                              <a:solidFill>
                                <a:srgbClr val="000000"/>
                              </a:solidFill>
                              <a:prstDash val="solid"/>
                              <a:headEnd type="none" w="med" len="med"/>
                              <a:tailEnd type="none" w="med" len="med"/>
                            </a:ln>
                          </wps:spPr>
                          <wps:bodyPr upright="1"/>
                        </wps:wsp>
                        <wps:wsp>
                          <wps:cNvPr id="425" name="文本框 537"/>
                          <wps:cNvSpPr txBox="1"/>
                          <wps:spPr>
                            <a:xfrm>
                              <a:off x="5853" y="4896"/>
                              <a:ext cx="1918" cy="4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26981D7">
                                <w:pPr>
                                  <w:pStyle w:val="183"/>
                                </w:pPr>
                                <w:r>
                                  <w:rPr>
                                    <w:rFonts w:hint="eastAsia"/>
                                    <w:lang w:val="en-US" w:eastAsia="zh-CN"/>
                                  </w:rPr>
                                  <w:t>静爆</w:t>
                                </w:r>
                                <w:r>
                                  <w:rPr>
                                    <w:rFonts w:hint="eastAsia"/>
                                  </w:rPr>
                                  <w:t>开挖运输</w:t>
                                </w:r>
                              </w:p>
                            </w:txbxContent>
                          </wps:txbx>
                          <wps:bodyPr lIns="0" tIns="0" rIns="0" bIns="0" upright="1"/>
                        </wps:wsp>
                        <wps:wsp>
                          <wps:cNvPr id="426" name="文本框 538"/>
                          <wps:cNvSpPr txBox="1"/>
                          <wps:spPr>
                            <a:xfrm>
                              <a:off x="3396" y="3817"/>
                              <a:ext cx="699" cy="424"/>
                            </a:xfrm>
                            <a:prstGeom prst="rect">
                              <a:avLst/>
                            </a:prstGeom>
                            <a:noFill/>
                            <a:ln w="6350" cap="flat" cmpd="sng">
                              <a:solidFill>
                                <a:srgbClr val="FFFFFF"/>
                              </a:solidFill>
                              <a:prstDash val="solid"/>
                              <a:miter/>
                              <a:headEnd type="none" w="med" len="med"/>
                              <a:tailEnd type="none" w="med" len="med"/>
                            </a:ln>
                          </wps:spPr>
                          <wps:txbx>
                            <w:txbxContent>
                              <w:p w14:paraId="252730E9">
                                <w:pPr>
                                  <w:pStyle w:val="183"/>
                                  <w:ind w:left="0" w:leftChars="0" w:firstLine="0" w:firstLineChars="0"/>
                                  <w:jc w:val="both"/>
                                </w:pPr>
                                <w:r>
                                  <w:rPr>
                                    <w:rFonts w:hint="eastAsia"/>
                                  </w:rPr>
                                  <w:t>软石</w:t>
                                </w:r>
                              </w:p>
                            </w:txbxContent>
                          </wps:txbx>
                          <wps:bodyPr lIns="0" tIns="0" rIns="0" bIns="0" upright="1"/>
                        </wps:wsp>
                      </wpg:grpSp>
                      <wps:wsp>
                        <wps:cNvPr id="427" name="直线 494"/>
                        <wps:cNvCnPr/>
                        <wps:spPr>
                          <a:xfrm>
                            <a:off x="7298" y="334924"/>
                            <a:ext cx="1068" cy="8"/>
                          </a:xfrm>
                          <a:prstGeom prst="line">
                            <a:avLst/>
                          </a:prstGeom>
                          <a:ln w="6350" cap="flat" cmpd="sng">
                            <a:solidFill>
                              <a:srgbClr val="000000"/>
                            </a:solidFill>
                            <a:prstDash val="solid"/>
                            <a:headEnd type="none" w="med" len="med"/>
                            <a:tailEnd type="stealth" w="med" len="med"/>
                          </a:ln>
                        </wps:spPr>
                        <wps:bodyPr upright="1"/>
                      </wps:wsp>
                    </wpg:wgp>
                  </a:graphicData>
                </a:graphic>
              </wp:inline>
            </w:drawing>
          </mc:Choice>
          <mc:Fallback>
            <w:pict>
              <v:group id="组合 760" o:spid="_x0000_s1026" o:spt="203" style="height:398.1pt;width:388.5pt;" coordorigin="6324,329247" coordsize="7770,9176" o:gfxdata="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">
                <o:lock v:ext="edit" aspectratio="f"/>
                <v:group id="组合 484" o:spid="_x0000_s1026" o:spt="203" style="position:absolute;left:6324;top:329247;height:9177;width:7771;" coordsize="7771,9900" o:gfxdata="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EntDy+AAAA3AAAAA8AAAAAAAAAAQAgAAAAIgAAAGRycy9kb3ducmV2Lnht&#10;bFBLAQIUABQAAAAIAIdO4kAzLwWeOwAAADkAAAAVAAAAAAAAAAEAIAAAAA0BAABkcnMvZ3JvdXBz&#10;aGFwZXhtbC54bWxQSwUGAAAAAAYABgBgAQAAygMAAAAA&#10;">
                  <o:lock v:ext="edit" aspectratio="f"/>
                  <v:shape id="任意多边形 60" o:spid="_x0000_s1026" o:spt="100" style="position:absolute;left:3236;top:5336;height:1420;width:3596;" filled="f" stroked="t" coordsize="3600,1380" o:gfxdata="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P7R2/&#10;AAAA3AAAAA8AAAAAAAAAAQAgAAAAIgAAAGRycy9kb3ducmV2LnhtbFBLAQIUABQAAAAIAIdO4kAz&#10;LwWeOwAAADkAAAAQAAAAAAAAAAEAIAAAAA4BAABkcnMvc2hhcGV4bWwueG1sUEsFBgAAAAAGAAYA&#10;WwEAALgDAAAAAA==&#10;" path="m3600,0l3600,1380,0,1380,0,920e">
                    <v:fill on="f" focussize="0,0"/>
                    <v:stroke weight="0.5pt" color="#000000" joinstyle="round"/>
                    <v:imagedata o:title=""/>
                    <o:lock v:ext="edit" aspectratio="f"/>
                  </v:shape>
                  <v:shape id="文本框 486" o:spid="_x0000_s1026" o:spt="202" type="#_x0000_t202" style="position:absolute;left:0;top:5407;height:404;width:1798;" fillcolor="#FFFFFF" filled="t" stroked="t" coordsize="21600,21600" o:gfxdata="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qC4g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3BE16A20">
                          <w:pPr>
                            <w:pStyle w:val="183"/>
                          </w:pPr>
                          <w:r>
                            <w:rPr>
                              <w:rFonts w:hint="eastAsia"/>
                            </w:rPr>
                            <w:t>改良或加固基床</w:t>
                          </w:r>
                        </w:p>
                      </w:txbxContent>
                    </v:textbox>
                  </v:shape>
                  <v:shape id="文本框 487" o:spid="_x0000_s1026" o:spt="202" type="#_x0000_t202" style="position:absolute;left:2083;top:4226;height:404;width:2377;" fillcolor="#FFFFFF" filled="t" stroked="t" coordsize="21600,21600" o:gfxdata="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wdG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1DF3115">
                          <w:pPr>
                            <w:pStyle w:val="183"/>
                          </w:pPr>
                          <w:r>
                            <w:rPr>
                              <w:rFonts w:hint="eastAsia"/>
                            </w:rPr>
                            <w:t>机械开挖运输</w:t>
                          </w:r>
                        </w:p>
                      </w:txbxContent>
                    </v:textbox>
                  </v:shape>
                  <v:shape id="文本框 488" o:spid="_x0000_s1026" o:spt="202" type="#_x0000_t202" style="position:absolute;left:4215;top:0;height:406;width:1958;" fillcolor="#FFFFFF" filled="t" stroked="t" coordsize="21600,21600" o:gfxdata="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6Db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D289530">
                          <w:pPr>
                            <w:pStyle w:val="183"/>
                          </w:pPr>
                          <w:r>
                            <w:rPr>
                              <w:rFonts w:hint="eastAsia"/>
                            </w:rPr>
                            <w:t>施工组织准备</w:t>
                          </w:r>
                        </w:p>
                      </w:txbxContent>
                    </v:textbox>
                  </v:shape>
                  <v:shape id="文本框 489" o:spid="_x0000_s1026" o:spt="202" type="#_x0000_t202" style="position:absolute;left:4215;top:653;height:406;width:1958;" fillcolor="#FFFFFF" filled="t" stroked="t" coordsize="21600,21600" o:gfxdata="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nIm9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2FCF8AF2">
                          <w:pPr>
                            <w:pStyle w:val="183"/>
                          </w:pPr>
                          <w:r>
                            <w:rPr>
                              <w:rFonts w:hint="eastAsia"/>
                            </w:rPr>
                            <w:t>场 地 清 理</w:t>
                          </w:r>
                        </w:p>
                      </w:txbxContent>
                    </v:textbox>
                  </v:shape>
                  <v:shape id="文本框 490" o:spid="_x0000_s1026" o:spt="202" type="#_x0000_t202" style="position:absolute;left:4215;top:1415;height:403;width:1958;" fillcolor="#FFFFFF" filled="t" stroked="t" coordsize="21600,21600" o:gfxdata="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2yh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358721D2">
                          <w:pPr>
                            <w:pStyle w:val="183"/>
                          </w:pPr>
                          <w:r>
                            <w:rPr>
                              <w:rFonts w:hint="eastAsia"/>
                            </w:rPr>
                            <w:t>测 量 放 样</w:t>
                          </w:r>
                        </w:p>
                      </w:txbxContent>
                    </v:textbox>
                  </v:shape>
                  <v:shape id="文本框 491" o:spid="_x0000_s1026" o:spt="202" type="#_x0000_t202" style="position:absolute;left:4215;top:3039;height:405;width:1958;" fillcolor="#FFFFFF" filled="t" stroked="t" coordsize="21600,21600" o:gfxdata="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KEXH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6BBE541D">
                          <w:pPr>
                            <w:pStyle w:val="183"/>
                          </w:pPr>
                          <w:r>
                            <w:rPr>
                              <w:rFonts w:hint="eastAsia"/>
                            </w:rPr>
                            <w:t>施作堑顶水沟</w:t>
                          </w:r>
                        </w:p>
                      </w:txbxContent>
                    </v:textbox>
                  </v:shape>
                  <v:line id="直线 492" o:spid="_x0000_s1026" o:spt="20" style="position:absolute;left:3216;top:2396;height:236;width:0;" filled="f" stroked="t" coordsize="21600,21600" o:gfxdata="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gJkm8AAAA&#10;3AAAAA8AAAAAAAAAAQAgAAAAIgAAAGRycy9kb3ducmV2LnhtbFBLAQIUABQAAAAIAIdO4kAzLwWe&#10;OwAAADkAAAAQAAAAAAAAAAEAIAAAAAsBAABkcnMvc2hhcGV4bWwueG1sUEsFBgAAAAAGAAYAWwEA&#10;ALUDAAAAAA==&#10;">
                    <v:fill on="f" focussize="0,0"/>
                    <v:stroke weight="0.5pt" color="#000000" joinstyle="round" endarrow="classic"/>
                    <v:imagedata o:title=""/>
                    <o:lock v:ext="edit" aspectratio="f"/>
                  </v:line>
                  <v:shape id="文本框 493" o:spid="_x0000_s1026" o:spt="202" type="#_x0000_t202" style="position:absolute;left:2697;top:2648;height:406;width:1258;" fillcolor="#FFFFFF" filled="t" stroked="t" coordsize="21600,21600" o:gfxdata="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Caz2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292CCD82">
                          <w:pPr>
                            <w:pStyle w:val="183"/>
                          </w:pPr>
                          <w:r>
                            <w:rPr>
                              <w:rFonts w:hint="eastAsia"/>
                            </w:rPr>
                            <w:t>预 加 固</w:t>
                          </w:r>
                        </w:p>
                      </w:txbxContent>
                    </v:textbox>
                  </v:shape>
                  <v:line id="直线 494" o:spid="_x0000_s1026" o:spt="20" style="position:absolute;left:3206;top:3212;height:0;width:1019;" filled="f" stroked="t" coordsize="21600,21600" o:gfxdata="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r4d&#10;pc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line id="直线 495" o:spid="_x0000_s1026" o:spt="20" style="position:absolute;left:3186;top:3039;flip:y;height:167;width:0;" filled="f" stroked="t" coordsize="21600,21600" o:gfxdata="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o73L4A&#10;AADc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shape id="文本框 496" o:spid="_x0000_s1026" o:spt="202" type="#_x0000_t202" style="position:absolute;left:5414;top:2616;height:355;width:679;" filled="f" stroked="t" coordsize="21600,21600" o:gfxdata="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NR+VvQAA&#10;ANwAAAAPAAAAAAAAAAEAIAAAACIAAABkcnMvZG93bnJldi54bWxQSwECFAAUAAAACACHTuJAMy8F&#10;njsAAAA5AAAAEAAAAAAAAAABACAAAAAMAQAAZHJzL3NoYXBleG1sLnhtbFBLBQYAAAAABgAGAFsB&#10;AAC2AwAAAAA=&#10;">
                    <v:fill on="f" focussize="0,0"/>
                    <v:stroke weight="0.5pt" color="#FFFFFF" joinstyle="miter"/>
                    <v:imagedata o:title=""/>
                    <o:lock v:ext="edit" aspectratio="f"/>
                    <v:textbox inset="0mm,0mm,0mm,0mm">
                      <w:txbxContent>
                        <w:p w14:paraId="06A4D527">
                          <w:pPr>
                            <w:pStyle w:val="183"/>
                          </w:pPr>
                          <w:r>
                            <w:rPr>
                              <w:rFonts w:hint="eastAsia"/>
                            </w:rPr>
                            <w:t xml:space="preserve">是 </w:t>
                          </w:r>
                        </w:p>
                      </w:txbxContent>
                    </v:textbox>
                  </v:shape>
                  <v:shape id="文本框 497" o:spid="_x0000_s1026" o:spt="202" type="#_x0000_t202" style="position:absolute;left:3416;top:1990;height:304;width:579;" filled="f" stroked="t" coordsize="21600,21600" o:gfxdata="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eboOvQAA&#10;ANwAAAAPAAAAAAAAAAEAIAAAACIAAABkcnMvZG93bnJldi54bWxQSwECFAAUAAAACACHTuJAMy8F&#10;njsAAAA5AAAAEAAAAAAAAAABACAAAAAMAQAAZHJzL3NoYXBleG1sLnhtbFBLBQYAAAAABgAGAFsB&#10;AAC2AwAAAAA=&#10;">
                    <v:fill on="f" focussize="0,0"/>
                    <v:stroke weight="0.5pt" color="#FFFFFF" joinstyle="miter"/>
                    <v:imagedata o:title=""/>
                    <o:lock v:ext="edit" aspectratio="f"/>
                    <v:textbox inset="0mm,0mm,0mm,0mm">
                      <w:txbxContent>
                        <w:p w14:paraId="31FDA103">
                          <w:pPr>
                            <w:pStyle w:val="183"/>
                          </w:pPr>
                          <w:r>
                            <w:rPr>
                              <w:rFonts w:hint="eastAsia"/>
                            </w:rPr>
                            <w:t>否</w:t>
                          </w:r>
                        </w:p>
                      </w:txbxContent>
                    </v:textbox>
                  </v:shape>
                  <v:line id="直线 498" o:spid="_x0000_s1026" o:spt="20" style="position:absolute;left:5214;top:3461;height:320;width:0;" filled="f" stroked="t" coordsize="21600,21600" o:gfxdata="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YUb&#10;ps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shape id="文本框 499" o:spid="_x0000_s1026" o:spt="202" type="#_x0000_t202" style="position:absolute;left:2038;top:4875;height:407;width:2457;" fillcolor="#FFFFFF" filled="t" stroked="t" coordsize="21600,21600" o:gfxdata="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6dW0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21B89826">
                          <w:pPr>
                            <w:pStyle w:val="183"/>
                          </w:pPr>
                          <w:r>
                            <w:rPr>
                              <w:rFonts w:hint="eastAsia"/>
                            </w:rPr>
                            <w:t>检查地基允许承载力</w:t>
                          </w:r>
                        </w:p>
                      </w:txbxContent>
                    </v:textbox>
                  </v:shape>
                  <v:shape id="文本框 500" o:spid="_x0000_s1026" o:spt="202" type="#_x0000_t202" style="position:absolute;left:2058;top:5935;height:405;width:2457;" fillcolor="#FFFFFF" filled="t" stroked="t" coordsize="21600,21600" o:gfxdata="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jjCo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7B6047D2">
                          <w:pPr>
                            <w:pStyle w:val="183"/>
                          </w:pPr>
                          <w:r>
                            <w:rPr>
                              <w:rFonts w:hint="eastAsia"/>
                            </w:rPr>
                            <w:t>修整基床表面</w:t>
                          </w:r>
                        </w:p>
                      </w:txbxContent>
                    </v:textbox>
                  </v:shape>
                  <v:line id="直线 501" o:spid="_x0000_s1026" o:spt="20" style="position:absolute;left:3256;top:3773;flip:y;height:456;width:0;rotation:11796480f;" filled="f" stroked="t" coordsize="21600,21600" o:gfxdata="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2pr5&#10;wAAAANwAAAAPAAAAAAAAAAEAIAAAACIAAABkcnMvZG93bnJldi54bWxQSwECFAAUAAAACACHTuJA&#10;My8FnjsAAAA5AAAAEAAAAAAAAAABACAAAAAPAQAAZHJzL3NoYXBleG1sLnhtbFBLBQYAAAAABgAG&#10;AFsBAAC5AwAAAAA=&#10;">
                    <v:fill on="f" focussize="0,0"/>
                    <v:stroke weight="0.5pt" color="#000000" joinstyle="round" endarrow="classic"/>
                    <v:imagedata o:title=""/>
                    <o:lock v:ext="edit" aspectratio="f"/>
                  </v:line>
                  <v:line id="直线 502" o:spid="_x0000_s1026" o:spt="20" style="position:absolute;left:3261;top:3781;height:0;width:3616;" filled="f" stroked="t" coordsize="21600,21600" o:gfxdata="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Gajde5AAAA3A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503" o:spid="_x0000_s1026" o:spt="20" style="position:absolute;left:6872;top:3781;height:1115;width:0;" filled="f" stroked="t" coordsize="21600,21600" o:gfxdata="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7UV&#10;D8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shape id="文本框 504" o:spid="_x0000_s1026" o:spt="202" type="#_x0000_t202" style="position:absolute;left:7012;top:3931;height:490;width:699;" filled="f" stroked="t" coordsize="21600,21600" o:gfxdata="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Um0p74A&#10;AADcAAAADwAAAAAAAAABACAAAAAiAAAAZHJzL2Rvd25yZXYueG1sUEsBAhQAFAAAAAgAh07iQDMv&#10;BZ47AAAAOQAAABAAAAAAAAAAAQAgAAAADQEAAGRycy9zaGFwZXhtbC54bWxQSwUGAAAAAAYABgBb&#10;AQAAtwMAAAAA&#10;">
                    <v:fill on="f" focussize="0,0"/>
                    <v:stroke weight="0.5pt" color="#FFFFFF" joinstyle="miter"/>
                    <v:imagedata o:title=""/>
                    <o:lock v:ext="edit" aspectratio="f"/>
                    <v:textbox inset="0mm,0mm,0mm,0mm">
                      <w:txbxContent>
                        <w:p w14:paraId="12425A0B">
                          <w:pPr>
                            <w:pStyle w:val="183"/>
                            <w:ind w:left="0" w:leftChars="0" w:firstLine="0" w:firstLineChars="0"/>
                            <w:jc w:val="both"/>
                          </w:pPr>
                          <w:r>
                            <w:rPr>
                              <w:rFonts w:hint="eastAsia"/>
                            </w:rPr>
                            <w:t>石方</w:t>
                          </w:r>
                        </w:p>
                      </w:txbxContent>
                    </v:textbox>
                  </v:shape>
                  <v:shape id="文本框 505" o:spid="_x0000_s1026" o:spt="202" type="#_x0000_t202" style="position:absolute;left:2456;top:3793;height:354;width:699;" filled="f" stroked="t" coordsize="21600,21600" o:gfxdata="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FETy/&#10;AAAA3AAAAA8AAAAAAAAAAQAgAAAAIgAAAGRycy9kb3ducmV2LnhtbFBLAQIUABQAAAAIAIdO4kAz&#10;LwWeOwAAADkAAAAQAAAAAAAAAAEAIAAAAA4BAABkcnMvc2hhcGV4bWwueG1sUEsFBgAAAAAGAAYA&#10;WwEAALgDAAAAAA==&#10;">
                    <v:fill on="f" focussize="0,0"/>
                    <v:stroke weight="0.5pt" color="#FFFFFF" joinstyle="miter"/>
                    <v:imagedata o:title=""/>
                    <o:lock v:ext="edit" aspectratio="f"/>
                    <v:textbox inset="0mm,0mm,0mm,0mm">
                      <w:txbxContent>
                        <w:p w14:paraId="3B6C9015">
                          <w:pPr>
                            <w:pStyle w:val="183"/>
                          </w:pPr>
                          <w:r>
                            <w:rPr>
                              <w:rFonts w:hint="eastAsia"/>
                            </w:rPr>
                            <w:t>土</w:t>
                          </w:r>
                        </w:p>
                      </w:txbxContent>
                    </v:textbox>
                  </v:shape>
                  <v:shape id="文本框 506" o:spid="_x0000_s1026" o:spt="202" type="#_x0000_t202" style="position:absolute;left:3396;top:3814;height:357;width:1079;" filled="f" stroked="t" coordsize="21600,21600" o:gfxdata="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eyJSL4A&#10;AADcAAAADwAAAAAAAAABACAAAAAiAAAAZHJzL2Rvd25yZXYueG1sUEsBAhQAFAAAAAgAh07iQDMv&#10;BZ47AAAAOQAAABAAAAAAAAAAAQAgAAAADQEAAGRycy9zaGFwZXhtbC54bWxQSwUGAAAAAAYABgBb&#10;AQAAtwMAAAAA&#10;">
                    <v:fill on="f" focussize="0,0"/>
                    <v:stroke weight="0.5pt" color="#FFFFFF" joinstyle="miter"/>
                    <v:imagedata o:title=""/>
                    <o:lock v:ext="edit" aspectratio="f"/>
                    <v:textbox inset="0mm,0mm,0mm,0mm">
                      <w:txbxContent>
                        <w:p w14:paraId="62E9E1D7">
                          <w:pPr>
                            <w:pStyle w:val="183"/>
                          </w:pPr>
                        </w:p>
                      </w:txbxContent>
                    </v:textbox>
                  </v:shape>
                  <v:shape id="自选图形 82" o:spid="_x0000_s1026" o:spt="100" style="position:absolute;left:999;top:5005;height:1;width:1038;" filled="f" stroked="t" coordsize="1039,2" o:gfxdata="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rxFnb4A&#10;AADcAAAADwAAAAAAAAABACAAAAAiAAAAZHJzL2Rvd25yZXYueG1sUEsBAhQAFAAAAAgAh07iQDMv&#10;BZ47AAAAOQAAABAAAAAAAAAAAQAgAAAADQEAAGRycy9zaGFwZXhtbC54bWxQSwUGAAAAAAYABgBb&#10;AQAAtwMAAAAA&#10;" path="m1039,2l0,0e">
                    <v:fill on="f" focussize="0,0"/>
                    <v:stroke weight="0.5pt" color="#000000" joinstyle="round"/>
                    <v:imagedata o:title=""/>
                    <o:lock v:ext="edit" aspectratio="f"/>
                    <v:textbox inset="0mm,0mm,0mm,0mm"/>
                  </v:shape>
                  <v:shape id="任意多边形 83" o:spid="_x0000_s1026" o:spt="100" style="position:absolute;left:999;top:5005;height:395;width:1;" filled="f" stroked="t" coordsize="1,465" o:gfxdata="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kdcbvQAA&#10;ANwAAAAPAAAAAAAAAAEAIAAAACIAAABkcnMvZG93bnJldi54bWxQSwECFAAUAAAACACHTuJAMy8F&#10;njsAAAA5AAAAEAAAAAAAAAABACAAAAAMAQAAZHJzL3NoYXBleG1sLnhtbFBLBQYAAAAABgAGAFsB&#10;AAC2AwAAAAA=&#10;" path="m0,0l0,465e">
                    <v:fill on="f" focussize="0,0"/>
                    <v:stroke weight="0.5pt" color="#000000" joinstyle="round" endarrow="classic"/>
                    <v:imagedata o:title=""/>
                    <o:lock v:ext="edit" aspectratio="f"/>
                  </v:shape>
                  <v:shape id="文本框 509" o:spid="_x0000_s1026" o:spt="202" type="#_x0000_t202" style="position:absolute;left:100;top:4534;height:405;width:1898;" filled="f" stroked="t" coordsize="21600,21600" o:gfxdata="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Fz+/&#10;AAAA3AAAAA8AAAAAAAAAAQAgAAAAIgAAAGRycy9kb3ducmV2LnhtbFBLAQIUABQAAAAIAIdO4kAz&#10;LwWeOwAAADkAAAAQAAAAAAAAAAEAIAAAAA4BAABkcnMvc2hhcGV4bWwueG1sUEsFBgAAAAAGAAYA&#10;WwEAALgDAAAAAA==&#10;">
                    <v:fill on="f" focussize="0,0"/>
                    <v:stroke weight="0.5pt" color="#FFFFFF" joinstyle="miter"/>
                    <v:imagedata o:title=""/>
                    <o:lock v:ext="edit" aspectratio="f"/>
                    <v:textbox inset="0mm,0mm,0mm,0mm">
                      <w:txbxContent>
                        <w:p w14:paraId="0E556DE1">
                          <w:pPr>
                            <w:pStyle w:val="183"/>
                          </w:pPr>
                          <w:r>
                            <w:rPr>
                              <w:rFonts w:hint="eastAsia"/>
                            </w:rPr>
                            <w:t>不合格</w:t>
                          </w:r>
                        </w:p>
                      </w:txbxContent>
                    </v:textbox>
                  </v:shape>
                  <v:shape id="文本框 510" o:spid="_x0000_s1026" o:spt="202" type="#_x0000_t202" style="position:absolute;left:3496;top:5417;height:372;width:1938;" filled="f" stroked="t" coordsize="21600,21600" o:gfxdata="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hg028AAAA&#10;3AAAAA8AAAAAAAAAAQAgAAAAIgAAAGRycy9kb3ducmV2LnhtbFBLAQIUABQAAAAIAIdO4kAzLwWe&#10;OwAAADkAAAAQAAAAAAAAAAEAIAAAAAsBAABkcnMvc2hhcGV4bWwueG1sUEsFBgAAAAAGAAYAWwEA&#10;ALUDAAAAAA==&#10;">
                    <v:fill on="f" focussize="0,0"/>
                    <v:stroke weight="0.5pt" color="#FFFFFF" joinstyle="miter"/>
                    <v:imagedata o:title=""/>
                    <o:lock v:ext="edit" aspectratio="f"/>
                    <v:textbox inset="0mm,0mm,0mm,0mm">
                      <w:txbxContent>
                        <w:p w14:paraId="72E8E907">
                          <w:pPr>
                            <w:pStyle w:val="183"/>
                          </w:pPr>
                          <w:r>
                            <w:rPr>
                              <w:rFonts w:hint="eastAsia"/>
                            </w:rPr>
                            <w:t>合格</w:t>
                          </w:r>
                        </w:p>
                      </w:txbxContent>
                    </v:textbox>
                  </v:shape>
                  <v:shape id="文本框 511" o:spid="_x0000_s1026" o:spt="202" type="#_x0000_t202" style="position:absolute;left:3975;top:7254;height:405;width:2298;" fillcolor="#FFFFFF" filled="t" stroked="t" coordsize="21600,21600" o:gfxdata="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1g8E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mm,0mm,0mm,0mm">
                      <w:txbxContent>
                        <w:p w14:paraId="150FA206">
                          <w:pPr>
                            <w:pStyle w:val="183"/>
                          </w:pPr>
                          <w:r>
                            <w:rPr>
                              <w:rFonts w:hint="eastAsia"/>
                            </w:rPr>
                            <w:t>边坡及路基面整修</w:t>
                          </w:r>
                        </w:p>
                      </w:txbxContent>
                    </v:textbox>
                  </v:shape>
                  <v:shape id="文本框 512" o:spid="_x0000_s1026" o:spt="202" type="#_x0000_t202" style="position:absolute;left:3975;top:7911;height:409;width:2318;" fillcolor="#FFFFFF" filled="t" stroked="t" coordsize="21600,21600" o:gfxdata="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qqn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A6D408C">
                          <w:pPr>
                            <w:pStyle w:val="183"/>
                          </w:pPr>
                          <w:r>
                            <w:rPr>
                              <w:rFonts w:hint="eastAsia"/>
                            </w:rPr>
                            <w:t>加 固 及 防 护</w:t>
                          </w:r>
                        </w:p>
                      </w:txbxContent>
                    </v:textbox>
                  </v:shape>
                  <v:shape id="文本框 513" o:spid="_x0000_s1026" o:spt="202" type="#_x0000_t202" style="position:absolute;left:3935;top:9495;height:405;width:2338;" fillcolor="#FFFFFF" filled="t" stroked="t" coordsize="21600,21600" o:gfxdata="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SDTo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112B58EB">
                          <w:pPr>
                            <w:pStyle w:val="183"/>
                          </w:pPr>
                          <w:r>
                            <w:rPr>
                              <w:rFonts w:hint="eastAsia"/>
                            </w:rPr>
                            <w:t>路 堑 成 型</w:t>
                          </w:r>
                        </w:p>
                      </w:txbxContent>
                    </v:textbox>
                  </v:shape>
                  <v:shape id="文本框 514" o:spid="_x0000_s1026" o:spt="202" type="#_x0000_t202" style="position:absolute;left:4280;top:9029;height:407;width:639;v-text-anchor:bottom;" filled="f" stroked="t" coordsize="21600,21600" o:gfxdata="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ALOb4A&#10;AADcAAAADwAAAAAAAAABACAAAAAiAAAAZHJzL2Rvd25yZXYueG1sUEsBAhQAFAAAAAgAh07iQDMv&#10;BZ47AAAAOQAAABAAAAAAAAAAAQAgAAAADQEAAGRycy9zaGFwZXhtbC54bWxQSwUGAAAAAAYABgBb&#10;AQAAtwMAAAAA&#10;">
                    <v:fill on="f" focussize="0,0"/>
                    <v:stroke weight="0.5pt" color="#FFFFFF" joinstyle="miter"/>
                    <v:imagedata o:title=""/>
                    <o:lock v:ext="edit" aspectratio="f"/>
                    <v:textbox inset="0mm,0mm,0mm,0mm">
                      <w:txbxContent>
                        <w:p w14:paraId="260CA56D">
                          <w:pPr>
                            <w:pStyle w:val="183"/>
                          </w:pPr>
                          <w:r>
                            <w:rPr>
                              <w:rFonts w:hint="eastAsia"/>
                            </w:rPr>
                            <w:t>合</w:t>
                          </w:r>
                        </w:p>
                      </w:txbxContent>
                    </v:textbox>
                  </v:shape>
                  <v:line id="直线 90" o:spid="_x0000_s1026" o:spt="20" style="position:absolute;left:2617;top:8872;height:205;width:0;" filled="f" stroked="t" coordsize="21600,21600" o:gfxdata="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YPh&#10;6M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shape id="文本框 516" o:spid="_x0000_s1026" o:spt="202" type="#_x0000_t202" style="position:absolute;left:1878;top:9043;height:405;width:1578;" fillcolor="#FFFFFF" filled="t" stroked="t" coordsize="21600,21600" o:gfxdata="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6Gsn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06BBC00">
                          <w:pPr>
                            <w:pStyle w:val="183"/>
                          </w:pPr>
                          <w:r>
                            <w:rPr>
                              <w:rFonts w:hint="eastAsia"/>
                            </w:rPr>
                            <w:t>碾压、整型</w:t>
                          </w:r>
                        </w:p>
                      </w:txbxContent>
                    </v:textbox>
                  </v:shape>
                  <v:line id="直线 92" o:spid="_x0000_s1026" o:spt="20" style="position:absolute;left:2632;top:9731;height:0;width:1298;" filled="f" stroked="t" coordsize="21600,21600" o:gfxdata="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h3a&#10;BM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line id="直线 93" o:spid="_x0000_s1026" o:spt="20" style="position:absolute;left:2632;top:9465;height:270;width:0;" filled="f" stroked="t" coordsize="21600,21600" o:gfxdata="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yQty8AAAA&#10;3A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shape id="文本框 519" o:spid="_x0000_s1026" o:spt="202" type="#_x0000_t202" style="position:absolute;left:2617;top:8350;height:389;width:1199;" filled="f" stroked="t" coordsize="21600,21600" o:gfxdata="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uDUMrgAAADcAAAA&#10;DwAAAAAAAAABACAAAAAiAAAAZHJzL2Rvd25yZXYueG1sUEsBAhQAFAAAAAgAh07iQDMvBZ47AAAA&#10;OQAAABAAAAAAAAAAAQAgAAAABwEAAGRycy9zaGFwZXhtbC54bWxQSwUGAAAAAAYABgBbAQAAsQMA&#10;AAAA&#10;">
                    <v:fill on="f" focussize="0,0"/>
                    <v:stroke weight="0.5pt" color="#FFFFFF" joinstyle="miter"/>
                    <v:imagedata o:title=""/>
                    <o:lock v:ext="edit" aspectratio="f"/>
                    <v:textbox inset="0mm,0mm,0mm,0mm">
                      <w:txbxContent>
                        <w:p w14:paraId="53F21A69">
                          <w:pPr>
                            <w:pStyle w:val="183"/>
                          </w:pPr>
                          <w:r>
                            <w:rPr>
                              <w:rFonts w:hint="eastAsia"/>
                            </w:rPr>
                            <w:t>不合格</w:t>
                          </w:r>
                        </w:p>
                      </w:txbxContent>
                    </v:textbox>
                  </v:shape>
                  <v:line id="直线 520" o:spid="_x0000_s1026" o:spt="20" style="position:absolute;left:5119;top:7659;height:265;width:0;" filled="f" stroked="t" coordsize="21600,21600" o:gfxdata="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4JO&#10;ds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shape id="任意多边形 96" o:spid="_x0000_s1026" o:spt="100" style="position:absolute;left:5116;top:8320;height:230;width:3;" filled="f" stroked="t" coordsize="3,230" o:gfxdata="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of4WbsAAADc&#10;AAAADwAAAAAAAAABACAAAAAiAAAAZHJzL2Rvd25yZXYueG1sUEsBAhQAFAAAAAgAh07iQDMvBZ47&#10;AAAAOQAAABAAAAAAAAAAAQAgAAAACgEAAGRycy9zaGFwZXhtbC54bWxQSwUGAAAAAAYABgBbAQAA&#10;tAMAAAAA&#10;" path="m3,0l0,230e">
                    <v:fill on="f" focussize="0,0"/>
                    <v:stroke weight="0.5pt" color="#000000" joinstyle="round" endarrow="classic"/>
                    <v:imagedata o:title=""/>
                    <o:lock v:ext="edit" aspectratio="f"/>
                  </v:shape>
                  <v:shape id="文本框 522" o:spid="_x0000_s1026" o:spt="202" type="#_x0000_t202" style="position:absolute;left:5539;top:9019;height:409;width:639;v-text-anchor:bottom;" filled="f" stroked="t" coordsize="21600,21600" o:gfxdata="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emCL4A&#10;AADcAAAADwAAAAAAAAABACAAAAAiAAAAZHJzL2Rvd25yZXYueG1sUEsBAhQAFAAAAAgAh07iQDMv&#10;BZ47AAAAOQAAABAAAAAAAAAAAQAgAAAADQEAAGRycy9zaGFwZXhtbC54bWxQSwUGAAAAAAYABgBb&#10;AQAAtwMAAAAA&#10;">
                    <v:fill on="f" focussize="0,0"/>
                    <v:stroke weight="0.5pt" color="#FFFFFF" joinstyle="miter"/>
                    <v:imagedata o:title=""/>
                    <o:lock v:ext="edit" aspectratio="f"/>
                    <v:textbox inset="0mm,0mm,0mm,0mm">
                      <w:txbxContent>
                        <w:p w14:paraId="7A569D1E">
                          <w:pPr>
                            <w:pStyle w:val="183"/>
                          </w:pPr>
                          <w:r>
                            <w:rPr>
                              <w:rFonts w:hint="eastAsia"/>
                            </w:rPr>
                            <w:t>格</w:t>
                          </w:r>
                        </w:p>
                      </w:txbxContent>
                    </v:textbox>
                  </v:shape>
                  <v:line id="直线 98" o:spid="_x0000_s1026" o:spt="20" style="position:absolute;left:5119;top:9176;flip:x;height:332;width:1;" filled="f" stroked="t" coordsize="21600,21600" o:gfxdata="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N0EzvQAA&#10;ANwAAAAPAAAAAAAAAAEAIAAAACIAAABkcnMvZG93bnJldi54bWxQSwECFAAUAAAACACHTuJAMy8F&#10;njsAAAA5AAAAEAAAAAAAAAABACAAAAAMAQAAZHJzL3NoYXBleG1sLnhtbFBLBQYAAAAABgAGAFsB&#10;AAC2AwAAAAA=&#10;">
                    <v:fill on="f" focussize="0,0"/>
                    <v:stroke weight="0.5pt" color="#000000" joinstyle="round" endarrow="classic"/>
                    <v:imagedata o:title=""/>
                    <o:lock v:ext="edit" aspectratio="f"/>
                  </v:line>
                  <v:line id="直线 99" o:spid="_x0000_s1026" o:spt="20" style="position:absolute;left:3231;top:4627;height:263;width:0;" filled="f" stroked="t" coordsize="21600,21600" o:gfxdata="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7Pv&#10;Qc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line id="直线 100" o:spid="_x0000_s1026" o:spt="20" style="position:absolute;left:3231;top:5285;height:660;width:0;" filled="f" stroked="t" coordsize="21600,21600" o:gfxdata="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Fp3&#10;Nc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v:shape id="自选图形 101" o:spid="_x0000_s1026" o:spt="100" style="position:absolute;left:963;top:5811;height:303;width:6;" filled="f" stroked="t" coordsize="6,355" o:gfxdata="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g2PPb4A&#10;AADcAAAADwAAAAAAAAABACAAAAAiAAAAZHJzL2Rvd25yZXYueG1sUEsBAhQAFAAAAAgAh07iQDMv&#10;BZ47AAAAOQAAABAAAAAAAAAAAQAgAAAADQEAAGRycy9zaGFwZXhtbC54bWxQSwUGAAAAAAYABgBb&#10;AQAAtwMAAAAA&#10;" path="m6,0l0,355e">
                    <v:fill on="f" focussize="0,0"/>
                    <v:stroke weight="0.5pt" color="#000000" joinstyle="round"/>
                    <v:imagedata o:title=""/>
                    <o:lock v:ext="edit" aspectratio="f"/>
                    <v:textbox inset="0mm,0mm,0mm,0mm"/>
                  </v:shape>
                  <v:shape id="任意多边形 102" o:spid="_x0000_s1026" o:spt="100" style="position:absolute;left:5194;top:418;height:235;width:6;" filled="f" stroked="t" coordsize="6,273" o:gfxdata="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EOJ+/&#10;AAAA3AAAAA8AAAAAAAAAAQAgAAAAIgAAAGRycy9kb3ducmV2LnhtbFBLAQIUABQAAAAIAIdO4kAz&#10;LwWeOwAAADkAAAAQAAAAAAAAAAEAIAAAAA4BAABkcnMvc2hhcGV4bWwueG1sUEsFBgAAAAAGAAYA&#10;WwEAALgDAAAAAA==&#10;" path="m0,0l6,273e">
                    <v:fill on="f" focussize="0,0"/>
                    <v:stroke weight="0.5pt" color="#000000" joinstyle="round" endarrow="classic"/>
                    <v:imagedata o:title=""/>
                    <o:lock v:ext="edit" aspectratio="f"/>
                  </v:shape>
                  <v:shape id="任意多边形 103" o:spid="_x0000_s1026" o:spt="100" style="position:absolute;left:5191;top:1066;height:344;width:3;" filled="f" stroked="t" coordsize="3,344" o:gfxdata="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b4KFvQAA&#10;ANwAAAAPAAAAAAAAAAEAIAAAACIAAABkcnMvZG93bnJldi54bWxQSwECFAAUAAAACACHTuJAMy8F&#10;njsAAAA5AAAAEAAAAAAAAAABACAAAAAMAQAAZHJzL3NoYXBleG1sLnhtbFBLBQYAAAAABgAGAFsB&#10;AAC2AwAAAAA=&#10;" path="m3,0l0,344e">
                    <v:fill on="f" focussize="0,0"/>
                    <v:stroke weight="0.5pt" color="#000000" joinstyle="round" endarrow="classic"/>
                    <v:imagedata o:title=""/>
                    <o:lock v:ext="edit" aspectratio="f"/>
                  </v:shape>
                  <v:shape id="任意多边形 104" o:spid="_x0000_s1026" o:spt="100" style="position:absolute;left:5194;top:1826;height:192;width:6;" filled="f" stroked="t" coordsize="6,413" o:gfxdata="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g8wLsAAADc&#10;AAAADwAAAAAAAAABACAAAAAiAAAAZHJzL2Rvd25yZXYueG1sUEsBAhQAFAAAAAgAh07iQDMvBZ47&#10;AAAAOQAAABAAAAAAAAAAAQAgAAAACgEAAGRycy9zaGFwZXhtbC54bWxQSwUGAAAAAAYABgBbAQAA&#10;tAMAAAAA&#10;" path="m0,0l6,413e">
                    <v:fill on="f" focussize="0,0"/>
                    <v:stroke weight="0.5pt" color="#000000" joinstyle="round" endarrow="classic"/>
                    <v:imagedata o:title=""/>
                    <o:lock v:ext="edit" aspectratio="f"/>
                  </v:shape>
                  <v:shape id="任意多边形 105" o:spid="_x0000_s1026" o:spt="100" style="position:absolute;left:5176;top:2687;height:343;width:4;" filled="f" stroked="t" coordsize="4,343" o:gfxdata="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7YsM&#10;wAAAANwAAAAPAAAAAAAAAAEAIAAAACIAAABkcnMvZG93bnJldi54bWxQSwECFAAUAAAACACHTuJA&#10;My8FnjsAAAA5AAAAEAAAAAAAAAABACAAAAAPAQAAZHJzL3NoYXBleG1sLnhtbFBLBQYAAAAABgAG&#10;AFsBAAC5AwAAAAA=&#10;" path="m4,0l0,343e">
                    <v:fill on="f" focussize="0,0"/>
                    <v:stroke weight="0.5pt" color="#000000" joinstyle="round" endarrow="classic"/>
                    <v:imagedata o:title=""/>
                    <o:lock v:ext="edit" aspectratio="f"/>
                  </v:shape>
                  <v:line id="直线 532" o:spid="_x0000_s1026" o:spt="20" style="position:absolute;left:5154;top:6756;height:501;width:0;" filled="f" stroked="t" coordsize="21600,21600" o:gfxdata="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Nu4u/&#10;AAAA3AAAAA8AAAAAAAAAAQAgAAAAIgAAAGRycy9kb3ducmV2LnhtbFBLAQIUABQAAAAIAIdO4kAz&#10;LwWeOwAAADkAAAAQAAAAAAAAAAEAIAAAAA4BAABkcnMvc2hhcGV4bWwueG1sUEsFBgAAAAAGAAYA&#10;WwEAALgDAAAAAA==&#10;">
                    <v:fill on="f" focussize="0,0"/>
                    <v:stroke weight="0.5pt" color="#000000" joinstyle="round" endarrow="classic"/>
                    <v:imagedata o:title=""/>
                    <o:lock v:ext="edit" aspectratio="f"/>
                  </v:line>
                  <v:shape id="自选图形 533" o:spid="_x0000_s1026" o:spt="4" type="#_x0000_t4" style="position:absolute;left:3778;top:8541;height:701;width:2681;" fillcolor="#FFFFFF" filled="t" stroked="t" coordsize="21600,21600" o:gfxdata="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VZl+/&#10;AAAA3AAAAA8AAAAAAAAAAQAgAAAAIgAAAGRycy9kb3ducmV2LnhtbFBLAQIUABQAAAAIAIdO4kAz&#10;LwWeOwAAADkAAAAQAAAAAAAAAAEAIAAAAA4BAABkcnMvc2hhcGV4bWwueG1sUEsFBgAAAAAGAAYA&#10;WwEAALgDAAAAAA==&#10;">
                    <v:fill on="t" focussize="0,0"/>
                    <v:stroke weight="0.5pt" color="#000000" joinstyle="miter"/>
                    <v:imagedata o:title=""/>
                    <o:lock v:ext="edit" aspectratio="f"/>
                    <v:textbox inset="0mm,0mm,0mm,0mm">
                      <w:txbxContent>
                        <w:p w14:paraId="74AE0AA2">
                          <w:pPr>
                            <w:pStyle w:val="183"/>
                            <w:ind w:left="0" w:leftChars="0" w:firstLine="0" w:firstLineChars="0"/>
                            <w:jc w:val="both"/>
                          </w:pPr>
                          <w:r>
                            <w:rPr>
                              <w:rFonts w:hint="eastAsia"/>
                            </w:rPr>
                            <w:t>路基面检查</w:t>
                          </w:r>
                        </w:p>
                      </w:txbxContent>
                    </v:textbox>
                  </v:shape>
                  <v:shape id="任意多边形 108" o:spid="_x0000_s1026" o:spt="100" style="position:absolute;left:2611;top:8865;height:1;width:1230;" filled="f" stroked="t" coordsize="1230,1" o:gfxdata="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hrSpLsAAADc&#10;AAAADwAAAAAAAAABACAAAAAiAAAAZHJzL2Rvd25yZXYueG1sUEsBAhQAFAAAAAgAh07iQDMvBZ47&#10;AAAAOQAAABAAAAAAAAAAAQAgAAAACgEAAGRycy9zaGFwZXhtbC54bWxQSwUGAAAAAAYABgBbAQAA&#10;tAMAAAAA&#10;" path="m0,0l1230,0e">
                    <v:fill on="f" focussize="0,0"/>
                    <v:stroke weight="0.5pt" color="#000000" joinstyle="round"/>
                    <v:imagedata o:title=""/>
                    <o:lock v:ext="edit" aspectratio="f"/>
                  </v:shape>
                  <v:shape id="自选图形 535" o:spid="_x0000_s1026" o:spt="4" type="#_x0000_t4" style="position:absolute;left:3562;top:2035;height:684;width:3208;" fillcolor="#FFFFFF" filled="t" stroked="t" coordsize="21600,21600" o:gfxdata="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jFsh&#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4mm,0mm,2.54mm,0mm">
                      <w:txbxContent>
                        <w:p w14:paraId="0D7390E3">
                          <w:pPr>
                            <w:pStyle w:val="183"/>
                          </w:pPr>
                          <w:r>
                            <w:rPr>
                              <w:rFonts w:hint="eastAsia"/>
                            </w:rPr>
                            <w:t>山体稳定检查</w:t>
                          </w:r>
                        </w:p>
                      </w:txbxContent>
                    </v:textbox>
                  </v:shape>
                  <v:shape id="任意多边形 110" o:spid="_x0000_s1026" o:spt="100" style="position:absolute;left:3211;top:2399;height:1;width:415;" filled="f" stroked="t" coordsize="415,1" o:gfxdata="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vp+GvQAA&#10;ANwAAAAPAAAAAAAAAAEAIAAAACIAAABkcnMvZG93bnJldi54bWxQSwECFAAUAAAACACHTuJAMy8F&#10;njsAAAA5AAAAEAAAAAAAAAABACAAAAAMAQAAZHJzL3NoYXBleG1sLnhtbFBLBQYAAAAABgAGAFsB&#10;AAC2AwAAAAA=&#10;" path="m0,1l415,0e">
                    <v:fill on="f" focussize="0,0"/>
                    <v:stroke weight="0.5pt" color="#000000" joinstyle="round"/>
                    <v:imagedata o:title=""/>
                    <o:lock v:ext="edit" aspectratio="f"/>
                  </v:shape>
                  <v:shape id="文本框 537" o:spid="_x0000_s1026" o:spt="202" type="#_x0000_t202" style="position:absolute;left:5853;top:4896;height:424;width:1918;" fillcolor="#FFFFFF" filled="t" stroked="t" coordsize="21600,21600" o:gfxdata="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Tw/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126981D7">
                          <w:pPr>
                            <w:pStyle w:val="183"/>
                          </w:pPr>
                          <w:r>
                            <w:rPr>
                              <w:rFonts w:hint="eastAsia"/>
                              <w:lang w:val="en-US" w:eastAsia="zh-CN"/>
                            </w:rPr>
                            <w:t>静爆</w:t>
                          </w:r>
                          <w:r>
                            <w:rPr>
                              <w:rFonts w:hint="eastAsia"/>
                            </w:rPr>
                            <w:t>开挖运输</w:t>
                          </w:r>
                        </w:p>
                      </w:txbxContent>
                    </v:textbox>
                  </v:shape>
                  <v:shape id="文本框 538" o:spid="_x0000_s1026" o:spt="202" type="#_x0000_t202" style="position:absolute;left:3396;top:3817;height:424;width:699;" filled="f" stroked="t" coordsize="21600,21600" o:gfxdata="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ubu/&#10;AAAA3AAAAA8AAAAAAAAAAQAgAAAAIgAAAGRycy9kb3ducmV2LnhtbFBLAQIUABQAAAAIAIdO4kAz&#10;LwWeOwAAADkAAAAQAAAAAAAAAAEAIAAAAA4BAABkcnMvc2hhcGV4bWwueG1sUEsFBgAAAAAGAAYA&#10;WwEAALgDAAAAAA==&#10;">
                    <v:fill on="f" focussize="0,0"/>
                    <v:stroke weight="0.5pt" color="#FFFFFF" joinstyle="miter"/>
                    <v:imagedata o:title=""/>
                    <o:lock v:ext="edit" aspectratio="f"/>
                    <v:textbox inset="0mm,0mm,0mm,0mm">
                      <w:txbxContent>
                        <w:p w14:paraId="252730E9">
                          <w:pPr>
                            <w:pStyle w:val="183"/>
                            <w:ind w:left="0" w:leftChars="0" w:firstLine="0" w:firstLineChars="0"/>
                            <w:jc w:val="both"/>
                          </w:pPr>
                          <w:r>
                            <w:rPr>
                              <w:rFonts w:hint="eastAsia"/>
                            </w:rPr>
                            <w:t>软石</w:t>
                          </w:r>
                        </w:p>
                      </w:txbxContent>
                    </v:textbox>
                  </v:shape>
                </v:group>
                <v:line id="直线 494" o:spid="_x0000_s1026" o:spt="20" style="position:absolute;left:7298;top:334924;height:8;width:1068;" filled="f" stroked="t" coordsize="21600,21600" o:gfxdata="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uQj&#10;/8EAAADcAAAADwAAAAAAAAABACAAAAAiAAAAZHJzL2Rvd25yZXYueG1sUEsBAhQAFAAAAAgAh07i&#10;QDMvBZ47AAAAOQAAABAAAAAAAAAAAQAgAAAAEAEAAGRycy9zaGFwZXhtbC54bWxQSwUGAAAAAAYA&#10;BgBbAQAAugMAAAAA&#10;">
                  <v:fill on="f" focussize="0,0"/>
                  <v:stroke weight="0.5pt" color="#000000" joinstyle="round" endarrow="classic"/>
                  <v:imagedata o:title=""/>
                  <o:lock v:ext="edit" aspectratio="f"/>
                </v:line>
                <w10:wrap type="none"/>
                <w10:anchorlock/>
              </v:group>
            </w:pict>
          </mc:Fallback>
        </mc:AlternateContent>
      </w:r>
    </w:p>
    <w:p w14:paraId="2F037994">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t>图8.2 路堑开挖施工工艺图</w:t>
      </w:r>
    </w:p>
    <w:p w14:paraId="33ECFA5A">
      <w:pPr>
        <w:pStyle w:val="178"/>
        <w:rPr>
          <w:rFonts w:asciiTheme="minorEastAsia" w:hAnsiTheme="minorEastAsia" w:eastAsiaTheme="minorEastAsia"/>
          <w:szCs w:val="24"/>
          <w:highlight w:val="none"/>
        </w:rPr>
      </w:pPr>
      <w:r>
        <w:rPr>
          <w:rFonts w:asciiTheme="minorEastAsia" w:hAnsiTheme="minorEastAsia" w:eastAsiaTheme="minorEastAsia"/>
          <w:szCs w:val="24"/>
          <w:highlight w:val="none"/>
        </w:rPr>
        <w:t>施工前按设计图纸恢复中线，复测横断面，测设出开挖边线，先做出堑顶截水沟，确保施工作业面不积水。路堑边坡土石方开挖施工要求严格按照具体有关设计要求进行。开挖过程中埋设</w:t>
      </w:r>
      <w:r>
        <w:rPr>
          <w:rFonts w:hint="eastAsia" w:asciiTheme="minorEastAsia" w:hAnsiTheme="minorEastAsia" w:eastAsiaTheme="minorEastAsia"/>
          <w:szCs w:val="24"/>
          <w:highlight w:val="none"/>
        </w:rPr>
        <w:t>地表位移</w:t>
      </w:r>
      <w:r>
        <w:rPr>
          <w:rFonts w:asciiTheme="minorEastAsia" w:hAnsiTheme="minorEastAsia" w:eastAsiaTheme="minorEastAsia"/>
          <w:szCs w:val="24"/>
          <w:highlight w:val="none"/>
        </w:rPr>
        <w:t>观测桩，采用</w:t>
      </w:r>
      <w:r>
        <w:rPr>
          <w:rFonts w:hint="eastAsia" w:asciiTheme="minorEastAsia" w:hAnsiTheme="minorEastAsia" w:eastAsiaTheme="minorEastAsia"/>
          <w:szCs w:val="24"/>
          <w:highlight w:val="none"/>
        </w:rPr>
        <w:t>全站仪</w:t>
      </w:r>
      <w:r>
        <w:rPr>
          <w:rFonts w:asciiTheme="minorEastAsia" w:hAnsiTheme="minorEastAsia" w:eastAsiaTheme="minorEastAsia"/>
          <w:szCs w:val="24"/>
          <w:highlight w:val="none"/>
        </w:rPr>
        <w:t>对边坡坡顶、坡面加强监测。</w:t>
      </w:r>
    </w:p>
    <w:p w14:paraId="0F7C20C6">
      <w:pPr>
        <w:pStyle w:val="178"/>
        <w:rPr>
          <w:rFonts w:asciiTheme="minorEastAsia" w:hAnsiTheme="minorEastAsia" w:eastAsiaTheme="minorEastAsia"/>
          <w:szCs w:val="24"/>
          <w:highlight w:val="none"/>
        </w:rPr>
      </w:pPr>
      <w:r>
        <w:rPr>
          <w:rFonts w:asciiTheme="minorEastAsia" w:hAnsiTheme="minorEastAsia" w:eastAsiaTheme="minorEastAsia"/>
          <w:szCs w:val="24"/>
          <w:highlight w:val="none"/>
        </w:rPr>
        <w:t>土方路堑采用人工配合挖掘机开挖，施工时分段进行，每段自上而下分层开挖，并及时用人工配合挖掘机整刷边坡一次成形，开挖至路床面时鉴别核对土质，按设计要求进行处理，一般预留30cm厚的保护层等施工路床时再开挖。</w:t>
      </w:r>
      <w:r>
        <w:rPr>
          <w:rFonts w:hint="eastAsia" w:asciiTheme="minorEastAsia" w:hAnsiTheme="minorEastAsia" w:eastAsiaTheme="minorEastAsia"/>
          <w:szCs w:val="24"/>
          <w:highlight w:val="none"/>
        </w:rPr>
        <w:t>路基开挖按照“开挖一级，防护一级”的原则进行施工。</w:t>
      </w:r>
    </w:p>
    <w:p w14:paraId="15CC4D01">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根据施工现场与G15沈海高速的距离远近情况，石方采用普通爆破开挖石方、控制爆破开挖石方、非炸药爆破开挖石方等施工工艺，本项目计划根据实质情况采取不同施工方法。软弱石质路堑采用挖掘机切边大功率推土机开槽；对于挖掘机或推土机无法开挖的石质路堑，根据情况采用非炸药爆破开挖石方或控制爆破开挖石方，具体详见</w:t>
      </w:r>
      <w:r>
        <w:rPr>
          <w:rFonts w:hint="eastAsia" w:asciiTheme="minorEastAsia" w:hAnsiTheme="minorEastAsia" w:eastAsiaTheme="minorEastAsia" w:cstheme="minorEastAsia"/>
          <w:b w:val="0"/>
          <w:bCs w:val="0"/>
          <w:color w:val="000000" w:themeColor="text1"/>
          <w:kern w:val="2"/>
          <w:sz w:val="24"/>
          <w:szCs w:val="24"/>
          <w:highlight w:val="none"/>
          <w:lang w:val="en-US" w:eastAsia="zh-CN" w:bidi="ar-SA"/>
          <w14:textFill>
            <w14:solidFill>
              <w14:schemeClr w14:val="tx1"/>
            </w14:solidFill>
          </w14:textFill>
        </w:rPr>
        <w:t>路堑边坡控制爆破工程数量表</w:t>
      </w:r>
      <w:r>
        <w:rPr>
          <w:rFonts w:hint="eastAsia" w:asciiTheme="minorEastAsia" w:hAnsiTheme="minorEastAsia" w:eastAsiaTheme="minorEastAsia" w:cstheme="minorEastAsia"/>
          <w:szCs w:val="24"/>
          <w:highlight w:val="none"/>
          <w:lang w:val="en-US" w:eastAsia="zh-CN"/>
        </w:rPr>
        <w:t>8.2。</w:t>
      </w:r>
    </w:p>
    <w:p w14:paraId="21E3C6AB">
      <w:pPr>
        <w:pStyle w:val="178"/>
        <w:ind w:firstLine="0" w:firstLineChars="0"/>
        <w:jc w:val="cente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t>表8.2 路堑边坡控制爆破工程数量表</w:t>
      </w:r>
    </w:p>
    <w:tbl>
      <w:tblPr>
        <w:tblStyle w:val="47"/>
        <w:tblW w:w="821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9"/>
        <w:gridCol w:w="1355"/>
        <w:gridCol w:w="765"/>
        <w:gridCol w:w="636"/>
        <w:gridCol w:w="704"/>
        <w:gridCol w:w="985"/>
        <w:gridCol w:w="1040"/>
        <w:gridCol w:w="1029"/>
        <w:gridCol w:w="1277"/>
      </w:tblGrid>
      <w:tr w14:paraId="3B4EB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8" w:hRule="atLeast"/>
        </w:trPr>
        <w:tc>
          <w:tcPr>
            <w:tcW w:w="4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FD947">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w:t>
            </w:r>
            <w:r>
              <w:rPr>
                <w:rFonts w:hint="eastAsia" w:ascii="宋体" w:hAnsi="宋体" w:cs="宋体"/>
                <w:i w:val="0"/>
                <w:iCs w:val="0"/>
                <w:color w:val="000000"/>
                <w:kern w:val="0"/>
                <w:sz w:val="18"/>
                <w:szCs w:val="18"/>
                <w:u w:val="none"/>
                <w:lang w:val="en-US" w:eastAsia="zh-CN" w:bidi="ar"/>
              </w:rPr>
              <w:t>序</w:t>
            </w:r>
            <w:r>
              <w:rPr>
                <w:rFonts w:hint="eastAsia" w:ascii="宋体" w:hAnsi="宋体" w:eastAsia="宋体" w:cs="宋体"/>
                <w:i w:val="0"/>
                <w:iCs w:val="0"/>
                <w:color w:val="000000"/>
                <w:kern w:val="0"/>
                <w:sz w:val="18"/>
                <w:szCs w:val="18"/>
                <w:u w:val="none"/>
                <w:lang w:val="en-US" w:eastAsia="zh-CN" w:bidi="ar"/>
              </w:rPr>
              <w:t>号</w:t>
            </w:r>
          </w:p>
        </w:tc>
        <w:tc>
          <w:tcPr>
            <w:tcW w:w="13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14CF9">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起讫</w:t>
            </w:r>
            <w:r>
              <w:rPr>
                <w:rFonts w:hint="eastAsia" w:ascii="宋体" w:hAnsi="宋体" w:eastAsia="宋体" w:cs="宋体"/>
                <w:i w:val="0"/>
                <w:iCs w:val="0"/>
                <w:color w:val="000000"/>
                <w:kern w:val="0"/>
                <w:sz w:val="18"/>
                <w:szCs w:val="18"/>
                <w:u w:val="none"/>
                <w:lang w:val="en-US" w:eastAsia="zh-CN" w:bidi="ar"/>
              </w:rPr>
              <w:t>里程</w:t>
            </w:r>
          </w:p>
        </w:tc>
        <w:tc>
          <w:tcPr>
            <w:tcW w:w="7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5B3D9">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地名</w:t>
            </w: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A7A1C">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6F875">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长</w:t>
            </w:r>
            <w:r>
              <w:rPr>
                <w:rFonts w:hint="eastAsia" w:ascii="宋体" w:hAnsi="宋体" w:eastAsia="宋体" w:cs="宋体"/>
                <w:i w:val="0"/>
                <w:iCs w:val="0"/>
                <w:color w:val="000000"/>
                <w:kern w:val="0"/>
                <w:sz w:val="18"/>
                <w:szCs w:val="18"/>
                <w:u w:val="none"/>
                <w:lang w:val="en-US" w:eastAsia="zh-CN" w:bidi="ar"/>
              </w:rPr>
              <w:t>度</w:t>
            </w:r>
          </w:p>
          <w:p w14:paraId="00D6C5B3">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Style w:val="100"/>
                <w:rFonts w:hint="eastAsia"/>
                <w:sz w:val="18"/>
                <w:szCs w:val="18"/>
                <w:lang w:val="en-US" w:eastAsia="zh-CN" w:bidi="ar"/>
              </w:rPr>
              <w:t>（</w:t>
            </w:r>
            <w:r>
              <w:rPr>
                <w:rStyle w:val="100"/>
                <w:rFonts w:eastAsia="宋体"/>
                <w:sz w:val="18"/>
                <w:szCs w:val="18"/>
                <w:lang w:val="en-US" w:eastAsia="zh-CN" w:bidi="ar"/>
              </w:rPr>
              <w:t>m</w:t>
            </w:r>
            <w:r>
              <w:rPr>
                <w:rStyle w:val="100"/>
                <w:rFonts w:hint="eastAsia"/>
                <w:sz w:val="18"/>
                <w:szCs w:val="18"/>
                <w:lang w:val="en-US" w:eastAsia="zh-CN" w:bidi="ar"/>
              </w:rPr>
              <w:t>）</w:t>
            </w:r>
          </w:p>
        </w:tc>
        <w:tc>
          <w:tcPr>
            <w:tcW w:w="9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6E355">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敏感点</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6B7F1">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敏感点与爆破点距离</w:t>
            </w:r>
            <w:r>
              <w:rPr>
                <w:rStyle w:val="100"/>
                <w:rFonts w:hint="eastAsia"/>
                <w:sz w:val="18"/>
                <w:szCs w:val="18"/>
                <w:lang w:val="en-US" w:eastAsia="zh-CN" w:bidi="ar"/>
              </w:rPr>
              <w:t>（</w:t>
            </w:r>
            <w:r>
              <w:rPr>
                <w:rStyle w:val="100"/>
                <w:rFonts w:eastAsia="宋体"/>
                <w:sz w:val="18"/>
                <w:szCs w:val="18"/>
                <w:lang w:val="en-US" w:eastAsia="zh-CN" w:bidi="ar"/>
              </w:rPr>
              <w:t>m</w:t>
            </w:r>
            <w:r>
              <w:rPr>
                <w:rStyle w:val="100"/>
                <w:rFonts w:hint="eastAsia"/>
                <w:sz w:val="18"/>
                <w:szCs w:val="18"/>
                <w:lang w:val="en-US" w:eastAsia="zh-CN" w:bidi="ar"/>
              </w:rPr>
              <w:t>）</w:t>
            </w:r>
          </w:p>
        </w:tc>
        <w:tc>
          <w:tcPr>
            <w:tcW w:w="10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AB87F4">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数量</w:t>
            </w:r>
          </w:p>
          <w:p w14:paraId="4C0D4661">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（m³）</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E9A8B">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rPr>
            </w:pPr>
            <w:r>
              <w:rPr>
                <w:rFonts w:hint="eastAsia" w:ascii="宋体" w:hAnsi="宋体" w:cs="宋体"/>
                <w:i w:val="0"/>
                <w:iCs w:val="0"/>
                <w:color w:val="000000"/>
                <w:kern w:val="0"/>
                <w:sz w:val="18"/>
                <w:szCs w:val="18"/>
                <w:u w:val="none"/>
                <w:lang w:val="en-US" w:eastAsia="zh-CN" w:bidi="ar"/>
              </w:rPr>
              <w:t>爆破方式</w:t>
            </w:r>
          </w:p>
        </w:tc>
      </w:tr>
      <w:tr w14:paraId="276FF8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A4736">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1</w:t>
            </w:r>
            <w:r>
              <w:rPr>
                <w:rFonts w:hint="eastAsia" w:ascii="宋体" w:hAnsi="宋体" w:eastAsia="宋体" w:cs="宋体"/>
                <w:i w:val="0"/>
                <w:iCs w:val="0"/>
                <w:color w:val="000000"/>
                <w:kern w:val="0"/>
                <w:sz w:val="18"/>
                <w:szCs w:val="18"/>
                <w:u w:val="none"/>
                <w:lang w:val="en-US" w:eastAsia="zh-CN" w:bidi="ar"/>
              </w:rPr>
              <w:t>1</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0AD75">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16</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000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116</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460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13FB7">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B2F8E">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7A3F7">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460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05262">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9CE70">
            <w:pPr>
              <w:keepNext w:val="0"/>
              <w:keepLines w:val="0"/>
              <w:widowControl/>
              <w:suppressLineNumbers w:val="0"/>
              <w:ind w:firstLine="360" w:firstLineChars="20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0586B">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5583.2</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661BB">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液压锤</w:t>
            </w:r>
          </w:p>
        </w:tc>
      </w:tr>
      <w:tr w14:paraId="7F837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1AED3">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2</w:t>
            </w:r>
            <w:r>
              <w:rPr>
                <w:rFonts w:hint="eastAsia" w:ascii="宋体" w:hAnsi="宋体" w:eastAsia="宋体" w:cs="宋体"/>
                <w:i w:val="0"/>
                <w:iCs w:val="0"/>
                <w:color w:val="000000"/>
                <w:kern w:val="0"/>
                <w:sz w:val="18"/>
                <w:szCs w:val="18"/>
                <w:u w:val="none"/>
                <w:lang w:val="en-US" w:eastAsia="zh-CN" w:bidi="ar"/>
              </w:rPr>
              <w:t>2</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AE962">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16</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000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116</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460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62BE0">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73346">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D12E0">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460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8D053">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1DEE1">
            <w:pPr>
              <w:keepNext w:val="0"/>
              <w:keepLines w:val="0"/>
              <w:widowControl/>
              <w:suppressLineNumbers w:val="0"/>
              <w:ind w:firstLine="360" w:firstLineChars="20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DAC01">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1395.8</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2901E">
            <w:pPr>
              <w:ind w:left="0" w:leftChars="0" w:firstLine="0" w:firstLineChars="0"/>
              <w:jc w:val="both"/>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静态裂解</w:t>
            </w:r>
          </w:p>
        </w:tc>
      </w:tr>
      <w:tr w14:paraId="5A308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91B4B">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3</w:t>
            </w:r>
            <w:r>
              <w:rPr>
                <w:rFonts w:hint="eastAsia" w:ascii="宋体" w:hAnsi="宋体" w:eastAsia="宋体" w:cs="宋体"/>
                <w:i w:val="0"/>
                <w:iCs w:val="0"/>
                <w:color w:val="000000"/>
                <w:kern w:val="0"/>
                <w:sz w:val="18"/>
                <w:szCs w:val="18"/>
                <w:u w:val="none"/>
                <w:lang w:val="en-US" w:eastAsia="zh-CN" w:bidi="ar"/>
              </w:rPr>
              <w:t>3</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28BA7">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17</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560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117</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800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14B396">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F7B8E">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BBCB5">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240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6A519">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DC7F0">
            <w:pPr>
              <w:keepNext w:val="0"/>
              <w:keepLines w:val="0"/>
              <w:widowControl/>
              <w:suppressLineNumbers w:val="0"/>
              <w:ind w:firstLine="360" w:firstLineChars="20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A56F9">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5861.52</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963A5">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液压锤</w:t>
            </w:r>
          </w:p>
        </w:tc>
      </w:tr>
      <w:tr w14:paraId="54825B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ACD4F">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4</w:t>
            </w:r>
            <w:r>
              <w:rPr>
                <w:rFonts w:hint="eastAsia" w:ascii="宋体" w:hAnsi="宋体" w:eastAsia="宋体" w:cs="宋体"/>
                <w:i w:val="0"/>
                <w:iCs w:val="0"/>
                <w:color w:val="000000"/>
                <w:kern w:val="0"/>
                <w:sz w:val="18"/>
                <w:szCs w:val="18"/>
                <w:u w:val="none"/>
                <w:lang w:val="en-US" w:eastAsia="zh-CN" w:bidi="ar"/>
              </w:rPr>
              <w:t>4</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C773D">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17</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560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117</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800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980D2">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6CE8B">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F8C86">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240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AA783">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261366">
            <w:pPr>
              <w:keepNext w:val="0"/>
              <w:keepLines w:val="0"/>
              <w:widowControl/>
              <w:suppressLineNumbers w:val="0"/>
              <w:ind w:firstLine="360" w:firstLineChars="20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4EC47E">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1465.38</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F52B0">
            <w:pPr>
              <w:ind w:left="0" w:leftChars="0" w:firstLine="0" w:firstLineChars="0"/>
              <w:jc w:val="both"/>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静态裂解</w:t>
            </w:r>
          </w:p>
        </w:tc>
      </w:tr>
      <w:tr w14:paraId="14C3B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E9FE1">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5</w:t>
            </w:r>
            <w:r>
              <w:rPr>
                <w:rFonts w:hint="eastAsia" w:ascii="宋体" w:hAnsi="宋体" w:eastAsia="宋体" w:cs="宋体"/>
                <w:i w:val="0"/>
                <w:iCs w:val="0"/>
                <w:color w:val="000000"/>
                <w:kern w:val="0"/>
                <w:sz w:val="18"/>
                <w:szCs w:val="18"/>
                <w:u w:val="none"/>
                <w:lang w:val="en-US" w:eastAsia="zh-CN" w:bidi="ar"/>
              </w:rPr>
              <w:t>5</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FC59A">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18</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700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118</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900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F42CA">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5493B">
            <w:pPr>
              <w:ind w:left="0" w:leftChars="0" w:firstLine="0" w:firstLineChars="0"/>
              <w:jc w:val="both"/>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0D44CF">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200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D783B">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F299C">
            <w:pPr>
              <w:ind w:firstLine="360" w:firstLineChars="200"/>
              <w:jc w:val="left"/>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EC6F7">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1997.52</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DFDED">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液压锤</w:t>
            </w:r>
          </w:p>
        </w:tc>
      </w:tr>
      <w:tr w14:paraId="4E4DFC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ADB0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6</w:t>
            </w:r>
            <w:r>
              <w:rPr>
                <w:rFonts w:hint="eastAsia" w:ascii="宋体" w:hAnsi="宋体" w:eastAsia="宋体" w:cs="宋体"/>
                <w:i w:val="0"/>
                <w:iCs w:val="0"/>
                <w:color w:val="000000"/>
                <w:kern w:val="0"/>
                <w:sz w:val="18"/>
                <w:szCs w:val="18"/>
                <w:u w:val="none"/>
                <w:lang w:val="en-US" w:eastAsia="zh-CN" w:bidi="ar"/>
              </w:rPr>
              <w:t>6</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003F5">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18</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700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118</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900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C477E">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C91FE">
            <w:pPr>
              <w:ind w:left="0" w:leftChars="0" w:firstLine="0" w:firstLineChars="0"/>
              <w:jc w:val="both"/>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18D3D">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200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B138F">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FBEC2">
            <w:pPr>
              <w:ind w:firstLine="360" w:firstLineChars="200"/>
              <w:jc w:val="left"/>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8E8F5">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499.38</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B045">
            <w:pPr>
              <w:ind w:left="0" w:leftChars="0" w:firstLine="0" w:firstLineChars="0"/>
              <w:jc w:val="both"/>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静态裂解</w:t>
            </w:r>
          </w:p>
        </w:tc>
      </w:tr>
      <w:tr w14:paraId="03A8A7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210AA">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7</w:t>
            </w:r>
            <w:r>
              <w:rPr>
                <w:rFonts w:hint="eastAsia" w:ascii="宋体" w:hAnsi="宋体" w:eastAsia="宋体" w:cs="宋体"/>
                <w:i w:val="0"/>
                <w:iCs w:val="0"/>
                <w:color w:val="000000"/>
                <w:kern w:val="0"/>
                <w:sz w:val="18"/>
                <w:szCs w:val="18"/>
                <w:u w:val="none"/>
                <w:lang w:val="en-US" w:eastAsia="zh-CN" w:bidi="ar"/>
              </w:rPr>
              <w:t>7</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743D1">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19</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140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119</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620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AC993">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CC9C6">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1FE72">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480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E2E9B5">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97D31">
            <w:pPr>
              <w:keepNext w:val="0"/>
              <w:keepLines w:val="0"/>
              <w:widowControl/>
              <w:suppressLineNumbers w:val="0"/>
              <w:ind w:firstLine="360" w:firstLineChars="200"/>
              <w:jc w:val="left"/>
              <w:textAlignment w:val="center"/>
              <w:rPr>
                <w:rFonts w:hint="eastAsia" w:asciiTheme="minorEastAsia" w:hAnsiTheme="minorEastAsia" w:eastAsiaTheme="minorEastAsia" w:cstheme="minorEastAsia"/>
                <w:b w:val="0"/>
                <w:bCs w:val="0"/>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0E7FB">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7538.72</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41019">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液压锤</w:t>
            </w:r>
          </w:p>
        </w:tc>
      </w:tr>
      <w:tr w14:paraId="11C0B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C4059">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kern w:val="0"/>
                <w:sz w:val="18"/>
                <w:szCs w:val="18"/>
                <w:u w:val="none"/>
                <w:lang w:val="en-US" w:eastAsia="zh-CN" w:bidi="ar"/>
              </w:rPr>
              <w:t>8</w:t>
            </w:r>
            <w:r>
              <w:rPr>
                <w:rFonts w:hint="eastAsia" w:ascii="宋体" w:hAnsi="宋体" w:eastAsia="宋体" w:cs="宋体"/>
                <w:i w:val="0"/>
                <w:iCs w:val="0"/>
                <w:color w:val="000000"/>
                <w:kern w:val="0"/>
                <w:sz w:val="18"/>
                <w:szCs w:val="18"/>
                <w:u w:val="none"/>
                <w:lang w:val="en-US" w:eastAsia="zh-CN" w:bidi="ar"/>
              </w:rPr>
              <w:t>8</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F84BA">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19</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140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119</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620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5BC57">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梅州乡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EF419">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B6F32">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480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C6A9F">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C852B">
            <w:pPr>
              <w:keepNext w:val="0"/>
              <w:keepLines w:val="0"/>
              <w:widowControl/>
              <w:suppressLineNumbers w:val="0"/>
              <w:ind w:firstLine="360" w:firstLineChars="200"/>
              <w:jc w:val="left"/>
              <w:textAlignment w:val="center"/>
              <w:rPr>
                <w:rFonts w:hint="eastAsia" w:asciiTheme="minorEastAsia" w:hAnsiTheme="minorEastAsia" w:eastAsiaTheme="minorEastAsia" w:cstheme="minorEastAsia"/>
                <w:b w:val="0"/>
                <w:bCs w:val="0"/>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B912A">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sz w:val="18"/>
                <w:szCs w:val="18"/>
                <w:u w:val="none"/>
                <w:lang w:val="en-US" w:eastAsia="zh-CN"/>
              </w:rPr>
            </w:pPr>
            <w:r>
              <w:rPr>
                <w:rFonts w:hint="eastAsia" w:ascii="宋体" w:hAnsi="宋体" w:cs="宋体"/>
                <w:i w:val="0"/>
                <w:iCs w:val="0"/>
                <w:color w:val="000000"/>
                <w:sz w:val="18"/>
                <w:szCs w:val="18"/>
                <w:u w:val="none"/>
                <w:lang w:val="en-US" w:eastAsia="zh-CN"/>
              </w:rPr>
              <w:t>1881.68</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EAA3F">
            <w:pPr>
              <w:ind w:left="0" w:leftChars="0" w:firstLine="0" w:firstLineChars="0"/>
              <w:jc w:val="both"/>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静态裂解</w:t>
            </w:r>
          </w:p>
        </w:tc>
      </w:tr>
      <w:tr w14:paraId="0E3A18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66740">
            <w:pPr>
              <w:keepNext w:val="0"/>
              <w:keepLines w:val="0"/>
              <w:widowControl/>
              <w:suppressLineNumbers w:val="0"/>
              <w:jc w:val="center"/>
              <w:textAlignment w:val="center"/>
              <w:rPr>
                <w:rFonts w:hint="default" w:ascii="宋体" w:hAnsi="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99</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98474">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24</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200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125</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290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FFB5E">
            <w:pPr>
              <w:keepNext w:val="0"/>
              <w:keepLines w:val="0"/>
              <w:widowControl/>
              <w:suppressLineNumbers w:val="0"/>
              <w:ind w:left="0" w:leftChars="0" w:firstLine="0" w:firstLineChars="0"/>
              <w:jc w:val="both"/>
              <w:textAlignment w:val="center"/>
              <w:rPr>
                <w:rFonts w:hint="default" w:ascii="新宋体" w:hAnsi="新宋体" w:eastAsia="新宋体" w:cs="新宋体"/>
                <w:i w:val="0"/>
                <w:iCs w:val="0"/>
                <w:color w:val="000000"/>
                <w:kern w:val="0"/>
                <w:sz w:val="18"/>
                <w:szCs w:val="18"/>
                <w:u w:val="none"/>
                <w:lang w:val="en-US" w:eastAsia="zh-CN" w:bidi="ar"/>
              </w:rPr>
            </w:pPr>
            <w:r>
              <w:rPr>
                <w:rFonts w:hint="eastAsia" w:ascii="新宋体" w:hAnsi="新宋体" w:eastAsia="新宋体" w:cs="新宋体"/>
                <w:i w:val="0"/>
                <w:iCs w:val="0"/>
                <w:color w:val="000000"/>
                <w:kern w:val="0"/>
                <w:sz w:val="18"/>
                <w:szCs w:val="18"/>
                <w:u w:val="none"/>
                <w:lang w:val="en-US" w:eastAsia="zh-CN" w:bidi="ar"/>
              </w:rPr>
              <w:t>金星乡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7F5DC">
            <w:pPr>
              <w:keepNext w:val="0"/>
              <w:keepLines w:val="0"/>
              <w:widowControl/>
              <w:suppressLineNumbers w:val="0"/>
              <w:ind w:left="0" w:leftChars="0" w:firstLine="0" w:firstLineChars="0"/>
              <w:jc w:val="both"/>
              <w:textAlignment w:val="center"/>
              <w:rPr>
                <w:rFonts w:ascii="新宋体" w:hAnsi="新宋体" w:eastAsia="新宋体" w:cs="新宋体"/>
                <w:i w:val="0"/>
                <w:iCs w:val="0"/>
                <w:color w:val="000000"/>
                <w:kern w:val="0"/>
                <w:sz w:val="18"/>
                <w:szCs w:val="18"/>
                <w:u w:val="none"/>
                <w:lang w:val="en-US" w:eastAsia="zh-CN" w:bidi="ar"/>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758F2">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1090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30340A">
            <w:pPr>
              <w:keepNext w:val="0"/>
              <w:keepLines w:val="0"/>
              <w:widowControl/>
              <w:suppressLineNumbers w:val="0"/>
              <w:ind w:left="0" w:leftChars="0" w:firstLine="0" w:firstLineChars="0"/>
              <w:jc w:val="both"/>
              <w:textAlignment w:val="center"/>
              <w:rPr>
                <w:rFonts w:ascii="新宋体" w:hAnsi="新宋体" w:eastAsia="新宋体" w:cs="新宋体"/>
                <w:i w:val="0"/>
                <w:iCs w:val="0"/>
                <w:color w:val="000000"/>
                <w:kern w:val="0"/>
                <w:sz w:val="18"/>
                <w:szCs w:val="18"/>
                <w:u w:val="none"/>
                <w:lang w:val="en-US" w:eastAsia="zh-CN" w:bidi="ar"/>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9C8ACE">
            <w:pPr>
              <w:keepNext w:val="0"/>
              <w:keepLines w:val="0"/>
              <w:widowControl/>
              <w:suppressLineNumbers w:val="0"/>
              <w:ind w:firstLine="360" w:firstLineChars="200"/>
              <w:jc w:val="left"/>
              <w:textAlignment w:val="center"/>
              <w:rPr>
                <w:rFonts w:hint="eastAsia" w:asciiTheme="minorEastAsia" w:hAnsiTheme="minorEastAsia" w:eastAsiaTheme="minorEastAsia" w:cstheme="minorEastAsia"/>
                <w:b w:val="0"/>
                <w:bCs w:val="0"/>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592E5">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87310.72</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FFFEB">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液压锤</w:t>
            </w:r>
          </w:p>
        </w:tc>
      </w:tr>
      <w:tr w14:paraId="5D647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4" w:hRule="exact"/>
        </w:trPr>
        <w:tc>
          <w:tcPr>
            <w:tcW w:w="4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3F598">
            <w:pPr>
              <w:keepNext w:val="0"/>
              <w:keepLines w:val="0"/>
              <w:widowControl/>
              <w:suppressLineNumbers w:val="0"/>
              <w:jc w:val="center"/>
              <w:textAlignment w:val="center"/>
              <w:rPr>
                <w:rFonts w:hint="default" w:ascii="宋体" w:hAnsi="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110</w:t>
            </w:r>
          </w:p>
        </w:tc>
        <w:tc>
          <w:tcPr>
            <w:tcW w:w="13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1A109">
            <w:pPr>
              <w:keepNext w:val="0"/>
              <w:keepLines w:val="0"/>
              <w:widowControl/>
              <w:suppressLineNumbers w:val="0"/>
              <w:ind w:left="0" w:leftChars="0" w:firstLine="0" w:firstLineChars="0"/>
              <w:jc w:val="both"/>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K1</w:t>
            </w:r>
            <w:r>
              <w:rPr>
                <w:rFonts w:hint="eastAsia" w:ascii="宋体" w:hAnsi="宋体" w:cs="宋体"/>
                <w:i w:val="0"/>
                <w:iCs w:val="0"/>
                <w:color w:val="000000"/>
                <w:kern w:val="0"/>
                <w:sz w:val="18"/>
                <w:szCs w:val="18"/>
                <w:u w:val="none"/>
                <w:lang w:val="en-US" w:eastAsia="zh-CN" w:bidi="ar"/>
              </w:rPr>
              <w:t>24</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200</w:t>
            </w:r>
            <w:r>
              <w:rPr>
                <w:rFonts w:hint="eastAsia" w:ascii="宋体" w:hAnsi="宋体" w:eastAsia="宋体" w:cs="宋体"/>
                <w:i w:val="0"/>
                <w:iCs w:val="0"/>
                <w:color w:val="000000"/>
                <w:kern w:val="0"/>
                <w:sz w:val="18"/>
                <w:szCs w:val="18"/>
                <w:u w:val="none"/>
                <w:lang w:val="en-US" w:eastAsia="zh-CN" w:bidi="ar"/>
              </w:rPr>
              <w:t>～ K</w:t>
            </w:r>
            <w:r>
              <w:rPr>
                <w:rFonts w:hint="eastAsia" w:ascii="宋体" w:hAnsi="宋体" w:cs="宋体"/>
                <w:i w:val="0"/>
                <w:iCs w:val="0"/>
                <w:color w:val="000000"/>
                <w:kern w:val="0"/>
                <w:sz w:val="18"/>
                <w:szCs w:val="18"/>
                <w:u w:val="none"/>
                <w:lang w:val="en-US" w:eastAsia="zh-CN" w:bidi="ar"/>
              </w:rPr>
              <w:t>125</w:t>
            </w:r>
            <w:r>
              <w:rPr>
                <w:rFonts w:hint="eastAsia" w:ascii="宋体" w:hAnsi="宋体" w:eastAsia="宋体" w:cs="宋体"/>
                <w:i w:val="0"/>
                <w:iCs w:val="0"/>
                <w:color w:val="000000"/>
                <w:kern w:val="0"/>
                <w:sz w:val="18"/>
                <w:szCs w:val="18"/>
                <w:u w:val="none"/>
                <w:lang w:val="en-US" w:eastAsia="zh-CN" w:bidi="ar"/>
              </w:rPr>
              <w:t>+</w:t>
            </w:r>
            <w:r>
              <w:rPr>
                <w:rFonts w:hint="eastAsia" w:ascii="宋体" w:hAnsi="宋体" w:cs="宋体"/>
                <w:i w:val="0"/>
                <w:iCs w:val="0"/>
                <w:color w:val="000000"/>
                <w:kern w:val="0"/>
                <w:sz w:val="18"/>
                <w:szCs w:val="18"/>
                <w:u w:val="none"/>
                <w:lang w:val="en-US" w:eastAsia="zh-CN" w:bidi="ar"/>
              </w:rPr>
              <w:t>290</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5F930">
            <w:pPr>
              <w:keepNext w:val="0"/>
              <w:keepLines w:val="0"/>
              <w:widowControl/>
              <w:suppressLineNumbers w:val="0"/>
              <w:ind w:left="0" w:leftChars="0" w:firstLine="0" w:firstLineChars="0"/>
              <w:jc w:val="both"/>
              <w:textAlignment w:val="center"/>
              <w:rPr>
                <w:rFonts w:ascii="新宋体" w:hAnsi="新宋体" w:eastAsia="新宋体" w:cs="新宋体"/>
                <w:i w:val="0"/>
                <w:iCs w:val="0"/>
                <w:color w:val="000000"/>
                <w:kern w:val="0"/>
                <w:sz w:val="18"/>
                <w:szCs w:val="18"/>
                <w:u w:val="none"/>
                <w:lang w:val="en-US" w:eastAsia="zh-CN" w:bidi="ar"/>
              </w:rPr>
            </w:pPr>
            <w:r>
              <w:rPr>
                <w:rFonts w:hint="eastAsia" w:ascii="新宋体" w:hAnsi="新宋体" w:eastAsia="新宋体" w:cs="新宋体"/>
                <w:i w:val="0"/>
                <w:iCs w:val="0"/>
                <w:color w:val="000000"/>
                <w:kern w:val="0"/>
                <w:sz w:val="18"/>
                <w:szCs w:val="18"/>
                <w:u w:val="none"/>
                <w:lang w:val="en-US" w:eastAsia="zh-CN" w:bidi="ar"/>
              </w:rPr>
              <w:t>金星乡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8C958">
            <w:pPr>
              <w:keepNext w:val="0"/>
              <w:keepLines w:val="0"/>
              <w:widowControl/>
              <w:suppressLineNumbers w:val="0"/>
              <w:ind w:left="0" w:leftChars="0" w:firstLine="0" w:firstLineChars="0"/>
              <w:jc w:val="both"/>
              <w:textAlignment w:val="center"/>
              <w:rPr>
                <w:rFonts w:ascii="新宋体" w:hAnsi="新宋体" w:eastAsia="新宋体" w:cs="新宋体"/>
                <w:i w:val="0"/>
                <w:iCs w:val="0"/>
                <w:color w:val="000000"/>
                <w:kern w:val="0"/>
                <w:sz w:val="18"/>
                <w:szCs w:val="18"/>
                <w:u w:val="none"/>
                <w:lang w:val="en-US" w:eastAsia="zh-CN" w:bidi="ar"/>
              </w:rPr>
            </w:pPr>
            <w:r>
              <w:rPr>
                <w:rFonts w:hint="eastAsia" w:ascii="宋体" w:hAnsi="宋体" w:cs="宋体"/>
                <w:i w:val="0"/>
                <w:iCs w:val="0"/>
                <w:color w:val="000000"/>
                <w:sz w:val="18"/>
                <w:szCs w:val="18"/>
                <w:u w:val="none"/>
                <w:lang w:val="en-US" w:eastAsia="zh-CN"/>
              </w:rPr>
              <w:t>左、右侧</w:t>
            </w:r>
          </w:p>
        </w:tc>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4D4AC">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1090</w:t>
            </w:r>
          </w:p>
        </w:tc>
        <w:tc>
          <w:tcPr>
            <w:tcW w:w="9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F2EED">
            <w:pPr>
              <w:keepNext w:val="0"/>
              <w:keepLines w:val="0"/>
              <w:widowControl/>
              <w:suppressLineNumbers w:val="0"/>
              <w:ind w:left="0" w:leftChars="0" w:firstLine="0" w:firstLineChars="0"/>
              <w:jc w:val="both"/>
              <w:textAlignment w:val="center"/>
              <w:rPr>
                <w:rFonts w:ascii="新宋体" w:hAnsi="新宋体" w:eastAsia="新宋体" w:cs="新宋体"/>
                <w:i w:val="0"/>
                <w:iCs w:val="0"/>
                <w:color w:val="000000"/>
                <w:kern w:val="0"/>
                <w:sz w:val="18"/>
                <w:szCs w:val="18"/>
                <w:u w:val="none"/>
                <w:lang w:val="en-US" w:eastAsia="zh-CN" w:bidi="ar"/>
              </w:rPr>
            </w:pPr>
            <w:r>
              <w:rPr>
                <w:rFonts w:hint="eastAsia" w:ascii="宋体" w:hAnsi="宋体" w:cs="宋体"/>
                <w:i w:val="0"/>
                <w:iCs w:val="0"/>
                <w:color w:val="000000"/>
                <w:sz w:val="18"/>
                <w:szCs w:val="18"/>
                <w:u w:val="none"/>
                <w:lang w:val="en-US" w:eastAsia="zh-CN"/>
              </w:rPr>
              <w:t>临近高速</w:t>
            </w:r>
          </w:p>
        </w:tc>
        <w:tc>
          <w:tcPr>
            <w:tcW w:w="10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020390">
            <w:pPr>
              <w:keepNext w:val="0"/>
              <w:keepLines w:val="0"/>
              <w:widowControl/>
              <w:suppressLineNumbers w:val="0"/>
              <w:ind w:firstLine="360" w:firstLineChars="200"/>
              <w:jc w:val="left"/>
              <w:textAlignment w:val="center"/>
              <w:rPr>
                <w:rFonts w:hint="eastAsia" w:asciiTheme="minorEastAsia" w:hAnsiTheme="minorEastAsia" w:eastAsiaTheme="minorEastAsia" w:cstheme="minorEastAsia"/>
                <w:b w:val="0"/>
                <w:bCs w:val="0"/>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w:t>
            </w:r>
          </w:p>
        </w:tc>
        <w:tc>
          <w:tcPr>
            <w:tcW w:w="10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2422A">
            <w:pPr>
              <w:keepNext w:val="0"/>
              <w:keepLines w:val="0"/>
              <w:widowControl/>
              <w:suppressLineNumbers w:val="0"/>
              <w:ind w:left="0" w:leftChars="0" w:firstLine="0" w:firstLineChars="0"/>
              <w:jc w:val="both"/>
              <w:textAlignment w:val="center"/>
              <w:rPr>
                <w:rFonts w:hint="default" w:ascii="宋体" w:hAnsi="宋体" w:eastAsia="宋体" w:cs="宋体"/>
                <w:i w:val="0"/>
                <w:iCs w:val="0"/>
                <w:color w:val="000000"/>
                <w:kern w:val="0"/>
                <w:sz w:val="18"/>
                <w:szCs w:val="18"/>
                <w:u w:val="none"/>
                <w:lang w:val="en-US" w:eastAsia="zh-CN" w:bidi="ar"/>
              </w:rPr>
            </w:pPr>
            <w:r>
              <w:rPr>
                <w:rFonts w:hint="eastAsia" w:ascii="宋体" w:hAnsi="宋体" w:cs="宋体"/>
                <w:i w:val="0"/>
                <w:iCs w:val="0"/>
                <w:color w:val="000000"/>
                <w:kern w:val="0"/>
                <w:sz w:val="18"/>
                <w:szCs w:val="18"/>
                <w:u w:val="none"/>
                <w:lang w:val="en-US" w:eastAsia="zh-CN" w:bidi="ar"/>
              </w:rPr>
              <w:t>21827.68</w:t>
            </w:r>
          </w:p>
        </w:tc>
        <w:tc>
          <w:tcPr>
            <w:tcW w:w="12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E34E2">
            <w:pPr>
              <w:ind w:left="0" w:leftChars="0" w:firstLine="0" w:firstLineChars="0"/>
              <w:jc w:val="both"/>
              <w:rPr>
                <w:rFonts w:hint="eastAsia" w:ascii="宋体" w:hAnsi="宋体" w:eastAsia="宋体" w:cs="宋体"/>
                <w:i w:val="0"/>
                <w:iCs w:val="0"/>
                <w:color w:val="000000"/>
                <w:sz w:val="18"/>
                <w:szCs w:val="18"/>
                <w:u w:val="none"/>
              </w:rPr>
            </w:pPr>
            <w:r>
              <w:rPr>
                <w:rFonts w:hint="eastAsia" w:ascii="宋体" w:hAnsi="宋体" w:cs="宋体"/>
                <w:i w:val="0"/>
                <w:iCs w:val="0"/>
                <w:color w:val="000000"/>
                <w:sz w:val="18"/>
                <w:szCs w:val="18"/>
                <w:u w:val="none"/>
                <w:lang w:val="en-US" w:eastAsia="zh-CN"/>
              </w:rPr>
              <w:t>静态裂解</w:t>
            </w:r>
          </w:p>
        </w:tc>
      </w:tr>
    </w:tbl>
    <w:p w14:paraId="4E294457">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1.1非炸药爆破开挖石方</w:t>
      </w:r>
    </w:p>
    <w:p w14:paraId="57AE892A">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1.1.1锯石机施工法</w:t>
      </w:r>
    </w:p>
    <w:p w14:paraId="074A0FEC">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.1.1.1</w:t>
      </w:r>
      <w:r>
        <w:rPr>
          <w:rFonts w:hint="default" w:cs="Times New Roman" w:asciiTheme="minorEastAsia" w:hAnsiTheme="minorEastAsia" w:eastAsiaTheme="minorEastAsia"/>
          <w:szCs w:val="24"/>
          <w:highlight w:val="none"/>
          <w:lang w:val="en-US" w:eastAsia="zh-CN"/>
        </w:rPr>
        <w:t xml:space="preserve"> 选择开山锯施工的理由</w:t>
      </w:r>
    </w:p>
    <w:p w14:paraId="35E2F62B">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施工现场无法采用炸药爆破施工。本工程邻近</w:t>
      </w:r>
      <w:r>
        <w:rPr>
          <w:rFonts w:hint="eastAsia" w:cs="Times New Roman" w:asciiTheme="minorEastAsia" w:hAnsiTheme="minorEastAsia" w:eastAsiaTheme="minorEastAsia"/>
          <w:szCs w:val="24"/>
          <w:highlight w:val="none"/>
          <w:lang w:val="en-US" w:eastAsia="zh-CN"/>
        </w:rPr>
        <w:t>G15沈海高速</w:t>
      </w:r>
      <w:r>
        <w:rPr>
          <w:rFonts w:hint="default" w:cs="Times New Roman" w:asciiTheme="minorEastAsia" w:hAnsiTheme="minorEastAsia" w:eastAsiaTheme="minorEastAsia"/>
          <w:szCs w:val="24"/>
          <w:highlight w:val="none"/>
          <w:lang w:val="en-US" w:eastAsia="zh-CN"/>
        </w:rPr>
        <w:t>，采用爆破施工不能保证环培安全。</w:t>
      </w:r>
    </w:p>
    <w:p w14:paraId="797C151A">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w:t>
      </w:r>
      <w:r>
        <w:rPr>
          <w:rFonts w:hint="default" w:cs="Times New Roman" w:asciiTheme="minorEastAsia" w:hAnsiTheme="minorEastAsia" w:eastAsiaTheme="minorEastAsia"/>
          <w:szCs w:val="24"/>
          <w:highlight w:val="none"/>
          <w:lang w:val="en-US" w:eastAsia="zh-CN"/>
        </w:rPr>
        <w:t>边坡稳定性的要求。开山锯施工过程中震动小，不影响边坡的稳定性。比明爆、静态爆破合理。同事开山锯可以有效保证山体岩体在施工过程中不会受到扰动，在施工界面处的石方文理可以只受到最小的破会，边坡的稳定性可以得到有效的保证。</w:t>
      </w:r>
    </w:p>
    <w:p w14:paraId="570B4424">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w:t>
      </w:r>
      <w:r>
        <w:rPr>
          <w:rFonts w:hint="default" w:cs="Times New Roman" w:asciiTheme="minorEastAsia" w:hAnsiTheme="minorEastAsia" w:eastAsiaTheme="minorEastAsia"/>
          <w:szCs w:val="24"/>
          <w:highlight w:val="none"/>
          <w:lang w:val="en-US" w:eastAsia="zh-CN"/>
        </w:rPr>
        <w:t>2 开山锯工作原理与操作工艺流程</w:t>
      </w:r>
    </w:p>
    <w:p w14:paraId="56EA7545">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矿山荒料开山锯是根据圆盘锯原理和借鉴切割加工板材的原理，利用金刚石刀具的高速旋转切割技术灵活运用到野外石料开采上，整机使用机电一体化组合，高性能比，结构科学合理，具有高效、低耗、安全、环保、节能等优点，从根本上解决传统石料开采不安全、破坏资源、污染环境等问题。在大规模整体石材矿山采用单/双刀矿山荒料切石可有效的提高开采速度，降低开采成本，而且可按客户要求石。材荒料的规格开采，开采速度快，开采出来的石材荒料平整。</w:t>
      </w:r>
    </w:p>
    <w:p w14:paraId="5D1C88A1">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1.1.1.3</w:t>
      </w:r>
      <w:r>
        <w:rPr>
          <w:rFonts w:hint="default" w:cs="Times New Roman" w:asciiTheme="minorEastAsia" w:hAnsiTheme="minorEastAsia" w:eastAsiaTheme="minorEastAsia"/>
          <w:szCs w:val="24"/>
          <w:highlight w:val="none"/>
          <w:lang w:val="en-US" w:eastAsia="zh-CN"/>
        </w:rPr>
        <w:t xml:space="preserve"> 矿山荒料开山锯操作工艺流程</w:t>
      </w:r>
    </w:p>
    <w:p w14:paraId="42895A8C">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手动操作矿山荒料开山锯</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在控制面板上有A和 B主机的启动和停止按钮。切石机的动作有前后运动，锯片升降运动，换轨行走和矿山荒料切石机的整体升降运行，都是点动运行。</w:t>
      </w:r>
    </w:p>
    <w:p w14:paraId="289B0AC1">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2</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自动操作矿山荒料开山锯</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自动时必须满足条件主机启动和水流开关打开。按下自动按钮后，手动选择切石机的行走方向</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向前或向后</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，之后切石机自动切割石块。以选择向前行走为例，当碰到前限位开关时，开山锯慢速行走，走过一段距离后停止</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可设定</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，接着向后行走，当离开前限位开关后，开山锯锯片开始下降</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下降的距离根据石材的硬度设定</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此时开山锯的前后行走禁止。当开山锯锯片停止下降后，开山锯开始向后自动行走，如此反复。当锯片第一次碰到下限位开关时，开山锯的锯片不能上升，当再次碰到前限位或后限位开关时，开山锯的锯片上升，主机停止工作，升降和前后运动停止。</w:t>
      </w:r>
    </w:p>
    <w:p w14:paraId="66E40D1D">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3</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但在开山锯自动切割石块时，锯片在反复下降中， A锯片和B锯片由于各种因素的影响每次下降的高度有差异，切割完最后一刀的时间不一样，此时要把切割完的那个锯片升起来，并使其对应的主机停止工作，而另一锯片继续切割。当都切割完毕后，开山锯停机。</w:t>
      </w:r>
    </w:p>
    <w:p w14:paraId="2B4D9E09">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4</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按照方案中要求每锯片切割分两次，先使用小锯片，后使用大锯片。保证切割深度。开山锯间距为 1.5m，不能一次切割到位，需要二次切割，两次切割间距为750</w:t>
      </w:r>
      <w:r>
        <w:rPr>
          <w:rFonts w:hint="eastAsia" w:cs="Times New Roman" w:asciiTheme="minorEastAsia" w:hAnsiTheme="minorEastAsia" w:eastAsiaTheme="minorEastAsia"/>
          <w:szCs w:val="24"/>
          <w:highlight w:val="none"/>
          <w:lang w:val="en-US" w:eastAsia="zh-CN"/>
        </w:rPr>
        <w:t>mm</w:t>
      </w:r>
      <w:r>
        <w:rPr>
          <w:rFonts w:hint="default" w:cs="Times New Roman" w:asciiTheme="minorEastAsia" w:hAnsiTheme="minorEastAsia" w:eastAsiaTheme="minorEastAsia"/>
          <w:szCs w:val="24"/>
          <w:highlight w:val="none"/>
          <w:lang w:val="en-US" w:eastAsia="zh-CN"/>
        </w:rPr>
        <w:t>，根据此原则结合现场实际可对锯间距进行适当调整。</w:t>
      </w:r>
    </w:p>
    <w:p w14:paraId="69FDA3B5">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5</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当发生故障时,在 PLC的故障输入/输出都有信号，故障指示灯亮，输出点都置为零，此时自动不能工作，而手动可以工作</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用来确定切石机故障发生的原因和对其进行维修</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。在切石机出现紧急情况时，按下急停开关，此时断掉开山锯的电源。</w:t>
      </w:r>
    </w:p>
    <w:p w14:paraId="7E37BA56">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1.1.2破碎锤施工法</w:t>
      </w:r>
    </w:p>
    <w:p w14:paraId="33C01BF5">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.2.1</w:t>
      </w:r>
      <w:r>
        <w:rPr>
          <w:rFonts w:hint="default" w:cs="Times New Roman" w:asciiTheme="minorEastAsia" w:hAnsiTheme="minorEastAsia" w:eastAsiaTheme="minorEastAsia"/>
          <w:szCs w:val="24"/>
          <w:highlight w:val="none"/>
          <w:lang w:val="en-US" w:eastAsia="zh-CN"/>
        </w:rPr>
        <w:t xml:space="preserve"> 选择</w:t>
      </w:r>
      <w:r>
        <w:rPr>
          <w:rFonts w:hint="eastAsia" w:cs="Times New Roman" w:asciiTheme="minorEastAsia" w:hAnsiTheme="minorEastAsia" w:eastAsiaTheme="minorEastAsia"/>
          <w:szCs w:val="24"/>
          <w:highlight w:val="none"/>
          <w:lang w:val="en-US" w:eastAsia="zh-CN"/>
        </w:rPr>
        <w:t>破碎锤施工</w:t>
      </w:r>
      <w:r>
        <w:rPr>
          <w:rFonts w:hint="default" w:cs="Times New Roman" w:asciiTheme="minorEastAsia" w:hAnsiTheme="minorEastAsia" w:eastAsiaTheme="minorEastAsia"/>
          <w:szCs w:val="24"/>
          <w:highlight w:val="none"/>
          <w:lang w:val="en-US" w:eastAsia="zh-CN"/>
        </w:rPr>
        <w:t>施工的理由</w:t>
      </w:r>
    </w:p>
    <w:p w14:paraId="6838D19D">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施工现场无法采用炸药爆破施工。</w:t>
      </w:r>
    </w:p>
    <w:p w14:paraId="0D7F018A">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（2）施工效率较高，操作较为方便，对场地要求简单，可以针对中风化以及强风化岩层进行不区分施工，施工过程连续。</w:t>
      </w:r>
    </w:p>
    <w:p w14:paraId="6E2B93C5">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（3）施工工艺流程   </w:t>
      </w:r>
    </w:p>
    <w:p w14:paraId="4E7A0558">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测量放线→清表→挖机将覆土挖成堆后装车→破碎锤破碎石方→挖机挖成堆→破碎锤 再破碎石方→挖机再挖成堆→装车运走   </w:t>
      </w:r>
    </w:p>
    <w:p w14:paraId="7C776962">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（4）施工方法   </w:t>
      </w:r>
    </w:p>
    <w:p w14:paraId="2C40CEDF">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测量放线：利用在施工现场设置测量控制网，采用全站仪进行测量施工控制，根据设计坡比精确放样出路基边坡开挖轮廓，用白石灰画出轮廓线。边坡控制放样精度不大于±１cm，经监理人员确认后进行下一步破碎工作。   </w:t>
      </w:r>
    </w:p>
    <w:p w14:paraId="47188F35">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1.1.2.2开挖施工 </w:t>
      </w:r>
    </w:p>
    <w:p w14:paraId="15165D4A">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1</w:t>
      </w:r>
      <w:r>
        <w:rPr>
          <w:rFonts w:hint="eastAsia" w:cs="Times New Roman" w:asciiTheme="minorEastAsia" w:hAnsiTheme="minorEastAsia" w:eastAsiaTheme="minorEastAsia"/>
          <w:szCs w:val="24"/>
          <w:highlight w:val="none"/>
          <w:lang w:val="en-US" w:eastAsia="zh-CN"/>
        </w:rPr>
        <w:t>）根据测量精确放样出的路基边坡开挖轮廓线，采用挖机进行清除表土，将所要破碎的石方露出，由于开挖破碎的方式为自上而下分层开挖，因此首先根据实际地形修出第一级施工平台，已方便破碎锤及挖机摆放。   </w:t>
      </w:r>
    </w:p>
    <w:p w14:paraId="5A08E356">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（2）现场安排施工人员根据实际地形采用红油漆进行画圈布点，布点间距为30cm，破碎锤根据布置好的红油漆点进行钻孔破碎，液压岩石破碎锤破碎施工时， 将液压岩石破碎锤的钎杆压在岩石上，并保持一定压力后开动破碎锤，利用破碎锤的冲击力，将岩石破碎。   </w:t>
      </w:r>
    </w:p>
    <w:p w14:paraId="2015F17C">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（3）利用挖机挖成堆，整理成形，利用破碎锤再破碎石方，再利用挖机挖成堆。   </w:t>
      </w:r>
    </w:p>
    <w:p w14:paraId="5E58C15E">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（4）破碎锤破碎岩体时必须严格按照坡比进行破碎，不允许出现亏坡或坡比过大的情况出现，第一级施工平台上的岩层破到位并采用挖机将坡面修正平整，然后进行下一施工平台岩体的破碎施工。   </w:t>
      </w:r>
    </w:p>
    <w:p w14:paraId="40C370F6">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（5）破碎锤破碎时挖机配合，清除破碎岩体，并将已破碎的岩体装车，运输车辆采用自卸车，运至指定地点，直至该段路基坡面成型并且路基标高达到设计要求。   </w:t>
      </w:r>
    </w:p>
    <w:p w14:paraId="474E7498">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1.1.2.3施工安全注意事项及措施   </w:t>
      </w:r>
    </w:p>
    <w:p w14:paraId="3CD987B5">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（1）注意事项   </w:t>
      </w:r>
    </w:p>
    <w:p w14:paraId="6B4AC51D">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操作前检查螺栓和连接头是否松动，以及液压管路是否有泄漏现象。    </w:t>
      </w:r>
    </w:p>
    <w:p w14:paraId="4DF9A07B">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不得在液压缸的活塞杆全伸或全缩状况下操作破碎器。   </w:t>
      </w:r>
    </w:p>
    <w:p w14:paraId="741F3ED7">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当液压软管出现激烈振动时应停止破碎器的操作，并检查蓄能器的压力。   </w:t>
      </w:r>
    </w:p>
    <w:p w14:paraId="35E20104">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防止挖掘机的动臂与破碎器的钻头之间出现干涉现象。   </w:t>
      </w:r>
    </w:p>
    <w:p w14:paraId="5F462C7F">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液压破碎器工作时的最佳液压油温度为50-60度，最高不得超过80度。若超过80度，需停止作业，待温度降低后再进行作业。    </w:t>
      </w:r>
    </w:p>
    <w:p w14:paraId="342C1E08">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使用时液压破碎锤及纤杆应垂直于工作面，以不产生径向力为原则。被破碎对象已出现破裂或开始产生裂纹时应立即停止破碎器的冲击，以免出现有害的“空打”。      </w:t>
      </w:r>
    </w:p>
    <w:p w14:paraId="5B6C85CA">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液压岩石破碎锤施工时，现场人员远离施工机械，防止开挖施工时飞溅的石渣伤人。   </w:t>
      </w:r>
    </w:p>
    <w:p w14:paraId="0DE57FE3">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边坡松动岩石必须及时清除，以防滚落发生危险。    </w:t>
      </w:r>
    </w:p>
    <w:p w14:paraId="742E6B8D">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（2）操作注意事项 破碎锤进行工作期间操作人员应注意以下几点：　 </w:t>
      </w:r>
    </w:p>
    <w:p w14:paraId="5F2734CB">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软管剧烈振动时应停止作业 应检查破碎锤高压及低压软管是否振动过于剧烈。如果存在那种情况，可能是出了故障，应马上与您当地的指定的服务处联系以获得维修服务。应进一步检查软管接头处是否渗油，若有渗油，应重新拧紧接头处。作业期间应目测钢钎是否有余量，若无余量肯定是卡在破碎锤里了，应拆下破碎锤，查看部件是否应修理或更换故障部件。　 </w:t>
      </w:r>
    </w:p>
    <w:p w14:paraId="0FE100FA">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停止作业（避免过度空击）石块一旦击碎后应立即停止锤击。若持续空击，螺栓会松动或断裂，甚至挖掘机也会受到不利的影响。当破碎锤击穿力不当或把钢钎用作撬杆时，会产生空击现象。（破碎锤空击时锤击时声音会改变）　 </w:t>
      </w:r>
    </w:p>
    <w:p w14:paraId="25AD99BB">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破碎锤不可以用来搬移石块不可使用钢钎末瑞或支架侧面来滚动或推动石块。因为此时油压来自挖掘机、装载机大臂、小臂。铲斗、摇摆或滑动操作，所以大小臂会损坏，同时破碎锤螺栓可能会断裂，支架会损坏，钢钎会断裂或划伤，应避免用破碎 锤来搬移石块。特别指出，钢钎插在石块中，挖掘千万不可以行走。</w:t>
      </w:r>
    </w:p>
    <w:p w14:paraId="40400A20">
      <w:pPr>
        <w:pStyle w:val="178"/>
        <w:keepNext w:val="0"/>
        <w:keepLines w:val="0"/>
        <w:pageBreakBefore w:val="0"/>
        <w:widowControl w:val="0"/>
        <w:kinsoku/>
        <w:wordWrap/>
        <w:overflowPunct/>
        <w:topLinePunct w:val="0"/>
        <w:autoSpaceDE/>
        <w:autoSpaceDN/>
        <w:bidi w:val="0"/>
        <w:adjustRightInd/>
        <w:snapToGrid/>
        <w:textAlignment w:val="auto"/>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不可以把钢钎当作撬杆使用碎石时若将钢钎当作撬杆使用，螺栓和钢钎可能会断裂　　 </w:t>
      </w:r>
    </w:p>
    <w:p w14:paraId="0707E70A">
      <w:pPr>
        <w:pStyle w:val="178"/>
        <w:keepNext w:val="0"/>
        <w:keepLines w:val="0"/>
        <w:pageBreakBefore w:val="0"/>
        <w:widowControl w:val="0"/>
        <w:kinsoku/>
        <w:wordWrap/>
        <w:overflowPunct/>
        <w:topLinePunct w:val="0"/>
        <w:autoSpaceDE/>
        <w:autoSpaceDN/>
        <w:bidi w:val="0"/>
        <w:adjustRightInd/>
        <w:snapToGrid/>
        <w:textAlignment w:val="auto"/>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持续连打不要超过一分钟击打坚硬的岩石时，同一处击打持续不要超过一分钟，然后再换一处击打作业。长时间的击打操作会引起油温升高，从而会导致钢钎衬套损坏及钢钎进度磨损。　 </w:t>
      </w:r>
    </w:p>
    <w:p w14:paraId="3859789B">
      <w:pPr>
        <w:pStyle w:val="178"/>
        <w:keepNext w:val="0"/>
        <w:keepLines w:val="0"/>
        <w:pageBreakBefore w:val="0"/>
        <w:widowControl w:val="0"/>
        <w:kinsoku/>
        <w:wordWrap/>
        <w:overflowPunct/>
        <w:topLinePunct w:val="0"/>
        <w:autoSpaceDE/>
        <w:autoSpaceDN/>
        <w:bidi w:val="0"/>
        <w:adjustRightInd/>
        <w:snapToGrid/>
        <w:textAlignment w:val="auto"/>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对于长、坚硬的大石块，可在其裂纹处或尾端处开始破碎，这样相对容易击碎石块。　</w:t>
      </w:r>
    </w:p>
    <w:p w14:paraId="1E76D858">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具体现场施工情况以及施工图见4.5，施工效果图见4.6。</w:t>
      </w:r>
    </w:p>
    <w:p w14:paraId="3629C7B8">
      <w:pPr>
        <w:pStyle w:val="178"/>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rPr>
          <w:rFonts w:hint="eastAsia" w:cs="Times New Roman" w:asciiTheme="minorEastAsia" w:hAnsiTheme="minorEastAsia" w:eastAsiaTheme="minorEastAsia"/>
          <w:szCs w:val="24"/>
          <w:highlight w:val="none"/>
          <w:lang w:val="en-US" w:eastAsia="zh-CN"/>
        </w:rPr>
      </w:pPr>
      <w:r>
        <w:rPr>
          <w:rFonts w:hint="eastAsia"/>
          <w:lang w:val="en-US" w:eastAsia="zh-CN"/>
        </w:rPr>
        <w:t xml:space="preserve"> </w:t>
      </w:r>
      <w:r>
        <w:drawing>
          <wp:inline distT="0" distB="0" distL="114300" distR="114300">
            <wp:extent cx="4413885" cy="2861945"/>
            <wp:effectExtent l="0" t="0" r="5715" b="3175"/>
            <wp:docPr id="431" name="图片 29"/>
            <wp:cNvGraphicFramePr/>
            <a:graphic xmlns:a="http://schemas.openxmlformats.org/drawingml/2006/main">
              <a:graphicData uri="http://schemas.openxmlformats.org/drawingml/2006/picture">
                <pic:pic xmlns:pic="http://schemas.openxmlformats.org/drawingml/2006/picture">
                  <pic:nvPicPr>
                    <pic:cNvPr id="431" name="图片 29"/>
                    <pic:cNvPicPr/>
                  </pic:nvPicPr>
                  <pic:blipFill>
                    <a:blip r:embed="rId41"/>
                    <a:stretch>
                      <a:fillRect/>
                    </a:stretch>
                  </pic:blipFill>
                  <pic:spPr>
                    <a:xfrm>
                      <a:off x="0" y="0"/>
                      <a:ext cx="4413885" cy="2861945"/>
                    </a:xfrm>
                    <a:prstGeom prst="rect">
                      <a:avLst/>
                    </a:prstGeom>
                    <a:noFill/>
                    <a:ln>
                      <a:noFill/>
                    </a:ln>
                  </pic:spPr>
                </pic:pic>
              </a:graphicData>
            </a:graphic>
          </wp:inline>
        </w:drawing>
      </w:r>
      <w:r>
        <w:rPr>
          <w:rFonts w:hint="eastAsia"/>
          <w:lang w:val="en-US" w:eastAsia="zh-CN"/>
        </w:rPr>
        <w:t xml:space="preserve">  </w:t>
      </w:r>
    </w:p>
    <w:p w14:paraId="0989A15A">
      <w:pPr>
        <w:pStyle w:val="178"/>
        <w:ind w:firstLine="2100" w:firstLineChars="1000"/>
        <w:rPr>
          <w:rFonts w:hint="default"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 xml:space="preserve">图8.2 现场施工图                      </w:t>
      </w:r>
    </w:p>
    <w:p w14:paraId="567137DE">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1.1.3水胀裂破岩施工法</w:t>
      </w:r>
    </w:p>
    <w:p w14:paraId="0803C5E2">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1.1.3.1水胀裂破岩技术简述</w:t>
      </w:r>
    </w:p>
    <w:p w14:paraId="5C767614">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水胀裂岩石、混凝土技术是一种非爆破裂解岩体、岩块和混凝土构体（件）的新技术。水胀裂设备是一种通过向插进钻孔的管状密封弹性膨胀器内充入高压水，利用压力能做功产生的巨大胀力使岩块从岩体分离或碎裂解小的工程装备，是一种安全、高效、便捷的破岩装备。</w:t>
      </w:r>
    </w:p>
    <w:p w14:paraId="540AD04E">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1.1.3.2水胀裂破岩工作原理</w:t>
      </w:r>
    </w:p>
    <w:p w14:paraId="70781915">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水胀裂破岩的本质机理是：水压机可产生极高的压力输送给胀裂器，胀裂器将水压传递给岩壁，水压膨胀力突破岩石的抗拉极限，生成裂隙并扩展，最终形成断裂面。该工作原理是一个把动力能通过水压系统转化成岩石表面能的过程。施工原理图见图4.7</w:t>
      </w:r>
    </w:p>
    <w:p w14:paraId="6158F354">
      <w:pPr>
        <w:pStyle w:val="178"/>
        <w:ind w:left="0" w:leftChars="0" w:firstLine="0" w:firstLineChars="0"/>
        <w:jc w:val="both"/>
        <w:rPr>
          <w:rFonts w:hint="default" w:cs="Times New Roman" w:asciiTheme="minorEastAsia" w:hAnsiTheme="minorEastAsia" w:eastAsiaTheme="minorEastAsia"/>
          <w:szCs w:val="24"/>
          <w:highlight w:val="none"/>
          <w:lang w:val="en-US" w:eastAsia="zh-CN"/>
        </w:rPr>
      </w:pPr>
      <w:r>
        <w:drawing>
          <wp:inline distT="0" distB="0" distL="114300" distR="114300">
            <wp:extent cx="5427345" cy="1765300"/>
            <wp:effectExtent l="0" t="0" r="13335" b="2540"/>
            <wp:docPr id="4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5"/>
                    <pic:cNvPicPr>
                      <a:picLocks noChangeAspect="1"/>
                    </pic:cNvPicPr>
                  </pic:nvPicPr>
                  <pic:blipFill>
                    <a:blip r:embed="rId42"/>
                    <a:stretch>
                      <a:fillRect/>
                    </a:stretch>
                  </pic:blipFill>
                  <pic:spPr>
                    <a:xfrm>
                      <a:off x="0" y="0"/>
                      <a:ext cx="5427345" cy="1765300"/>
                    </a:xfrm>
                    <a:prstGeom prst="rect">
                      <a:avLst/>
                    </a:prstGeom>
                    <a:noFill/>
                    <a:ln>
                      <a:noFill/>
                    </a:ln>
                  </pic:spPr>
                </pic:pic>
              </a:graphicData>
            </a:graphic>
          </wp:inline>
        </w:drawing>
      </w:r>
      <w:r>
        <w:drawing>
          <wp:inline distT="0" distB="0" distL="114300" distR="114300">
            <wp:extent cx="5413375" cy="2355215"/>
            <wp:effectExtent l="0" t="0" r="12065" b="6985"/>
            <wp:docPr id="4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26"/>
                    <pic:cNvPicPr>
                      <a:picLocks noChangeAspect="1"/>
                    </pic:cNvPicPr>
                  </pic:nvPicPr>
                  <pic:blipFill>
                    <a:blip r:embed="rId43"/>
                    <a:stretch>
                      <a:fillRect/>
                    </a:stretch>
                  </pic:blipFill>
                  <pic:spPr>
                    <a:xfrm>
                      <a:off x="0" y="0"/>
                      <a:ext cx="5413375" cy="2355215"/>
                    </a:xfrm>
                    <a:prstGeom prst="rect">
                      <a:avLst/>
                    </a:prstGeom>
                    <a:noFill/>
                    <a:ln>
                      <a:noFill/>
                    </a:ln>
                  </pic:spPr>
                </pic:pic>
              </a:graphicData>
            </a:graphic>
          </wp:inline>
        </w:drawing>
      </w:r>
    </w:p>
    <w:p w14:paraId="46DAFAF4">
      <w:pPr>
        <w:pStyle w:val="178"/>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图8.3水膨胀法施工原理图</w:t>
      </w:r>
    </w:p>
    <w:p w14:paraId="021B2A39">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1.1.3.3水胀裂破岩技术特点</w:t>
      </w:r>
    </w:p>
    <w:p w14:paraId="0B196C7E">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（1）安全，零危险</w:t>
      </w:r>
    </w:p>
    <w:p w14:paraId="757D91F1">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纯机械设备，非化学燃爆，冷爆破，无震动，无飞溅，无粉尘；</w:t>
      </w:r>
      <w:r>
        <w:rPr>
          <w:rFonts w:hint="default" w:cs="Times New Roman" w:asciiTheme="minorEastAsia" w:hAnsiTheme="minorEastAsia" w:eastAsiaTheme="minorEastAsia"/>
          <w:szCs w:val="24"/>
          <w:highlight w:val="none"/>
          <w:lang w:val="en-US" w:eastAsia="zh-CN"/>
        </w:rPr>
        <w:t>水胀裂机工作时，不会产生震动、冲击、噪音、粉尘飞屑等，周围环境不会受到影响。即使在人口稠密地区或室内，甚者在紧密设备旁都可以无干扰地进行工作；</w:t>
      </w:r>
    </w:p>
    <w:p w14:paraId="4BF3A0CE">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（2）环保，使用成本低</w:t>
      </w:r>
    </w:p>
    <w:p w14:paraId="5B5F2F9F">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胀裂器反复使用，介质水循环使用，使用环保，成本低；</w:t>
      </w:r>
      <w:r>
        <w:rPr>
          <w:rFonts w:hint="default" w:cs="Times New Roman" w:asciiTheme="minorEastAsia" w:hAnsiTheme="minorEastAsia" w:eastAsiaTheme="minorEastAsia"/>
          <w:szCs w:val="24"/>
          <w:highlight w:val="none"/>
          <w:lang w:val="en-US" w:eastAsia="zh-CN"/>
        </w:rPr>
        <w:t>水胀裂破岩只需数秒钟就可以完成对岩石的分裂过程，可以连续作业，工作效率高。并且胀裂器因其柔性特征，可以轻松穿入钻孔且不易损毁，拥有灵活的适应性和较长的使用寿命，设备运行及维护保养成本很低；</w:t>
      </w:r>
    </w:p>
    <w:p w14:paraId="0AECD1A2">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（3）应用范围广，场地不受限</w:t>
      </w:r>
    </w:p>
    <w:p w14:paraId="4907993C">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露天开采、隧道、洞采、市政、自然保护区均可使用；</w:t>
      </w:r>
      <w:r>
        <w:rPr>
          <w:rFonts w:hint="default" w:cs="Times New Roman" w:asciiTheme="minorEastAsia" w:hAnsiTheme="minorEastAsia" w:eastAsiaTheme="minorEastAsia"/>
          <w:szCs w:val="24"/>
          <w:highlight w:val="none"/>
          <w:lang w:val="en-US" w:eastAsia="zh-CN"/>
        </w:rPr>
        <w:t>水胀裂机具有体积小、重量轻、分裂力大的特点</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分裂力可达50-500吨</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，除了常规的矿山、隧道、边坡等施工环境，甚者空间狭窄的场地都可以十分方便地进行施工。</w:t>
      </w:r>
    </w:p>
    <w:p w14:paraId="3D48EBB8">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（4）轻便便携，使用简单</w:t>
      </w:r>
    </w:p>
    <w:p w14:paraId="0655F947">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单只胀裂器重量2-30千克，开机即用，单人可操作；</w:t>
      </w:r>
      <w:r>
        <w:rPr>
          <w:rFonts w:hint="default" w:cs="Times New Roman" w:asciiTheme="minorEastAsia" w:hAnsiTheme="minorEastAsia" w:eastAsiaTheme="minorEastAsia"/>
          <w:szCs w:val="24"/>
          <w:highlight w:val="none"/>
          <w:lang w:val="en-US" w:eastAsia="zh-CN"/>
        </w:rPr>
        <w:t>胀裂器重量轻，增压主机带脚轮，搬运移动方便。水胀裂机人性化的使用设计和耐用性的结构设计，确保了其使用方法简单易学，单人可操作。水胀裂具有柔性特质，工艺上可以无限增加长度（目前最长可达2米），可有效减少打孔次数，实现单次胀裂更多方量，提升工作效率</w:t>
      </w:r>
      <w:r>
        <w:rPr>
          <w:rFonts w:hint="eastAsia" w:cs="Times New Roman" w:asciiTheme="minorEastAsia" w:hAnsiTheme="minorEastAsia" w:eastAsiaTheme="minorEastAsia"/>
          <w:szCs w:val="24"/>
          <w:highlight w:val="none"/>
          <w:lang w:val="en-US" w:eastAsia="zh-CN"/>
        </w:rPr>
        <w:t>。施工效果图见4.8</w:t>
      </w:r>
    </w:p>
    <w:p w14:paraId="1B900221">
      <w:pPr>
        <w:pStyle w:val="178"/>
        <w:ind w:left="0" w:leftChars="0" w:firstLine="0" w:firstLineChars="0"/>
        <w:jc w:val="center"/>
      </w:pPr>
      <w:r>
        <w:drawing>
          <wp:inline distT="0" distB="0" distL="114300" distR="114300">
            <wp:extent cx="5276215" cy="2782570"/>
            <wp:effectExtent l="0" t="0" r="12065" b="6350"/>
            <wp:docPr id="4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27"/>
                    <pic:cNvPicPr>
                      <a:picLocks noChangeAspect="1"/>
                    </pic:cNvPicPr>
                  </pic:nvPicPr>
                  <pic:blipFill>
                    <a:blip r:embed="rId44"/>
                    <a:stretch>
                      <a:fillRect/>
                    </a:stretch>
                  </pic:blipFill>
                  <pic:spPr>
                    <a:xfrm>
                      <a:off x="0" y="0"/>
                      <a:ext cx="5276215" cy="2782570"/>
                    </a:xfrm>
                    <a:prstGeom prst="rect">
                      <a:avLst/>
                    </a:prstGeom>
                    <a:noFill/>
                    <a:ln>
                      <a:noFill/>
                    </a:ln>
                  </pic:spPr>
                </pic:pic>
              </a:graphicData>
            </a:graphic>
          </wp:inline>
        </w:drawing>
      </w:r>
    </w:p>
    <w:p w14:paraId="089DAFCE">
      <w:pPr>
        <w:pStyle w:val="178"/>
        <w:ind w:left="0" w:leftChars="0" w:firstLine="0" w:firstLineChars="0"/>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图8.4水膨胀法施工效果图</w:t>
      </w:r>
    </w:p>
    <w:p w14:paraId="35BEAEBE">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1.2控制爆破开挖石方</w:t>
      </w:r>
    </w:p>
    <w:p w14:paraId="7710D64A">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1.2.1</w:t>
      </w:r>
      <w:r>
        <w:rPr>
          <w:rFonts w:hint="default" w:cs="Times New Roman" w:asciiTheme="minorEastAsia" w:hAnsiTheme="minorEastAsia" w:eastAsiaTheme="minorEastAsia"/>
          <w:szCs w:val="24"/>
          <w:highlight w:val="none"/>
          <w:lang w:val="en-US" w:eastAsia="zh-CN"/>
        </w:rPr>
        <w:t>控制爆破原则</w:t>
      </w:r>
    </w:p>
    <w:p w14:paraId="57B914BC">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w:t>
      </w:r>
      <w:r>
        <w:rPr>
          <w:rFonts w:hint="default" w:cs="Times New Roman" w:asciiTheme="minorEastAsia" w:hAnsiTheme="minorEastAsia" w:eastAsiaTheme="minorEastAsia"/>
          <w:szCs w:val="24"/>
          <w:highlight w:val="none"/>
          <w:lang w:val="en-US" w:eastAsia="zh-CN"/>
        </w:rPr>
        <w:t>主线交通基本不受干扰，实施石方爆破时，短时间封闭交通。</w:t>
      </w:r>
    </w:p>
    <w:p w14:paraId="5FA4B9AE">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w:t>
      </w:r>
      <w:r>
        <w:rPr>
          <w:rFonts w:hint="default" w:cs="Times New Roman" w:asciiTheme="minorEastAsia" w:hAnsiTheme="minorEastAsia" w:eastAsiaTheme="minorEastAsia"/>
          <w:szCs w:val="24"/>
          <w:highlight w:val="none"/>
          <w:lang w:val="en-US" w:eastAsia="zh-CN"/>
        </w:rPr>
        <w:t>爆破产生的震动不能对周围建构筑物产生破坏效应</w:t>
      </w:r>
      <w:r>
        <w:rPr>
          <w:rFonts w:hint="eastAsia" w:cs="Times New Roman" w:asciiTheme="minorEastAsia" w:hAnsiTheme="minorEastAsia" w:eastAsiaTheme="minorEastAsia"/>
          <w:szCs w:val="24"/>
          <w:highlight w:val="none"/>
          <w:lang w:val="en-US" w:eastAsia="zh-CN"/>
        </w:rPr>
        <w:t>。</w:t>
      </w:r>
    </w:p>
    <w:p w14:paraId="22456048">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w:t>
      </w:r>
      <w:r>
        <w:rPr>
          <w:rFonts w:hint="default" w:cs="Times New Roman" w:asciiTheme="minorEastAsia" w:hAnsiTheme="minorEastAsia" w:eastAsiaTheme="minorEastAsia"/>
          <w:szCs w:val="24"/>
          <w:highlight w:val="none"/>
          <w:lang w:val="en-US" w:eastAsia="zh-CN"/>
        </w:rPr>
        <w:t>爆破飞石必须控制在安全范围内，确保高速公路的行车和人员安全</w:t>
      </w:r>
      <w:r>
        <w:rPr>
          <w:rFonts w:hint="eastAsia" w:cs="Times New Roman" w:asciiTheme="minorEastAsia" w:hAnsiTheme="minorEastAsia" w:eastAsiaTheme="minorEastAsia"/>
          <w:szCs w:val="24"/>
          <w:highlight w:val="none"/>
          <w:lang w:val="en-US" w:eastAsia="zh-CN"/>
        </w:rPr>
        <w:t>。</w:t>
      </w:r>
    </w:p>
    <w:p w14:paraId="59F088CE">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w:t>
      </w:r>
      <w:r>
        <w:rPr>
          <w:rFonts w:hint="default" w:cs="Times New Roman" w:asciiTheme="minorEastAsia" w:hAnsiTheme="minorEastAsia" w:eastAsiaTheme="minorEastAsia"/>
          <w:szCs w:val="24"/>
          <w:highlight w:val="none"/>
          <w:lang w:val="en-US" w:eastAsia="zh-CN"/>
        </w:rPr>
        <w:t>确保电力通信设施的绝对安全。</w:t>
      </w:r>
    </w:p>
    <w:p w14:paraId="33548888">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1.2.2</w:t>
      </w:r>
      <w:r>
        <w:rPr>
          <w:rFonts w:hint="default" w:cs="Times New Roman" w:asciiTheme="minorEastAsia" w:hAnsiTheme="minorEastAsia" w:eastAsiaTheme="minorEastAsia"/>
          <w:szCs w:val="24"/>
          <w:highlight w:val="none"/>
          <w:lang w:val="en-US" w:eastAsia="zh-CN"/>
        </w:rPr>
        <w:t>控制爆破总体方案</w:t>
      </w:r>
    </w:p>
    <w:p w14:paraId="1E3DF1D1">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爆破采用以纵向小台阶炮眼控制爆破为主，机械破碎为辅，边坡采用光面爆破和多层防护的综合爆破施工方案，以适应土方剥离后原岩山体地形高差变化范围大的工程特点，满足不同厚度石方快速安全爆破的技术要求。</w:t>
      </w:r>
    </w:p>
    <w:p w14:paraId="64E08F03">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t>爆破工程</w:t>
      </w:r>
      <w:r>
        <w:rPr>
          <w:rFonts w:hint="eastAsia" w:cs="Times New Roman" w:asciiTheme="minorEastAsia" w:hAnsiTheme="minorEastAsia" w:eastAsiaTheme="minorEastAsia"/>
          <w:szCs w:val="24"/>
          <w:highlight w:val="none"/>
          <w:lang w:val="en-US" w:eastAsia="zh-CN"/>
        </w:rPr>
        <w:t>需</w:t>
      </w:r>
      <w:r>
        <w:rPr>
          <w:rFonts w:hint="default" w:cs="Times New Roman" w:asciiTheme="minorEastAsia" w:hAnsiTheme="minorEastAsia" w:eastAsiaTheme="minorEastAsia"/>
          <w:szCs w:val="24"/>
          <w:highlight w:val="none"/>
          <w:lang w:val="en-US" w:eastAsia="zh-CN"/>
        </w:rPr>
        <w:t>预防爆破振动、爆破飞石以及确保周围建构筑物的稳定，因此首先沿路线纵向小台阶炮眼爆破，同时在靠近高速公路的一侧留 1</w:t>
      </w:r>
      <w:r>
        <w:rPr>
          <w:rFonts w:hint="eastAsia" w:ascii="宋体" w:hAnsi="宋体" w:eastAsia="宋体" w:cs="宋体"/>
          <w:szCs w:val="24"/>
          <w:highlight w:val="none"/>
          <w:lang w:val="en-US" w:eastAsia="zh-CN"/>
        </w:rPr>
        <w:t>～</w:t>
      </w:r>
      <w:r>
        <w:rPr>
          <w:rFonts w:hint="default" w:cs="Times New Roman" w:asciiTheme="minorEastAsia" w:hAnsiTheme="minorEastAsia" w:eastAsiaTheme="minorEastAsia"/>
          <w:szCs w:val="24"/>
          <w:highlight w:val="none"/>
          <w:lang w:val="en-US" w:eastAsia="zh-CN"/>
        </w:rPr>
        <w:t xml:space="preserve">1.5 米宽的保护墙，以此作临时保护层,爆破台阶每下降一个台阶用挖掘机挖掘防护墙顶端一部分,如此循环下降。如图 </w:t>
      </w:r>
      <w:r>
        <w:rPr>
          <w:rFonts w:hint="eastAsia" w:cs="Times New Roman" w:asciiTheme="minorEastAsia" w:hAnsiTheme="minorEastAsia" w:eastAsiaTheme="minorEastAsia"/>
          <w:szCs w:val="24"/>
          <w:highlight w:val="none"/>
          <w:lang w:val="en-US" w:eastAsia="zh-CN"/>
        </w:rPr>
        <w:t>4.9</w:t>
      </w:r>
      <w:r>
        <w:rPr>
          <w:rFonts w:hint="default" w:cs="Times New Roman" w:asciiTheme="minorEastAsia" w:hAnsiTheme="minorEastAsia" w:eastAsiaTheme="minorEastAsia"/>
          <w:szCs w:val="24"/>
          <w:highlight w:val="none"/>
          <w:lang w:val="en-US" w:eastAsia="zh-CN"/>
        </w:rPr>
        <w:t>所示。</w:t>
      </w:r>
    </w:p>
    <w:p w14:paraId="78FCF778">
      <w:pPr>
        <w:pStyle w:val="178"/>
        <w:ind w:left="0" w:leftChars="0" w:firstLine="0" w:firstLineChars="0"/>
        <w:rPr>
          <w:rFonts w:hint="eastAsia" w:cs="Times New Roman" w:asciiTheme="minorEastAsia" w:hAnsiTheme="minorEastAsia" w:eastAsiaTheme="minorEastAsia"/>
          <w:szCs w:val="24"/>
          <w:highlight w:val="none"/>
          <w:lang w:val="en-US" w:eastAsia="zh-CN"/>
        </w:rPr>
      </w:pPr>
      <w:bookmarkStart w:id="790" w:name="_Toc325961895"/>
      <w:bookmarkStart w:id="791" w:name="_Toc325962394"/>
      <w:r>
        <w:rPr>
          <w:rFonts w:hint="default" w:cs="Times New Roman" w:asciiTheme="minorEastAsia" w:hAnsiTheme="minorEastAsia" w:eastAsiaTheme="minorEastAsia"/>
          <w:szCs w:val="24"/>
          <w:highlight w:val="none"/>
          <w:lang w:val="en-US" w:eastAsia="zh-CN"/>
        </w:rPr>
        <w:drawing>
          <wp:inline distT="0" distB="0" distL="114300" distR="114300">
            <wp:extent cx="5276850" cy="2011045"/>
            <wp:effectExtent l="0" t="0" r="11430" b="635"/>
            <wp:docPr id="4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29"/>
                    <pic:cNvPicPr>
                      <a:picLocks noChangeAspect="1"/>
                    </pic:cNvPicPr>
                  </pic:nvPicPr>
                  <pic:blipFill>
                    <a:blip r:embed="rId45"/>
                    <a:srcRect t="19476"/>
                    <a:stretch>
                      <a:fillRect/>
                    </a:stretch>
                  </pic:blipFill>
                  <pic:spPr>
                    <a:xfrm>
                      <a:off x="0" y="0"/>
                      <a:ext cx="5276850" cy="2011045"/>
                    </a:xfrm>
                    <a:prstGeom prst="rect">
                      <a:avLst/>
                    </a:prstGeom>
                    <a:noFill/>
                    <a:ln>
                      <a:noFill/>
                    </a:ln>
                  </pic:spPr>
                </pic:pic>
              </a:graphicData>
            </a:graphic>
          </wp:inline>
        </w:drawing>
      </w:r>
    </w:p>
    <w:p w14:paraId="02DBE944">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图8.5爆破台阶及保护墙示意图</w:t>
      </w:r>
    </w:p>
    <w:p w14:paraId="5398EE2A">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1.2.3控制爆破方案设计</w:t>
      </w:r>
    </w:p>
    <w:p w14:paraId="4B4B272F">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施工段采用浅眼爆破（小台阶炮眼爆破），炮孔按梅花形布置。考虑到雨季施工的安全性，起爆方式应采用非电起爆系统， 由于边坡为永久边坡，需采用光面爆破以控制开挖轮廊线并确保保留岩体不受损伤。为保证主爆孔（普通台阶爆破）爆破时不对光面层及保留岩体产生损伤，将预裂爆破与光面爆破结合使用。</w:t>
      </w:r>
    </w:p>
    <w:p w14:paraId="1C8F2539">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采用毫秒非电导爆管起爆系统,原则上采用对角起爆或V 型起爆方案（如图 4.10所示）,以形成小抵抗线宽孔距爆破，控制爆堆塌散方向、位置和岩石块度，并有效控制一次齐爆药量，减少爆破震动。各段微差间隔时间建议取 25～50ms。</w:t>
      </w:r>
    </w:p>
    <w:p w14:paraId="27C0C7E8">
      <w:pPr>
        <w:pStyle w:val="178"/>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1770" cy="1796415"/>
            <wp:effectExtent l="0" t="0" r="1270" b="1905"/>
            <wp:docPr id="4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30"/>
                    <pic:cNvPicPr>
                      <a:picLocks noChangeAspect="1"/>
                    </pic:cNvPicPr>
                  </pic:nvPicPr>
                  <pic:blipFill>
                    <a:blip r:embed="rId46"/>
                    <a:stretch>
                      <a:fillRect/>
                    </a:stretch>
                  </pic:blipFill>
                  <pic:spPr>
                    <a:xfrm>
                      <a:off x="0" y="0"/>
                      <a:ext cx="5271770" cy="1796415"/>
                    </a:xfrm>
                    <a:prstGeom prst="rect">
                      <a:avLst/>
                    </a:prstGeom>
                    <a:noFill/>
                    <a:ln>
                      <a:noFill/>
                    </a:ln>
                  </pic:spPr>
                </pic:pic>
              </a:graphicData>
            </a:graphic>
          </wp:inline>
        </w:drawing>
      </w:r>
    </w:p>
    <w:p w14:paraId="0E8CA225">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图8.6起爆方案示意图</w:t>
      </w:r>
    </w:p>
    <w:p w14:paraId="68B38E00">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1.2.4爆破安全技术</w:t>
      </w:r>
    </w:p>
    <w:p w14:paraId="15C4A78C">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（1）对于石方爆破，最容易产生破坏效应的是爆破震动和飞石。实际施工中可根据不同爆破部位需保护目标的距离来确定最大一段齐爆药量，并做好飞石防护。</w:t>
      </w:r>
    </w:p>
    <w:p w14:paraId="36F1BF9A">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爆破震动防护措施</w:t>
      </w:r>
    </w:p>
    <w:p w14:paraId="6D96127E">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为了确保爆区周围人和物的安全，必须将爆破地震的危害严格控制在允许的范围内，根据影响爆破地震的因素，采用的控制爆破震动速度方法主要有以下几个方面：①、对土石方爆破采用适当的爆破类型,爆破地震的强度随爆破作用指数值的增大而减小，先行施工段爆破可采用纵向小台阶炮眼控制爆破为主，边坡采用光面爆破和多层防护的综合爆破施工方案，有效的减小了爆破震动：②、限制一次爆破时的最大用药量是控制爆破震动的关键，由爆破震速与爆速成正比,因此在施工时根据爆破允许震动速度，合理控制最大一响用药量能有效减小爆破震动；③、采用能获得最大松动的爆破方案，使用延发爆破技术开辟内部自由面，以便爆破后产生的压缩波可以从这些自由面反射，本工程采用非电毫秒延发起爆方案时，使其排间延发时间隔大于排内孔间延发间隔时间，就能获得较大的松动；</w:t>
      </w:r>
    </w:p>
    <w:p w14:paraId="4D079589">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④、爆破选用低威力低爆速的炸药是减小爆破震动的有效方法之一，实战证明，炸药的波阻抗不同爆破震动强度也不同，爆速越大，爆破震动强度也越大，且炸药的波阻抗越接近岩石的波阻抗，其震动强度也越大，若能设法将岩石炸药的爆速降低，时其地震效应降低40～60%，结合工程实际选用的低爆速的乳化炸药，有效地减小了爆破震动；⑤、选用适当的单位炸药消耗量，过大的单位炸药消耗量，会使爆破震动与空气冲击波都增大，并引起岩块过度的移动或抛掷，相反，过小的单位炸药消耗量，也会由于延迟和减小从自由面反射回来的拉伸波效应，从而爆破震动增大，结合爆破区的地质条件，在实施过程中，根据爆破效果，不断优化调整，达到最佳效果。⑥、调整爆破工程传爆方向，以改变与被保护物的方位关系，实践证明，抛掷爆破时，最小抵抗线方向的震动最小，反方向最大，两侧居中；而采用排成一排的群药包爆破时，在药包中心的连线方向比在垂直与连线方向的震速可降低 25～45%。因此，充分利用爆破震动的这些特点，通过改变爆源与被保护物的相对方位，可适当控制被保护物处的震动大小。</w:t>
      </w:r>
    </w:p>
    <w:p w14:paraId="01C26845">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控制不产生飞石在露天进行爆破时，特别是进行抛掷爆破和用裸露药包或炮眼药包进行大块破碎时，个别岩块可能飞散得很远，常常造成人员、牲畜的伤亡和建筑物的损坏。个别飞石的飞散距离与爆破方法、爆破参数（特别是最小抵抗线的大小），填塞长度、堵塞质量、地形、地质构造（如节理裂缝和软夹层等等）以及气象条件等等有关。由于爆破条件非常复杂，要从理论上计算出个别飞石的飞散距离是十分困难的。</w:t>
      </w:r>
    </w:p>
    <w:p w14:paraId="30E1C8D5">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飞散物是爆破的必然产物。它是由于装药爆破所形成的冲击波与压缩应力波到达自由面时发生反射，形成反射拉伸应力波自由面向介质内部传播。由于介质的动态抗拉极限强度远远小于动态抗压极限强度,压缩波到达自由面后行成反射,并在自由面附近出现拉伸区，致使在自由面附近的介质形成垂直于波运动方向的裂隙，介质破坏从自由面向装药中心发展。在爆炸气体的作用下，破裂的介质获得加速度而从表面升起，在鼓包开起过程中爆炸气体推动介质向外运输，最后爆炸气体通过裂隙泄出，使夹杂在其中的碎块被加速抛射，获得一定初速的介质碎块在重力和流体动力学的作用下，形成抛射运动，其速度一般都在每秒百米以上，爆破飞散物的高度和距离应通过计算确定。但为了确保高速公路及附近建筑物的安全万无一失，还应做好飞石防护措施：①严格控制药量，在影响爆破飞石诸因素中，装药量是主要因素之一。除正确确定最小抵抗线外，爆破作用指数函数f（n）的选择是控制飞石产生的关键。②合理布置药包，根据爆破要求，被爆体的性质，岩石的结构和层理性质，综合考虑确定药包布置。</w:t>
      </w:r>
    </w:p>
    <w:p w14:paraId="20C8F45F">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覆盖：在炮孔口部位铺设炮被，炮被采用废旧汽车轮胎用钢丝绳编织而成，每片做成10m×10m，用汽车运至施工现场，汽车吊吊装和覆盖，覆盖后各片之间应互相用钢丝绳拴接成一体。覆盖时按照后爆破孔先覆盖的原则进行搭接覆盖，覆盖时应注意孔外连接雷管,把草袋和土袋轻轻地压在炮孔上,不允许在炮孔上拖拉。</w:t>
      </w:r>
    </w:p>
    <w:p w14:paraId="3B4A9DA8">
      <w:pPr>
        <w:pStyle w:val="178"/>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6850" cy="1419225"/>
            <wp:effectExtent l="0" t="0" r="11430" b="13335"/>
            <wp:docPr id="4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31"/>
                    <pic:cNvPicPr>
                      <a:picLocks noChangeAspect="1"/>
                    </pic:cNvPicPr>
                  </pic:nvPicPr>
                  <pic:blipFill>
                    <a:blip r:embed="rId47"/>
                    <a:stretch>
                      <a:fillRect/>
                    </a:stretch>
                  </pic:blipFill>
                  <pic:spPr>
                    <a:xfrm>
                      <a:off x="0" y="0"/>
                      <a:ext cx="5276850" cy="1419225"/>
                    </a:xfrm>
                    <a:prstGeom prst="rect">
                      <a:avLst/>
                    </a:prstGeom>
                    <a:noFill/>
                    <a:ln>
                      <a:noFill/>
                    </a:ln>
                  </pic:spPr>
                </pic:pic>
              </a:graphicData>
            </a:graphic>
          </wp:inline>
        </w:drawing>
      </w:r>
    </w:p>
    <w:p w14:paraId="6ED62C36">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图8.7拓宽覆盖示意图</w:t>
      </w:r>
    </w:p>
    <w:p w14:paraId="5995FB70">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（4）排架防护：设置排架的作用是防止飞石、滚石、滑石在爆破时侵入公路行车限界,妨碍行车安全。排架设置在既有边坡台阶处，排架采用 50×5 的无缝钢管,间距为 0.8m，钢管底端通过φ25 锚杆与山体岩石固定，顶部伸出堑坡坡顶 2m,用16 钢丝绳将排架拉到堑顶上部的地锚上。水平方向每隔 1m 布设 50×5 长度为 6m 横杆钢管,立杆与横杆之间用套管连接，在排架两端及中间每隔 24m 布设剪力撑,剪力撑采用 50×5 长为 4～6m 钢管，每根剪力撑连接3根斜杆,斜杆与地面的夹角为 45°～65°。上一个台阶爆破完成后，排架下移至下一个台阶上，依次施工。</w:t>
      </w:r>
    </w:p>
    <w:p w14:paraId="75BA4C24">
      <w:pPr>
        <w:pStyle w:val="178"/>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71135" cy="2774950"/>
            <wp:effectExtent l="0" t="0" r="1905" b="13970"/>
            <wp:docPr id="4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32"/>
                    <pic:cNvPicPr>
                      <a:picLocks noChangeAspect="1"/>
                    </pic:cNvPicPr>
                  </pic:nvPicPr>
                  <pic:blipFill>
                    <a:blip r:embed="rId48"/>
                    <a:srcRect b="1687"/>
                    <a:stretch>
                      <a:fillRect/>
                    </a:stretch>
                  </pic:blipFill>
                  <pic:spPr>
                    <a:xfrm>
                      <a:off x="0" y="0"/>
                      <a:ext cx="5271135" cy="2774950"/>
                    </a:xfrm>
                    <a:prstGeom prst="rect">
                      <a:avLst/>
                    </a:prstGeom>
                    <a:noFill/>
                    <a:ln>
                      <a:noFill/>
                    </a:ln>
                  </pic:spPr>
                </pic:pic>
              </a:graphicData>
            </a:graphic>
          </wp:inline>
        </w:drawing>
      </w:r>
    </w:p>
    <w:p w14:paraId="3A57FA5A">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图8.8防护排架示意图</w:t>
      </w:r>
    </w:p>
    <w:p w14:paraId="50553C2C">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5）采取微差爆破：无论是浅孔爆破，还是深孔爆破，切忌放齐炮。爆破实施表明，多炮一次齐鸣，或多炮顺段爆破，破碎度得不到保证，爆破震动较大，爆破效果不好，容易产生较多飞石。一般来说，在爆破振动安全允许的条件下，每个药包或每组药包，应以隔段或跳段安排起爆顺序，这对控制飞石颇为重要。加强防护措施，尽管在爆破中，作为精心设计，科学施工，但影响飞石的因素很多，为防止万一，在爆区附近还是要加强防护，并加强警戒。必要时，短时间中断主线交通。</w:t>
      </w:r>
    </w:p>
    <w:p w14:paraId="148E7B21">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1.3普通爆破开挖石方</w:t>
      </w:r>
    </w:p>
    <w:p w14:paraId="170FF9E2">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     石方开挖以机械开挖为主，采用大功率推土机、挖掘机、装载机配合自卸汽车装运，实行挖、装、运流水线作业。对于无法采用挖掘机或大马力推土机开挖的石质路堑，采用梯段松动控制爆破方法施工。为减小爆破震动，采用小型浅孔梯段爆破和非电毫秒雷管微差控制爆破技术；边坡预留光爆层，采用光面爆破；风化破碎岩体的边坡采用预裂爆破。爆破石方采用挖掘机配合自卸汽车运输。深路堑分层开挖，石方开挖采用梯段松动控制爆破施工，靠近边坡2m范围内预留光爆层，光面爆破。爆破后的大块用液压破碎锤进行解小后再装运。</w:t>
      </w:r>
      <w:r>
        <w:rPr>
          <w:rFonts w:hint="default" w:cs="Times New Roman" w:asciiTheme="minorEastAsia" w:hAnsiTheme="minorEastAsia" w:eastAsiaTheme="minorEastAsia"/>
          <w:szCs w:val="24"/>
          <w:highlight w:val="none"/>
          <w:lang w:val="en-US" w:eastAsia="zh-CN"/>
        </w:rPr>
        <w:t>路基面和侧沟采用浅孔控制爆破。</w:t>
      </w:r>
    </w:p>
    <w:p w14:paraId="3E10AC2D">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    针对普通环境对于开挖深度大于</w:t>
      </w:r>
      <w:r>
        <w:rPr>
          <w:rFonts w:hint="default" w:cs="Times New Roman" w:asciiTheme="minorEastAsia" w:hAnsiTheme="minorEastAsia" w:eastAsiaTheme="minorEastAsia"/>
          <w:szCs w:val="24"/>
          <w:highlight w:val="none"/>
          <w:lang w:val="en-US" w:eastAsia="zh-CN"/>
        </w:rPr>
        <w:t>6.0</w:t>
      </w:r>
      <w:r>
        <w:rPr>
          <w:rFonts w:hint="eastAsia" w:cs="Times New Roman" w:asciiTheme="minorEastAsia" w:hAnsiTheme="minorEastAsia" w:eastAsiaTheme="minorEastAsia"/>
          <w:szCs w:val="24"/>
          <w:highlight w:val="none"/>
          <w:lang w:val="en-US" w:eastAsia="zh-CN"/>
        </w:rPr>
        <w:t>m，且石方数量较大的工点，采用小型潜孔钻机钻孔，实施梯段松动控制爆破；对于开挖深度小于</w:t>
      </w:r>
      <w:r>
        <w:rPr>
          <w:rFonts w:hint="default" w:cs="Times New Roman" w:asciiTheme="minorEastAsia" w:hAnsiTheme="minorEastAsia" w:eastAsiaTheme="minorEastAsia"/>
          <w:szCs w:val="24"/>
          <w:highlight w:val="none"/>
          <w:lang w:val="en-US" w:eastAsia="zh-CN"/>
        </w:rPr>
        <w:t>6.0</w:t>
      </w:r>
      <w:r>
        <w:rPr>
          <w:rFonts w:hint="eastAsia" w:cs="Times New Roman" w:asciiTheme="minorEastAsia" w:hAnsiTheme="minorEastAsia" w:eastAsiaTheme="minorEastAsia"/>
          <w:szCs w:val="24"/>
          <w:highlight w:val="none"/>
          <w:lang w:val="en-US" w:eastAsia="zh-CN"/>
        </w:rPr>
        <w:t>m，且石方数量较小的工点，采用风枪钻孔，实施梯段松动控制爆破；</w:t>
      </w:r>
    </w:p>
    <w:p w14:paraId="6E46DED5">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    为提高破碎效果，降低大块率，并降低爆破震动效应，采用大孔距，小排距（一般按邻近系数</w:t>
      </w:r>
      <w:r>
        <w:rPr>
          <w:rFonts w:hint="default" w:cs="Times New Roman" w:asciiTheme="minorEastAsia" w:hAnsiTheme="minorEastAsia" w:eastAsiaTheme="minorEastAsia"/>
          <w:szCs w:val="24"/>
          <w:highlight w:val="none"/>
          <w:lang w:val="en-US" w:eastAsia="zh-CN"/>
        </w:rPr>
        <w:t>m=a/b</w:t>
      </w:r>
      <w:r>
        <w:rPr>
          <w:rFonts w:hint="eastAsia" w:cs="Times New Roman" w:asciiTheme="minorEastAsia" w:hAnsiTheme="minorEastAsia" w:eastAsiaTheme="minorEastAsia"/>
          <w:szCs w:val="24"/>
          <w:highlight w:val="none"/>
          <w:lang w:val="en-US" w:eastAsia="zh-CN"/>
        </w:rPr>
        <w:t>=</w:t>
      </w:r>
      <w:r>
        <w:rPr>
          <w:rFonts w:hint="default" w:cs="Times New Roman" w:asciiTheme="minorEastAsia" w:hAnsiTheme="minorEastAsia" w:eastAsiaTheme="minorEastAsia"/>
          <w:szCs w:val="24"/>
          <w:highlight w:val="none"/>
          <w:lang w:val="en-US" w:eastAsia="zh-CN"/>
        </w:rPr>
        <w:t>2.5</w:t>
      </w:r>
      <w:r>
        <w:rPr>
          <w:rFonts w:hint="eastAsia" w:cs="Times New Roman" w:asciiTheme="minorEastAsia" w:hAnsiTheme="minorEastAsia" w:eastAsiaTheme="minorEastAsia"/>
          <w:szCs w:val="24"/>
          <w:highlight w:val="none"/>
          <w:lang w:val="en-US" w:eastAsia="zh-CN"/>
        </w:rPr>
        <w:t>左右）梅花形布孔，并采用导爆管毫秒雷管实施逐排微差挤压爆破；</w:t>
      </w:r>
    </w:p>
    <w:p w14:paraId="6930F1D0">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    为确保边坡稳定、美观，路堑边坡采用预留光爆层法进行光面爆破。采用潜孔钻机钻孔进行爆破的工点，沿边坡面钻孔进行光面爆破，如边坡设计有平台，可分平台进行光爆。如设计坡面无平台时，可从堑顶沿坡面钻孔，一次钻到坡脚进行光爆。采用风枪钻孔进行光面爆破时，因受钻孔深度限制，采用小台阶式光面爆破。无论采用何种光爆方法，确保眼痕率达到80%以上；</w:t>
      </w:r>
    </w:p>
    <w:p w14:paraId="18442EDC">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 xml:space="preserve">    为确保基底平整坚实，不论采用潜孔钻机还是风枪钻孔进行爆破，到最底层</w:t>
      </w:r>
      <w:r>
        <w:rPr>
          <w:rFonts w:hint="default" w:cs="Times New Roman" w:asciiTheme="minorEastAsia" w:hAnsiTheme="minorEastAsia" w:eastAsiaTheme="minorEastAsia"/>
          <w:szCs w:val="24"/>
          <w:highlight w:val="none"/>
          <w:lang w:val="en-US" w:eastAsia="zh-CN"/>
        </w:rPr>
        <w:t>2.0</w:t>
      </w:r>
      <w:r>
        <w:rPr>
          <w:rFonts w:hint="eastAsia" w:cs="Times New Roman" w:asciiTheme="minorEastAsia" w:hAnsiTheme="minorEastAsia" w:eastAsiaTheme="minorEastAsia"/>
          <w:szCs w:val="24"/>
          <w:highlight w:val="none"/>
          <w:lang w:val="en-US" w:eastAsia="zh-CN"/>
        </w:rPr>
        <w:t>m时，均用风枪钻孔进行爆破，严格控制钻孔深度和孔底标高，适当缩小孔距和排距，采用逐排微差起爆方法；</w:t>
      </w:r>
    </w:p>
    <w:p w14:paraId="1FF8625F">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全路堑开挖横断面见图4.13、宽孔距小排距梅花形全路堑开挖纵断面布孔见图4.14、宽孔距小排距梅花形全路堑开挖平面布孔见图4.15、宽孔距小排距孔内延期微差挤压爆破网络见图4.16、半路堑横向爆破炮孔横断面见图4.17、宽孔距小排距梅花形爆破炮孔平面布置见图4.18。</w:t>
      </w:r>
    </w:p>
    <w:p w14:paraId="601EFB9B">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4262755" cy="1861185"/>
            <wp:effectExtent l="0" t="0" r="4445" b="13335"/>
            <wp:docPr id="44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34"/>
                    <pic:cNvPicPr>
                      <a:picLocks noChangeAspect="1"/>
                    </pic:cNvPicPr>
                  </pic:nvPicPr>
                  <pic:blipFill>
                    <a:blip r:embed="rId49"/>
                    <a:srcRect t="8825"/>
                    <a:stretch>
                      <a:fillRect/>
                    </a:stretch>
                  </pic:blipFill>
                  <pic:spPr>
                    <a:xfrm>
                      <a:off x="0" y="0"/>
                      <a:ext cx="4262755" cy="1861185"/>
                    </a:xfrm>
                    <a:prstGeom prst="rect">
                      <a:avLst/>
                    </a:prstGeom>
                    <a:noFill/>
                    <a:ln>
                      <a:noFill/>
                    </a:ln>
                  </pic:spPr>
                </pic:pic>
              </a:graphicData>
            </a:graphic>
          </wp:inline>
        </w:drawing>
      </w:r>
    </w:p>
    <w:p w14:paraId="6A486E2A">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图8.9全路堑开挖横断面图</w:t>
      </w:r>
    </w:p>
    <w:p w14:paraId="1BB47183">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mc:AlternateContent>
          <mc:Choice Requires="wpg">
            <w:drawing>
              <wp:anchor distT="0" distB="0" distL="114300" distR="114300" simplePos="0" relativeHeight="251685888" behindDoc="0" locked="0" layoutInCell="1" allowOverlap="1">
                <wp:simplePos x="0" y="0"/>
                <wp:positionH relativeFrom="column">
                  <wp:posOffset>473075</wp:posOffset>
                </wp:positionH>
                <wp:positionV relativeFrom="paragraph">
                  <wp:posOffset>43180</wp:posOffset>
                </wp:positionV>
                <wp:extent cx="3867150" cy="1890395"/>
                <wp:effectExtent l="0" t="0" r="3810" b="0"/>
                <wp:wrapNone/>
                <wp:docPr id="441" name="组合 256"/>
                <wp:cNvGraphicFramePr/>
                <a:graphic xmlns:a="http://schemas.openxmlformats.org/drawingml/2006/main">
                  <a:graphicData uri="http://schemas.microsoft.com/office/word/2010/wordprocessingGroup">
                    <wpg:wgp>
                      <wpg:cNvGrpSpPr/>
                      <wpg:grpSpPr>
                        <a:xfrm>
                          <a:off x="1828165" y="7160895"/>
                          <a:ext cx="3867150" cy="1890395"/>
                          <a:chOff x="2892" y="2091"/>
                          <a:chExt cx="6090" cy="3174"/>
                        </a:xfrm>
                        <a:effectLst/>
                      </wpg:grpSpPr>
                      <wps:wsp>
                        <wps:cNvPr id="442" name="文本框 257"/>
                        <wps:cNvSpPr txBox="1"/>
                        <wps:spPr>
                          <a:xfrm>
                            <a:off x="8412" y="2255"/>
                            <a:ext cx="226" cy="599"/>
                          </a:xfrm>
                          <a:prstGeom prst="rect">
                            <a:avLst/>
                          </a:prstGeom>
                          <a:noFill/>
                          <a:ln w="6350">
                            <a:noFill/>
                          </a:ln>
                          <a:effectLst/>
                        </wps:spPr>
                        <wps:txbx>
                          <w:txbxContent>
                            <w:p w14:paraId="582394BE">
                              <w:pPr>
                                <w:spacing w:line="240" w:lineRule="exact"/>
                                <w:rPr>
                                  <w:rFonts w:ascii="宋体" w:hAnsi="宋体"/>
                                </w:rPr>
                              </w:pPr>
                            </w:p>
                            <w:p w14:paraId="60EAA667">
                              <w:pPr>
                                <w:spacing w:line="240" w:lineRule="exact"/>
                                <w:rPr>
                                  <w:rFonts w:ascii="宋体" w:hAnsi="宋体"/>
                                </w:rPr>
                              </w:pPr>
                              <w:r>
                                <w:rPr>
                                  <w:rFonts w:hint="eastAsia" w:ascii="宋体" w:hAnsi="宋体"/>
                                  <w:sz w:val="24"/>
                                </w:rPr>
                                <w:t>H</w:t>
                              </w:r>
                            </w:p>
                            <w:p w14:paraId="3C57DA1B">
                              <w:pPr>
                                <w:spacing w:line="240" w:lineRule="exact"/>
                                <w:rPr>
                                  <w:rFonts w:ascii="宋体" w:hAnsi="宋体"/>
                                </w:rPr>
                              </w:pPr>
                            </w:p>
                            <w:p w14:paraId="0C60795E">
                              <w:pPr>
                                <w:spacing w:line="240" w:lineRule="exact"/>
                                <w:rPr>
                                  <w:rFonts w:ascii="宋体" w:hAnsi="宋体"/>
                                </w:rPr>
                              </w:pPr>
                            </w:p>
                            <w:p w14:paraId="2FAEA583">
                              <w:pPr>
                                <w:jc w:val="center"/>
                                <w:rPr>
                                  <w:rFonts w:ascii="宋体" w:hAnsi="宋体"/>
                                </w:rPr>
                              </w:pPr>
                              <w:r>
                                <w:rPr>
                                  <w:rFonts w:ascii="宋体" w:hAnsi="宋体"/>
                                </w:rPr>
                                <w:t>H</w:t>
                              </w:r>
                            </w:p>
                          </w:txbxContent>
                        </wps:txbx>
                        <wps:bodyPr lIns="0" tIns="0" rIns="0" bIns="0" upright="1"/>
                      </wps:wsp>
                      <wps:wsp>
                        <wps:cNvPr id="443" name="文本框 258"/>
                        <wps:cNvSpPr txBox="1"/>
                        <wps:spPr>
                          <a:xfrm>
                            <a:off x="8427" y="3731"/>
                            <a:ext cx="335" cy="599"/>
                          </a:xfrm>
                          <a:prstGeom prst="rect">
                            <a:avLst/>
                          </a:prstGeom>
                          <a:noFill/>
                          <a:ln w="6350">
                            <a:noFill/>
                          </a:ln>
                          <a:effectLst/>
                        </wps:spPr>
                        <wps:txbx>
                          <w:txbxContent>
                            <w:p w14:paraId="5FCFAD2F">
                              <w:pPr>
                                <w:spacing w:line="360" w:lineRule="exact"/>
                                <w:rPr>
                                  <w:rFonts w:ascii="宋体" w:hAnsi="宋体"/>
                                </w:rPr>
                              </w:pPr>
                              <w:r>
                                <w:rPr>
                                  <w:rFonts w:hint="eastAsia" w:ascii="宋体" w:hAnsi="宋体"/>
                                  <w:sz w:val="24"/>
                                </w:rPr>
                                <w:t>H</w:t>
                              </w:r>
                            </w:p>
                          </w:txbxContent>
                        </wps:txbx>
                        <wps:bodyPr lIns="0" tIns="0" rIns="0" bIns="0" upright="1"/>
                      </wps:wsp>
                      <wps:wsp>
                        <wps:cNvPr id="444" name="文本框 259"/>
                        <wps:cNvSpPr txBox="1"/>
                        <wps:spPr>
                          <a:xfrm>
                            <a:off x="8282" y="4665"/>
                            <a:ext cx="552" cy="600"/>
                          </a:xfrm>
                          <a:prstGeom prst="rect">
                            <a:avLst/>
                          </a:prstGeom>
                          <a:noFill/>
                          <a:ln w="6350">
                            <a:noFill/>
                          </a:ln>
                          <a:effectLst/>
                        </wps:spPr>
                        <wps:txbx>
                          <w:txbxContent>
                            <w:p w14:paraId="6088C2CB">
                              <w:pPr>
                                <w:spacing w:line="240" w:lineRule="exact"/>
                                <w:rPr>
                                  <w:rFonts w:ascii="宋体" w:hAnsi="宋体"/>
                                </w:rPr>
                              </w:pPr>
                              <w:r>
                                <w:rPr>
                                  <w:rFonts w:ascii="宋体" w:hAnsi="宋体"/>
                                  <w:sz w:val="24"/>
                                </w:rPr>
                                <w:t>2.0</w:t>
                              </w:r>
                            </w:p>
                          </w:txbxContent>
                        </wps:txbx>
                        <wps:bodyPr lIns="0" tIns="0" rIns="0" bIns="0" upright="1"/>
                      </wps:wsp>
                      <wps:wsp>
                        <wps:cNvPr id="445" name="文本框 260"/>
                        <wps:cNvSpPr txBox="1"/>
                        <wps:spPr>
                          <a:xfrm>
                            <a:off x="7781" y="3081"/>
                            <a:ext cx="251" cy="238"/>
                          </a:xfrm>
                          <a:prstGeom prst="rect">
                            <a:avLst/>
                          </a:prstGeom>
                          <a:noFill/>
                          <a:ln w="6350">
                            <a:noFill/>
                          </a:ln>
                          <a:effectLst/>
                        </wps:spPr>
                        <wps:txbx>
                          <w:txbxContent>
                            <w:p w14:paraId="0588E83E">
                              <w:pPr>
                                <w:spacing w:line="240" w:lineRule="exact"/>
                                <w:rPr>
                                  <w:rFonts w:ascii="宋体" w:hAnsi="宋体"/>
                                </w:rPr>
                              </w:pPr>
                              <w:r>
                                <w:rPr>
                                  <w:rFonts w:ascii="宋体" w:hAnsi="宋体"/>
                                  <w:sz w:val="24"/>
                                </w:rPr>
                                <w:t>h</w:t>
                              </w:r>
                            </w:p>
                          </w:txbxContent>
                        </wps:txbx>
                        <wps:bodyPr lIns="0" tIns="0" rIns="0" bIns="0" upright="1"/>
                      </wps:wsp>
                      <wps:wsp>
                        <wps:cNvPr id="446" name="文本框 261"/>
                        <wps:cNvSpPr txBox="1"/>
                        <wps:spPr>
                          <a:xfrm>
                            <a:off x="5709" y="4298"/>
                            <a:ext cx="250" cy="240"/>
                          </a:xfrm>
                          <a:prstGeom prst="rect">
                            <a:avLst/>
                          </a:prstGeom>
                          <a:noFill/>
                          <a:ln w="6350">
                            <a:noFill/>
                          </a:ln>
                          <a:effectLst/>
                        </wps:spPr>
                        <wps:txbx>
                          <w:txbxContent>
                            <w:p w14:paraId="1AC5832E">
                              <w:pPr>
                                <w:spacing w:line="240" w:lineRule="exact"/>
                                <w:rPr>
                                  <w:rFonts w:ascii="宋体" w:hAnsi="宋体"/>
                                  <w:sz w:val="24"/>
                                </w:rPr>
                              </w:pPr>
                              <w:r>
                                <w:rPr>
                                  <w:rFonts w:ascii="宋体" w:hAnsi="宋体"/>
                                  <w:sz w:val="24"/>
                                </w:rPr>
                                <w:t>h</w:t>
                              </w:r>
                            </w:p>
                          </w:txbxContent>
                        </wps:txbx>
                        <wps:bodyPr lIns="0" tIns="0" rIns="0" bIns="0" upright="1"/>
                      </wps:wsp>
                      <wps:wsp>
                        <wps:cNvPr id="447" name="文本框 262"/>
                        <wps:cNvSpPr txBox="1"/>
                        <wps:spPr>
                          <a:xfrm>
                            <a:off x="6265" y="3000"/>
                            <a:ext cx="251" cy="238"/>
                          </a:xfrm>
                          <a:prstGeom prst="rect">
                            <a:avLst/>
                          </a:prstGeom>
                          <a:noFill/>
                          <a:ln w="6350">
                            <a:noFill/>
                          </a:ln>
                          <a:effectLst/>
                        </wps:spPr>
                        <wps:txbx>
                          <w:txbxContent>
                            <w:p w14:paraId="1B2EFAD8">
                              <w:pPr>
                                <w:spacing w:line="240" w:lineRule="exact"/>
                                <w:rPr>
                                  <w:rFonts w:ascii="宋体" w:hAnsi="宋体"/>
                                </w:rPr>
                              </w:pPr>
                              <w:r>
                                <w:rPr>
                                  <w:rFonts w:ascii="宋体" w:hAnsi="宋体"/>
                                  <w:sz w:val="24"/>
                                </w:rPr>
                                <w:t>w</w:t>
                              </w:r>
                              <w:r>
                                <w:rPr>
                                  <w:rFonts w:ascii="宋体" w:hAnsi="宋体"/>
                                  <w:vertAlign w:val="subscript"/>
                                </w:rPr>
                                <w:t>1</w:t>
                              </w:r>
                            </w:p>
                          </w:txbxContent>
                        </wps:txbx>
                        <wps:bodyPr lIns="0" tIns="0" rIns="0" bIns="0" upright="1"/>
                      </wps:wsp>
                      <wps:wsp>
                        <wps:cNvPr id="448" name="文本框 263"/>
                        <wps:cNvSpPr txBox="1"/>
                        <wps:spPr>
                          <a:xfrm>
                            <a:off x="4370" y="4251"/>
                            <a:ext cx="251" cy="239"/>
                          </a:xfrm>
                          <a:prstGeom prst="rect">
                            <a:avLst/>
                          </a:prstGeom>
                          <a:noFill/>
                          <a:ln w="6350">
                            <a:noFill/>
                          </a:ln>
                          <a:effectLst/>
                        </wps:spPr>
                        <wps:txbx>
                          <w:txbxContent>
                            <w:p w14:paraId="744B16E0">
                              <w:pPr>
                                <w:spacing w:line="240" w:lineRule="exact"/>
                                <w:rPr>
                                  <w:rFonts w:ascii="宋体" w:hAnsi="宋体"/>
                                </w:rPr>
                              </w:pPr>
                              <w:r>
                                <w:rPr>
                                  <w:rFonts w:ascii="宋体" w:hAnsi="宋体"/>
                                  <w:sz w:val="24"/>
                                </w:rPr>
                                <w:t>w</w:t>
                              </w:r>
                              <w:r>
                                <w:rPr>
                                  <w:rFonts w:ascii="宋体" w:hAnsi="宋体"/>
                                  <w:vertAlign w:val="subscript"/>
                                </w:rPr>
                                <w:t>1</w:t>
                              </w:r>
                            </w:p>
                          </w:txbxContent>
                        </wps:txbx>
                        <wps:bodyPr lIns="0" tIns="0" rIns="0" bIns="0" upright="1"/>
                      </wps:wsp>
                      <wps:wsp>
                        <wps:cNvPr id="449" name="文本框 264"/>
                        <wps:cNvSpPr txBox="1"/>
                        <wps:spPr>
                          <a:xfrm>
                            <a:off x="3056" y="4705"/>
                            <a:ext cx="251" cy="238"/>
                          </a:xfrm>
                          <a:prstGeom prst="rect">
                            <a:avLst/>
                          </a:prstGeom>
                          <a:noFill/>
                          <a:ln w="6350">
                            <a:noFill/>
                          </a:ln>
                          <a:effectLst/>
                        </wps:spPr>
                        <wps:txbx>
                          <w:txbxContent>
                            <w:p w14:paraId="64ECF900">
                              <w:pPr>
                                <w:spacing w:line="240" w:lineRule="exact"/>
                                <w:rPr>
                                  <w:rFonts w:ascii="宋体" w:hAnsi="宋体"/>
                                </w:rPr>
                              </w:pPr>
                              <w:r>
                                <w:rPr>
                                  <w:rFonts w:ascii="宋体" w:hAnsi="宋体"/>
                                  <w:sz w:val="24"/>
                                </w:rPr>
                                <w:t>w</w:t>
                              </w:r>
                              <w:r>
                                <w:rPr>
                                  <w:rFonts w:ascii="宋体" w:hAnsi="宋体"/>
                                  <w:vertAlign w:val="subscript"/>
                                </w:rPr>
                                <w:t>1</w:t>
                              </w:r>
                            </w:p>
                          </w:txbxContent>
                        </wps:txbx>
                        <wps:bodyPr lIns="0" tIns="0" rIns="0" bIns="0" upright="1"/>
                      </wps:wsp>
                      <wps:wsp>
                        <wps:cNvPr id="450" name="直线 265"/>
                        <wps:cNvCnPr/>
                        <wps:spPr>
                          <a:xfrm>
                            <a:off x="2892" y="5026"/>
                            <a:ext cx="5297" cy="0"/>
                          </a:xfrm>
                          <a:prstGeom prst="line">
                            <a:avLst/>
                          </a:prstGeom>
                          <a:ln w="6350" cap="flat" cmpd="sng">
                            <a:solidFill>
                              <a:srgbClr val="000000"/>
                            </a:solidFill>
                            <a:prstDash val="solid"/>
                            <a:headEnd type="none" w="med" len="med"/>
                            <a:tailEnd type="none" w="med" len="med"/>
                          </a:ln>
                          <a:effectLst/>
                        </wps:spPr>
                        <wps:bodyPr upright="1"/>
                      </wps:wsp>
                      <wps:wsp>
                        <wps:cNvPr id="451" name="直线 266"/>
                        <wps:cNvCnPr/>
                        <wps:spPr>
                          <a:xfrm>
                            <a:off x="3143" y="4549"/>
                            <a:ext cx="1095" cy="0"/>
                          </a:xfrm>
                          <a:prstGeom prst="line">
                            <a:avLst/>
                          </a:prstGeom>
                          <a:ln w="6350" cap="flat" cmpd="sng">
                            <a:solidFill>
                              <a:srgbClr val="000000"/>
                            </a:solidFill>
                            <a:prstDash val="solid"/>
                            <a:headEnd type="none" w="med" len="med"/>
                            <a:tailEnd type="none" w="med" len="med"/>
                          </a:ln>
                          <a:effectLst/>
                        </wps:spPr>
                        <wps:bodyPr upright="1"/>
                      </wps:wsp>
                      <wps:wsp>
                        <wps:cNvPr id="452" name="直线 267"/>
                        <wps:cNvCnPr/>
                        <wps:spPr>
                          <a:xfrm>
                            <a:off x="4540" y="3320"/>
                            <a:ext cx="1636" cy="0"/>
                          </a:xfrm>
                          <a:prstGeom prst="line">
                            <a:avLst/>
                          </a:prstGeom>
                          <a:ln w="6350" cap="flat" cmpd="sng">
                            <a:solidFill>
                              <a:srgbClr val="000000"/>
                            </a:solidFill>
                            <a:prstDash val="solid"/>
                            <a:headEnd type="none" w="med" len="med"/>
                            <a:tailEnd type="none" w="med" len="med"/>
                          </a:ln>
                          <a:effectLst/>
                        </wps:spPr>
                        <wps:bodyPr upright="1"/>
                      </wps:wsp>
                      <wps:wsp>
                        <wps:cNvPr id="453" name="直线 268"/>
                        <wps:cNvCnPr/>
                        <wps:spPr>
                          <a:xfrm>
                            <a:off x="6428" y="2115"/>
                            <a:ext cx="1887" cy="0"/>
                          </a:xfrm>
                          <a:prstGeom prst="line">
                            <a:avLst/>
                          </a:prstGeom>
                          <a:ln w="6350" cap="flat" cmpd="sng">
                            <a:solidFill>
                              <a:srgbClr val="000000"/>
                            </a:solidFill>
                            <a:prstDash val="solid"/>
                            <a:headEnd type="none" w="med" len="med"/>
                            <a:tailEnd type="none" w="med" len="med"/>
                          </a:ln>
                          <a:effectLst/>
                        </wps:spPr>
                        <wps:bodyPr upright="1"/>
                      </wps:wsp>
                      <wps:wsp>
                        <wps:cNvPr id="900" name="任意多边形 269"/>
                        <wps:cNvSpPr/>
                        <wps:spPr>
                          <a:xfrm>
                            <a:off x="3016" y="4549"/>
                            <a:ext cx="115" cy="490"/>
                          </a:xfrm>
                          <a:custGeom>
                            <a:avLst/>
                            <a:gdLst/>
                            <a:ahLst/>
                            <a:cxnLst/>
                            <a:pathLst>
                              <a:path w="183" h="820">
                                <a:moveTo>
                                  <a:pt x="183" y="0"/>
                                </a:moveTo>
                                <a:cubicBezTo>
                                  <a:pt x="155" y="141"/>
                                  <a:pt x="174" y="68"/>
                                  <a:pt x="123" y="220"/>
                                </a:cubicBezTo>
                                <a:cubicBezTo>
                                  <a:pt x="104" y="278"/>
                                  <a:pt x="101" y="341"/>
                                  <a:pt x="83" y="400"/>
                                </a:cubicBezTo>
                                <a:cubicBezTo>
                                  <a:pt x="71" y="440"/>
                                  <a:pt x="56" y="480"/>
                                  <a:pt x="43" y="520"/>
                                </a:cubicBezTo>
                                <a:cubicBezTo>
                                  <a:pt x="36" y="540"/>
                                  <a:pt x="23" y="580"/>
                                  <a:pt x="23" y="580"/>
                                </a:cubicBezTo>
                                <a:cubicBezTo>
                                  <a:pt x="0" y="766"/>
                                  <a:pt x="3" y="686"/>
                                  <a:pt x="3" y="820"/>
                                </a:cubicBezTo>
                              </a:path>
                            </a:pathLst>
                          </a:custGeom>
                          <a:noFill/>
                          <a:ln w="6350" cap="flat" cmpd="sng">
                            <a:solidFill>
                              <a:srgbClr val="000000"/>
                            </a:solidFill>
                            <a:prstDash val="solid"/>
                            <a:headEnd type="none" w="med" len="med"/>
                            <a:tailEnd type="none" w="med" len="med"/>
                          </a:ln>
                          <a:effectLst/>
                        </wps:spPr>
                        <wps:bodyPr upright="1"/>
                      </wps:wsp>
                      <wps:wsp>
                        <wps:cNvPr id="1567" name="任意多边形 270"/>
                        <wps:cNvSpPr/>
                        <wps:spPr>
                          <a:xfrm>
                            <a:off x="4238" y="3320"/>
                            <a:ext cx="302" cy="1242"/>
                          </a:xfrm>
                          <a:custGeom>
                            <a:avLst/>
                            <a:gdLst/>
                            <a:ahLst/>
                            <a:cxnLst/>
                            <a:pathLst>
                              <a:path w="481" h="2080">
                                <a:moveTo>
                                  <a:pt x="481" y="0"/>
                                </a:moveTo>
                                <a:cubicBezTo>
                                  <a:pt x="400" y="121"/>
                                  <a:pt x="468" y="0"/>
                                  <a:pt x="421" y="220"/>
                                </a:cubicBezTo>
                                <a:cubicBezTo>
                                  <a:pt x="412" y="261"/>
                                  <a:pt x="394" y="300"/>
                                  <a:pt x="381" y="340"/>
                                </a:cubicBezTo>
                                <a:cubicBezTo>
                                  <a:pt x="374" y="360"/>
                                  <a:pt x="368" y="380"/>
                                  <a:pt x="361" y="400"/>
                                </a:cubicBezTo>
                                <a:cubicBezTo>
                                  <a:pt x="354" y="420"/>
                                  <a:pt x="341" y="460"/>
                                  <a:pt x="341" y="460"/>
                                </a:cubicBezTo>
                                <a:cubicBezTo>
                                  <a:pt x="332" y="535"/>
                                  <a:pt x="322" y="642"/>
                                  <a:pt x="301" y="720"/>
                                </a:cubicBezTo>
                                <a:cubicBezTo>
                                  <a:pt x="290" y="761"/>
                                  <a:pt x="274" y="800"/>
                                  <a:pt x="261" y="840"/>
                                </a:cubicBezTo>
                                <a:cubicBezTo>
                                  <a:pt x="254" y="860"/>
                                  <a:pt x="241" y="900"/>
                                  <a:pt x="241" y="900"/>
                                </a:cubicBezTo>
                                <a:cubicBezTo>
                                  <a:pt x="222" y="1106"/>
                                  <a:pt x="178" y="1320"/>
                                  <a:pt x="121" y="1520"/>
                                </a:cubicBezTo>
                                <a:cubicBezTo>
                                  <a:pt x="61" y="1732"/>
                                  <a:pt x="156" y="1435"/>
                                  <a:pt x="61" y="1720"/>
                                </a:cubicBezTo>
                                <a:cubicBezTo>
                                  <a:pt x="54" y="1740"/>
                                  <a:pt x="48" y="1760"/>
                                  <a:pt x="41" y="1780"/>
                                </a:cubicBezTo>
                                <a:cubicBezTo>
                                  <a:pt x="34" y="1800"/>
                                  <a:pt x="21" y="1840"/>
                                  <a:pt x="21" y="1840"/>
                                </a:cubicBezTo>
                                <a:cubicBezTo>
                                  <a:pt x="0" y="2053"/>
                                  <a:pt x="1" y="1973"/>
                                  <a:pt x="1" y="2080"/>
                                </a:cubicBezTo>
                              </a:path>
                            </a:pathLst>
                          </a:custGeom>
                          <a:noFill/>
                          <a:ln w="6350" cap="flat" cmpd="sng">
                            <a:solidFill>
                              <a:srgbClr val="000000"/>
                            </a:solidFill>
                            <a:prstDash val="solid"/>
                            <a:headEnd type="none" w="med" len="med"/>
                            <a:tailEnd type="none" w="med" len="med"/>
                          </a:ln>
                          <a:effectLst/>
                        </wps:spPr>
                        <wps:bodyPr upright="1"/>
                      </wps:wsp>
                      <wps:wsp>
                        <wps:cNvPr id="913" name="直线 271"/>
                        <wps:cNvCnPr/>
                        <wps:spPr>
                          <a:xfrm flipH="1">
                            <a:off x="3194" y="4549"/>
                            <a:ext cx="113" cy="490"/>
                          </a:xfrm>
                          <a:prstGeom prst="line">
                            <a:avLst/>
                          </a:prstGeom>
                          <a:ln w="6350" cap="flat" cmpd="sng">
                            <a:solidFill>
                              <a:srgbClr val="000000"/>
                            </a:solidFill>
                            <a:prstDash val="solid"/>
                            <a:headEnd type="none" w="med" len="med"/>
                            <a:tailEnd type="none" w="med" len="med"/>
                          </a:ln>
                          <a:effectLst/>
                        </wps:spPr>
                        <wps:bodyPr upright="1"/>
                      </wps:wsp>
                      <wps:wsp>
                        <wps:cNvPr id="915" name="直线 272"/>
                        <wps:cNvCnPr/>
                        <wps:spPr>
                          <a:xfrm flipH="1">
                            <a:off x="3377" y="4549"/>
                            <a:ext cx="113" cy="490"/>
                          </a:xfrm>
                          <a:prstGeom prst="line">
                            <a:avLst/>
                          </a:prstGeom>
                          <a:ln w="6350" cap="flat" cmpd="sng">
                            <a:solidFill>
                              <a:srgbClr val="000000"/>
                            </a:solidFill>
                            <a:prstDash val="solid"/>
                            <a:headEnd type="none" w="med" len="med"/>
                            <a:tailEnd type="none" w="med" len="med"/>
                          </a:ln>
                          <a:effectLst/>
                        </wps:spPr>
                        <wps:bodyPr upright="1"/>
                      </wps:wsp>
                      <wps:wsp>
                        <wps:cNvPr id="918" name="直线 273"/>
                        <wps:cNvCnPr/>
                        <wps:spPr>
                          <a:xfrm flipH="1">
                            <a:off x="3559" y="4549"/>
                            <a:ext cx="113" cy="490"/>
                          </a:xfrm>
                          <a:prstGeom prst="line">
                            <a:avLst/>
                          </a:prstGeom>
                          <a:ln w="6350" cap="flat" cmpd="sng">
                            <a:solidFill>
                              <a:srgbClr val="000000"/>
                            </a:solidFill>
                            <a:prstDash val="solid"/>
                            <a:headEnd type="none" w="med" len="med"/>
                            <a:tailEnd type="none" w="med" len="med"/>
                          </a:ln>
                          <a:effectLst/>
                        </wps:spPr>
                        <wps:bodyPr upright="1"/>
                      </wps:wsp>
                      <wps:wsp>
                        <wps:cNvPr id="1571" name="直线 274"/>
                        <wps:cNvCnPr/>
                        <wps:spPr>
                          <a:xfrm flipH="1">
                            <a:off x="3742" y="4549"/>
                            <a:ext cx="113" cy="490"/>
                          </a:xfrm>
                          <a:prstGeom prst="line">
                            <a:avLst/>
                          </a:prstGeom>
                          <a:ln w="6350" cap="flat" cmpd="sng">
                            <a:solidFill>
                              <a:srgbClr val="000000"/>
                            </a:solidFill>
                            <a:prstDash val="solid"/>
                            <a:headEnd type="none" w="med" len="med"/>
                            <a:tailEnd type="none" w="med" len="med"/>
                          </a:ln>
                          <a:effectLst/>
                        </wps:spPr>
                        <wps:bodyPr upright="1"/>
                      </wps:wsp>
                      <wps:wsp>
                        <wps:cNvPr id="919" name="直线 275"/>
                        <wps:cNvCnPr/>
                        <wps:spPr>
                          <a:xfrm flipH="1">
                            <a:off x="3924" y="4549"/>
                            <a:ext cx="113" cy="490"/>
                          </a:xfrm>
                          <a:prstGeom prst="line">
                            <a:avLst/>
                          </a:prstGeom>
                          <a:ln w="6350" cap="flat" cmpd="sng">
                            <a:solidFill>
                              <a:srgbClr val="000000"/>
                            </a:solidFill>
                            <a:prstDash val="solid"/>
                            <a:headEnd type="none" w="med" len="med"/>
                            <a:tailEnd type="none" w="med" len="med"/>
                          </a:ln>
                          <a:effectLst/>
                        </wps:spPr>
                        <wps:bodyPr upright="1"/>
                      </wps:wsp>
                      <wps:wsp>
                        <wps:cNvPr id="921" name="矩形 276"/>
                        <wps:cNvSpPr/>
                        <wps:spPr>
                          <a:xfrm rot="715298" flipH="1">
                            <a:off x="4640" y="3295"/>
                            <a:ext cx="45" cy="1374"/>
                          </a:xfrm>
                          <a:prstGeom prst="rect">
                            <a:avLst/>
                          </a:prstGeom>
                          <a:noFill/>
                          <a:ln w="6350" cap="flat" cmpd="sng">
                            <a:solidFill>
                              <a:srgbClr val="000000"/>
                            </a:solidFill>
                            <a:prstDash val="solid"/>
                            <a:miter/>
                            <a:headEnd type="none" w="med" len="med"/>
                            <a:tailEnd type="none" w="med" len="med"/>
                          </a:ln>
                          <a:effectLst/>
                        </wps:spPr>
                        <wps:bodyPr upright="1"/>
                      </wps:wsp>
                      <wps:wsp>
                        <wps:cNvPr id="1325" name="矩形 277"/>
                        <wps:cNvSpPr/>
                        <wps:spPr>
                          <a:xfrm rot="715298" flipH="1">
                            <a:off x="4953" y="3295"/>
                            <a:ext cx="45" cy="1374"/>
                          </a:xfrm>
                          <a:prstGeom prst="rect">
                            <a:avLst/>
                          </a:prstGeom>
                          <a:noFill/>
                          <a:ln w="6350" cap="flat" cmpd="sng">
                            <a:solidFill>
                              <a:srgbClr val="000000"/>
                            </a:solidFill>
                            <a:prstDash val="solid"/>
                            <a:miter/>
                            <a:headEnd type="none" w="med" len="med"/>
                            <a:tailEnd type="none" w="med" len="med"/>
                          </a:ln>
                          <a:effectLst/>
                        </wps:spPr>
                        <wps:bodyPr upright="1"/>
                      </wps:wsp>
                      <wps:wsp>
                        <wps:cNvPr id="1326" name="矩形 278"/>
                        <wps:cNvSpPr/>
                        <wps:spPr>
                          <a:xfrm rot="715298" flipH="1">
                            <a:off x="5265" y="3295"/>
                            <a:ext cx="46" cy="1374"/>
                          </a:xfrm>
                          <a:prstGeom prst="rect">
                            <a:avLst/>
                          </a:prstGeom>
                          <a:noFill/>
                          <a:ln w="6350" cap="flat" cmpd="sng">
                            <a:solidFill>
                              <a:srgbClr val="000000"/>
                            </a:solidFill>
                            <a:prstDash val="solid"/>
                            <a:miter/>
                            <a:headEnd type="none" w="med" len="med"/>
                            <a:tailEnd type="none" w="med" len="med"/>
                          </a:ln>
                          <a:effectLst/>
                        </wps:spPr>
                        <wps:bodyPr upright="1"/>
                      </wps:wsp>
                      <wps:wsp>
                        <wps:cNvPr id="1327" name="矩形 279"/>
                        <wps:cNvSpPr/>
                        <wps:spPr>
                          <a:xfrm rot="715298" flipH="1">
                            <a:off x="5578" y="3295"/>
                            <a:ext cx="44" cy="1374"/>
                          </a:xfrm>
                          <a:prstGeom prst="rect">
                            <a:avLst/>
                          </a:prstGeom>
                          <a:noFill/>
                          <a:ln w="6350" cap="flat" cmpd="sng">
                            <a:solidFill>
                              <a:srgbClr val="000000"/>
                            </a:solidFill>
                            <a:prstDash val="solid"/>
                            <a:miter/>
                            <a:headEnd type="none" w="med" len="med"/>
                            <a:tailEnd type="none" w="med" len="med"/>
                          </a:ln>
                          <a:effectLst/>
                        </wps:spPr>
                        <wps:bodyPr upright="1"/>
                      </wps:wsp>
                      <wps:wsp>
                        <wps:cNvPr id="1328" name="矩形 280"/>
                        <wps:cNvSpPr/>
                        <wps:spPr>
                          <a:xfrm rot="715298" flipH="1">
                            <a:off x="6559" y="2091"/>
                            <a:ext cx="45" cy="1373"/>
                          </a:xfrm>
                          <a:prstGeom prst="rect">
                            <a:avLst/>
                          </a:prstGeom>
                          <a:noFill/>
                          <a:ln w="6350" cap="flat" cmpd="sng">
                            <a:solidFill>
                              <a:srgbClr val="000000"/>
                            </a:solidFill>
                            <a:prstDash val="solid"/>
                            <a:miter/>
                            <a:headEnd type="none" w="med" len="med"/>
                            <a:tailEnd type="none" w="med" len="med"/>
                          </a:ln>
                          <a:effectLst/>
                        </wps:spPr>
                        <wps:bodyPr upright="1"/>
                      </wps:wsp>
                      <wps:wsp>
                        <wps:cNvPr id="1453" name="矩形 281"/>
                        <wps:cNvSpPr/>
                        <wps:spPr>
                          <a:xfrm rot="715298" flipH="1">
                            <a:off x="6907" y="2103"/>
                            <a:ext cx="45" cy="1373"/>
                          </a:xfrm>
                          <a:prstGeom prst="rect">
                            <a:avLst/>
                          </a:prstGeom>
                          <a:noFill/>
                          <a:ln w="6350" cap="flat" cmpd="sng">
                            <a:solidFill>
                              <a:srgbClr val="000000"/>
                            </a:solidFill>
                            <a:prstDash val="solid"/>
                            <a:miter/>
                            <a:headEnd type="none" w="med" len="med"/>
                            <a:tailEnd type="none" w="med" len="med"/>
                          </a:ln>
                          <a:effectLst/>
                        </wps:spPr>
                        <wps:bodyPr upright="1"/>
                      </wps:wsp>
                      <wps:wsp>
                        <wps:cNvPr id="1481" name="矩形 282"/>
                        <wps:cNvSpPr/>
                        <wps:spPr>
                          <a:xfrm rot="715298" flipH="1">
                            <a:off x="7255" y="2091"/>
                            <a:ext cx="45" cy="1373"/>
                          </a:xfrm>
                          <a:prstGeom prst="rect">
                            <a:avLst/>
                          </a:prstGeom>
                          <a:noFill/>
                          <a:ln w="6350" cap="flat" cmpd="sng">
                            <a:solidFill>
                              <a:srgbClr val="000000"/>
                            </a:solidFill>
                            <a:prstDash val="solid"/>
                            <a:miter/>
                            <a:headEnd type="none" w="med" len="med"/>
                            <a:tailEnd type="none" w="med" len="med"/>
                          </a:ln>
                          <a:effectLst/>
                        </wps:spPr>
                        <wps:bodyPr upright="1"/>
                      </wps:wsp>
                      <wps:wsp>
                        <wps:cNvPr id="1483" name="矩形 283"/>
                        <wps:cNvSpPr/>
                        <wps:spPr>
                          <a:xfrm rot="715298" flipH="1">
                            <a:off x="7603" y="2091"/>
                            <a:ext cx="45" cy="1373"/>
                          </a:xfrm>
                          <a:prstGeom prst="rect">
                            <a:avLst/>
                          </a:prstGeom>
                          <a:noFill/>
                          <a:ln w="6350" cap="flat" cmpd="sng">
                            <a:solidFill>
                              <a:srgbClr val="000000"/>
                            </a:solidFill>
                            <a:prstDash val="solid"/>
                            <a:miter/>
                            <a:headEnd type="none" w="med" len="med"/>
                            <a:tailEnd type="none" w="med" len="med"/>
                          </a:ln>
                          <a:effectLst/>
                        </wps:spPr>
                        <wps:bodyPr upright="1"/>
                      </wps:wsp>
                      <wps:wsp>
                        <wps:cNvPr id="1484" name="直线 284"/>
                        <wps:cNvCnPr/>
                        <wps:spPr>
                          <a:xfrm flipH="1" flipV="1">
                            <a:off x="3016" y="4907"/>
                            <a:ext cx="178" cy="119"/>
                          </a:xfrm>
                          <a:prstGeom prst="line">
                            <a:avLst/>
                          </a:prstGeom>
                          <a:ln w="6350" cap="flat" cmpd="sng">
                            <a:solidFill>
                              <a:srgbClr val="000000"/>
                            </a:solidFill>
                            <a:prstDash val="solid"/>
                            <a:headEnd type="none" w="med" len="med"/>
                            <a:tailEnd type="stealth" w="med" len="med"/>
                          </a:ln>
                          <a:effectLst/>
                        </wps:spPr>
                        <wps:bodyPr upright="1"/>
                      </wps:wsp>
                      <wps:wsp>
                        <wps:cNvPr id="1485" name="直线 285"/>
                        <wps:cNvCnPr/>
                        <wps:spPr>
                          <a:xfrm>
                            <a:off x="4339" y="4549"/>
                            <a:ext cx="3850" cy="0"/>
                          </a:xfrm>
                          <a:prstGeom prst="line">
                            <a:avLst/>
                          </a:prstGeom>
                          <a:ln w="6350" cap="flat" cmpd="sng">
                            <a:solidFill>
                              <a:srgbClr val="000000"/>
                            </a:solidFill>
                            <a:prstDash val="solid"/>
                            <a:headEnd type="none" w="med" len="med"/>
                            <a:tailEnd type="none" w="med" len="med"/>
                          </a:ln>
                          <a:effectLst/>
                        </wps:spPr>
                        <wps:bodyPr upright="1"/>
                      </wps:wsp>
                      <wps:wsp>
                        <wps:cNvPr id="1486" name="直线 286"/>
                        <wps:cNvCnPr/>
                        <wps:spPr>
                          <a:xfrm>
                            <a:off x="6252" y="3320"/>
                            <a:ext cx="1937" cy="0"/>
                          </a:xfrm>
                          <a:prstGeom prst="line">
                            <a:avLst/>
                          </a:prstGeom>
                          <a:ln w="6350" cap="flat" cmpd="sng">
                            <a:solidFill>
                              <a:srgbClr val="000000"/>
                            </a:solidFill>
                            <a:prstDash val="solid"/>
                            <a:headEnd type="none" w="med" len="med"/>
                            <a:tailEnd type="none" w="med" len="med"/>
                          </a:ln>
                          <a:effectLst/>
                        </wps:spPr>
                        <wps:bodyPr upright="1"/>
                      </wps:wsp>
                      <wps:wsp>
                        <wps:cNvPr id="1487" name="任意多边形 287"/>
                        <wps:cNvSpPr/>
                        <wps:spPr>
                          <a:xfrm>
                            <a:off x="6138" y="2115"/>
                            <a:ext cx="290" cy="1218"/>
                          </a:xfrm>
                          <a:custGeom>
                            <a:avLst/>
                            <a:gdLst/>
                            <a:ahLst/>
                            <a:cxnLst/>
                            <a:pathLst>
                              <a:path w="461" h="2040">
                                <a:moveTo>
                                  <a:pt x="461" y="0"/>
                                </a:moveTo>
                                <a:cubicBezTo>
                                  <a:pt x="384" y="115"/>
                                  <a:pt x="440" y="12"/>
                                  <a:pt x="401" y="220"/>
                                </a:cubicBezTo>
                                <a:cubicBezTo>
                                  <a:pt x="382" y="323"/>
                                  <a:pt x="368" y="358"/>
                                  <a:pt x="341" y="440"/>
                                </a:cubicBezTo>
                                <a:cubicBezTo>
                                  <a:pt x="330" y="515"/>
                                  <a:pt x="293" y="784"/>
                                  <a:pt x="281" y="820"/>
                                </a:cubicBezTo>
                                <a:cubicBezTo>
                                  <a:pt x="220" y="1004"/>
                                  <a:pt x="168" y="1192"/>
                                  <a:pt x="121" y="1380"/>
                                </a:cubicBezTo>
                                <a:cubicBezTo>
                                  <a:pt x="96" y="1479"/>
                                  <a:pt x="84" y="1580"/>
                                  <a:pt x="61" y="1680"/>
                                </a:cubicBezTo>
                                <a:cubicBezTo>
                                  <a:pt x="52" y="1721"/>
                                  <a:pt x="21" y="1800"/>
                                  <a:pt x="21" y="1800"/>
                                </a:cubicBezTo>
                                <a:cubicBezTo>
                                  <a:pt x="0" y="2013"/>
                                  <a:pt x="1" y="1933"/>
                                  <a:pt x="1" y="2040"/>
                                </a:cubicBezTo>
                              </a:path>
                            </a:pathLst>
                          </a:custGeom>
                          <a:noFill/>
                          <a:ln w="6350" cap="flat" cmpd="sng">
                            <a:solidFill>
                              <a:srgbClr val="000000"/>
                            </a:solidFill>
                            <a:prstDash val="solid"/>
                            <a:headEnd type="none" w="med" len="med"/>
                            <a:tailEnd type="none" w="med" len="med"/>
                          </a:ln>
                          <a:effectLst/>
                        </wps:spPr>
                        <wps:bodyPr upright="1"/>
                      </wps:wsp>
                      <wps:wsp>
                        <wps:cNvPr id="1488" name="直线 288"/>
                        <wps:cNvCnPr/>
                        <wps:spPr>
                          <a:xfrm flipH="1" flipV="1">
                            <a:off x="4238" y="4406"/>
                            <a:ext cx="302" cy="143"/>
                          </a:xfrm>
                          <a:prstGeom prst="line">
                            <a:avLst/>
                          </a:prstGeom>
                          <a:ln w="6350" cap="flat" cmpd="sng">
                            <a:solidFill>
                              <a:srgbClr val="000000"/>
                            </a:solidFill>
                            <a:prstDash val="solid"/>
                            <a:headEnd type="none" w="med" len="med"/>
                            <a:tailEnd type="stealth" w="sm" len="lg"/>
                          </a:ln>
                          <a:effectLst/>
                        </wps:spPr>
                        <wps:bodyPr upright="1"/>
                      </wps:wsp>
                      <wps:wsp>
                        <wps:cNvPr id="1489" name="直线 289"/>
                        <wps:cNvCnPr/>
                        <wps:spPr>
                          <a:xfrm flipH="1" flipV="1">
                            <a:off x="6138" y="3177"/>
                            <a:ext cx="290" cy="143"/>
                          </a:xfrm>
                          <a:prstGeom prst="line">
                            <a:avLst/>
                          </a:prstGeom>
                          <a:ln w="6350" cap="flat" cmpd="sng">
                            <a:solidFill>
                              <a:srgbClr val="000000"/>
                            </a:solidFill>
                            <a:prstDash val="solid"/>
                            <a:headEnd type="none" w="med" len="med"/>
                            <a:tailEnd type="stealth" w="sm" len="lg"/>
                          </a:ln>
                          <a:effectLst/>
                        </wps:spPr>
                        <wps:bodyPr upright="1"/>
                      </wps:wsp>
                      <wps:wsp>
                        <wps:cNvPr id="1490" name="直线 290"/>
                        <wps:cNvCnPr/>
                        <wps:spPr>
                          <a:xfrm>
                            <a:off x="5698" y="4669"/>
                            <a:ext cx="554" cy="0"/>
                          </a:xfrm>
                          <a:prstGeom prst="line">
                            <a:avLst/>
                          </a:prstGeom>
                          <a:ln w="6350" cap="flat" cmpd="sng">
                            <a:solidFill>
                              <a:srgbClr val="000000"/>
                            </a:solidFill>
                            <a:prstDash val="solid"/>
                            <a:headEnd type="none" w="med" len="med"/>
                            <a:tailEnd type="none" w="med" len="med"/>
                          </a:ln>
                          <a:effectLst/>
                        </wps:spPr>
                        <wps:bodyPr upright="1"/>
                      </wps:wsp>
                      <wps:wsp>
                        <wps:cNvPr id="1491" name="直线 291"/>
                        <wps:cNvCnPr/>
                        <wps:spPr>
                          <a:xfrm flipV="1">
                            <a:off x="5913" y="4669"/>
                            <a:ext cx="0" cy="238"/>
                          </a:xfrm>
                          <a:prstGeom prst="line">
                            <a:avLst/>
                          </a:prstGeom>
                          <a:ln w="6350" cap="flat" cmpd="sng">
                            <a:solidFill>
                              <a:srgbClr val="000000"/>
                            </a:solidFill>
                            <a:prstDash val="solid"/>
                            <a:headEnd type="none" w="med" len="med"/>
                            <a:tailEnd type="stealth" w="sm" len="lg"/>
                          </a:ln>
                          <a:effectLst/>
                        </wps:spPr>
                        <wps:bodyPr upright="1"/>
                      </wps:wsp>
                      <wps:wsp>
                        <wps:cNvPr id="1492" name="直线 292"/>
                        <wps:cNvCnPr/>
                        <wps:spPr>
                          <a:xfrm>
                            <a:off x="5913" y="4263"/>
                            <a:ext cx="0" cy="286"/>
                          </a:xfrm>
                          <a:prstGeom prst="line">
                            <a:avLst/>
                          </a:prstGeom>
                          <a:ln w="6350" cap="flat" cmpd="sng">
                            <a:solidFill>
                              <a:srgbClr val="000000"/>
                            </a:solidFill>
                            <a:prstDash val="solid"/>
                            <a:headEnd type="none" w="med" len="med"/>
                            <a:tailEnd type="stealth" w="sm" len="lg"/>
                          </a:ln>
                          <a:effectLst/>
                        </wps:spPr>
                        <wps:bodyPr upright="1"/>
                      </wps:wsp>
                      <wps:wsp>
                        <wps:cNvPr id="1493" name="直线 293"/>
                        <wps:cNvCnPr/>
                        <wps:spPr>
                          <a:xfrm>
                            <a:off x="8417" y="2115"/>
                            <a:ext cx="565" cy="0"/>
                          </a:xfrm>
                          <a:prstGeom prst="line">
                            <a:avLst/>
                          </a:prstGeom>
                          <a:ln w="6350" cap="flat" cmpd="sng">
                            <a:solidFill>
                              <a:srgbClr val="000000"/>
                            </a:solidFill>
                            <a:prstDash val="solid"/>
                            <a:headEnd type="none" w="med" len="med"/>
                            <a:tailEnd type="none" w="med" len="med"/>
                          </a:ln>
                          <a:effectLst/>
                        </wps:spPr>
                        <wps:bodyPr upright="1"/>
                      </wps:wsp>
                      <wps:wsp>
                        <wps:cNvPr id="1494" name="直线 294"/>
                        <wps:cNvCnPr/>
                        <wps:spPr>
                          <a:xfrm>
                            <a:off x="8417" y="3320"/>
                            <a:ext cx="565" cy="0"/>
                          </a:xfrm>
                          <a:prstGeom prst="line">
                            <a:avLst/>
                          </a:prstGeom>
                          <a:ln w="6350" cap="flat" cmpd="sng">
                            <a:solidFill>
                              <a:srgbClr val="000000"/>
                            </a:solidFill>
                            <a:prstDash val="solid"/>
                            <a:headEnd type="none" w="med" len="med"/>
                            <a:tailEnd type="none" w="med" len="med"/>
                          </a:ln>
                          <a:effectLst/>
                        </wps:spPr>
                        <wps:bodyPr upright="1"/>
                      </wps:wsp>
                      <wps:wsp>
                        <wps:cNvPr id="1592" name="直线 295"/>
                        <wps:cNvCnPr/>
                        <wps:spPr>
                          <a:xfrm>
                            <a:off x="8417" y="4549"/>
                            <a:ext cx="565" cy="0"/>
                          </a:xfrm>
                          <a:prstGeom prst="line">
                            <a:avLst/>
                          </a:prstGeom>
                          <a:ln w="6350" cap="flat" cmpd="sng">
                            <a:solidFill>
                              <a:srgbClr val="000000"/>
                            </a:solidFill>
                            <a:prstDash val="solid"/>
                            <a:headEnd type="none" w="med" len="med"/>
                            <a:tailEnd type="none" w="med" len="med"/>
                          </a:ln>
                          <a:effectLst/>
                        </wps:spPr>
                        <wps:bodyPr upright="1"/>
                      </wps:wsp>
                      <wps:wsp>
                        <wps:cNvPr id="1593" name="直线 296"/>
                        <wps:cNvCnPr/>
                        <wps:spPr>
                          <a:xfrm>
                            <a:off x="8417" y="5026"/>
                            <a:ext cx="565" cy="0"/>
                          </a:xfrm>
                          <a:prstGeom prst="line">
                            <a:avLst/>
                          </a:prstGeom>
                          <a:ln w="6350" cap="flat" cmpd="sng">
                            <a:solidFill>
                              <a:srgbClr val="000000"/>
                            </a:solidFill>
                            <a:prstDash val="solid"/>
                            <a:headEnd type="none" w="med" len="med"/>
                            <a:tailEnd type="none" w="med" len="med"/>
                          </a:ln>
                          <a:effectLst/>
                        </wps:spPr>
                        <wps:bodyPr upright="1"/>
                      </wps:wsp>
                      <wps:wsp>
                        <wps:cNvPr id="1495" name="直线 297"/>
                        <wps:cNvCnPr/>
                        <wps:spPr>
                          <a:xfrm>
                            <a:off x="8702" y="2115"/>
                            <a:ext cx="0" cy="1205"/>
                          </a:xfrm>
                          <a:prstGeom prst="line">
                            <a:avLst/>
                          </a:prstGeom>
                          <a:ln w="6350" cap="flat" cmpd="sng">
                            <a:solidFill>
                              <a:srgbClr val="000000"/>
                            </a:solidFill>
                            <a:prstDash val="solid"/>
                            <a:headEnd type="stealth" w="sm" len="lg"/>
                            <a:tailEnd type="stealth" w="sm" len="lg"/>
                          </a:ln>
                          <a:effectLst/>
                        </wps:spPr>
                        <wps:bodyPr upright="1"/>
                      </wps:wsp>
                      <wps:wsp>
                        <wps:cNvPr id="1496" name="直线 298"/>
                        <wps:cNvCnPr/>
                        <wps:spPr>
                          <a:xfrm>
                            <a:off x="8702" y="3322"/>
                            <a:ext cx="0" cy="1229"/>
                          </a:xfrm>
                          <a:prstGeom prst="line">
                            <a:avLst/>
                          </a:prstGeom>
                          <a:ln w="6350" cap="flat" cmpd="sng">
                            <a:solidFill>
                              <a:srgbClr val="000000"/>
                            </a:solidFill>
                            <a:prstDash val="solid"/>
                            <a:headEnd type="stealth" w="sm" len="lg"/>
                            <a:tailEnd type="stealth" w="sm" len="lg"/>
                          </a:ln>
                          <a:effectLst/>
                        </wps:spPr>
                        <wps:bodyPr upright="1"/>
                      </wps:wsp>
                      <wps:wsp>
                        <wps:cNvPr id="1497" name="直线 299"/>
                        <wps:cNvCnPr/>
                        <wps:spPr>
                          <a:xfrm>
                            <a:off x="8702" y="4549"/>
                            <a:ext cx="0" cy="477"/>
                          </a:xfrm>
                          <a:prstGeom prst="line">
                            <a:avLst/>
                          </a:prstGeom>
                          <a:ln w="6350" cap="flat" cmpd="sng">
                            <a:solidFill>
                              <a:srgbClr val="000000"/>
                            </a:solidFill>
                            <a:prstDash val="solid"/>
                            <a:headEnd type="stealth" w="sm" len="lg"/>
                            <a:tailEnd type="stealth" w="sm" len="lg"/>
                          </a:ln>
                          <a:effectLst/>
                        </wps:spPr>
                        <wps:bodyPr upright="1"/>
                      </wps:wsp>
                      <wps:wsp>
                        <wps:cNvPr id="1498" name="直线 300"/>
                        <wps:cNvCnPr/>
                        <wps:spPr>
                          <a:xfrm>
                            <a:off x="7761" y="3428"/>
                            <a:ext cx="428" cy="0"/>
                          </a:xfrm>
                          <a:prstGeom prst="line">
                            <a:avLst/>
                          </a:prstGeom>
                          <a:ln w="6350" cap="flat" cmpd="sng">
                            <a:solidFill>
                              <a:srgbClr val="000000"/>
                            </a:solidFill>
                            <a:prstDash val="solid"/>
                            <a:headEnd type="none" w="med" len="med"/>
                            <a:tailEnd type="none" w="med" len="med"/>
                          </a:ln>
                          <a:effectLst/>
                        </wps:spPr>
                        <wps:bodyPr upright="1"/>
                      </wps:wsp>
                      <wps:wsp>
                        <wps:cNvPr id="1499" name="直线 301"/>
                        <wps:cNvCnPr/>
                        <wps:spPr>
                          <a:xfrm flipV="1">
                            <a:off x="7977" y="3428"/>
                            <a:ext cx="0" cy="240"/>
                          </a:xfrm>
                          <a:prstGeom prst="line">
                            <a:avLst/>
                          </a:prstGeom>
                          <a:ln w="6350" cap="flat" cmpd="sng">
                            <a:solidFill>
                              <a:srgbClr val="000000"/>
                            </a:solidFill>
                            <a:prstDash val="solid"/>
                            <a:headEnd type="none" w="med" len="med"/>
                            <a:tailEnd type="stealth" w="sm" len="lg"/>
                          </a:ln>
                          <a:effectLst/>
                        </wps:spPr>
                        <wps:bodyPr upright="1"/>
                      </wps:wsp>
                      <wps:wsp>
                        <wps:cNvPr id="1500" name="直线 302"/>
                        <wps:cNvCnPr/>
                        <wps:spPr>
                          <a:xfrm>
                            <a:off x="7977" y="3023"/>
                            <a:ext cx="0" cy="287"/>
                          </a:xfrm>
                          <a:prstGeom prst="line">
                            <a:avLst/>
                          </a:prstGeom>
                          <a:ln w="6350" cap="flat" cmpd="sng">
                            <a:solidFill>
                              <a:srgbClr val="000000"/>
                            </a:solidFill>
                            <a:prstDash val="solid"/>
                            <a:headEnd type="none" w="med" len="med"/>
                            <a:tailEnd type="stealth" w="sm" len="lg"/>
                          </a:ln>
                          <a:effectLst/>
                        </wps:spPr>
                        <wps:bodyPr upright="1"/>
                      </wps:wsp>
                    </wpg:wgp>
                  </a:graphicData>
                </a:graphic>
              </wp:anchor>
            </w:drawing>
          </mc:Choice>
          <mc:Fallback>
            <w:pict>
              <v:group id="组合 256" o:spid="_x0000_s1026" o:spt="203" style="position:absolute;left:0pt;margin-left:37.25pt;margin-top:3.4pt;height:148.85pt;width:304.5pt;z-index:251685888;mso-width-relative:page;mso-height-relative:page;" coordorigin="2892,2091" coordsize="6090,3174" o:gfxdata="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">
                <o:lock v:ext="edit" aspectratio="f"/>
                <v:shape id="文本框 257" o:spid="_x0000_s1026" o:spt="202" type="#_x0000_t202" style="position:absolute;left:8412;top:2255;height:599;width:226;" filled="f" stroked="f" coordsize="21600,21600" o:gfxdata="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l6w6/&#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582394BE">
                        <w:pPr>
                          <w:spacing w:line="240" w:lineRule="exact"/>
                          <w:rPr>
                            <w:rFonts w:ascii="宋体" w:hAnsi="宋体"/>
                          </w:rPr>
                        </w:pPr>
                      </w:p>
                      <w:p w14:paraId="60EAA667">
                        <w:pPr>
                          <w:spacing w:line="240" w:lineRule="exact"/>
                          <w:rPr>
                            <w:rFonts w:ascii="宋体" w:hAnsi="宋体"/>
                          </w:rPr>
                        </w:pPr>
                        <w:r>
                          <w:rPr>
                            <w:rFonts w:hint="eastAsia" w:ascii="宋体" w:hAnsi="宋体"/>
                            <w:sz w:val="24"/>
                          </w:rPr>
                          <w:t>H</w:t>
                        </w:r>
                      </w:p>
                      <w:p w14:paraId="3C57DA1B">
                        <w:pPr>
                          <w:spacing w:line="240" w:lineRule="exact"/>
                          <w:rPr>
                            <w:rFonts w:ascii="宋体" w:hAnsi="宋体"/>
                          </w:rPr>
                        </w:pPr>
                      </w:p>
                      <w:p w14:paraId="0C60795E">
                        <w:pPr>
                          <w:spacing w:line="240" w:lineRule="exact"/>
                          <w:rPr>
                            <w:rFonts w:ascii="宋体" w:hAnsi="宋体"/>
                          </w:rPr>
                        </w:pPr>
                      </w:p>
                      <w:p w14:paraId="2FAEA583">
                        <w:pPr>
                          <w:jc w:val="center"/>
                          <w:rPr>
                            <w:rFonts w:ascii="宋体" w:hAnsi="宋体"/>
                          </w:rPr>
                        </w:pPr>
                        <w:r>
                          <w:rPr>
                            <w:rFonts w:ascii="宋体" w:hAnsi="宋体"/>
                          </w:rPr>
                          <w:t>H</w:t>
                        </w:r>
                      </w:p>
                    </w:txbxContent>
                  </v:textbox>
                </v:shape>
                <v:shape id="文本框 258" o:spid="_x0000_s1026" o:spt="202" type="#_x0000_t202" style="position:absolute;left:8427;top:3731;height:599;width:335;" filled="f" stroked="f" coordsize="21600,21600" o:gfxdata="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3pTpW/&#10;AAAA3A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5FCFAD2F">
                        <w:pPr>
                          <w:spacing w:line="360" w:lineRule="exact"/>
                          <w:rPr>
                            <w:rFonts w:ascii="宋体" w:hAnsi="宋体"/>
                          </w:rPr>
                        </w:pPr>
                        <w:r>
                          <w:rPr>
                            <w:rFonts w:hint="eastAsia" w:ascii="宋体" w:hAnsi="宋体"/>
                            <w:sz w:val="24"/>
                          </w:rPr>
                          <w:t>H</w:t>
                        </w:r>
                      </w:p>
                    </w:txbxContent>
                  </v:textbox>
                </v:shape>
                <v:shape id="文本框 259" o:spid="_x0000_s1026" o:spt="202" type="#_x0000_t202" style="position:absolute;left:8282;top:4665;height:600;width:552;" filled="f" stroked="f" coordsize="21600,21600" o:gfxdata="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ANbh&#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6088C2CB">
                        <w:pPr>
                          <w:spacing w:line="240" w:lineRule="exact"/>
                          <w:rPr>
                            <w:rFonts w:ascii="宋体" w:hAnsi="宋体"/>
                          </w:rPr>
                        </w:pPr>
                        <w:r>
                          <w:rPr>
                            <w:rFonts w:ascii="宋体" w:hAnsi="宋体"/>
                            <w:sz w:val="24"/>
                          </w:rPr>
                          <w:t>2.0</w:t>
                        </w:r>
                      </w:p>
                    </w:txbxContent>
                  </v:textbox>
                </v:shape>
                <v:shape id="文本框 260" o:spid="_x0000_s1026" o:spt="202" type="#_x0000_t202" style="position:absolute;left:7781;top:3081;height:238;width:251;" filled="f" stroked="f" coordsize="21600,21600" o:gfxdata="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THN6&#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0588E83E">
                        <w:pPr>
                          <w:spacing w:line="240" w:lineRule="exact"/>
                          <w:rPr>
                            <w:rFonts w:ascii="宋体" w:hAnsi="宋体"/>
                          </w:rPr>
                        </w:pPr>
                        <w:r>
                          <w:rPr>
                            <w:rFonts w:ascii="宋体" w:hAnsi="宋体"/>
                            <w:sz w:val="24"/>
                          </w:rPr>
                          <w:t>h</w:t>
                        </w:r>
                      </w:p>
                    </w:txbxContent>
                  </v:textbox>
                </v:shape>
                <v:shape id="文本框 261" o:spid="_x0000_s1026" o:spt="202" type="#_x0000_t202" style="position:absolute;left:5709;top:4298;height:240;width:250;" filled="f" stroked="f" coordsize="21600,21600" o:gfxdata="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nu0N&#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1AC5832E">
                        <w:pPr>
                          <w:spacing w:line="240" w:lineRule="exact"/>
                          <w:rPr>
                            <w:rFonts w:ascii="宋体" w:hAnsi="宋体"/>
                            <w:sz w:val="24"/>
                          </w:rPr>
                        </w:pPr>
                        <w:r>
                          <w:rPr>
                            <w:rFonts w:ascii="宋体" w:hAnsi="宋体"/>
                            <w:sz w:val="24"/>
                          </w:rPr>
                          <w:t>h</w:t>
                        </w:r>
                      </w:p>
                    </w:txbxContent>
                  </v:textbox>
                </v:shape>
                <v:shape id="文本框 262" o:spid="_x0000_s1026" o:spt="202" type="#_x0000_t202" style="position:absolute;left:6265;top:3000;height:238;width:251;" filled="f" stroked="f" coordsize="21600,21600" o:gfxdata="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0kiW&#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1B2EFAD8">
                        <w:pPr>
                          <w:spacing w:line="240" w:lineRule="exact"/>
                          <w:rPr>
                            <w:rFonts w:ascii="宋体" w:hAnsi="宋体"/>
                          </w:rPr>
                        </w:pPr>
                        <w:r>
                          <w:rPr>
                            <w:rFonts w:ascii="宋体" w:hAnsi="宋体"/>
                            <w:sz w:val="24"/>
                          </w:rPr>
                          <w:t>w</w:t>
                        </w:r>
                        <w:r>
                          <w:rPr>
                            <w:rFonts w:ascii="宋体" w:hAnsi="宋体"/>
                            <w:vertAlign w:val="subscript"/>
                          </w:rPr>
                          <w:t>1</w:t>
                        </w:r>
                      </w:p>
                    </w:txbxContent>
                  </v:textbox>
                </v:shape>
                <v:shape id="文本框 263" o:spid="_x0000_s1026" o:spt="202" type="#_x0000_t202" style="position:absolute;left:4370;top:4251;height:239;width:251;" filled="f" stroked="f" coordsize="21600,21600" o:gfxdata="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TdzkvQAA&#10;ANw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14:paraId="744B16E0">
                        <w:pPr>
                          <w:spacing w:line="240" w:lineRule="exact"/>
                          <w:rPr>
                            <w:rFonts w:ascii="宋体" w:hAnsi="宋体"/>
                          </w:rPr>
                        </w:pPr>
                        <w:r>
                          <w:rPr>
                            <w:rFonts w:ascii="宋体" w:hAnsi="宋体"/>
                            <w:sz w:val="24"/>
                          </w:rPr>
                          <w:t>w</w:t>
                        </w:r>
                        <w:r>
                          <w:rPr>
                            <w:rFonts w:ascii="宋体" w:hAnsi="宋体"/>
                            <w:vertAlign w:val="subscript"/>
                          </w:rPr>
                          <w:t>1</w:t>
                        </w:r>
                      </w:p>
                    </w:txbxContent>
                  </v:textbox>
                </v:shape>
                <v:shape id="文本框 264" o:spid="_x0000_s1026" o:spt="202" type="#_x0000_t202" style="position:absolute;left:3056;top:4705;height:238;width:251;" filled="f" stroked="f" coordsize="21600,21600" o:gfxdata="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AXl/&#10;wAAAANw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64ECF900">
                        <w:pPr>
                          <w:spacing w:line="240" w:lineRule="exact"/>
                          <w:rPr>
                            <w:rFonts w:ascii="宋体" w:hAnsi="宋体"/>
                          </w:rPr>
                        </w:pPr>
                        <w:r>
                          <w:rPr>
                            <w:rFonts w:ascii="宋体" w:hAnsi="宋体"/>
                            <w:sz w:val="24"/>
                          </w:rPr>
                          <w:t>w</w:t>
                        </w:r>
                        <w:r>
                          <w:rPr>
                            <w:rFonts w:ascii="宋体" w:hAnsi="宋体"/>
                            <w:vertAlign w:val="subscript"/>
                          </w:rPr>
                          <w:t>1</w:t>
                        </w:r>
                      </w:p>
                    </w:txbxContent>
                  </v:textbox>
                </v:shape>
                <v:line id="直线 265" o:spid="_x0000_s1026" o:spt="20" style="position:absolute;left:2892;top:5026;height:0;width:5297;" filled="f" stroked="t" coordsize="21600,21600" o:gfxdata="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xo9bW5AAAA3A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266" o:spid="_x0000_s1026" o:spt="20" style="position:absolute;left:3143;top:4549;height:0;width:1095;" filled="f" stroked="t" coordsize="21600,21600" o:gfxdata="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yRQLrsAAADc&#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267" o:spid="_x0000_s1026" o:spt="20" style="position:absolute;left:4540;top:3320;height:0;width:1636;" filled="f" stroked="t" coordsize="21600,21600" o:gfxdata="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2zlm8AAAA&#10;3A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268" o:spid="_x0000_s1026" o:spt="20" style="position:absolute;left:6428;top:2115;height:0;width:1887;" filled="f" stroked="t" coordsize="21600,21600" o:gfxdata="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6a8K8AAAA&#10;3A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shape id="任意多边形 269" o:spid="_x0000_s1026" o:spt="100" style="position:absolute;left:3016;top:4549;height:490;width:115;" filled="f" stroked="t" coordsize="183,820" o:gfxdata="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Cwei8AAAA&#10;3AAAAA8AAAAAAAAAAQAgAAAAIgAAAGRycy9kb3ducmV2LnhtbFBLAQIUABQAAAAIAIdO4kAzLwWe&#10;OwAAADkAAAAQAAAAAAAAAAEAIAAAAAsBAABkcnMvc2hhcGV4bWwueG1sUEsFBgAAAAAGAAYAWwEA&#10;ALUDAAAAAA==&#10;" path="m183,0c155,141,174,68,123,220c104,278,101,341,83,400c71,440,56,480,43,520c36,540,23,580,23,580c0,766,3,686,3,820e">
                  <v:fill on="f" focussize="0,0"/>
                  <v:stroke weight="0.5pt" color="#000000" joinstyle="round"/>
                  <v:imagedata o:title=""/>
                  <o:lock v:ext="edit" aspectratio="f"/>
                </v:shape>
                <v:shape id="任意多边形 270" o:spid="_x0000_s1026" o:spt="100" style="position:absolute;left:4238;top:3320;height:1242;width:302;" filled="f" stroked="t" coordsize="481,2080" o:gfxdata="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78ixvQAA&#10;AN0AAAAPAAAAAAAAAAEAIAAAACIAAABkcnMvZG93bnJldi54bWxQSwECFAAUAAAACACHTuJAMy8F&#10;njsAAAA5AAAAEAAAAAAAAAABACAAAAAMAQAAZHJzL3NoYXBleG1sLnhtbFBLBQYAAAAABgAGAFsB&#10;AAC2AwAAAAA=&#10;" path="m481,0c400,121,468,0,421,220c412,261,394,300,381,340c374,360,368,380,361,400c354,420,341,460,341,460c332,535,322,642,301,720c290,761,274,800,261,840c254,860,241,900,241,900c222,1106,178,1320,121,1520c61,1732,156,1435,61,1720c54,1740,48,1760,41,1780c34,1800,21,1840,21,1840c0,2053,1,1973,1,2080e">
                  <v:fill on="f" focussize="0,0"/>
                  <v:stroke weight="0.5pt" color="#000000" joinstyle="round"/>
                  <v:imagedata o:title=""/>
                  <o:lock v:ext="edit" aspectratio="f"/>
                </v:shape>
                <v:line id="直线 271" o:spid="_x0000_s1026" o:spt="20" style="position:absolute;left:3194;top:4549;flip:x;height:490;width:113;" filled="f" stroked="t" coordsize="21600,21600" o:gfxdata="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blhS/&#10;AAAA3AAAAA8AAAAAAAAAAQAgAAAAIgAAAGRycy9kb3ducmV2LnhtbFBLAQIUABQAAAAIAIdO4kAz&#10;LwWeOwAAADkAAAAQAAAAAAAAAAEAIAAAAA4BAABkcnMvc2hhcGV4bWwueG1sUEsFBgAAAAAGAAYA&#10;WwEAALgDAAAAAA==&#10;">
                  <v:fill on="f" focussize="0,0"/>
                  <v:stroke weight="0.5pt" color="#000000" joinstyle="round"/>
                  <v:imagedata o:title=""/>
                  <o:lock v:ext="edit" aspectratio="f"/>
                </v:line>
                <v:line id="直线 272" o:spid="_x0000_s1026" o:spt="20" style="position:absolute;left:3377;top:4549;flip:x;height:490;width:113;" filled="f" stroked="t" coordsize="21600,21600" o:gfxdata="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q/u/&#10;AAAA3AAAAA8AAAAAAAAAAQAgAAAAIgAAAGRycy9kb3ducmV2LnhtbFBLAQIUABQAAAAIAIdO4kAz&#10;LwWeOwAAADkAAAAQAAAAAAAAAAEAIAAAAA4BAABkcnMvc2hhcGV4bWwueG1sUEsFBgAAAAAGAAYA&#10;WwEAALgDAAAAAA==&#10;">
                  <v:fill on="f" focussize="0,0"/>
                  <v:stroke weight="0.5pt" color="#000000" joinstyle="round"/>
                  <v:imagedata o:title=""/>
                  <o:lock v:ext="edit" aspectratio="f"/>
                </v:line>
                <v:line id="直线 273" o:spid="_x0000_s1026" o:spt="20" style="position:absolute;left:3559;top:4549;flip:x;height:490;width:113;" filled="f" stroked="t" coordsize="21600,21600" o:gfxdata="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fwRlvQAA&#10;ANw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274" o:spid="_x0000_s1026" o:spt="20" style="position:absolute;left:3742;top:4549;flip:x;height:490;width:113;" filled="f" stroked="t" coordsize="21600,21600" o:gfxdata="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TrBx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275" o:spid="_x0000_s1026" o:spt="20" style="position:absolute;left:3924;top:4549;flip:x;height:490;width:113;" filled="f" stroked="t" coordsize="21600,21600" o:gfxdata="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M6H+&#10;wAAAANwAAAAPAAAAAAAAAAEAIAAAACIAAABkcnMvZG93bnJldi54bWxQSwECFAAUAAAACACHTuJA&#10;My8FnjsAAAA5AAAAEAAAAAAAAAABACAAAAAPAQAAZHJzL3NoYXBleG1sLnhtbFBLBQYAAAAABgAG&#10;AFsBAAC5AwAAAAA=&#10;">
                  <v:fill on="f" focussize="0,0"/>
                  <v:stroke weight="0.5pt" color="#000000" joinstyle="round"/>
                  <v:imagedata o:title=""/>
                  <o:lock v:ext="edit" aspectratio="f"/>
                </v:line>
                <v:rect id="矩形 276" o:spid="_x0000_s1026" o:spt="1" style="position:absolute;left:4640;top:3295;flip:x;height:1374;width:45;rotation:-781296f;" filled="f" stroked="t" coordsize="21600,21600" o:gfxdata="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9K6DrgAAADcAAAA&#10;DwAAAAAAAAABACAAAAAiAAAAZHJzL2Rvd25yZXYueG1sUEsBAhQAFAAAAAgAh07iQDMvBZ47AAAA&#10;OQAAABAAAAAAAAAAAQAgAAAABwEAAGRycy9zaGFwZXhtbC54bWxQSwUGAAAAAAYABgBbAQAAsQMA&#10;AAAA&#10;">
                  <v:fill on="f" focussize="0,0"/>
                  <v:stroke weight="0.5pt" color="#000000" joinstyle="miter"/>
                  <v:imagedata o:title=""/>
                  <o:lock v:ext="edit" aspectratio="f"/>
                </v:rect>
                <v:rect id="矩形 277" o:spid="_x0000_s1026" o:spt="1" style="position:absolute;left:4953;top:3295;flip:x;height:1374;width:45;rotation:-781296f;" filled="f" stroked="t" coordsize="21600,21600" o:gfxdata="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tgb5rtwAAAN0AAAAP&#10;AAAAAAAAAAEAIAAAACIAAABkcnMvZG93bnJldi54bWxQSwECFAAUAAAACACHTuJAMy8FnjsAAAA5&#10;AAAAEAAAAAAAAAABACAAAAAGAQAAZHJzL3NoYXBleG1sLnhtbFBLBQYAAAAABgAGAFsBAACwAwAA&#10;AAA=&#10;">
                  <v:fill on="f" focussize="0,0"/>
                  <v:stroke weight="0.5pt" color="#000000" joinstyle="miter"/>
                  <v:imagedata o:title=""/>
                  <o:lock v:ext="edit" aspectratio="f"/>
                </v:rect>
                <v:rect id="矩形 278" o:spid="_x0000_s1026" o:spt="1" style="position:absolute;left:5265;top:3295;flip:x;height:1374;width:46;rotation:-781296f;" filled="f" stroked="t" coordsize="21600,21600" o:gfxdata="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dUyActwAAAN0AAAAP&#10;AAAAAAAAAAEAIAAAACIAAABkcnMvZG93bnJldi54bWxQSwECFAAUAAAACACHTuJAMy8FnjsAAAA5&#10;AAAAEAAAAAAAAAABACAAAAAGAQAAZHJzL3NoYXBleG1sLnhtbFBLBQYAAAAABgAGAFsBAACwAwAA&#10;AAA=&#10;">
                  <v:fill on="f" focussize="0,0"/>
                  <v:stroke weight="0.5pt" color="#000000" joinstyle="miter"/>
                  <v:imagedata o:title=""/>
                  <o:lock v:ext="edit" aspectratio="f"/>
                </v:rect>
                <v:rect id="矩形 279" o:spid="_x0000_s1026" o:spt="1" style="position:absolute;left:5578;top:3295;flip:x;height:1374;width:44;rotation:-781296f;" filled="f" stroked="t" coordsize="21600,21600" o:gfxdata="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yH4WHtwAAAN0AAAAP&#10;AAAAAAAAAAEAIAAAACIAAABkcnMvZG93bnJldi54bWxQSwECFAAUAAAACACHTuJAMy8FnjsAAAA5&#10;AAAAEAAAAAAAAAABACAAAAAGAQAAZHJzL3NoYXBleG1sLnhtbFBLBQYAAAAABgAGAFsBAACwAwAA&#10;AAA=&#10;">
                  <v:fill on="f" focussize="0,0"/>
                  <v:stroke weight="0.5pt" color="#000000" joinstyle="miter"/>
                  <v:imagedata o:title=""/>
                  <o:lock v:ext="edit" aspectratio="f"/>
                </v:rect>
                <v:rect id="矩形 280" o:spid="_x0000_s1026" o:spt="1" style="position:absolute;left:6559;top:2091;flip:x;height:1373;width:45;rotation:-781296f;" filled="f" stroked="t" coordsize="21600,21600" o:gfxdata="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AR9b4A&#10;AADdAAAADwAAAAAAAAABACAAAAAiAAAAZHJzL2Rvd25yZXYueG1sUEsBAhQAFAAAAAgAh07iQDMv&#10;BZ47AAAAOQAAABAAAAAAAAAAAQAgAAAADQEAAGRycy9zaGFwZXhtbC54bWxQSwUGAAAAAAYABgBb&#10;AQAAtwMAAAAA&#10;">
                  <v:fill on="f" focussize="0,0"/>
                  <v:stroke weight="0.5pt" color="#000000" joinstyle="miter"/>
                  <v:imagedata o:title=""/>
                  <o:lock v:ext="edit" aspectratio="f"/>
                </v:rect>
                <v:rect id="矩形 281" o:spid="_x0000_s1026" o:spt="1" style="position:absolute;left:6907;top:2103;flip:x;height:1373;width:45;rotation:-781296f;" filled="f" stroked="t" coordsize="21600,21600" o:gfxdata="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WIPZy5AAAA3QAA&#10;AA8AAAAAAAAAAQAgAAAAIgAAAGRycy9kb3ducmV2LnhtbFBLAQIUABQAAAAIAIdO4kAzLwWeOwAA&#10;ADkAAAAQAAAAAAAAAAEAIAAAAAgBAABkcnMvc2hhcGV4bWwueG1sUEsFBgAAAAAGAAYAWwEAALID&#10;AAAAAA==&#10;">
                  <v:fill on="f" focussize="0,0"/>
                  <v:stroke weight="0.5pt" color="#000000" joinstyle="miter"/>
                  <v:imagedata o:title=""/>
                  <o:lock v:ext="edit" aspectratio="f"/>
                </v:rect>
                <v:rect id="矩形 282" o:spid="_x0000_s1026" o:spt="1" style="position:absolute;left:7255;top:2091;flip:x;height:1373;width:45;rotation:-781296f;" filled="f" stroked="t" coordsize="21600,21600" o:gfxdata="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HYqN7sAAADd&#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rect>
                <v:rect id="矩形 283" o:spid="_x0000_s1026" o:spt="1" style="position:absolute;left:7603;top:2091;flip:x;height:1373;width:45;rotation:-781296f;" filled="f" stroked="t" coordsize="21600,21600" o:gfxdata="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voEdu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line id="直线 284" o:spid="_x0000_s1026" o:spt="20" style="position:absolute;left:3016;top:4907;flip:x y;height:119;width:178;" filled="f" stroked="t" coordsize="21600,21600" o:gfxdata="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wMnvQAA&#10;AN0AAAAPAAAAAAAAAAEAIAAAACIAAABkcnMvZG93bnJldi54bWxQSwECFAAUAAAACACHTuJAMy8F&#10;njsAAAA5AAAAEAAAAAAAAAABACAAAAAMAQAAZHJzL3NoYXBleG1sLnhtbFBLBQYAAAAABgAGAFsB&#10;AAC2AwAAAAA=&#10;">
                  <v:fill on="f" focussize="0,0"/>
                  <v:stroke weight="0.5pt" color="#000000" joinstyle="round" endarrow="classic"/>
                  <v:imagedata o:title=""/>
                  <o:lock v:ext="edit" aspectratio="f"/>
                </v:line>
                <v:line id="直线 285" o:spid="_x0000_s1026" o:spt="20" style="position:absolute;left:4339;top:4549;height:0;width:3850;" filled="f" stroked="t" coordsize="21600,21600" o:gfxdata="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Mqn+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286" o:spid="_x0000_s1026" o:spt="20" style="position:absolute;left:6252;top:3320;height:0;width:1937;" filled="f" stroked="t" coordsize="21600,21600" o:gfxdata="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Bg5j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shape id="任意多边形 287" o:spid="_x0000_s1026" o:spt="100" style="position:absolute;left:6138;top:2115;height:1218;width:290;" filled="f" stroked="t" coordsize="461,2040" o:gfxdata="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xejCq/&#10;AAAA3QAAAA8AAAAAAAAAAQAgAAAAIgAAAGRycy9kb3ducmV2LnhtbFBLAQIUABQAAAAIAIdO4kAz&#10;LwWeOwAAADkAAAAQAAAAAAAAAAEAIAAAAA4BAABkcnMvc2hhcGV4bWwueG1sUEsFBgAAAAAGAAYA&#10;WwEAALgDAAAAAA==&#10;" path="m461,0c384,115,440,12,401,220c382,323,368,358,341,440c330,515,293,784,281,820c220,1004,168,1192,121,1380c96,1479,84,1580,61,1680c52,1721,21,1800,21,1800c0,2013,1,1933,1,2040e">
                  <v:fill on="f" focussize="0,0"/>
                  <v:stroke weight="0.5pt" color="#000000" joinstyle="round"/>
                  <v:imagedata o:title=""/>
                  <o:lock v:ext="edit" aspectratio="f"/>
                </v:shape>
                <v:line id="直线 288" o:spid="_x0000_s1026" o:spt="20" style="position:absolute;left:4238;top:4406;flip:x y;height:143;width:302;" filled="f" stroked="t" coordsize="21600,21600" o:gfxdata="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WMw2vQAA&#10;AN0AAAAPAAAAAAAAAAEAIAAAACIAAABkcnMvZG93bnJldi54bWxQSwECFAAUAAAACACHTuJAMy8F&#10;njsAAAA5AAAAEAAAAAAAAAABACAAAAAMAQAAZHJzL3NoYXBleG1sLnhtbFBLBQYAAAAABgAGAFsB&#10;AAC2AwAAAAA=&#10;">
                  <v:fill on="f" focussize="0,0"/>
                  <v:stroke weight="0.5pt" color="#000000" joinstyle="round" endarrow="classic" endarrowwidth="narrow" endarrowlength="long"/>
                  <v:imagedata o:title=""/>
                  <o:lock v:ext="edit" aspectratio="f"/>
                </v:line>
                <v:line id="直线 289" o:spid="_x0000_s1026" o:spt="20" style="position:absolute;left:6138;top:3177;flip:x y;height:143;width:290;" filled="f" stroked="t" coordsize="21600,21600" o:gfxdata="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MUaa25AAAA3QAA&#10;AA8AAAAAAAAAAQAgAAAAIgAAAGRycy9kb3ducmV2LnhtbFBLAQIUABQAAAAIAIdO4kAzLwWeOwAA&#10;ADkAAAAQAAAAAAAAAAEAIAAAAAgBAABkcnMvc2hhcGV4bWwueG1sUEsFBgAAAAAGAAYAWwEAALID&#10;AAAAAA==&#10;">
                  <v:fill on="f" focussize="0,0"/>
                  <v:stroke weight="0.5pt" color="#000000" joinstyle="round" endarrow="classic" endarrowwidth="narrow" endarrowlength="long"/>
                  <v:imagedata o:title=""/>
                  <o:lock v:ext="edit" aspectratio="f"/>
                </v:line>
                <v:line id="直线 290" o:spid="_x0000_s1026" o:spt="20" style="position:absolute;left:5698;top:4669;height:0;width:554;" filled="f" stroked="t" coordsize="21600,21600" o:gfxdata="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ZJK/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291" o:spid="_x0000_s1026" o:spt="20" style="position:absolute;left:5913;top:4669;flip:y;height:238;width:0;" filled="f" stroked="t" coordsize="21600,21600" o:gfxdata="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8Sr7sAAADd&#10;AAAADwAAAAAAAAABACAAAAAiAAAAZHJzL2Rvd25yZXYueG1sUEsBAhQAFAAAAAgAh07iQDMvBZ47&#10;AAAAOQAAABAAAAAAAAAAAQAgAAAACgEAAGRycy9zaGFwZXhtbC54bWxQSwUGAAAAAAYABgBbAQAA&#10;tAMAAAAA&#10;">
                  <v:fill on="f" focussize="0,0"/>
                  <v:stroke weight="0.5pt" color="#000000" joinstyle="round" endarrow="classic" endarrowwidth="narrow" endarrowlength="long"/>
                  <v:imagedata o:title=""/>
                  <o:lock v:ext="edit" aspectratio="f"/>
                </v:line>
                <v:line id="直线 292" o:spid="_x0000_s1026" o:spt="20" style="position:absolute;left:5913;top:4263;height:286;width:0;" filled="f" stroked="t" coordsize="21600,21600" o:gfxdata="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GR6JvQAA&#10;AN0AAAAPAAAAAAAAAAEAIAAAACIAAABkcnMvZG93bnJldi54bWxQSwECFAAUAAAACACHTuJAMy8F&#10;njsAAAA5AAAAEAAAAAAAAAABACAAAAAMAQAAZHJzL3NoYXBleG1sLnhtbFBLBQYAAAAABgAGAFsB&#10;AAC2AwAAAAA=&#10;">
                  <v:fill on="f" focussize="0,0"/>
                  <v:stroke weight="0.5pt" color="#000000" joinstyle="round" endarrow="classic" endarrowwidth="narrow" endarrowlength="long"/>
                  <v:imagedata o:title=""/>
                  <o:lock v:ext="edit" aspectratio="f"/>
                </v:line>
                <v:line id="直线 293" o:spid="_x0000_s1026" o:spt="20" style="position:absolute;left:8417;top:2115;height:0;width:565;" filled="f" stroked="t" coordsize="21600,21600" o:gfxdata="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bYMy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294" o:spid="_x0000_s1026" o:spt="20" style="position:absolute;left:8417;top:3320;height:0;width:565;" filled="f" stroked="t" coordsize="21600,21600" o:gfxdata="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Uv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295" o:spid="_x0000_s1026" o:spt="20" style="position:absolute;left:8417;top:4549;height:0;width:565;" filled="f" stroked="t" coordsize="21600,21600" o:gfxdata="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umz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296" o:spid="_x0000_s1026" o:spt="20" style="position:absolute;left:8417;top:5026;height:0;width:565;" filled="f" stroked="t" coordsize="21600,21600" o:gfxdata="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1cDV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297" o:spid="_x0000_s1026" o:spt="20" style="position:absolute;left:8702;top:2115;height:1205;width:0;" filled="f" stroked="t" coordsize="21600,21600" o:gfxdata="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lv4Vb4A&#10;AADdAAAADwAAAAAAAAABACAAAAAiAAAAZHJzL2Rvd25yZXYueG1sUEsBAhQAFAAAAAgAh07iQDMv&#10;BZ47AAAAOQAAABAAAAAAAAAAAQAgAAAADQEAAGRycy9zaGFwZXhtbC54bWxQSwUGAAAAAAYABgBb&#10;AQAAtwMAAAAA&#10;">
                  <v:fill on="f" focussize="0,0"/>
                  <v:stroke weight="0.5pt" color="#000000" joinstyle="round" startarrow="classic" startarrowwidth="narrow" startarrowlength="long" endarrow="classic" endarrowwidth="narrow" endarrowlength="long"/>
                  <v:imagedata o:title=""/>
                  <o:lock v:ext="edit" aspectratio="f"/>
                </v:line>
                <v:line id="直线 298" o:spid="_x0000_s1026" o:spt="20" style="position:absolute;left:8702;top:3322;height:1229;width:0;" filled="f" stroked="t" coordsize="21600,21600" o:gfxdata="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iWYivQAA&#10;AN0AAAAPAAAAAAAAAAEAIAAAACIAAABkcnMvZG93bnJldi54bWxQSwECFAAUAAAACACHTuJAMy8F&#10;njsAAAA5AAAAEAAAAAAAAAABACAAAAAMAQAAZHJzL3NoYXBleG1sLnhtbFBLBQYAAAAABgAGAFsB&#10;AAC2AwAAAAA=&#10;">
                  <v:fill on="f" focussize="0,0"/>
                  <v:stroke weight="0.5pt" color="#000000" joinstyle="round" startarrow="classic" startarrowwidth="narrow" startarrowlength="long" endarrow="classic" endarrowwidth="narrow" endarrowlength="long"/>
                  <v:imagedata o:title=""/>
                  <o:lock v:ext="edit" aspectratio="f"/>
                </v:line>
                <v:line id="直线 299" o:spid="_x0000_s1026" o:spt="20" style="position:absolute;left:8702;top:4549;height:477;width:0;" filled="f" stroked="t" coordsize="21600,21600" o:gfxdata="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xcO5vQAA&#10;AN0AAAAPAAAAAAAAAAEAIAAAACIAAABkcnMvZG93bnJldi54bWxQSwECFAAUAAAACACHTuJAMy8F&#10;njsAAAA5AAAAEAAAAAAAAAABACAAAAAMAQAAZHJzL3NoYXBleG1sLnhtbFBLBQYAAAAABgAGAFsB&#10;AAC2AwAAAAA=&#10;">
                  <v:fill on="f" focussize="0,0"/>
                  <v:stroke weight="0.5pt" color="#000000" joinstyle="round" startarrow="classic" startarrowwidth="narrow" startarrowlength="long" endarrow="classic" endarrowwidth="narrow" endarrowlength="long"/>
                  <v:imagedata o:title=""/>
                  <o:lock v:ext="edit" aspectratio="f"/>
                </v:line>
                <v:line id="直线 300" o:spid="_x0000_s1026" o:spt="20" style="position:absolute;left:7761;top:3428;height:0;width:428;" filled="f" stroked="t" coordsize="21600,21600" o:gfxdata="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65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301" o:spid="_x0000_s1026" o:spt="20" style="position:absolute;left:7977;top:3428;flip:y;height:240;width:0;" filled="f" stroked="t" coordsize="21600,21600" o:gfxdata="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gkeqbsAAADd&#10;AAAADwAAAAAAAAABACAAAAAiAAAAZHJzL2Rvd25yZXYueG1sUEsBAhQAFAAAAAgAh07iQDMvBZ47&#10;AAAAOQAAABAAAAAAAAAAAQAgAAAACgEAAGRycy9zaGFwZXhtbC54bWxQSwUGAAAAAAYABgBbAQAA&#10;tAMAAAAA&#10;">
                  <v:fill on="f" focussize="0,0"/>
                  <v:stroke weight="0.5pt" color="#000000" joinstyle="round" endarrow="classic" endarrowwidth="narrow" endarrowlength="long"/>
                  <v:imagedata o:title=""/>
                  <o:lock v:ext="edit" aspectratio="f"/>
                </v:line>
                <v:line id="直线 302" o:spid="_x0000_s1026" o:spt="20" style="position:absolute;left:7977;top:3023;height:287;width:0;" filled="f" stroked="t" coordsize="21600,21600" o:gfxdata="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Gy/&#10;f8EAAADdAAAADwAAAAAAAAABACAAAAAiAAAAZHJzL2Rvd25yZXYueG1sUEsBAhQAFAAAAAgAh07i&#10;QDMvBZ47AAAAOQAAABAAAAAAAAAAAQAgAAAAEAEAAGRycy9zaGFwZXhtbC54bWxQSwUGAAAAAAYA&#10;BgBbAQAAugMAAAAA&#10;">
                  <v:fill on="f" focussize="0,0"/>
                  <v:stroke weight="0.5pt" color="#000000" joinstyle="round" endarrow="classic" endarrowwidth="narrow" endarrowlength="long"/>
                  <v:imagedata o:title=""/>
                  <o:lock v:ext="edit" aspectratio="f"/>
                </v:line>
              </v:group>
            </w:pict>
          </mc:Fallback>
        </mc:AlternateContent>
      </w:r>
      <w:r>
        <w:rPr>
          <w:rFonts w:hint="eastAsia" w:cs="Times New Roman" w:asciiTheme="minorEastAsia" w:hAnsiTheme="minorEastAsia" w:eastAsiaTheme="minorEastAsia"/>
          <w:szCs w:val="24"/>
          <w:highlight w:val="none"/>
          <w:lang w:val="en-US" w:eastAsia="zh-CN"/>
        </w:rPr>
        <w:t xml:space="preserve"> </w:t>
      </w:r>
    </w:p>
    <w:p w14:paraId="668BD471">
      <w:pPr>
        <w:pStyle w:val="178"/>
        <w:rPr>
          <w:rFonts w:hint="default" w:cs="Times New Roman" w:asciiTheme="minorEastAsia" w:hAnsiTheme="minorEastAsia" w:eastAsiaTheme="minorEastAsia"/>
          <w:szCs w:val="24"/>
          <w:highlight w:val="none"/>
          <w:lang w:val="en-US" w:eastAsia="zh-CN"/>
        </w:rPr>
      </w:pPr>
    </w:p>
    <w:p w14:paraId="12FCC0E2">
      <w:pPr>
        <w:pStyle w:val="178"/>
        <w:ind w:left="0" w:leftChars="0" w:firstLine="0" w:firstLineChars="0"/>
        <w:rPr>
          <w:rFonts w:hint="default" w:cs="Times New Roman" w:asciiTheme="minorEastAsia" w:hAnsiTheme="minorEastAsia" w:eastAsiaTheme="minorEastAsia"/>
          <w:szCs w:val="24"/>
          <w:highlight w:val="none"/>
          <w:lang w:val="en-US" w:eastAsia="zh-CN"/>
        </w:rPr>
      </w:pPr>
    </w:p>
    <w:p w14:paraId="5D7F45EC">
      <w:pPr>
        <w:pStyle w:val="178"/>
        <w:rPr>
          <w:rFonts w:hint="default" w:cs="Times New Roman" w:asciiTheme="minorEastAsia" w:hAnsiTheme="minorEastAsia" w:eastAsiaTheme="minorEastAsia"/>
          <w:szCs w:val="24"/>
          <w:highlight w:val="none"/>
          <w:lang w:val="en-US" w:eastAsia="zh-CN"/>
        </w:rPr>
      </w:pPr>
    </w:p>
    <w:p w14:paraId="1D36BF6F">
      <w:pPr>
        <w:pStyle w:val="178"/>
        <w:ind w:left="0" w:leftChars="0" w:firstLine="0" w:firstLineChars="0"/>
        <w:rPr>
          <w:rFonts w:hint="default" w:cs="Times New Roman" w:asciiTheme="minorEastAsia" w:hAnsiTheme="minorEastAsia" w:eastAsiaTheme="minorEastAsia"/>
          <w:szCs w:val="24"/>
          <w:highlight w:val="none"/>
          <w:lang w:val="en-US" w:eastAsia="zh-CN"/>
        </w:rPr>
      </w:pPr>
    </w:p>
    <w:p w14:paraId="0D2DE900">
      <w:pPr>
        <w:pStyle w:val="178"/>
        <w:rPr>
          <w:rFonts w:hint="eastAsia" w:cs="Times New Roman" w:asciiTheme="minorEastAsia" w:hAnsiTheme="minorEastAsia" w:eastAsiaTheme="minorEastAsia"/>
          <w:szCs w:val="24"/>
          <w:highlight w:val="none"/>
          <w:lang w:val="en-US" w:eastAsia="zh-CN"/>
        </w:rPr>
      </w:pPr>
    </w:p>
    <w:p w14:paraId="7728534F">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图8.10 宽孔距小排距梅花形全路堑开挖纵断面布孔图</w:t>
      </w:r>
    </w:p>
    <w:p w14:paraId="2953347E">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mc:AlternateContent>
          <mc:Choice Requires="wpg">
            <w:drawing>
              <wp:anchor distT="0" distB="0" distL="114300" distR="114300" simplePos="0" relativeHeight="251686912" behindDoc="0" locked="0" layoutInCell="1" allowOverlap="1">
                <wp:simplePos x="0" y="0"/>
                <wp:positionH relativeFrom="column">
                  <wp:posOffset>457200</wp:posOffset>
                </wp:positionH>
                <wp:positionV relativeFrom="paragraph">
                  <wp:posOffset>291465</wp:posOffset>
                </wp:positionV>
                <wp:extent cx="3998595" cy="1882140"/>
                <wp:effectExtent l="0" t="4445" r="9525" b="18415"/>
                <wp:wrapNone/>
                <wp:docPr id="1806" name="组合 303"/>
                <wp:cNvGraphicFramePr/>
                <a:graphic xmlns:a="http://schemas.openxmlformats.org/drawingml/2006/main">
                  <a:graphicData uri="http://schemas.microsoft.com/office/word/2010/wordprocessingGroup">
                    <wpg:wgp>
                      <wpg:cNvGrpSpPr/>
                      <wpg:grpSpPr>
                        <a:xfrm>
                          <a:off x="1465580" y="1308735"/>
                          <a:ext cx="3998595" cy="1882140"/>
                          <a:chOff x="2654" y="6105"/>
                          <a:chExt cx="7045" cy="3683"/>
                        </a:xfrm>
                        <a:effectLst/>
                      </wpg:grpSpPr>
                      <wps:wsp>
                        <wps:cNvPr id="1501" name="文本框 304"/>
                        <wps:cNvSpPr txBox="1"/>
                        <wps:spPr>
                          <a:xfrm>
                            <a:off x="7537" y="7210"/>
                            <a:ext cx="286" cy="271"/>
                          </a:xfrm>
                          <a:prstGeom prst="rect">
                            <a:avLst/>
                          </a:prstGeom>
                          <a:noFill/>
                          <a:ln w="6350">
                            <a:noFill/>
                          </a:ln>
                          <a:effectLst/>
                        </wps:spPr>
                        <wps:txbx>
                          <w:txbxContent>
                            <w:p w14:paraId="51E76250">
                              <w:pPr>
                                <w:pStyle w:val="33"/>
                                <w:tabs>
                                  <w:tab w:val="clear" w:pos="4153"/>
                                  <w:tab w:val="clear" w:pos="8306"/>
                                </w:tabs>
                                <w:snapToGrid/>
                                <w:spacing w:line="240" w:lineRule="exact"/>
                                <w:rPr>
                                  <w:rFonts w:hAnsi="宋体"/>
                                  <w:szCs w:val="24"/>
                                </w:rPr>
                              </w:pPr>
                              <w:r>
                                <w:rPr>
                                  <w:rFonts w:hAnsi="宋体"/>
                                  <w:szCs w:val="24"/>
                                </w:rPr>
                                <w:t>b</w:t>
                              </w:r>
                            </w:p>
                          </w:txbxContent>
                        </wps:txbx>
                        <wps:bodyPr lIns="0" tIns="0" rIns="0" bIns="0" upright="1"/>
                      </wps:wsp>
                      <wps:wsp>
                        <wps:cNvPr id="1502" name="文本框 305"/>
                        <wps:cNvSpPr txBox="1"/>
                        <wps:spPr>
                          <a:xfrm>
                            <a:off x="7421" y="6879"/>
                            <a:ext cx="287" cy="273"/>
                          </a:xfrm>
                          <a:prstGeom prst="rect">
                            <a:avLst/>
                          </a:prstGeom>
                          <a:noFill/>
                          <a:ln w="6350">
                            <a:noFill/>
                          </a:ln>
                          <a:effectLst/>
                        </wps:spPr>
                        <wps:txbx>
                          <w:txbxContent>
                            <w:p w14:paraId="671A7723">
                              <w:pPr>
                                <w:spacing w:line="240" w:lineRule="exact"/>
                                <w:jc w:val="center"/>
                                <w:rPr>
                                  <w:rFonts w:ascii="宋体" w:hAnsi="宋体"/>
                                  <w:sz w:val="18"/>
                                </w:rPr>
                              </w:pPr>
                              <w:r>
                                <w:rPr>
                                  <w:rFonts w:ascii="宋体" w:hAnsi="宋体"/>
                                  <w:sz w:val="18"/>
                                </w:rPr>
                                <w:t>w</w:t>
                              </w:r>
                              <w:r>
                                <w:rPr>
                                  <w:rFonts w:ascii="宋体" w:hAnsi="宋体"/>
                                  <w:sz w:val="18"/>
                                  <w:vertAlign w:val="subscript"/>
                                </w:rPr>
                                <w:t>1</w:t>
                              </w:r>
                            </w:p>
                          </w:txbxContent>
                        </wps:txbx>
                        <wps:bodyPr lIns="0" tIns="0" rIns="0" bIns="0" upright="1"/>
                      </wps:wsp>
                      <wps:wsp>
                        <wps:cNvPr id="1603" name="文本框 306"/>
                        <wps:cNvSpPr txBox="1"/>
                        <wps:spPr>
                          <a:xfrm>
                            <a:off x="6825" y="8068"/>
                            <a:ext cx="604" cy="412"/>
                          </a:xfrm>
                          <a:prstGeom prst="rect">
                            <a:avLst/>
                          </a:prstGeom>
                          <a:noFill/>
                          <a:ln w="6350">
                            <a:noFill/>
                          </a:ln>
                          <a:effectLst/>
                        </wps:spPr>
                        <wps:txbx>
                          <w:txbxContent>
                            <w:p w14:paraId="531A47CE">
                              <w:pPr>
                                <w:spacing w:line="440" w:lineRule="exact"/>
                                <w:jc w:val="center"/>
                                <w:rPr>
                                  <w:rFonts w:ascii="宋体" w:hAnsi="宋体"/>
                                  <w:sz w:val="18"/>
                                </w:rPr>
                              </w:pPr>
                              <w:r>
                                <w:rPr>
                                  <w:rFonts w:ascii="宋体" w:hAnsi="宋体"/>
                                  <w:sz w:val="18"/>
                                </w:rPr>
                                <w:t>a=3b</w:t>
                              </w:r>
                            </w:p>
                          </w:txbxContent>
                        </wps:txbx>
                        <wps:bodyPr vert="eaVert" lIns="0" tIns="0" rIns="0" bIns="0" upright="1"/>
                      </wps:wsp>
                      <wps:wsp>
                        <wps:cNvPr id="1604" name="文本框 307"/>
                        <wps:cNvSpPr txBox="1"/>
                        <wps:spPr>
                          <a:xfrm>
                            <a:off x="7101" y="7407"/>
                            <a:ext cx="286" cy="413"/>
                          </a:xfrm>
                          <a:prstGeom prst="rect">
                            <a:avLst/>
                          </a:prstGeom>
                          <a:noFill/>
                          <a:ln w="6350">
                            <a:noFill/>
                          </a:ln>
                          <a:effectLst/>
                        </wps:spPr>
                        <wps:txbx>
                          <w:txbxContent>
                            <w:p w14:paraId="1D9EC47F">
                              <w:pPr>
                                <w:pStyle w:val="33"/>
                                <w:tabs>
                                  <w:tab w:val="clear" w:pos="4153"/>
                                  <w:tab w:val="clear" w:pos="8306"/>
                                </w:tabs>
                                <w:snapToGrid/>
                                <w:spacing w:line="400" w:lineRule="exact"/>
                                <w:rPr>
                                  <w:rFonts w:ascii="宋体" w:hAnsi="宋体"/>
                                  <w:szCs w:val="24"/>
                                </w:rPr>
                              </w:pPr>
                              <w:r>
                                <w:rPr>
                                  <w:rFonts w:ascii="宋体" w:hAnsi="宋体"/>
                                  <w:szCs w:val="24"/>
                                </w:rPr>
                                <w:t>a=3b</w:t>
                              </w:r>
                            </w:p>
                          </w:txbxContent>
                        </wps:txbx>
                        <wps:bodyPr vert="eaVert" lIns="0" tIns="0" rIns="0" bIns="0" upright="1"/>
                      </wps:wsp>
                      <wps:wsp>
                        <wps:cNvPr id="1605" name="直线 308"/>
                        <wps:cNvCnPr/>
                        <wps:spPr>
                          <a:xfrm flipH="1">
                            <a:off x="7135" y="7282"/>
                            <a:ext cx="178" cy="1"/>
                          </a:xfrm>
                          <a:prstGeom prst="line">
                            <a:avLst/>
                          </a:prstGeom>
                          <a:ln w="6350" cap="flat" cmpd="sng">
                            <a:solidFill>
                              <a:srgbClr val="000000"/>
                            </a:solidFill>
                            <a:prstDash val="solid"/>
                            <a:headEnd type="none" w="med" len="med"/>
                            <a:tailEnd type="none" w="med" len="med"/>
                          </a:ln>
                          <a:effectLst/>
                        </wps:spPr>
                        <wps:bodyPr upright="1"/>
                      </wps:wsp>
                      <wps:wsp>
                        <wps:cNvPr id="1503" name="直线 309"/>
                        <wps:cNvCnPr/>
                        <wps:spPr>
                          <a:xfrm flipH="1">
                            <a:off x="7135" y="7943"/>
                            <a:ext cx="178" cy="1"/>
                          </a:xfrm>
                          <a:prstGeom prst="line">
                            <a:avLst/>
                          </a:prstGeom>
                          <a:ln w="6350" cap="flat" cmpd="sng">
                            <a:solidFill>
                              <a:srgbClr val="000000"/>
                            </a:solidFill>
                            <a:prstDash val="solid"/>
                            <a:headEnd type="none" w="med" len="med"/>
                            <a:tailEnd type="none" w="med" len="med"/>
                          </a:ln>
                          <a:effectLst/>
                        </wps:spPr>
                        <wps:bodyPr upright="1"/>
                      </wps:wsp>
                      <wps:wsp>
                        <wps:cNvPr id="1504" name="直线 310"/>
                        <wps:cNvCnPr/>
                        <wps:spPr>
                          <a:xfrm flipH="1">
                            <a:off x="7135" y="8586"/>
                            <a:ext cx="178" cy="1"/>
                          </a:xfrm>
                          <a:prstGeom prst="line">
                            <a:avLst/>
                          </a:prstGeom>
                          <a:ln w="6350" cap="flat" cmpd="sng">
                            <a:solidFill>
                              <a:srgbClr val="000000"/>
                            </a:solidFill>
                            <a:prstDash val="solid"/>
                            <a:headEnd type="none" w="med" len="med"/>
                            <a:tailEnd type="none" w="med" len="med"/>
                          </a:ln>
                          <a:effectLst/>
                        </wps:spPr>
                        <wps:bodyPr upright="1"/>
                      </wps:wsp>
                      <wps:wsp>
                        <wps:cNvPr id="1608" name="直线 311"/>
                        <wps:cNvCnPr/>
                        <wps:spPr>
                          <a:xfrm>
                            <a:off x="7298" y="7282"/>
                            <a:ext cx="1" cy="661"/>
                          </a:xfrm>
                          <a:prstGeom prst="line">
                            <a:avLst/>
                          </a:prstGeom>
                          <a:ln w="6350" cap="flat" cmpd="sng">
                            <a:solidFill>
                              <a:srgbClr val="000000"/>
                            </a:solidFill>
                            <a:prstDash val="solid"/>
                            <a:headEnd type="stealth" w="sm" len="lg"/>
                            <a:tailEnd type="stealth" w="sm" len="lg"/>
                          </a:ln>
                          <a:effectLst/>
                        </wps:spPr>
                        <wps:bodyPr upright="1"/>
                      </wps:wsp>
                      <wps:wsp>
                        <wps:cNvPr id="1609" name="直线 312"/>
                        <wps:cNvCnPr/>
                        <wps:spPr>
                          <a:xfrm>
                            <a:off x="7298" y="7943"/>
                            <a:ext cx="1" cy="643"/>
                          </a:xfrm>
                          <a:prstGeom prst="line">
                            <a:avLst/>
                          </a:prstGeom>
                          <a:ln w="6350" cap="flat" cmpd="sng">
                            <a:solidFill>
                              <a:srgbClr val="000000"/>
                            </a:solidFill>
                            <a:prstDash val="solid"/>
                            <a:headEnd type="stealth" w="sm" len="lg"/>
                            <a:tailEnd type="stealth" w="sm" len="lg"/>
                          </a:ln>
                          <a:effectLst/>
                        </wps:spPr>
                        <wps:bodyPr upright="1"/>
                      </wps:wsp>
                      <wps:wsp>
                        <wps:cNvPr id="1610" name="直线 313"/>
                        <wps:cNvCnPr/>
                        <wps:spPr>
                          <a:xfrm flipV="1">
                            <a:off x="7462" y="7082"/>
                            <a:ext cx="1" cy="174"/>
                          </a:xfrm>
                          <a:prstGeom prst="line">
                            <a:avLst/>
                          </a:prstGeom>
                          <a:ln w="6350" cap="flat" cmpd="sng">
                            <a:solidFill>
                              <a:srgbClr val="000000"/>
                            </a:solidFill>
                            <a:prstDash val="solid"/>
                            <a:headEnd type="none" w="med" len="med"/>
                            <a:tailEnd type="none" w="med" len="med"/>
                          </a:ln>
                          <a:effectLst/>
                        </wps:spPr>
                        <wps:bodyPr upright="1"/>
                      </wps:wsp>
                      <wps:wsp>
                        <wps:cNvPr id="1611" name="直线 314"/>
                        <wps:cNvCnPr/>
                        <wps:spPr>
                          <a:xfrm>
                            <a:off x="6762" y="7188"/>
                            <a:ext cx="249" cy="1"/>
                          </a:xfrm>
                          <a:prstGeom prst="line">
                            <a:avLst/>
                          </a:prstGeom>
                          <a:ln w="6350" cap="flat" cmpd="sng">
                            <a:solidFill>
                              <a:srgbClr val="000000"/>
                            </a:solidFill>
                            <a:prstDash val="solid"/>
                            <a:headEnd type="none" w="med" len="med"/>
                            <a:tailEnd type="stealth" w="sm" len="lg"/>
                          </a:ln>
                          <a:effectLst/>
                        </wps:spPr>
                        <wps:bodyPr upright="1"/>
                      </wps:wsp>
                      <wps:wsp>
                        <wps:cNvPr id="1612" name="直线 315"/>
                        <wps:cNvCnPr/>
                        <wps:spPr>
                          <a:xfrm>
                            <a:off x="7462" y="7177"/>
                            <a:ext cx="260" cy="1"/>
                          </a:xfrm>
                          <a:prstGeom prst="line">
                            <a:avLst/>
                          </a:prstGeom>
                          <a:ln w="6350" cap="flat" cmpd="sng">
                            <a:solidFill>
                              <a:srgbClr val="000000"/>
                            </a:solidFill>
                            <a:prstDash val="solid"/>
                            <a:headEnd type="stealth" w="sm" len="lg"/>
                            <a:tailEnd type="none" w="sm" len="lg"/>
                          </a:ln>
                          <a:effectLst/>
                        </wps:spPr>
                        <wps:bodyPr upright="1"/>
                      </wps:wsp>
                      <wps:wsp>
                        <wps:cNvPr id="1613" name="直线 316"/>
                        <wps:cNvCnPr/>
                        <wps:spPr>
                          <a:xfrm>
                            <a:off x="7446" y="7322"/>
                            <a:ext cx="1" cy="259"/>
                          </a:xfrm>
                          <a:prstGeom prst="line">
                            <a:avLst/>
                          </a:prstGeom>
                          <a:ln w="6350" cap="flat" cmpd="sng">
                            <a:solidFill>
                              <a:srgbClr val="000000"/>
                            </a:solidFill>
                            <a:prstDash val="solid"/>
                            <a:headEnd type="none" w="med" len="med"/>
                            <a:tailEnd type="none" w="med" len="med"/>
                          </a:ln>
                          <a:effectLst/>
                        </wps:spPr>
                        <wps:bodyPr upright="1"/>
                      </wps:wsp>
                      <wps:wsp>
                        <wps:cNvPr id="1614" name="直线 317"/>
                        <wps:cNvCnPr/>
                        <wps:spPr>
                          <a:xfrm flipV="1">
                            <a:off x="7934" y="7319"/>
                            <a:ext cx="1" cy="262"/>
                          </a:xfrm>
                          <a:prstGeom prst="line">
                            <a:avLst/>
                          </a:prstGeom>
                          <a:ln w="6350" cap="flat" cmpd="sng">
                            <a:solidFill>
                              <a:srgbClr val="000000"/>
                            </a:solidFill>
                            <a:prstDash val="solid"/>
                            <a:headEnd type="none" w="med" len="med"/>
                            <a:tailEnd type="none" w="med" len="med"/>
                          </a:ln>
                          <a:effectLst/>
                        </wps:spPr>
                        <wps:bodyPr upright="1"/>
                      </wps:wsp>
                      <wps:wsp>
                        <wps:cNvPr id="1615" name="直线 318"/>
                        <wps:cNvCnPr/>
                        <wps:spPr>
                          <a:xfrm>
                            <a:off x="7459" y="7450"/>
                            <a:ext cx="462" cy="1"/>
                          </a:xfrm>
                          <a:prstGeom prst="line">
                            <a:avLst/>
                          </a:prstGeom>
                          <a:ln w="6350" cap="flat" cmpd="sng">
                            <a:solidFill>
                              <a:srgbClr val="000000"/>
                            </a:solidFill>
                            <a:prstDash val="solid"/>
                            <a:headEnd type="none" w="med" len="med"/>
                            <a:tailEnd type="none" w="med" len="med"/>
                          </a:ln>
                          <a:effectLst/>
                        </wps:spPr>
                        <wps:bodyPr upright="1"/>
                      </wps:wsp>
                      <wps:wsp>
                        <wps:cNvPr id="1616" name="文本框 319"/>
                        <wps:cNvSpPr txBox="1"/>
                        <wps:spPr>
                          <a:xfrm>
                            <a:off x="6135" y="7812"/>
                            <a:ext cx="287" cy="273"/>
                          </a:xfrm>
                          <a:prstGeom prst="rect">
                            <a:avLst/>
                          </a:prstGeom>
                          <a:noFill/>
                          <a:ln w="6350">
                            <a:noFill/>
                          </a:ln>
                          <a:effectLst/>
                        </wps:spPr>
                        <wps:txbx>
                          <w:txbxContent>
                            <w:p w14:paraId="53683AD4">
                              <w:pPr>
                                <w:pStyle w:val="33"/>
                                <w:tabs>
                                  <w:tab w:val="clear" w:pos="4153"/>
                                  <w:tab w:val="clear" w:pos="8306"/>
                                </w:tabs>
                                <w:snapToGrid/>
                                <w:spacing w:line="240" w:lineRule="exact"/>
                                <w:rPr>
                                  <w:rFonts w:ascii="宋体" w:hAnsi="宋体"/>
                                  <w:szCs w:val="24"/>
                                </w:rPr>
                              </w:pPr>
                              <w:r>
                                <w:rPr>
                                  <w:rFonts w:ascii="宋体" w:hAnsi="宋体"/>
                                  <w:szCs w:val="24"/>
                                </w:rPr>
                                <w:t>2b</w:t>
                              </w:r>
                            </w:p>
                          </w:txbxContent>
                        </wps:txbx>
                        <wps:bodyPr lIns="0" tIns="0" rIns="0" bIns="0" upright="1"/>
                      </wps:wsp>
                      <wps:wsp>
                        <wps:cNvPr id="1617" name="文本框 320"/>
                        <wps:cNvSpPr txBox="1"/>
                        <wps:spPr>
                          <a:xfrm>
                            <a:off x="4603" y="7213"/>
                            <a:ext cx="287" cy="273"/>
                          </a:xfrm>
                          <a:prstGeom prst="rect">
                            <a:avLst/>
                          </a:prstGeom>
                          <a:noFill/>
                          <a:ln w="6350">
                            <a:noFill/>
                          </a:ln>
                          <a:effectLst/>
                        </wps:spPr>
                        <wps:txbx>
                          <w:txbxContent>
                            <w:p w14:paraId="3C66B3D2">
                              <w:pPr>
                                <w:pStyle w:val="33"/>
                                <w:tabs>
                                  <w:tab w:val="clear" w:pos="4153"/>
                                  <w:tab w:val="clear" w:pos="8306"/>
                                </w:tabs>
                                <w:snapToGrid/>
                                <w:spacing w:line="240" w:lineRule="exact"/>
                                <w:rPr>
                                  <w:rFonts w:hAnsi="宋体"/>
                                  <w:szCs w:val="24"/>
                                </w:rPr>
                              </w:pPr>
                              <w:r>
                                <w:rPr>
                                  <w:rFonts w:hAnsi="宋体"/>
                                  <w:szCs w:val="24"/>
                                </w:rPr>
                                <w:t>b</w:t>
                              </w:r>
                            </w:p>
                          </w:txbxContent>
                        </wps:txbx>
                        <wps:bodyPr lIns="0" tIns="0" rIns="0" bIns="0" upright="1"/>
                      </wps:wsp>
                      <wps:wsp>
                        <wps:cNvPr id="1618" name="文本框 321"/>
                        <wps:cNvSpPr txBox="1"/>
                        <wps:spPr>
                          <a:xfrm>
                            <a:off x="4547" y="6552"/>
                            <a:ext cx="422" cy="600"/>
                          </a:xfrm>
                          <a:prstGeom prst="rect">
                            <a:avLst/>
                          </a:prstGeom>
                          <a:noFill/>
                          <a:ln w="6350">
                            <a:noFill/>
                          </a:ln>
                          <a:effectLst/>
                        </wps:spPr>
                        <wps:txbx>
                          <w:txbxContent>
                            <w:p w14:paraId="4A34646F">
                              <w:pPr>
                                <w:jc w:val="center"/>
                                <w:rPr>
                                  <w:rFonts w:ascii="宋体" w:hAnsi="宋体"/>
                                  <w:sz w:val="18"/>
                                </w:rPr>
                              </w:pPr>
                              <w:r>
                                <w:rPr>
                                  <w:rFonts w:ascii="宋体" w:hAnsi="宋体"/>
                                  <w:sz w:val="18"/>
                                </w:rPr>
                                <w:t>w</w:t>
                              </w:r>
                              <w:r>
                                <w:rPr>
                                  <w:rFonts w:ascii="宋体" w:hAnsi="宋体"/>
                                  <w:sz w:val="18"/>
                                  <w:vertAlign w:val="subscript"/>
                                </w:rPr>
                                <w:t>1</w:t>
                              </w:r>
                            </w:p>
                          </w:txbxContent>
                        </wps:txbx>
                        <wps:bodyPr lIns="0" tIns="0" rIns="0" bIns="0" upright="1"/>
                      </wps:wsp>
                      <wps:wsp>
                        <wps:cNvPr id="1619" name="文本框 322"/>
                        <wps:cNvSpPr txBox="1"/>
                        <wps:spPr>
                          <a:xfrm>
                            <a:off x="4154" y="8072"/>
                            <a:ext cx="514" cy="413"/>
                          </a:xfrm>
                          <a:prstGeom prst="rect">
                            <a:avLst/>
                          </a:prstGeom>
                          <a:noFill/>
                          <a:ln w="6350">
                            <a:noFill/>
                          </a:ln>
                          <a:effectLst/>
                        </wps:spPr>
                        <wps:txbx>
                          <w:txbxContent>
                            <w:p w14:paraId="6999F577">
                              <w:pPr>
                                <w:jc w:val="distribute"/>
                                <w:rPr>
                                  <w:rFonts w:ascii="宋体" w:hAnsi="宋体"/>
                                  <w:sz w:val="18"/>
                                </w:rPr>
                              </w:pPr>
                              <w:r>
                                <w:rPr>
                                  <w:rFonts w:ascii="宋体" w:hAnsi="宋体"/>
                                  <w:sz w:val="18"/>
                                </w:rPr>
                                <w:t>a=3b</w:t>
                              </w:r>
                            </w:p>
                          </w:txbxContent>
                        </wps:txbx>
                        <wps:bodyPr vert="eaVert" lIns="0" tIns="0" rIns="0" bIns="0" upright="1"/>
                      </wps:wsp>
                      <wps:wsp>
                        <wps:cNvPr id="1620" name="文本框 323"/>
                        <wps:cNvSpPr txBox="1"/>
                        <wps:spPr>
                          <a:xfrm>
                            <a:off x="4319" y="7411"/>
                            <a:ext cx="287" cy="412"/>
                          </a:xfrm>
                          <a:prstGeom prst="rect">
                            <a:avLst/>
                          </a:prstGeom>
                          <a:noFill/>
                          <a:ln w="6350">
                            <a:noFill/>
                          </a:ln>
                          <a:effectLst/>
                        </wps:spPr>
                        <wps:txbx>
                          <w:txbxContent>
                            <w:p w14:paraId="31419951">
                              <w:pPr>
                                <w:spacing w:line="400" w:lineRule="exact"/>
                                <w:jc w:val="distribute"/>
                                <w:rPr>
                                  <w:rFonts w:ascii="宋体" w:hAnsi="宋体"/>
                                  <w:sz w:val="18"/>
                                </w:rPr>
                              </w:pPr>
                              <w:r>
                                <w:rPr>
                                  <w:rFonts w:ascii="宋体" w:hAnsi="宋体"/>
                                  <w:sz w:val="18"/>
                                </w:rPr>
                                <w:t>a=3b</w:t>
                              </w:r>
                            </w:p>
                          </w:txbxContent>
                        </wps:txbx>
                        <wps:bodyPr vert="eaVert" lIns="0" tIns="0" rIns="0" bIns="0" upright="1"/>
                      </wps:wsp>
                      <wps:wsp>
                        <wps:cNvPr id="1621" name="直线 324"/>
                        <wps:cNvCnPr/>
                        <wps:spPr>
                          <a:xfrm>
                            <a:off x="2654" y="6138"/>
                            <a:ext cx="7045" cy="1"/>
                          </a:xfrm>
                          <a:prstGeom prst="line">
                            <a:avLst/>
                          </a:prstGeom>
                          <a:ln w="6350" cap="flat" cmpd="sng">
                            <a:solidFill>
                              <a:srgbClr val="000000"/>
                            </a:solidFill>
                            <a:prstDash val="solid"/>
                            <a:headEnd type="none" w="med" len="med"/>
                            <a:tailEnd type="none" w="med" len="med"/>
                          </a:ln>
                          <a:effectLst/>
                        </wps:spPr>
                        <wps:bodyPr upright="1"/>
                      </wps:wsp>
                      <wps:wsp>
                        <wps:cNvPr id="1622" name="直线 325"/>
                        <wps:cNvCnPr/>
                        <wps:spPr>
                          <a:xfrm>
                            <a:off x="2654" y="9755"/>
                            <a:ext cx="7045" cy="1"/>
                          </a:xfrm>
                          <a:prstGeom prst="line">
                            <a:avLst/>
                          </a:prstGeom>
                          <a:ln w="6350" cap="flat" cmpd="sng">
                            <a:solidFill>
                              <a:srgbClr val="000000"/>
                            </a:solidFill>
                            <a:prstDash val="solid"/>
                            <a:headEnd type="none" w="med" len="med"/>
                            <a:tailEnd type="none" w="med" len="med"/>
                          </a:ln>
                          <a:effectLst/>
                        </wps:spPr>
                        <wps:bodyPr upright="1"/>
                      </wps:wsp>
                      <wps:wsp>
                        <wps:cNvPr id="1623" name="直线 326"/>
                        <wps:cNvCnPr/>
                        <wps:spPr>
                          <a:xfrm>
                            <a:off x="2654" y="6821"/>
                            <a:ext cx="1272" cy="1"/>
                          </a:xfrm>
                          <a:prstGeom prst="line">
                            <a:avLst/>
                          </a:prstGeom>
                          <a:ln w="6350" cap="flat" cmpd="sng">
                            <a:solidFill>
                              <a:srgbClr val="000000"/>
                            </a:solidFill>
                            <a:prstDash val="solid"/>
                            <a:headEnd type="none" w="med" len="med"/>
                            <a:tailEnd type="none" w="med" len="med"/>
                          </a:ln>
                          <a:effectLst/>
                        </wps:spPr>
                        <wps:bodyPr upright="1"/>
                      </wps:wsp>
                      <wps:wsp>
                        <wps:cNvPr id="1624" name="直线 327"/>
                        <wps:cNvCnPr/>
                        <wps:spPr>
                          <a:xfrm>
                            <a:off x="4313" y="6530"/>
                            <a:ext cx="2343" cy="1"/>
                          </a:xfrm>
                          <a:prstGeom prst="line">
                            <a:avLst/>
                          </a:prstGeom>
                          <a:ln w="6350" cap="flat" cmpd="sng">
                            <a:solidFill>
                              <a:srgbClr val="000000"/>
                            </a:solidFill>
                            <a:prstDash val="solid"/>
                            <a:headEnd type="none" w="med" len="med"/>
                            <a:tailEnd type="none" w="med" len="med"/>
                          </a:ln>
                          <a:effectLst/>
                        </wps:spPr>
                        <wps:bodyPr upright="1"/>
                      </wps:wsp>
                      <wps:wsp>
                        <wps:cNvPr id="1625" name="直线 328"/>
                        <wps:cNvCnPr/>
                        <wps:spPr>
                          <a:xfrm flipH="1">
                            <a:off x="3926" y="6530"/>
                            <a:ext cx="387" cy="291"/>
                          </a:xfrm>
                          <a:prstGeom prst="line">
                            <a:avLst/>
                          </a:prstGeom>
                          <a:ln w="6350" cap="flat" cmpd="sng">
                            <a:solidFill>
                              <a:srgbClr val="000000"/>
                            </a:solidFill>
                            <a:prstDash val="solid"/>
                            <a:headEnd type="none" w="med" len="med"/>
                            <a:tailEnd type="none" w="med" len="med"/>
                          </a:ln>
                          <a:effectLst/>
                        </wps:spPr>
                        <wps:bodyPr upright="1"/>
                      </wps:wsp>
                      <wps:wsp>
                        <wps:cNvPr id="1505" name="直线 329"/>
                        <wps:cNvCnPr/>
                        <wps:spPr>
                          <a:xfrm flipH="1">
                            <a:off x="6656" y="6138"/>
                            <a:ext cx="358" cy="392"/>
                          </a:xfrm>
                          <a:prstGeom prst="line">
                            <a:avLst/>
                          </a:prstGeom>
                          <a:ln w="6350" cap="flat" cmpd="sng">
                            <a:solidFill>
                              <a:srgbClr val="000000"/>
                            </a:solidFill>
                            <a:prstDash val="solid"/>
                            <a:headEnd type="none" w="med" len="med"/>
                            <a:tailEnd type="none" w="med" len="med"/>
                          </a:ln>
                          <a:effectLst/>
                        </wps:spPr>
                        <wps:bodyPr upright="1"/>
                      </wps:wsp>
                      <wps:wsp>
                        <wps:cNvPr id="1627" name="直线 330"/>
                        <wps:cNvCnPr/>
                        <wps:spPr>
                          <a:xfrm>
                            <a:off x="2704" y="8986"/>
                            <a:ext cx="1272" cy="1"/>
                          </a:xfrm>
                          <a:prstGeom prst="line">
                            <a:avLst/>
                          </a:prstGeom>
                          <a:ln w="6350" cap="flat" cmpd="sng">
                            <a:solidFill>
                              <a:srgbClr val="000000"/>
                            </a:solidFill>
                            <a:prstDash val="solid"/>
                            <a:headEnd type="none" w="med" len="med"/>
                            <a:tailEnd type="none" w="med" len="med"/>
                          </a:ln>
                          <a:effectLst/>
                        </wps:spPr>
                        <wps:bodyPr upright="1"/>
                      </wps:wsp>
                      <wps:wsp>
                        <wps:cNvPr id="1628" name="直线 331"/>
                        <wps:cNvCnPr/>
                        <wps:spPr>
                          <a:xfrm>
                            <a:off x="4308" y="9340"/>
                            <a:ext cx="2348" cy="24"/>
                          </a:xfrm>
                          <a:prstGeom prst="line">
                            <a:avLst/>
                          </a:prstGeom>
                          <a:ln w="6350" cap="flat" cmpd="sng">
                            <a:solidFill>
                              <a:srgbClr val="000000"/>
                            </a:solidFill>
                            <a:prstDash val="solid"/>
                            <a:headEnd type="none" w="med" len="med"/>
                            <a:tailEnd type="none" w="med" len="med"/>
                          </a:ln>
                          <a:effectLst/>
                        </wps:spPr>
                        <wps:bodyPr upright="1"/>
                      </wps:wsp>
                      <wps:wsp>
                        <wps:cNvPr id="1506" name="直线 332"/>
                        <wps:cNvCnPr/>
                        <wps:spPr>
                          <a:xfrm rot="5392690" flipH="1">
                            <a:off x="3967" y="8994"/>
                            <a:ext cx="339" cy="331"/>
                          </a:xfrm>
                          <a:prstGeom prst="line">
                            <a:avLst/>
                          </a:prstGeom>
                          <a:ln w="6350" cap="flat" cmpd="sng">
                            <a:solidFill>
                              <a:srgbClr val="000000"/>
                            </a:solidFill>
                            <a:prstDash val="solid"/>
                            <a:headEnd type="none" w="med" len="med"/>
                            <a:tailEnd type="none" w="med" len="med"/>
                          </a:ln>
                          <a:effectLst/>
                        </wps:spPr>
                        <wps:bodyPr upright="1"/>
                      </wps:wsp>
                      <wps:wsp>
                        <wps:cNvPr id="1507" name="直线 333"/>
                        <wps:cNvCnPr/>
                        <wps:spPr>
                          <a:xfrm>
                            <a:off x="6656" y="9363"/>
                            <a:ext cx="358" cy="392"/>
                          </a:xfrm>
                          <a:prstGeom prst="line">
                            <a:avLst/>
                          </a:prstGeom>
                          <a:ln w="6350" cap="flat" cmpd="sng">
                            <a:solidFill>
                              <a:srgbClr val="000000"/>
                            </a:solidFill>
                            <a:prstDash val="solid"/>
                            <a:headEnd type="none" w="med" len="med"/>
                            <a:tailEnd type="none" w="med" len="med"/>
                          </a:ln>
                          <a:effectLst/>
                        </wps:spPr>
                        <wps:bodyPr upright="1"/>
                      </wps:wsp>
                      <wpg:grpSp>
                        <wpg:cNvPr id="1508" name="组合 334"/>
                        <wpg:cNvGrpSpPr/>
                        <wpg:grpSpPr>
                          <a:xfrm>
                            <a:off x="3026" y="6138"/>
                            <a:ext cx="73" cy="392"/>
                            <a:chOff x="2029" y="8940"/>
                            <a:chExt cx="88" cy="540"/>
                          </a:xfrm>
                          <a:effectLst/>
                        </wpg:grpSpPr>
                        <wps:wsp>
                          <wps:cNvPr id="1509" name="直线 335"/>
                          <wps:cNvCnPr/>
                          <wps:spPr>
                            <a:xfrm>
                              <a:off x="2029" y="8940"/>
                              <a:ext cx="0" cy="280"/>
                            </a:xfrm>
                            <a:prstGeom prst="line">
                              <a:avLst/>
                            </a:prstGeom>
                            <a:ln w="6350" cap="flat" cmpd="sng">
                              <a:solidFill>
                                <a:srgbClr val="000000"/>
                              </a:solidFill>
                              <a:prstDash val="solid"/>
                              <a:headEnd type="none" w="med" len="med"/>
                              <a:tailEnd type="none" w="med" len="med"/>
                            </a:ln>
                            <a:effectLst/>
                          </wps:spPr>
                          <wps:bodyPr upright="1"/>
                        </wps:wsp>
                        <wps:wsp>
                          <wps:cNvPr id="1510" name="直线 336"/>
                          <wps:cNvCnPr/>
                          <wps:spPr>
                            <a:xfrm>
                              <a:off x="2117" y="8940"/>
                              <a:ext cx="0" cy="540"/>
                            </a:xfrm>
                            <a:prstGeom prst="line">
                              <a:avLst/>
                            </a:prstGeom>
                            <a:ln w="6350" cap="flat" cmpd="sng">
                              <a:solidFill>
                                <a:srgbClr val="000000"/>
                              </a:solidFill>
                              <a:prstDash val="solid"/>
                              <a:headEnd type="none" w="med" len="med"/>
                              <a:tailEnd type="none" w="med" len="med"/>
                            </a:ln>
                            <a:effectLst/>
                          </wps:spPr>
                          <wps:bodyPr upright="1"/>
                        </wps:wsp>
                      </wpg:grpSp>
                      <wpg:grpSp>
                        <wpg:cNvPr id="1636" name="组合 337"/>
                        <wpg:cNvGrpSpPr/>
                        <wpg:grpSpPr>
                          <a:xfrm>
                            <a:off x="3391" y="6138"/>
                            <a:ext cx="73" cy="392"/>
                            <a:chOff x="2029" y="8940"/>
                            <a:chExt cx="88" cy="540"/>
                          </a:xfrm>
                          <a:effectLst/>
                        </wpg:grpSpPr>
                        <wps:wsp>
                          <wps:cNvPr id="1511" name="直线 338"/>
                          <wps:cNvCnPr/>
                          <wps:spPr>
                            <a:xfrm>
                              <a:off x="2029" y="8940"/>
                              <a:ext cx="0" cy="280"/>
                            </a:xfrm>
                            <a:prstGeom prst="line">
                              <a:avLst/>
                            </a:prstGeom>
                            <a:ln w="6350" cap="flat" cmpd="sng">
                              <a:solidFill>
                                <a:srgbClr val="000000"/>
                              </a:solidFill>
                              <a:prstDash val="solid"/>
                              <a:headEnd type="none" w="med" len="med"/>
                              <a:tailEnd type="none" w="med" len="med"/>
                            </a:ln>
                            <a:effectLst/>
                          </wps:spPr>
                          <wps:bodyPr upright="1"/>
                        </wps:wsp>
                        <wps:wsp>
                          <wps:cNvPr id="1512" name="直线 339"/>
                          <wps:cNvCnPr/>
                          <wps:spPr>
                            <a:xfrm>
                              <a:off x="2117" y="8940"/>
                              <a:ext cx="0" cy="540"/>
                            </a:xfrm>
                            <a:prstGeom prst="line">
                              <a:avLst/>
                            </a:prstGeom>
                            <a:ln w="6350" cap="flat" cmpd="sng">
                              <a:solidFill>
                                <a:srgbClr val="000000"/>
                              </a:solidFill>
                              <a:prstDash val="solid"/>
                              <a:headEnd type="none" w="med" len="med"/>
                              <a:tailEnd type="none" w="med" len="med"/>
                            </a:ln>
                            <a:effectLst/>
                          </wps:spPr>
                          <wps:bodyPr upright="1"/>
                        </wps:wsp>
                      </wpg:grpSp>
                      <wpg:grpSp>
                        <wpg:cNvPr id="1639" name="组合 340"/>
                        <wpg:cNvGrpSpPr/>
                        <wpg:grpSpPr>
                          <a:xfrm>
                            <a:off x="3735" y="6138"/>
                            <a:ext cx="73" cy="392"/>
                            <a:chOff x="2029" y="8940"/>
                            <a:chExt cx="88" cy="540"/>
                          </a:xfrm>
                          <a:effectLst/>
                        </wpg:grpSpPr>
                        <wps:wsp>
                          <wps:cNvPr id="1637" name="直线 341"/>
                          <wps:cNvCnPr/>
                          <wps:spPr>
                            <a:xfrm>
                              <a:off x="2029" y="8940"/>
                              <a:ext cx="0" cy="280"/>
                            </a:xfrm>
                            <a:prstGeom prst="line">
                              <a:avLst/>
                            </a:prstGeom>
                            <a:ln w="6350" cap="flat" cmpd="sng">
                              <a:solidFill>
                                <a:srgbClr val="000000"/>
                              </a:solidFill>
                              <a:prstDash val="solid"/>
                              <a:headEnd type="none" w="med" len="med"/>
                              <a:tailEnd type="none" w="med" len="med"/>
                            </a:ln>
                            <a:effectLst/>
                          </wps:spPr>
                          <wps:bodyPr upright="1"/>
                        </wps:wsp>
                        <wps:wsp>
                          <wps:cNvPr id="1638" name="直线 342"/>
                          <wps:cNvCnPr/>
                          <wps:spPr>
                            <a:xfrm>
                              <a:off x="2117" y="8940"/>
                              <a:ext cx="0" cy="540"/>
                            </a:xfrm>
                            <a:prstGeom prst="line">
                              <a:avLst/>
                            </a:prstGeom>
                            <a:ln w="6350" cap="flat" cmpd="sng">
                              <a:solidFill>
                                <a:srgbClr val="000000"/>
                              </a:solidFill>
                              <a:prstDash val="solid"/>
                              <a:headEnd type="none" w="med" len="med"/>
                              <a:tailEnd type="none" w="med" len="med"/>
                            </a:ln>
                            <a:effectLst/>
                          </wps:spPr>
                          <wps:bodyPr upright="1"/>
                        </wps:wsp>
                      </wpg:grpSp>
                      <wps:wsp>
                        <wps:cNvPr id="1640" name="直线 343"/>
                        <wps:cNvCnPr/>
                        <wps:spPr>
                          <a:xfrm>
                            <a:off x="3924" y="6821"/>
                            <a:ext cx="1" cy="2165"/>
                          </a:xfrm>
                          <a:prstGeom prst="line">
                            <a:avLst/>
                          </a:prstGeom>
                          <a:ln w="6350" cap="flat" cmpd="sng">
                            <a:solidFill>
                              <a:srgbClr val="000000"/>
                            </a:solidFill>
                            <a:prstDash val="solid"/>
                            <a:headEnd type="none" w="med" len="med"/>
                            <a:tailEnd type="none" w="med" len="med"/>
                          </a:ln>
                          <a:effectLst/>
                        </wps:spPr>
                        <wps:bodyPr upright="1"/>
                      </wps:wsp>
                      <wpg:grpSp>
                        <wpg:cNvPr id="1643" name="组合 344"/>
                        <wpg:cNvGrpSpPr/>
                        <wpg:grpSpPr>
                          <a:xfrm>
                            <a:off x="4065" y="6908"/>
                            <a:ext cx="248" cy="72"/>
                            <a:chOff x="3283" y="10000"/>
                            <a:chExt cx="299" cy="100"/>
                          </a:xfrm>
                          <a:effectLst/>
                        </wpg:grpSpPr>
                        <wps:wsp>
                          <wps:cNvPr id="1641" name="直线 345"/>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42" name="直线 346"/>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46" name="组合 347"/>
                        <wpg:cNvGrpSpPr/>
                        <wpg:grpSpPr>
                          <a:xfrm>
                            <a:off x="4065" y="7213"/>
                            <a:ext cx="248" cy="72"/>
                            <a:chOff x="3283" y="10000"/>
                            <a:chExt cx="299" cy="100"/>
                          </a:xfrm>
                          <a:effectLst/>
                        </wpg:grpSpPr>
                        <wps:wsp>
                          <wps:cNvPr id="1644" name="直线 348"/>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45" name="直线 349"/>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49" name="组合 350"/>
                        <wpg:cNvGrpSpPr/>
                        <wpg:grpSpPr>
                          <a:xfrm>
                            <a:off x="4065" y="7518"/>
                            <a:ext cx="248" cy="72"/>
                            <a:chOff x="3283" y="10000"/>
                            <a:chExt cx="299" cy="100"/>
                          </a:xfrm>
                          <a:effectLst/>
                        </wpg:grpSpPr>
                        <wps:wsp>
                          <wps:cNvPr id="1647" name="直线 351"/>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48" name="直线 352"/>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52" name="组合 353"/>
                        <wpg:cNvGrpSpPr/>
                        <wpg:grpSpPr>
                          <a:xfrm>
                            <a:off x="4065" y="7823"/>
                            <a:ext cx="248" cy="72"/>
                            <a:chOff x="3283" y="10000"/>
                            <a:chExt cx="299" cy="100"/>
                          </a:xfrm>
                          <a:effectLst/>
                        </wpg:grpSpPr>
                        <wps:wsp>
                          <wps:cNvPr id="1650" name="直线 354"/>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51" name="直线 355"/>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55" name="组合 356"/>
                        <wpg:cNvGrpSpPr/>
                        <wpg:grpSpPr>
                          <a:xfrm>
                            <a:off x="4065" y="8129"/>
                            <a:ext cx="248" cy="72"/>
                            <a:chOff x="3283" y="10000"/>
                            <a:chExt cx="299" cy="100"/>
                          </a:xfrm>
                          <a:effectLst/>
                        </wpg:grpSpPr>
                        <wps:wsp>
                          <wps:cNvPr id="1653" name="直线 357"/>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54" name="直线 358"/>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58" name="组合 359"/>
                        <wpg:cNvGrpSpPr/>
                        <wpg:grpSpPr>
                          <a:xfrm>
                            <a:off x="4065" y="8434"/>
                            <a:ext cx="248" cy="72"/>
                            <a:chOff x="3283" y="10000"/>
                            <a:chExt cx="299" cy="100"/>
                          </a:xfrm>
                          <a:effectLst/>
                        </wpg:grpSpPr>
                        <wps:wsp>
                          <wps:cNvPr id="1656" name="直线 360"/>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57" name="直线 361"/>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61" name="组合 362"/>
                        <wpg:cNvGrpSpPr/>
                        <wpg:grpSpPr>
                          <a:xfrm>
                            <a:off x="4065" y="8739"/>
                            <a:ext cx="248" cy="72"/>
                            <a:chOff x="3283" y="10000"/>
                            <a:chExt cx="299" cy="100"/>
                          </a:xfrm>
                          <a:effectLst/>
                        </wpg:grpSpPr>
                        <wps:wsp>
                          <wps:cNvPr id="1659" name="直线 363"/>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60" name="直线 364"/>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s:wsp>
                        <wps:cNvPr id="1662" name="直线 365"/>
                        <wps:cNvCnPr/>
                        <wps:spPr>
                          <a:xfrm>
                            <a:off x="7014" y="6138"/>
                            <a:ext cx="1" cy="3617"/>
                          </a:xfrm>
                          <a:prstGeom prst="line">
                            <a:avLst/>
                          </a:prstGeom>
                          <a:ln w="6350" cap="flat" cmpd="sng">
                            <a:solidFill>
                              <a:srgbClr val="000000"/>
                            </a:solidFill>
                            <a:prstDash val="solid"/>
                            <a:headEnd type="none" w="med" len="med"/>
                            <a:tailEnd type="none" w="med" len="med"/>
                          </a:ln>
                          <a:effectLst/>
                        </wps:spPr>
                        <wps:bodyPr upright="1"/>
                      </wps:wsp>
                      <wps:wsp>
                        <wps:cNvPr id="1663" name="直线 366"/>
                        <wps:cNvCnPr/>
                        <wps:spPr>
                          <a:xfrm>
                            <a:off x="2920" y="9552"/>
                            <a:ext cx="1" cy="203"/>
                          </a:xfrm>
                          <a:prstGeom prst="line">
                            <a:avLst/>
                          </a:prstGeom>
                          <a:ln w="6350" cap="flat" cmpd="sng">
                            <a:solidFill>
                              <a:srgbClr val="000000"/>
                            </a:solidFill>
                            <a:prstDash val="solid"/>
                            <a:headEnd type="none" w="med" len="med"/>
                            <a:tailEnd type="none" w="med" len="med"/>
                          </a:ln>
                          <a:effectLst/>
                        </wps:spPr>
                        <wps:bodyPr upright="1"/>
                      </wps:wsp>
                      <wps:wsp>
                        <wps:cNvPr id="1664" name="直线 367"/>
                        <wps:cNvCnPr/>
                        <wps:spPr>
                          <a:xfrm>
                            <a:off x="2993" y="9363"/>
                            <a:ext cx="1" cy="392"/>
                          </a:xfrm>
                          <a:prstGeom prst="line">
                            <a:avLst/>
                          </a:prstGeom>
                          <a:ln w="6350" cap="flat" cmpd="sng">
                            <a:solidFill>
                              <a:srgbClr val="000000"/>
                            </a:solidFill>
                            <a:prstDash val="solid"/>
                            <a:headEnd type="none" w="med" len="med"/>
                            <a:tailEnd type="none" w="med" len="med"/>
                          </a:ln>
                          <a:effectLst/>
                        </wps:spPr>
                        <wps:bodyPr upright="1"/>
                      </wps:wsp>
                      <wps:wsp>
                        <wps:cNvPr id="1665" name="直线 368"/>
                        <wps:cNvCnPr/>
                        <wps:spPr>
                          <a:xfrm>
                            <a:off x="3285" y="9552"/>
                            <a:ext cx="1" cy="203"/>
                          </a:xfrm>
                          <a:prstGeom prst="line">
                            <a:avLst/>
                          </a:prstGeom>
                          <a:ln w="6350" cap="flat" cmpd="sng">
                            <a:solidFill>
                              <a:srgbClr val="000000"/>
                            </a:solidFill>
                            <a:prstDash val="solid"/>
                            <a:headEnd type="none" w="med" len="med"/>
                            <a:tailEnd type="none" w="med" len="med"/>
                          </a:ln>
                          <a:effectLst/>
                        </wps:spPr>
                        <wps:bodyPr upright="1"/>
                      </wps:wsp>
                      <wps:wsp>
                        <wps:cNvPr id="1666" name="直线 369"/>
                        <wps:cNvCnPr/>
                        <wps:spPr>
                          <a:xfrm>
                            <a:off x="3358" y="9363"/>
                            <a:ext cx="1" cy="392"/>
                          </a:xfrm>
                          <a:prstGeom prst="line">
                            <a:avLst/>
                          </a:prstGeom>
                          <a:ln w="6350" cap="flat" cmpd="sng">
                            <a:solidFill>
                              <a:srgbClr val="000000"/>
                            </a:solidFill>
                            <a:prstDash val="solid"/>
                            <a:headEnd type="none" w="med" len="med"/>
                            <a:tailEnd type="none" w="med" len="med"/>
                          </a:ln>
                          <a:effectLst/>
                        </wps:spPr>
                        <wps:bodyPr upright="1"/>
                      </wps:wsp>
                      <wps:wsp>
                        <wps:cNvPr id="1667" name="直线 370"/>
                        <wps:cNvCnPr/>
                        <wps:spPr>
                          <a:xfrm>
                            <a:off x="3629" y="9552"/>
                            <a:ext cx="1" cy="203"/>
                          </a:xfrm>
                          <a:prstGeom prst="line">
                            <a:avLst/>
                          </a:prstGeom>
                          <a:ln w="6350" cap="flat" cmpd="sng">
                            <a:solidFill>
                              <a:srgbClr val="000000"/>
                            </a:solidFill>
                            <a:prstDash val="solid"/>
                            <a:headEnd type="none" w="med" len="med"/>
                            <a:tailEnd type="none" w="med" len="med"/>
                          </a:ln>
                          <a:effectLst/>
                        </wps:spPr>
                        <wps:bodyPr upright="1"/>
                      </wps:wsp>
                      <wps:wsp>
                        <wps:cNvPr id="1668" name="直线 371"/>
                        <wps:cNvCnPr/>
                        <wps:spPr>
                          <a:xfrm>
                            <a:off x="3702" y="9363"/>
                            <a:ext cx="1" cy="392"/>
                          </a:xfrm>
                          <a:prstGeom prst="line">
                            <a:avLst/>
                          </a:prstGeom>
                          <a:ln w="6350" cap="flat" cmpd="sng">
                            <a:solidFill>
                              <a:srgbClr val="000000"/>
                            </a:solidFill>
                            <a:prstDash val="solid"/>
                            <a:headEnd type="none" w="med" len="med"/>
                            <a:tailEnd type="none" w="med" len="med"/>
                          </a:ln>
                          <a:effectLst/>
                        </wps:spPr>
                        <wps:bodyPr upright="1"/>
                      </wps:wsp>
                      <wpg:grpSp>
                        <wpg:cNvPr id="1671" name="组合 372"/>
                        <wpg:cNvGrpSpPr/>
                        <wpg:grpSpPr>
                          <a:xfrm>
                            <a:off x="6770" y="6632"/>
                            <a:ext cx="248" cy="73"/>
                            <a:chOff x="3283" y="10000"/>
                            <a:chExt cx="299" cy="100"/>
                          </a:xfrm>
                          <a:effectLst/>
                        </wpg:grpSpPr>
                        <wps:wsp>
                          <wps:cNvPr id="1669" name="直线 373"/>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70" name="直线 374"/>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74" name="组合 375"/>
                        <wpg:cNvGrpSpPr/>
                        <wpg:grpSpPr>
                          <a:xfrm>
                            <a:off x="6770" y="6942"/>
                            <a:ext cx="248" cy="73"/>
                            <a:chOff x="3283" y="10000"/>
                            <a:chExt cx="299" cy="100"/>
                          </a:xfrm>
                          <a:effectLst/>
                        </wpg:grpSpPr>
                        <wps:wsp>
                          <wps:cNvPr id="1672" name="直线 376"/>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73" name="直线 377"/>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77" name="组合 378"/>
                        <wpg:cNvGrpSpPr/>
                        <wpg:grpSpPr>
                          <a:xfrm>
                            <a:off x="6770" y="7253"/>
                            <a:ext cx="248" cy="73"/>
                            <a:chOff x="3283" y="10000"/>
                            <a:chExt cx="299" cy="100"/>
                          </a:xfrm>
                          <a:effectLst/>
                        </wpg:grpSpPr>
                        <wps:wsp>
                          <wps:cNvPr id="1675" name="直线 379"/>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76" name="直线 380"/>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80" name="组合 381"/>
                        <wpg:cNvGrpSpPr/>
                        <wpg:grpSpPr>
                          <a:xfrm>
                            <a:off x="6770" y="7563"/>
                            <a:ext cx="248" cy="73"/>
                            <a:chOff x="3283" y="10000"/>
                            <a:chExt cx="299" cy="100"/>
                          </a:xfrm>
                          <a:effectLst/>
                        </wpg:grpSpPr>
                        <wps:wsp>
                          <wps:cNvPr id="1678" name="直线 382"/>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79" name="直线 383"/>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83" name="组合 384"/>
                        <wpg:cNvGrpSpPr/>
                        <wpg:grpSpPr>
                          <a:xfrm>
                            <a:off x="6770" y="7874"/>
                            <a:ext cx="248" cy="73"/>
                            <a:chOff x="3283" y="10000"/>
                            <a:chExt cx="299" cy="100"/>
                          </a:xfrm>
                          <a:effectLst/>
                        </wpg:grpSpPr>
                        <wps:wsp>
                          <wps:cNvPr id="1681" name="直线 385"/>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82" name="直线 386"/>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86" name="组合 387"/>
                        <wpg:cNvGrpSpPr/>
                        <wpg:grpSpPr>
                          <a:xfrm>
                            <a:off x="6770" y="8185"/>
                            <a:ext cx="248" cy="72"/>
                            <a:chOff x="3283" y="10000"/>
                            <a:chExt cx="299" cy="100"/>
                          </a:xfrm>
                          <a:effectLst/>
                        </wpg:grpSpPr>
                        <wps:wsp>
                          <wps:cNvPr id="1684" name="直线 388"/>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85" name="直线 389"/>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89" name="组合 390"/>
                        <wpg:cNvGrpSpPr/>
                        <wpg:grpSpPr>
                          <a:xfrm>
                            <a:off x="6770" y="8495"/>
                            <a:ext cx="248" cy="73"/>
                            <a:chOff x="3283" y="10000"/>
                            <a:chExt cx="299" cy="100"/>
                          </a:xfrm>
                          <a:effectLst/>
                        </wpg:grpSpPr>
                        <wps:wsp>
                          <wps:cNvPr id="1687" name="直线 391"/>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88" name="直线 392"/>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92" name="组合 393"/>
                        <wpg:cNvGrpSpPr/>
                        <wpg:grpSpPr>
                          <a:xfrm>
                            <a:off x="6770" y="8805"/>
                            <a:ext cx="248" cy="73"/>
                            <a:chOff x="3283" y="10000"/>
                            <a:chExt cx="299" cy="100"/>
                          </a:xfrm>
                          <a:effectLst/>
                        </wpg:grpSpPr>
                        <wps:wsp>
                          <wps:cNvPr id="1690" name="直线 394"/>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91" name="直线 395"/>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g:grpSp>
                        <wpg:cNvPr id="1695" name="组合 396"/>
                        <wpg:cNvGrpSpPr/>
                        <wpg:grpSpPr>
                          <a:xfrm>
                            <a:off x="6770" y="9116"/>
                            <a:ext cx="248" cy="73"/>
                            <a:chOff x="3283" y="10000"/>
                            <a:chExt cx="299" cy="100"/>
                          </a:xfrm>
                          <a:effectLst/>
                        </wpg:grpSpPr>
                        <wps:wsp>
                          <wps:cNvPr id="1693" name="直线 397"/>
                          <wps:cNvCnPr/>
                          <wps:spPr>
                            <a:xfrm>
                              <a:off x="3283" y="10000"/>
                              <a:ext cx="299" cy="0"/>
                            </a:xfrm>
                            <a:prstGeom prst="line">
                              <a:avLst/>
                            </a:prstGeom>
                            <a:ln w="6350" cap="flat" cmpd="sng">
                              <a:solidFill>
                                <a:srgbClr val="000000"/>
                              </a:solidFill>
                              <a:prstDash val="solid"/>
                              <a:headEnd type="none" w="med" len="med"/>
                              <a:tailEnd type="none" w="med" len="med"/>
                            </a:ln>
                            <a:effectLst/>
                          </wps:spPr>
                          <wps:bodyPr upright="1"/>
                        </wps:wsp>
                        <wps:wsp>
                          <wps:cNvPr id="1694" name="直线 398"/>
                          <wps:cNvCnPr/>
                          <wps:spPr>
                            <a:xfrm>
                              <a:off x="3400" y="10100"/>
                              <a:ext cx="182" cy="0"/>
                            </a:xfrm>
                            <a:prstGeom prst="line">
                              <a:avLst/>
                            </a:prstGeom>
                            <a:ln w="6350" cap="flat" cmpd="sng">
                              <a:solidFill>
                                <a:srgbClr val="000000"/>
                              </a:solidFill>
                              <a:prstDash val="solid"/>
                              <a:headEnd type="none" w="med" len="med"/>
                              <a:tailEnd type="none" w="med" len="med"/>
                            </a:ln>
                            <a:effectLst/>
                          </wps:spPr>
                          <wps:bodyPr upright="1"/>
                        </wps:wsp>
                      </wpg:grpSp>
                      <wps:wsp>
                        <wps:cNvPr id="1696" name="椭圆 399"/>
                        <wps:cNvSpPr/>
                        <wps:spPr>
                          <a:xfrm>
                            <a:off x="4492"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697" name="椭圆 400"/>
                        <wps:cNvSpPr/>
                        <wps:spPr>
                          <a:xfrm>
                            <a:off x="5796"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698" name="椭圆 401"/>
                        <wps:cNvSpPr/>
                        <wps:spPr>
                          <a:xfrm>
                            <a:off x="5013"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699" name="椭圆 402"/>
                        <wps:cNvSpPr/>
                        <wps:spPr>
                          <a:xfrm>
                            <a:off x="5535"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0" name="椭圆 403"/>
                        <wps:cNvSpPr/>
                        <wps:spPr>
                          <a:xfrm>
                            <a:off x="4752"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01" name="椭圆 404"/>
                        <wps:cNvSpPr/>
                        <wps:spPr>
                          <a:xfrm>
                            <a:off x="5274"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2" name="椭圆 405"/>
                        <wps:cNvSpPr/>
                        <wps:spPr>
                          <a:xfrm>
                            <a:off x="8406"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3" name="椭圆 406"/>
                        <wps:cNvSpPr/>
                        <wps:spPr>
                          <a:xfrm>
                            <a:off x="6840"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4" name="椭圆 407"/>
                        <wps:cNvSpPr/>
                        <wps:spPr>
                          <a:xfrm>
                            <a:off x="7884"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05" name="椭圆 408"/>
                        <wps:cNvSpPr/>
                        <wps:spPr>
                          <a:xfrm>
                            <a:off x="9450"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6" name="椭圆 409"/>
                        <wps:cNvSpPr/>
                        <wps:spPr>
                          <a:xfrm>
                            <a:off x="6057"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7" name="椭圆 410"/>
                        <wps:cNvSpPr/>
                        <wps:spPr>
                          <a:xfrm>
                            <a:off x="6318"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8" name="椭圆 411"/>
                        <wps:cNvSpPr/>
                        <wps:spPr>
                          <a:xfrm>
                            <a:off x="6579"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09" name="椭圆 412"/>
                        <wps:cNvSpPr/>
                        <wps:spPr>
                          <a:xfrm>
                            <a:off x="7101"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10" name="椭圆 413"/>
                        <wps:cNvSpPr/>
                        <wps:spPr>
                          <a:xfrm>
                            <a:off x="7362"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11" name="椭圆 414"/>
                        <wps:cNvSpPr/>
                        <wps:spPr>
                          <a:xfrm>
                            <a:off x="7623" y="9723"/>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12" name="椭圆 415"/>
                        <wps:cNvSpPr/>
                        <wps:spPr>
                          <a:xfrm>
                            <a:off x="8145"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13" name="椭圆 416"/>
                        <wps:cNvSpPr/>
                        <wps:spPr>
                          <a:xfrm>
                            <a:off x="8667"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14" name="椭圆 417"/>
                        <wps:cNvSpPr/>
                        <wps:spPr>
                          <a:xfrm>
                            <a:off x="8928"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15" name="椭圆 418"/>
                        <wps:cNvSpPr/>
                        <wps:spPr>
                          <a:xfrm>
                            <a:off x="9189" y="972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16" name="椭圆 419"/>
                        <wps:cNvSpPr/>
                        <wps:spPr>
                          <a:xfrm>
                            <a:off x="4529" y="6105"/>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17" name="椭圆 420"/>
                        <wps:cNvSpPr/>
                        <wps:spPr>
                          <a:xfrm>
                            <a:off x="5833"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18" name="椭圆 421"/>
                        <wps:cNvSpPr/>
                        <wps:spPr>
                          <a:xfrm>
                            <a:off x="5050"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19" name="椭圆 422"/>
                        <wps:cNvSpPr/>
                        <wps:spPr>
                          <a:xfrm>
                            <a:off x="5572"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20" name="椭圆 423"/>
                        <wps:cNvSpPr/>
                        <wps:spPr>
                          <a:xfrm>
                            <a:off x="4789"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21" name="椭圆 424"/>
                        <wps:cNvSpPr/>
                        <wps:spPr>
                          <a:xfrm>
                            <a:off x="5311"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22" name="椭圆 425"/>
                        <wps:cNvSpPr/>
                        <wps:spPr>
                          <a:xfrm>
                            <a:off x="8443"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23" name="椭圆 426"/>
                        <wps:cNvSpPr/>
                        <wps:spPr>
                          <a:xfrm>
                            <a:off x="6878" y="6105"/>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24" name="椭圆 427"/>
                        <wps:cNvSpPr/>
                        <wps:spPr>
                          <a:xfrm>
                            <a:off x="7921"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25" name="椭圆 428"/>
                        <wps:cNvSpPr/>
                        <wps:spPr>
                          <a:xfrm>
                            <a:off x="9488" y="6105"/>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26" name="椭圆 429"/>
                        <wps:cNvSpPr/>
                        <wps:spPr>
                          <a:xfrm>
                            <a:off x="6094"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27" name="椭圆 430"/>
                        <wps:cNvSpPr/>
                        <wps:spPr>
                          <a:xfrm>
                            <a:off x="6356" y="6105"/>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28" name="椭圆 431"/>
                        <wps:cNvSpPr/>
                        <wps:spPr>
                          <a:xfrm>
                            <a:off x="6617" y="6105"/>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29" name="椭圆 432"/>
                        <wps:cNvSpPr/>
                        <wps:spPr>
                          <a:xfrm>
                            <a:off x="7138"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0" name="椭圆 433"/>
                        <wps:cNvSpPr/>
                        <wps:spPr>
                          <a:xfrm>
                            <a:off x="7399"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1" name="椭圆 434"/>
                        <wps:cNvSpPr/>
                        <wps:spPr>
                          <a:xfrm>
                            <a:off x="7660"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2" name="椭圆 435"/>
                        <wps:cNvSpPr/>
                        <wps:spPr>
                          <a:xfrm>
                            <a:off x="8182"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3" name="椭圆 436"/>
                        <wps:cNvSpPr/>
                        <wps:spPr>
                          <a:xfrm>
                            <a:off x="8704"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4" name="椭圆 437"/>
                        <wps:cNvSpPr/>
                        <wps:spPr>
                          <a:xfrm>
                            <a:off x="8965" y="6105"/>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5" name="椭圆 438"/>
                        <wps:cNvSpPr/>
                        <wps:spPr>
                          <a:xfrm>
                            <a:off x="9227" y="6105"/>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36" name="椭圆 439"/>
                        <wps:cNvSpPr/>
                        <wps:spPr>
                          <a:xfrm>
                            <a:off x="4516" y="660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37" name="椭圆 440"/>
                        <wps:cNvSpPr/>
                        <wps:spPr>
                          <a:xfrm>
                            <a:off x="5324" y="6606"/>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38" name="椭圆 441"/>
                        <wps:cNvSpPr/>
                        <wps:spPr>
                          <a:xfrm>
                            <a:off x="6107" y="6606"/>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39" name="椭圆 442"/>
                        <wps:cNvSpPr/>
                        <wps:spPr>
                          <a:xfrm>
                            <a:off x="4516" y="7257"/>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40" name="椭圆 443"/>
                        <wps:cNvSpPr/>
                        <wps:spPr>
                          <a:xfrm>
                            <a:off x="4516" y="7908"/>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41" name="椭圆 444"/>
                        <wps:cNvSpPr/>
                        <wps:spPr>
                          <a:xfrm>
                            <a:off x="4516" y="8559"/>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42" name="椭圆 445"/>
                        <wps:cNvSpPr/>
                        <wps:spPr>
                          <a:xfrm>
                            <a:off x="4516" y="9211"/>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43" name="椭圆 446"/>
                        <wps:cNvSpPr/>
                        <wps:spPr>
                          <a:xfrm>
                            <a:off x="4976" y="693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44" name="椭圆 447"/>
                        <wps:cNvSpPr/>
                        <wps:spPr>
                          <a:xfrm>
                            <a:off x="4976" y="7584"/>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45" name="椭圆 448"/>
                        <wps:cNvSpPr/>
                        <wps:spPr>
                          <a:xfrm>
                            <a:off x="4976" y="823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46" name="椭圆 449"/>
                        <wps:cNvSpPr/>
                        <wps:spPr>
                          <a:xfrm>
                            <a:off x="4976" y="888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47" name="椭圆 450"/>
                        <wps:cNvSpPr/>
                        <wps:spPr>
                          <a:xfrm>
                            <a:off x="5324" y="660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48" name="椭圆 451"/>
                        <wps:cNvSpPr/>
                        <wps:spPr>
                          <a:xfrm>
                            <a:off x="5324" y="7257"/>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49" name="椭圆 452"/>
                        <wps:cNvSpPr/>
                        <wps:spPr>
                          <a:xfrm>
                            <a:off x="5324" y="7908"/>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50" name="椭圆 453"/>
                        <wps:cNvSpPr/>
                        <wps:spPr>
                          <a:xfrm>
                            <a:off x="5324" y="8559"/>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51" name="椭圆 454"/>
                        <wps:cNvSpPr/>
                        <wps:spPr>
                          <a:xfrm>
                            <a:off x="5324" y="9211"/>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52" name="椭圆 455"/>
                        <wps:cNvSpPr/>
                        <wps:spPr>
                          <a:xfrm>
                            <a:off x="5747" y="693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53" name="椭圆 456"/>
                        <wps:cNvSpPr/>
                        <wps:spPr>
                          <a:xfrm>
                            <a:off x="5747" y="7584"/>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54" name="椭圆 457"/>
                        <wps:cNvSpPr/>
                        <wps:spPr>
                          <a:xfrm>
                            <a:off x="5747" y="823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55" name="椭圆 458"/>
                        <wps:cNvSpPr/>
                        <wps:spPr>
                          <a:xfrm>
                            <a:off x="5747" y="888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56" name="椭圆 459"/>
                        <wps:cNvSpPr/>
                        <wps:spPr>
                          <a:xfrm>
                            <a:off x="6107" y="7127"/>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57" name="椭圆 460"/>
                        <wps:cNvSpPr/>
                        <wps:spPr>
                          <a:xfrm>
                            <a:off x="6107" y="7649"/>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58" name="椭圆 461"/>
                        <wps:cNvSpPr/>
                        <wps:spPr>
                          <a:xfrm>
                            <a:off x="6107" y="8170"/>
                            <a:ext cx="74" cy="66"/>
                          </a:xfrm>
                          <a:prstGeom prst="ellipse">
                            <a:avLst/>
                          </a:prstGeom>
                          <a:noFill/>
                          <a:ln w="6350" cap="flat" cmpd="sng">
                            <a:solidFill>
                              <a:srgbClr val="000000"/>
                            </a:solidFill>
                            <a:prstDash val="solid"/>
                            <a:headEnd type="none" w="med" len="med"/>
                            <a:tailEnd type="none" w="med" len="med"/>
                          </a:ln>
                          <a:effectLst/>
                        </wps:spPr>
                        <wps:bodyPr upright="1"/>
                      </wps:wsp>
                      <wps:wsp>
                        <wps:cNvPr id="1759" name="椭圆 462"/>
                        <wps:cNvSpPr/>
                        <wps:spPr>
                          <a:xfrm>
                            <a:off x="6107" y="8692"/>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60" name="椭圆 463"/>
                        <wps:cNvSpPr/>
                        <wps:spPr>
                          <a:xfrm>
                            <a:off x="6107" y="9214"/>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61" name="椭圆 464"/>
                        <wps:cNvSpPr/>
                        <wps:spPr>
                          <a:xfrm>
                            <a:off x="7411" y="660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62" name="椭圆 465"/>
                        <wps:cNvSpPr/>
                        <wps:spPr>
                          <a:xfrm>
                            <a:off x="8219" y="6606"/>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63" name="椭圆 466"/>
                        <wps:cNvSpPr/>
                        <wps:spPr>
                          <a:xfrm>
                            <a:off x="9002" y="660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64" name="椭圆 467"/>
                        <wps:cNvSpPr/>
                        <wps:spPr>
                          <a:xfrm>
                            <a:off x="7411" y="7257"/>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65" name="椭圆 468"/>
                        <wps:cNvSpPr/>
                        <wps:spPr>
                          <a:xfrm>
                            <a:off x="7411" y="7908"/>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66" name="椭圆 469"/>
                        <wps:cNvSpPr/>
                        <wps:spPr>
                          <a:xfrm>
                            <a:off x="7411" y="8559"/>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67" name="椭圆 470"/>
                        <wps:cNvSpPr/>
                        <wps:spPr>
                          <a:xfrm>
                            <a:off x="7411" y="9211"/>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68" name="椭圆 471"/>
                        <wps:cNvSpPr/>
                        <wps:spPr>
                          <a:xfrm>
                            <a:off x="7871" y="693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69" name="椭圆 472"/>
                        <wps:cNvSpPr/>
                        <wps:spPr>
                          <a:xfrm>
                            <a:off x="7871" y="7584"/>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70" name="椭圆 473"/>
                        <wps:cNvSpPr/>
                        <wps:spPr>
                          <a:xfrm>
                            <a:off x="7871" y="823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71" name="椭圆 474"/>
                        <wps:cNvSpPr/>
                        <wps:spPr>
                          <a:xfrm>
                            <a:off x="7871" y="888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72" name="椭圆 475"/>
                        <wps:cNvSpPr/>
                        <wps:spPr>
                          <a:xfrm>
                            <a:off x="8220" y="6606"/>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73" name="椭圆 476"/>
                        <wps:cNvSpPr/>
                        <wps:spPr>
                          <a:xfrm>
                            <a:off x="8220" y="7257"/>
                            <a:ext cx="74" cy="66"/>
                          </a:xfrm>
                          <a:prstGeom prst="ellipse">
                            <a:avLst/>
                          </a:prstGeom>
                          <a:noFill/>
                          <a:ln w="6350" cap="flat" cmpd="sng">
                            <a:solidFill>
                              <a:srgbClr val="000000"/>
                            </a:solidFill>
                            <a:prstDash val="solid"/>
                            <a:headEnd type="none" w="med" len="med"/>
                            <a:tailEnd type="none" w="med" len="med"/>
                          </a:ln>
                          <a:effectLst/>
                        </wps:spPr>
                        <wps:bodyPr upright="1"/>
                      </wps:wsp>
                      <wps:wsp>
                        <wps:cNvPr id="1774" name="椭圆 477"/>
                        <wps:cNvSpPr/>
                        <wps:spPr>
                          <a:xfrm>
                            <a:off x="8220" y="7908"/>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75" name="椭圆 478"/>
                        <wps:cNvSpPr/>
                        <wps:spPr>
                          <a:xfrm>
                            <a:off x="8220" y="8559"/>
                            <a:ext cx="74" cy="66"/>
                          </a:xfrm>
                          <a:prstGeom prst="ellipse">
                            <a:avLst/>
                          </a:prstGeom>
                          <a:noFill/>
                          <a:ln w="6350" cap="flat" cmpd="sng">
                            <a:solidFill>
                              <a:srgbClr val="000000"/>
                            </a:solidFill>
                            <a:prstDash val="solid"/>
                            <a:headEnd type="none" w="med" len="med"/>
                            <a:tailEnd type="none" w="med" len="med"/>
                          </a:ln>
                          <a:effectLst/>
                        </wps:spPr>
                        <wps:bodyPr upright="1"/>
                      </wps:wsp>
                      <wps:wsp>
                        <wps:cNvPr id="1776" name="椭圆 479"/>
                        <wps:cNvSpPr/>
                        <wps:spPr>
                          <a:xfrm>
                            <a:off x="8220" y="9211"/>
                            <a:ext cx="74" cy="65"/>
                          </a:xfrm>
                          <a:prstGeom prst="ellipse">
                            <a:avLst/>
                          </a:prstGeom>
                          <a:noFill/>
                          <a:ln w="6350" cap="flat" cmpd="sng">
                            <a:solidFill>
                              <a:srgbClr val="000000"/>
                            </a:solidFill>
                            <a:prstDash val="solid"/>
                            <a:headEnd type="none" w="med" len="med"/>
                            <a:tailEnd type="none" w="med" len="med"/>
                          </a:ln>
                          <a:effectLst/>
                        </wps:spPr>
                        <wps:bodyPr upright="1"/>
                      </wps:wsp>
                      <wps:wsp>
                        <wps:cNvPr id="1777" name="椭圆 480"/>
                        <wps:cNvSpPr/>
                        <wps:spPr>
                          <a:xfrm>
                            <a:off x="8642" y="6933"/>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78" name="椭圆 481"/>
                        <wps:cNvSpPr/>
                        <wps:spPr>
                          <a:xfrm>
                            <a:off x="8642" y="7584"/>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79" name="椭圆 482"/>
                        <wps:cNvSpPr/>
                        <wps:spPr>
                          <a:xfrm>
                            <a:off x="8642" y="823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80" name="椭圆 483"/>
                        <wps:cNvSpPr/>
                        <wps:spPr>
                          <a:xfrm>
                            <a:off x="8642" y="8886"/>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81" name="椭圆 484"/>
                        <wps:cNvSpPr/>
                        <wps:spPr>
                          <a:xfrm>
                            <a:off x="9002" y="7127"/>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82" name="椭圆 485"/>
                        <wps:cNvSpPr/>
                        <wps:spPr>
                          <a:xfrm>
                            <a:off x="9002" y="7649"/>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83" name="椭圆 486"/>
                        <wps:cNvSpPr/>
                        <wps:spPr>
                          <a:xfrm>
                            <a:off x="9002" y="8170"/>
                            <a:ext cx="75" cy="66"/>
                          </a:xfrm>
                          <a:prstGeom prst="ellipse">
                            <a:avLst/>
                          </a:prstGeom>
                          <a:noFill/>
                          <a:ln w="6350" cap="flat" cmpd="sng">
                            <a:solidFill>
                              <a:srgbClr val="000000"/>
                            </a:solidFill>
                            <a:prstDash val="solid"/>
                            <a:headEnd type="none" w="med" len="med"/>
                            <a:tailEnd type="none" w="med" len="med"/>
                          </a:ln>
                          <a:effectLst/>
                        </wps:spPr>
                        <wps:bodyPr upright="1"/>
                      </wps:wsp>
                      <wps:wsp>
                        <wps:cNvPr id="1784" name="椭圆 487"/>
                        <wps:cNvSpPr/>
                        <wps:spPr>
                          <a:xfrm>
                            <a:off x="9002" y="8692"/>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85" name="椭圆 488"/>
                        <wps:cNvSpPr/>
                        <wps:spPr>
                          <a:xfrm>
                            <a:off x="9002" y="9214"/>
                            <a:ext cx="75" cy="65"/>
                          </a:xfrm>
                          <a:prstGeom prst="ellipse">
                            <a:avLst/>
                          </a:prstGeom>
                          <a:noFill/>
                          <a:ln w="6350" cap="flat" cmpd="sng">
                            <a:solidFill>
                              <a:srgbClr val="000000"/>
                            </a:solidFill>
                            <a:prstDash val="solid"/>
                            <a:headEnd type="none" w="med" len="med"/>
                            <a:tailEnd type="none" w="med" len="med"/>
                          </a:ln>
                          <a:effectLst/>
                        </wps:spPr>
                        <wps:bodyPr upright="1"/>
                      </wps:wsp>
                      <wps:wsp>
                        <wps:cNvPr id="1786" name="直线 489"/>
                        <wps:cNvCnPr/>
                        <wps:spPr>
                          <a:xfrm flipH="1">
                            <a:off x="4314" y="7285"/>
                            <a:ext cx="178" cy="1"/>
                          </a:xfrm>
                          <a:prstGeom prst="line">
                            <a:avLst/>
                          </a:prstGeom>
                          <a:ln w="6350" cap="flat" cmpd="sng">
                            <a:solidFill>
                              <a:srgbClr val="000000"/>
                            </a:solidFill>
                            <a:prstDash val="solid"/>
                            <a:headEnd type="none" w="med" len="med"/>
                            <a:tailEnd type="none" w="med" len="med"/>
                          </a:ln>
                          <a:effectLst/>
                        </wps:spPr>
                        <wps:bodyPr upright="1"/>
                      </wps:wsp>
                      <wps:wsp>
                        <wps:cNvPr id="1787" name="直线 490"/>
                        <wps:cNvCnPr/>
                        <wps:spPr>
                          <a:xfrm flipH="1">
                            <a:off x="4314" y="7947"/>
                            <a:ext cx="178" cy="1"/>
                          </a:xfrm>
                          <a:prstGeom prst="line">
                            <a:avLst/>
                          </a:prstGeom>
                          <a:ln w="6350" cap="flat" cmpd="sng">
                            <a:solidFill>
                              <a:srgbClr val="000000"/>
                            </a:solidFill>
                            <a:prstDash val="solid"/>
                            <a:headEnd type="none" w="med" len="med"/>
                            <a:tailEnd type="none" w="med" len="med"/>
                          </a:ln>
                          <a:effectLst/>
                        </wps:spPr>
                        <wps:bodyPr upright="1"/>
                      </wps:wsp>
                      <wps:wsp>
                        <wps:cNvPr id="1788" name="直线 491"/>
                        <wps:cNvCnPr/>
                        <wps:spPr>
                          <a:xfrm flipH="1">
                            <a:off x="4314" y="8589"/>
                            <a:ext cx="178" cy="1"/>
                          </a:xfrm>
                          <a:prstGeom prst="line">
                            <a:avLst/>
                          </a:prstGeom>
                          <a:ln w="6350" cap="flat" cmpd="sng">
                            <a:solidFill>
                              <a:srgbClr val="000000"/>
                            </a:solidFill>
                            <a:prstDash val="solid"/>
                            <a:headEnd type="none" w="med" len="med"/>
                            <a:tailEnd type="none" w="med" len="med"/>
                          </a:ln>
                          <a:effectLst/>
                        </wps:spPr>
                        <wps:bodyPr upright="1"/>
                      </wps:wsp>
                      <wps:wsp>
                        <wps:cNvPr id="1789" name="直线 492"/>
                        <wps:cNvCnPr/>
                        <wps:spPr>
                          <a:xfrm>
                            <a:off x="4477" y="7285"/>
                            <a:ext cx="1" cy="662"/>
                          </a:xfrm>
                          <a:prstGeom prst="line">
                            <a:avLst/>
                          </a:prstGeom>
                          <a:ln w="6350" cap="flat" cmpd="sng">
                            <a:solidFill>
                              <a:srgbClr val="000000"/>
                            </a:solidFill>
                            <a:prstDash val="solid"/>
                            <a:headEnd type="stealth" w="sm" len="lg"/>
                            <a:tailEnd type="stealth" w="sm" len="lg"/>
                          </a:ln>
                          <a:effectLst/>
                        </wps:spPr>
                        <wps:bodyPr upright="1"/>
                      </wps:wsp>
                      <wps:wsp>
                        <wps:cNvPr id="1790" name="直线 493"/>
                        <wps:cNvCnPr/>
                        <wps:spPr>
                          <a:xfrm>
                            <a:off x="4477" y="7947"/>
                            <a:ext cx="1" cy="642"/>
                          </a:xfrm>
                          <a:prstGeom prst="line">
                            <a:avLst/>
                          </a:prstGeom>
                          <a:ln w="6350" cap="flat" cmpd="sng">
                            <a:solidFill>
                              <a:srgbClr val="000000"/>
                            </a:solidFill>
                            <a:prstDash val="solid"/>
                            <a:headEnd type="stealth" w="sm" len="lg"/>
                            <a:tailEnd type="stealth" w="sm" len="lg"/>
                          </a:ln>
                          <a:effectLst/>
                        </wps:spPr>
                        <wps:bodyPr upright="1"/>
                      </wps:wsp>
                      <wps:wsp>
                        <wps:cNvPr id="1791" name="直线 494"/>
                        <wps:cNvCnPr/>
                        <wps:spPr>
                          <a:xfrm flipV="1">
                            <a:off x="4566" y="7086"/>
                            <a:ext cx="1" cy="175"/>
                          </a:xfrm>
                          <a:prstGeom prst="line">
                            <a:avLst/>
                          </a:prstGeom>
                          <a:ln w="6350" cap="flat" cmpd="sng">
                            <a:solidFill>
                              <a:srgbClr val="000000"/>
                            </a:solidFill>
                            <a:prstDash val="solid"/>
                            <a:headEnd type="none" w="med" len="med"/>
                            <a:tailEnd type="none" w="med" len="med"/>
                          </a:ln>
                          <a:effectLst/>
                        </wps:spPr>
                        <wps:bodyPr upright="1"/>
                      </wps:wsp>
                      <wps:wsp>
                        <wps:cNvPr id="1792" name="直线 495"/>
                        <wps:cNvCnPr/>
                        <wps:spPr>
                          <a:xfrm>
                            <a:off x="4065" y="7137"/>
                            <a:ext cx="249" cy="1"/>
                          </a:xfrm>
                          <a:prstGeom prst="line">
                            <a:avLst/>
                          </a:prstGeom>
                          <a:ln w="6350" cap="flat" cmpd="sng">
                            <a:solidFill>
                              <a:srgbClr val="000000"/>
                            </a:solidFill>
                            <a:prstDash val="solid"/>
                            <a:headEnd type="none" w="med" len="med"/>
                            <a:tailEnd type="stealth" w="sm" len="lg"/>
                          </a:ln>
                          <a:effectLst/>
                        </wps:spPr>
                        <wps:bodyPr upright="1"/>
                      </wps:wsp>
                      <wps:wsp>
                        <wps:cNvPr id="1793" name="直线 496"/>
                        <wps:cNvCnPr/>
                        <wps:spPr>
                          <a:xfrm>
                            <a:off x="4566" y="7137"/>
                            <a:ext cx="260" cy="1"/>
                          </a:xfrm>
                          <a:prstGeom prst="line">
                            <a:avLst/>
                          </a:prstGeom>
                          <a:ln w="6350" cap="flat" cmpd="sng">
                            <a:solidFill>
                              <a:srgbClr val="000000"/>
                            </a:solidFill>
                            <a:prstDash val="solid"/>
                            <a:headEnd type="stealth" w="sm" len="lg"/>
                            <a:tailEnd type="none" w="sm" len="lg"/>
                          </a:ln>
                          <a:effectLst/>
                        </wps:spPr>
                        <wps:bodyPr upright="1"/>
                      </wps:wsp>
                      <wps:wsp>
                        <wps:cNvPr id="1794" name="直线 497"/>
                        <wps:cNvCnPr/>
                        <wps:spPr>
                          <a:xfrm>
                            <a:off x="4550" y="7326"/>
                            <a:ext cx="1" cy="258"/>
                          </a:xfrm>
                          <a:prstGeom prst="line">
                            <a:avLst/>
                          </a:prstGeom>
                          <a:ln w="6350" cap="flat" cmpd="sng">
                            <a:solidFill>
                              <a:srgbClr val="000000"/>
                            </a:solidFill>
                            <a:prstDash val="solid"/>
                            <a:headEnd type="none" w="med" len="med"/>
                            <a:tailEnd type="none" w="med" len="med"/>
                          </a:ln>
                          <a:effectLst/>
                        </wps:spPr>
                        <wps:bodyPr upright="1"/>
                      </wps:wsp>
                      <wps:wsp>
                        <wps:cNvPr id="1795" name="直线 498"/>
                        <wps:cNvCnPr/>
                        <wps:spPr>
                          <a:xfrm flipV="1">
                            <a:off x="5013" y="7323"/>
                            <a:ext cx="1" cy="261"/>
                          </a:xfrm>
                          <a:prstGeom prst="line">
                            <a:avLst/>
                          </a:prstGeom>
                          <a:ln w="6350" cap="flat" cmpd="sng">
                            <a:solidFill>
                              <a:srgbClr val="000000"/>
                            </a:solidFill>
                            <a:prstDash val="solid"/>
                            <a:headEnd type="none" w="med" len="med"/>
                            <a:tailEnd type="none" w="med" len="med"/>
                          </a:ln>
                          <a:effectLst/>
                        </wps:spPr>
                        <wps:bodyPr upright="1"/>
                      </wps:wsp>
                      <wps:wsp>
                        <wps:cNvPr id="1796" name="直线 499"/>
                        <wps:cNvCnPr/>
                        <wps:spPr>
                          <a:xfrm>
                            <a:off x="4550" y="7455"/>
                            <a:ext cx="463" cy="1"/>
                          </a:xfrm>
                          <a:prstGeom prst="line">
                            <a:avLst/>
                          </a:prstGeom>
                          <a:ln w="6350" cap="flat" cmpd="sng">
                            <a:solidFill>
                              <a:srgbClr val="000000"/>
                            </a:solidFill>
                            <a:prstDash val="solid"/>
                            <a:headEnd type="none" w="med" len="med"/>
                            <a:tailEnd type="none" w="med" len="med"/>
                          </a:ln>
                          <a:effectLst/>
                        </wps:spPr>
                        <wps:bodyPr upright="1"/>
                      </wps:wsp>
                      <wps:wsp>
                        <wps:cNvPr id="1797" name="直线 500"/>
                        <wps:cNvCnPr/>
                        <wps:spPr>
                          <a:xfrm>
                            <a:off x="6181" y="7692"/>
                            <a:ext cx="335" cy="1"/>
                          </a:xfrm>
                          <a:prstGeom prst="line">
                            <a:avLst/>
                          </a:prstGeom>
                          <a:ln w="6350" cap="flat" cmpd="sng">
                            <a:solidFill>
                              <a:srgbClr val="000000"/>
                            </a:solidFill>
                            <a:prstDash val="solid"/>
                            <a:headEnd type="none" w="med" len="med"/>
                            <a:tailEnd type="none" w="med" len="med"/>
                          </a:ln>
                          <a:effectLst/>
                        </wps:spPr>
                        <wps:bodyPr upright="1"/>
                      </wps:wsp>
                      <wps:wsp>
                        <wps:cNvPr id="1798" name="直线 501"/>
                        <wps:cNvCnPr/>
                        <wps:spPr>
                          <a:xfrm>
                            <a:off x="6181" y="8214"/>
                            <a:ext cx="335" cy="1"/>
                          </a:xfrm>
                          <a:prstGeom prst="line">
                            <a:avLst/>
                          </a:prstGeom>
                          <a:ln w="6350" cap="flat" cmpd="sng">
                            <a:solidFill>
                              <a:srgbClr val="000000"/>
                            </a:solidFill>
                            <a:prstDash val="solid"/>
                            <a:headEnd type="none" w="med" len="med"/>
                            <a:tailEnd type="none" w="med" len="med"/>
                          </a:ln>
                          <a:effectLst/>
                        </wps:spPr>
                        <wps:bodyPr upright="1"/>
                      </wps:wsp>
                      <wps:wsp>
                        <wps:cNvPr id="1799" name="直线 502"/>
                        <wps:cNvCnPr/>
                        <wps:spPr>
                          <a:xfrm>
                            <a:off x="6377" y="7692"/>
                            <a:ext cx="1" cy="522"/>
                          </a:xfrm>
                          <a:prstGeom prst="line">
                            <a:avLst/>
                          </a:prstGeom>
                          <a:ln w="6350" cap="flat" cmpd="sng">
                            <a:solidFill>
                              <a:srgbClr val="000000"/>
                            </a:solidFill>
                            <a:prstDash val="solid"/>
                            <a:headEnd type="stealth" w="sm" len="lg"/>
                            <a:tailEnd type="stealth" w="sm" len="lg"/>
                          </a:ln>
                          <a:effectLst/>
                        </wps:spPr>
                        <wps:bodyPr upright="1"/>
                      </wps:wsp>
                      <wps:wsp>
                        <wps:cNvPr id="1800" name="文本框 503"/>
                        <wps:cNvSpPr txBox="1"/>
                        <wps:spPr>
                          <a:xfrm>
                            <a:off x="9064" y="7801"/>
                            <a:ext cx="287" cy="273"/>
                          </a:xfrm>
                          <a:prstGeom prst="rect">
                            <a:avLst/>
                          </a:prstGeom>
                          <a:noFill/>
                          <a:ln w="6350">
                            <a:noFill/>
                          </a:ln>
                          <a:effectLst/>
                        </wps:spPr>
                        <wps:txbx>
                          <w:txbxContent>
                            <w:p w14:paraId="677406B4">
                              <w:pPr>
                                <w:pStyle w:val="33"/>
                                <w:tabs>
                                  <w:tab w:val="clear" w:pos="4153"/>
                                  <w:tab w:val="clear" w:pos="8306"/>
                                </w:tabs>
                                <w:snapToGrid/>
                                <w:spacing w:line="240" w:lineRule="exact"/>
                                <w:rPr>
                                  <w:rFonts w:ascii="宋体" w:hAnsi="宋体"/>
                                  <w:szCs w:val="24"/>
                                </w:rPr>
                              </w:pPr>
                              <w:r>
                                <w:rPr>
                                  <w:rFonts w:ascii="宋体" w:hAnsi="宋体"/>
                                  <w:szCs w:val="24"/>
                                </w:rPr>
                                <w:t>2b</w:t>
                              </w:r>
                            </w:p>
                          </w:txbxContent>
                        </wps:txbx>
                        <wps:bodyPr lIns="0" tIns="0" rIns="0" bIns="0" upright="1"/>
                      </wps:wsp>
                      <wps:wsp>
                        <wps:cNvPr id="1801" name="直线 504"/>
                        <wps:cNvCnPr/>
                        <wps:spPr>
                          <a:xfrm>
                            <a:off x="9114" y="7682"/>
                            <a:ext cx="335" cy="1"/>
                          </a:xfrm>
                          <a:prstGeom prst="line">
                            <a:avLst/>
                          </a:prstGeom>
                          <a:ln w="6350" cap="flat" cmpd="sng">
                            <a:solidFill>
                              <a:srgbClr val="000000"/>
                            </a:solidFill>
                            <a:prstDash val="solid"/>
                            <a:headEnd type="none" w="med" len="med"/>
                            <a:tailEnd type="none" w="med" len="med"/>
                          </a:ln>
                          <a:effectLst/>
                        </wps:spPr>
                        <wps:bodyPr upright="1"/>
                      </wps:wsp>
                      <wps:wsp>
                        <wps:cNvPr id="1802" name="直线 505"/>
                        <wps:cNvCnPr/>
                        <wps:spPr>
                          <a:xfrm>
                            <a:off x="9114" y="8202"/>
                            <a:ext cx="335" cy="1"/>
                          </a:xfrm>
                          <a:prstGeom prst="line">
                            <a:avLst/>
                          </a:prstGeom>
                          <a:ln w="6350" cap="flat" cmpd="sng">
                            <a:solidFill>
                              <a:srgbClr val="000000"/>
                            </a:solidFill>
                            <a:prstDash val="solid"/>
                            <a:headEnd type="none" w="med" len="med"/>
                            <a:tailEnd type="none" w="med" len="med"/>
                          </a:ln>
                          <a:effectLst/>
                        </wps:spPr>
                        <wps:bodyPr upright="1"/>
                      </wps:wsp>
                      <wps:wsp>
                        <wps:cNvPr id="1803" name="直线 506"/>
                        <wps:cNvCnPr/>
                        <wps:spPr>
                          <a:xfrm>
                            <a:off x="9309" y="7682"/>
                            <a:ext cx="1" cy="520"/>
                          </a:xfrm>
                          <a:prstGeom prst="line">
                            <a:avLst/>
                          </a:prstGeom>
                          <a:ln w="6350" cap="flat" cmpd="sng">
                            <a:solidFill>
                              <a:srgbClr val="000000"/>
                            </a:solidFill>
                            <a:prstDash val="solid"/>
                            <a:headEnd type="stealth" w="sm" len="lg"/>
                            <a:tailEnd type="stealth" w="sm" len="lg"/>
                          </a:ln>
                          <a:effectLst/>
                        </wps:spPr>
                        <wps:bodyPr upright="1"/>
                      </wps:wsp>
                      <wps:wsp>
                        <wps:cNvPr id="1804" name="直线 507"/>
                        <wps:cNvCnPr/>
                        <wps:spPr>
                          <a:xfrm>
                            <a:off x="6654" y="6530"/>
                            <a:ext cx="1" cy="2833"/>
                          </a:xfrm>
                          <a:prstGeom prst="line">
                            <a:avLst/>
                          </a:prstGeom>
                          <a:ln w="6350" cap="flat" cmpd="sng">
                            <a:solidFill>
                              <a:srgbClr val="000000"/>
                            </a:solidFill>
                            <a:prstDash val="solid"/>
                            <a:headEnd type="none" w="med" len="med"/>
                            <a:tailEnd type="none" w="med" len="med"/>
                          </a:ln>
                          <a:effectLst/>
                        </wps:spPr>
                        <wps:bodyPr upright="1"/>
                      </wps:wsp>
                      <wps:wsp>
                        <wps:cNvPr id="1805" name="直线 508"/>
                        <wps:cNvCnPr/>
                        <wps:spPr>
                          <a:xfrm>
                            <a:off x="4327" y="6519"/>
                            <a:ext cx="1" cy="2834"/>
                          </a:xfrm>
                          <a:prstGeom prst="line">
                            <a:avLst/>
                          </a:prstGeom>
                          <a:ln w="6350" cap="flat" cmpd="sng">
                            <a:solidFill>
                              <a:srgbClr val="000000"/>
                            </a:solidFill>
                            <a:prstDash val="solid"/>
                            <a:headEnd type="none" w="med" len="med"/>
                            <a:tailEnd type="none" w="med" len="med"/>
                          </a:ln>
                          <a:effectLst/>
                        </wps:spPr>
                        <wps:bodyPr upright="1"/>
                      </wps:wsp>
                    </wpg:wgp>
                  </a:graphicData>
                </a:graphic>
              </wp:anchor>
            </w:drawing>
          </mc:Choice>
          <mc:Fallback>
            <w:pict>
              <v:group id="组合 303" o:spid="_x0000_s1026" o:spt="203" style="position:absolute;left:0pt;margin-left:36pt;margin-top:22.95pt;height:148.2pt;width:314.85pt;z-index:251686912;mso-width-relative:page;mso-height-relative:page;" coordorigin="2654,6105" coordsize="7045,3683" o:gfxdata="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">
                <o:lock v:ext="edit" aspectratio="f"/>
                <v:shape id="文本框 304" o:spid="_x0000_s1026" o:spt="202" type="#_x0000_t202" style="position:absolute;left:7537;top:7210;height:271;width:286;" filled="f" stroked="f" coordsize="21600,21600" o:gfxdata="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Zpm/vQAA&#10;AN0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14:paraId="51E76250">
                        <w:pPr>
                          <w:pStyle w:val="33"/>
                          <w:tabs>
                            <w:tab w:val="clear" w:pos="4153"/>
                            <w:tab w:val="clear" w:pos="8306"/>
                          </w:tabs>
                          <w:snapToGrid/>
                          <w:spacing w:line="240" w:lineRule="exact"/>
                          <w:rPr>
                            <w:rFonts w:hAnsi="宋体"/>
                            <w:szCs w:val="24"/>
                          </w:rPr>
                        </w:pPr>
                        <w:r>
                          <w:rPr>
                            <w:rFonts w:hAnsi="宋体"/>
                            <w:szCs w:val="24"/>
                          </w:rPr>
                          <w:t>b</w:t>
                        </w:r>
                      </w:p>
                    </w:txbxContent>
                  </v:textbox>
                </v:shape>
                <v:shape id="文本框 305" o:spid="_x0000_s1026" o:spt="202" type="#_x0000_t202" style="position:absolute;left:7421;top:6879;height:273;width:287;" filled="f" stroked="f" coordsize="21600,21600" o:gfxdata="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7QHyL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671A7723">
                        <w:pPr>
                          <w:spacing w:line="240" w:lineRule="exact"/>
                          <w:jc w:val="center"/>
                          <w:rPr>
                            <w:rFonts w:ascii="宋体" w:hAnsi="宋体"/>
                            <w:sz w:val="18"/>
                          </w:rPr>
                        </w:pPr>
                        <w:r>
                          <w:rPr>
                            <w:rFonts w:ascii="宋体" w:hAnsi="宋体"/>
                            <w:sz w:val="18"/>
                          </w:rPr>
                          <w:t>w</w:t>
                        </w:r>
                        <w:r>
                          <w:rPr>
                            <w:rFonts w:ascii="宋体" w:hAnsi="宋体"/>
                            <w:sz w:val="18"/>
                            <w:vertAlign w:val="subscript"/>
                          </w:rPr>
                          <w:t>1</w:t>
                        </w:r>
                      </w:p>
                    </w:txbxContent>
                  </v:textbox>
                </v:shape>
                <v:shape id="文本框 306" o:spid="_x0000_s1026" o:spt="202" type="#_x0000_t202" style="position:absolute;left:6825;top:8068;height:412;width:604;" filled="f" stroked="f" coordsize="21600,21600" o:gfxdata="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DgYsbsAAADd&#10;AAAADwAAAAAAAAABACAAAAAiAAAAZHJzL2Rvd25yZXYueG1sUEsBAhQAFAAAAAgAh07iQDMvBZ47&#10;AAAAOQAAABAAAAAAAAAAAQAgAAAACgEAAGRycy9zaGFwZXhtbC54bWxQSwUGAAAAAAYABgBbAQAA&#10;tAMAAAAA&#10;">
                  <v:fill on="f" focussize="0,0"/>
                  <v:stroke on="f" weight="0.5pt"/>
                  <v:imagedata o:title=""/>
                  <o:lock v:ext="edit" aspectratio="f"/>
                  <v:textbox inset="0mm,0mm,0mm,0mm" style="layout-flow:vertical-ideographic;">
                    <w:txbxContent>
                      <w:p w14:paraId="531A47CE">
                        <w:pPr>
                          <w:spacing w:line="440" w:lineRule="exact"/>
                          <w:jc w:val="center"/>
                          <w:rPr>
                            <w:rFonts w:ascii="宋体" w:hAnsi="宋体"/>
                            <w:sz w:val="18"/>
                          </w:rPr>
                        </w:pPr>
                        <w:r>
                          <w:rPr>
                            <w:rFonts w:ascii="宋体" w:hAnsi="宋体"/>
                            <w:sz w:val="18"/>
                          </w:rPr>
                          <w:t>a=3b</w:t>
                        </w:r>
                      </w:p>
                    </w:txbxContent>
                  </v:textbox>
                </v:shape>
                <v:shape id="文本框 307" o:spid="_x0000_s1026" o:spt="202" type="#_x0000_t202" style="position:absolute;left:7101;top:7407;height:413;width:286;" filled="f" stroked="f" coordsize="21600,21600" o:gfxdata="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9GAxbsAAADd&#10;AAAADwAAAAAAAAABACAAAAAiAAAAZHJzL2Rvd25yZXYueG1sUEsBAhQAFAAAAAgAh07iQDMvBZ47&#10;AAAAOQAAABAAAAAAAAAAAQAgAAAACgEAAGRycy9zaGFwZXhtbC54bWxQSwUGAAAAAAYABgBbAQAA&#10;tAMAAAAA&#10;">
                  <v:fill on="f" focussize="0,0"/>
                  <v:stroke on="f" weight="0.5pt"/>
                  <v:imagedata o:title=""/>
                  <o:lock v:ext="edit" aspectratio="f"/>
                  <v:textbox inset="0mm,0mm,0mm,0mm" style="layout-flow:vertical-ideographic;">
                    <w:txbxContent>
                      <w:p w14:paraId="1D9EC47F">
                        <w:pPr>
                          <w:pStyle w:val="33"/>
                          <w:tabs>
                            <w:tab w:val="clear" w:pos="4153"/>
                            <w:tab w:val="clear" w:pos="8306"/>
                          </w:tabs>
                          <w:snapToGrid/>
                          <w:spacing w:line="400" w:lineRule="exact"/>
                          <w:rPr>
                            <w:rFonts w:ascii="宋体" w:hAnsi="宋体"/>
                            <w:szCs w:val="24"/>
                          </w:rPr>
                        </w:pPr>
                        <w:r>
                          <w:rPr>
                            <w:rFonts w:ascii="宋体" w:hAnsi="宋体"/>
                            <w:szCs w:val="24"/>
                          </w:rPr>
                          <w:t>a=3b</w:t>
                        </w:r>
                      </w:p>
                    </w:txbxContent>
                  </v:textbox>
                </v:shape>
                <v:line id="直线 308" o:spid="_x0000_s1026" o:spt="20" style="position:absolute;left:7135;top:7282;flip:x;height:1;width:178;" filled="f" stroked="t" coordsize="21600,21600" o:gfxdata="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SLVx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309" o:spid="_x0000_s1026" o:spt="20" style="position:absolute;left:7135;top:7943;flip:x;height:1;width:178;" filled="f" stroked="t" coordsize="21600,21600" o:gfxdata="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qKJV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310" o:spid="_x0000_s1026" o:spt="20" style="position:absolute;left:7135;top:8586;flip:x;height:1;width:178;" filled="f" stroked="t" coordsize="21600,21600" o:gfxdata="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sRI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311" o:spid="_x0000_s1026" o:spt="20" style="position:absolute;left:7298;top:7282;height:661;width:1;" filled="f" stroked="t" coordsize="21600,21600" o:gfxdata="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UrK2/&#10;AAAA3QAAAA8AAAAAAAAAAQAgAAAAIgAAAGRycy9kb3ducmV2LnhtbFBLAQIUABQAAAAIAIdO4kAz&#10;LwWeOwAAADkAAAAQAAAAAAAAAAEAIAAAAA4BAABkcnMvc2hhcGV4bWwueG1sUEsFBgAAAAAGAAYA&#10;WwEAALgDAAAAAA==&#10;">
                  <v:fill on="f" focussize="0,0"/>
                  <v:stroke weight="0.5pt" color="#000000" joinstyle="round" startarrow="classic" startarrowwidth="narrow" startarrowlength="long" endarrow="classic" endarrowwidth="narrow" endarrowlength="long"/>
                  <v:imagedata o:title=""/>
                  <o:lock v:ext="edit" aspectratio="f"/>
                </v:line>
                <v:line id="直线 312" o:spid="_x0000_s1026" o:spt="20" style="position:absolute;left:7298;top:7943;height:643;width:1;" filled="f" stroked="t" coordsize="21600,21600" o:gfxdata="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2Ak2vQAA&#10;AN0AAAAPAAAAAAAAAAEAIAAAACIAAABkcnMvZG93bnJldi54bWxQSwECFAAUAAAACACHTuJAMy8F&#10;njsAAAA5AAAAEAAAAAAAAAABACAAAAAMAQAAZHJzL3NoYXBleG1sLnhtbFBLBQYAAAAABgAGAFsB&#10;AAC2AwAAAAA=&#10;">
                  <v:fill on="f" focussize="0,0"/>
                  <v:stroke weight="0.5pt" color="#000000" joinstyle="round" startarrow="classic" startarrowwidth="narrow" startarrowlength="long" endarrow="classic" endarrowwidth="narrow" endarrowlength="long"/>
                  <v:imagedata o:title=""/>
                  <o:lock v:ext="edit" aspectratio="f"/>
                </v:line>
                <v:line id="直线 313" o:spid="_x0000_s1026" o:spt="20" style="position:absolute;left:7462;top:7082;flip:y;height:174;width:1;" filled="f" stroked="t" coordsize="21600,21600" o:gfxdata="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Izg&#10;gMEAAADdAAAADwAAAAAAAAABACAAAAAiAAAAZHJzL2Rvd25yZXYueG1sUEsBAhQAFAAAAAgAh07i&#10;QDMvBZ47AAAAOQAAABAAAAAAAAAAAQAgAAAAEAEAAGRycy9zaGFwZXhtbC54bWxQSwUGAAAAAAYA&#10;BgBbAQAAugMAAAAA&#10;">
                  <v:fill on="f" focussize="0,0"/>
                  <v:stroke weight="0.5pt" color="#000000" joinstyle="round"/>
                  <v:imagedata o:title=""/>
                  <o:lock v:ext="edit" aspectratio="f"/>
                </v:line>
                <v:line id="直线 314" o:spid="_x0000_s1026" o:spt="20" style="position:absolute;left:6762;top:7188;height:1;width:249;" filled="f" stroked="t" coordsize="21600,21600" o:gfxdata="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3O1FvQAA&#10;AN0AAAAPAAAAAAAAAAEAIAAAACIAAABkcnMvZG93bnJldi54bWxQSwECFAAUAAAACACHTuJAMy8F&#10;njsAAAA5AAAAEAAAAAAAAAABACAAAAAMAQAAZHJzL3NoYXBleG1sLnhtbFBLBQYAAAAABgAGAFsB&#10;AAC2AwAAAAA=&#10;">
                  <v:fill on="f" focussize="0,0"/>
                  <v:stroke weight="0.5pt" color="#000000" joinstyle="round" endarrow="classic" endarrowwidth="narrow" endarrowlength="long"/>
                  <v:imagedata o:title=""/>
                  <o:lock v:ext="edit" aspectratio="f"/>
                </v:line>
                <v:line id="直线 315" o:spid="_x0000_s1026" o:spt="20" style="position:absolute;left:7462;top:7177;height:1;width:260;" filled="f" stroked="t" coordsize="21600,21600" o:gfxdata="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jh68AAAA&#10;3QAAAA8AAAAAAAAAAQAgAAAAIgAAAGRycy9kb3ducmV2LnhtbFBLAQIUABQAAAAIAIdO4kAzLwWe&#10;OwAAADkAAAAQAAAAAAAAAAEAIAAAAAsBAABkcnMvc2hhcGV4bWwueG1sUEsFBgAAAAAGAAYAWwEA&#10;ALUDAAAAAA==&#10;">
                  <v:fill on="f" focussize="0,0"/>
                  <v:stroke weight="0.5pt" color="#000000" joinstyle="round" startarrow="classic" startarrowwidth="narrow" startarrowlength="long" endarrowwidth="narrow" endarrowlength="long"/>
                  <v:imagedata o:title=""/>
                  <o:lock v:ext="edit" aspectratio="f"/>
                </v:line>
                <v:line id="直线 316" o:spid="_x0000_s1026" o:spt="20" style="position:absolute;left:7446;top:7322;height:259;width:1;" filled="f" stroked="t" coordsize="21600,21600" o:gfxdata="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aFhc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17" o:spid="_x0000_s1026" o:spt="20" style="position:absolute;left:7934;top:7319;flip:y;height:262;width:1;" filled="f" stroked="t" coordsize="21600,21600" o:gfxdata="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u35oO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318" o:spid="_x0000_s1026" o:spt="20" style="position:absolute;left:7459;top:7450;height:1;width:462;" filled="f" stroked="t" coordsize="21600,21600" o:gfxdata="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EEXJy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shape id="文本框 319" o:spid="_x0000_s1026" o:spt="202" type="#_x0000_t202" style="position:absolute;left:6135;top:7812;height:273;width:287;" filled="f" stroked="f" coordsize="21600,21600" o:gfxdata="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nP2ar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53683AD4">
                        <w:pPr>
                          <w:pStyle w:val="33"/>
                          <w:tabs>
                            <w:tab w:val="clear" w:pos="4153"/>
                            <w:tab w:val="clear" w:pos="8306"/>
                          </w:tabs>
                          <w:snapToGrid/>
                          <w:spacing w:line="240" w:lineRule="exact"/>
                          <w:rPr>
                            <w:rFonts w:ascii="宋体" w:hAnsi="宋体"/>
                            <w:szCs w:val="24"/>
                          </w:rPr>
                        </w:pPr>
                        <w:r>
                          <w:rPr>
                            <w:rFonts w:ascii="宋体" w:hAnsi="宋体"/>
                            <w:szCs w:val="24"/>
                          </w:rPr>
                          <w:t>2b</w:t>
                        </w:r>
                      </w:p>
                    </w:txbxContent>
                  </v:textbox>
                </v:shape>
                <v:shape id="文本框 320" o:spid="_x0000_s1026" o:spt="202" type="#_x0000_t202" style="position:absolute;left:4603;top:7213;height:273;width:287;" filled="f" stroked="f" coordsize="21600,21600" o:gfxdata="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T9T8b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3C66B3D2">
                        <w:pPr>
                          <w:pStyle w:val="33"/>
                          <w:tabs>
                            <w:tab w:val="clear" w:pos="4153"/>
                            <w:tab w:val="clear" w:pos="8306"/>
                          </w:tabs>
                          <w:snapToGrid/>
                          <w:spacing w:line="240" w:lineRule="exact"/>
                          <w:rPr>
                            <w:rFonts w:hAnsi="宋体"/>
                            <w:szCs w:val="24"/>
                          </w:rPr>
                        </w:pPr>
                        <w:r>
                          <w:rPr>
                            <w:rFonts w:hAnsi="宋体"/>
                            <w:szCs w:val="24"/>
                          </w:rPr>
                          <w:t>b</w:t>
                        </w:r>
                      </w:p>
                    </w:txbxContent>
                  </v:textbox>
                </v:shape>
                <v:shape id="文本框 321" o:spid="_x0000_s1026" o:spt="202" type="#_x0000_t202" style="position:absolute;left:4547;top:6552;height:600;width:422;" filled="f" stroked="f" coordsize="21600,21600" o:gfxdata="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oMeD&#10;wAAAAN0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4A34646F">
                        <w:pPr>
                          <w:jc w:val="center"/>
                          <w:rPr>
                            <w:rFonts w:ascii="宋体" w:hAnsi="宋体"/>
                            <w:sz w:val="18"/>
                          </w:rPr>
                        </w:pPr>
                        <w:r>
                          <w:rPr>
                            <w:rFonts w:ascii="宋体" w:hAnsi="宋体"/>
                            <w:sz w:val="18"/>
                          </w:rPr>
                          <w:t>w</w:t>
                        </w:r>
                        <w:r>
                          <w:rPr>
                            <w:rFonts w:ascii="宋体" w:hAnsi="宋体"/>
                            <w:sz w:val="18"/>
                            <w:vertAlign w:val="subscript"/>
                          </w:rPr>
                          <w:t>1</w:t>
                        </w:r>
                      </w:p>
                    </w:txbxContent>
                  </v:textbox>
                </v:shape>
                <v:shape id="文本框 322" o:spid="_x0000_s1026" o:spt="202" type="#_x0000_t202" style="position:absolute;left:4154;top:8072;height:413;width:514;" filled="f" stroked="f" coordsize="21600,21600" o:gfxdata="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JuYa8AAAA&#10;3Q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style="layout-flow:vertical-ideographic;">
                    <w:txbxContent>
                      <w:p w14:paraId="6999F577">
                        <w:pPr>
                          <w:jc w:val="distribute"/>
                          <w:rPr>
                            <w:rFonts w:ascii="宋体" w:hAnsi="宋体"/>
                            <w:sz w:val="18"/>
                          </w:rPr>
                        </w:pPr>
                        <w:r>
                          <w:rPr>
                            <w:rFonts w:ascii="宋体" w:hAnsi="宋体"/>
                            <w:sz w:val="18"/>
                          </w:rPr>
                          <w:t>a=3b</w:t>
                        </w:r>
                      </w:p>
                    </w:txbxContent>
                  </v:textbox>
                </v:shape>
                <v:shape id="文本框 323" o:spid="_x0000_s1026" o:spt="202" type="#_x0000_t202" style="position:absolute;left:4319;top:7411;height:412;width:287;" filled="f" stroked="f" coordsize="21600,21600" o:gfxdata="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f2qa/&#10;AAAA3Q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style="layout-flow:vertical-ideographic;">
                    <w:txbxContent>
                      <w:p w14:paraId="31419951">
                        <w:pPr>
                          <w:spacing w:line="400" w:lineRule="exact"/>
                          <w:jc w:val="distribute"/>
                          <w:rPr>
                            <w:rFonts w:ascii="宋体" w:hAnsi="宋体"/>
                            <w:sz w:val="18"/>
                          </w:rPr>
                        </w:pPr>
                        <w:r>
                          <w:rPr>
                            <w:rFonts w:ascii="宋体" w:hAnsi="宋体"/>
                            <w:sz w:val="18"/>
                          </w:rPr>
                          <w:t>a=3b</w:t>
                        </w:r>
                      </w:p>
                    </w:txbxContent>
                  </v:textbox>
                </v:shape>
                <v:line id="直线 324" o:spid="_x0000_s1026" o:spt="20" style="position:absolute;left:2654;top:6138;height:1;width:7045;" filled="f" stroked="t" coordsize="21600,21600" o:gfxdata="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FOQI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25" o:spid="_x0000_s1026" o:spt="20" style="position:absolute;left:2654;top:9755;height:1;width:7045;" filled="f" stroked="t" coordsize="21600,21600" o:gfxdata="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gQ5V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26" o:spid="_x0000_s1026" o:spt="20" style="position:absolute;left:2654;top:6821;height:1;width:1272;" filled="f" stroked="t" coordsize="21600,21600" o:gfxdata="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82rz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27" o:spid="_x0000_s1026" o:spt="20" style="position:absolute;left:4313;top:6530;height:1;width:2343;" filled="f" stroked="t" coordsize="21600,21600" o:gfxdata="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CQzu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28" o:spid="_x0000_s1026" o:spt="20" style="position:absolute;left:3926;top:6530;flip:x;height:291;width:387;" filled="f" stroked="t" coordsize="21600,21600" o:gfxdata="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eJp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329" o:spid="_x0000_s1026" o:spt="20" style="position:absolute;left:6656;top:6138;flip:x;height:392;width:358;" filled="f" stroked="t" coordsize="21600,21600" o:gfxdata="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ge0u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330" o:spid="_x0000_s1026" o:spt="20" style="position:absolute;left:2704;top:8986;height:1;width:1272;" filled="f" stroked="t" coordsize="21600,21600" o:gfxdata="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Patz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31" o:spid="_x0000_s1026" o:spt="20" style="position:absolute;left:4308;top:9340;height:24;width:2348;" filled="f" stroked="t" coordsize="21600,21600" o:gfxdata="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aTm/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332" o:spid="_x0000_s1026" o:spt="20" style="position:absolute;left:3967;top:8994;flip:x;height:331;width:339;rotation:-5890256f;" filled="f" stroked="t" coordsize="21600,21600" o:gfxdata="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uYUy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333" o:spid="_x0000_s1026" o:spt="20" style="position:absolute;left:6656;top:9363;height:392;width:358;" filled="f" stroked="t" coordsize="21600,21600" o:gfxdata="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ZpDR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group id="组合 334" o:spid="_x0000_s1026" o:spt="203" style="position:absolute;left:3026;top:6138;height:392;width:73;" coordorigin="2029,8940" coordsize="88,540" o:gfxdata="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J+JMk8AAAADdAAAADwAAAAAAAAABACAAAAAiAAAAZHJzL2Rvd25yZXYu&#10;eG1sUEsBAhQAFAAAAAgAh07iQDMvBZ47AAAAOQAAABUAAAAAAAAAAQAgAAAADwEAAGRycy9ncm91&#10;cHNoYXBleG1sLnhtbFBLBQYAAAAABgAGAGABAADMAwAAAAA=&#10;">
                  <o:lock v:ext="edit" aspectratio="f"/>
                  <v:line id="直线 335" o:spid="_x0000_s1026" o:spt="20" style="position:absolute;left:2029;top:8940;height:280;width:0;" filled="f" stroked="t" coordsize="21600,21600" o:gfxdata="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taE4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36" o:spid="_x0000_s1026" o:spt="20" style="position:absolute;left:2117;top:8940;height:540;width:0;" filled="f" stroked="t" coordsize="21600,21600" o:gfxdata="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Wnni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group>
                <v:group id="组合 337" o:spid="_x0000_s1026" o:spt="203" style="position:absolute;left:3391;top:6138;height:392;width:73;" coordorigin="2029,8940" coordsize="88,540" o:gfxdata="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x41ru+AAAA3QAAAA8AAAAAAAAAAQAgAAAAIgAAAGRycy9kb3ducmV2Lnht&#10;bFBLAQIUABQAAAAIAIdO4kAzLwWeOwAAADkAAAAVAAAAAAAAAAEAIAAAAA0BAABkcnMvZ3JvdXBz&#10;aGFwZXhtbC54bWxQSwUGAAAAAAYABgBgAQAAygMAAAAA&#10;">
                  <o:lock v:ext="edit" aspectratio="f"/>
                  <v:line id="直线 338" o:spid="_x0000_s1026" o:spt="20" style="position:absolute;left:2029;top:8940;height:280;width:0;" filled="f" stroked="t" coordsize="21600,21600" o:gfxdata="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UaO+O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339" o:spid="_x0000_s1026" o:spt="20" style="position:absolute;left:2117;top:8940;height:540;width:0;" filled="f" stroked="t" coordsize="21600,21600" o:gfxdata="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XIpZS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group>
                <v:group id="组合 340" o:spid="_x0000_s1026" o:spt="203" style="position:absolute;left:3735;top:6138;height:392;width:73;" coordorigin="2029,8940" coordsize="88,540" o:gfxdata="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d50LJvAAAAN0AAAAPAAAAAAAAAAEAIAAAACIAAABkcnMvZG93bnJldi54bWxQ&#10;SwECFAAUAAAACACHTuJAMy8FnjsAAAA5AAAAFQAAAAAAAAABACAAAAALAQAAZHJzL2dyb3Vwc2hh&#10;cGV4bWwueG1sUEsFBgAAAAAGAAYAYAEAAMgDAAAAAA==&#10;">
                  <o:lock v:ext="edit" aspectratio="f"/>
                  <v:line id="直线 341" o:spid="_x0000_s1026" o:spt="20" style="position:absolute;left:2029;top:8940;height:280;width:0;" filled="f" stroked="t" coordsize="21600,21600" o:gfxdata="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S87E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42" o:spid="_x0000_s1026" o:spt="20" style="position:absolute;left:2117;top:8940;height:540;width:0;" filled="f" stroked="t" coordsize="21600,21600" o:gfxdata="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sK9i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line id="直线 343" o:spid="_x0000_s1026" o:spt="20" style="position:absolute;left:3924;top:6821;height:2165;width:1;" filled="f" stroked="t" coordsize="21600,21600" o:gfxdata="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wNAZ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id="组合 344" o:spid="_x0000_s1026" o:spt="203" style="position:absolute;left:4065;top:6908;height:72;width:248;" coordorigin="3283,10000" coordsize="299,100" o:gfxdata="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kCQZevAAAAN0AAAAPAAAAAAAAAAEAIAAAACIAAABkcnMvZG93bnJldi54bWxQ&#10;SwECFAAUAAAACACHTuJAMy8FnjsAAAA5AAAAFQAAAAAAAAABACAAAAALAQAAZHJzL2dyb3Vwc2hh&#10;cGV4bWwueG1sUEsFBgAAAAAGAAYAYAEAAMgDAAAAAA==&#10;">
                  <o:lock v:ext="edit" aspectratio="f"/>
                  <v:line id="直线 345" o:spid="_x0000_s1026" o:spt="20" style="position:absolute;left:3283;top:10000;height:0;width:299;" filled="f" stroked="t" coordsize="21600,21600" o:gfxdata="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x1g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46" o:spid="_x0000_s1026" o:spt="20" style="position:absolute;left:3400;top:10100;height:0;width:182;" filled="f" stroked="t" coordsize="21600,21600" o:gfxdata="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7r9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47" o:spid="_x0000_s1026" o:spt="203" style="position:absolute;left:4065;top:7213;height:72;width:248;" coordorigin="3283,10000" coordsize="299,100" o:gfxdata="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H6lxr0AAADdAAAADwAAAAAAAAABACAAAAAiAAAAZHJzL2Rvd25yZXYueG1s&#10;UEsBAhQAFAAAAAgAh07iQDMvBZ47AAAAOQAAABUAAAAAAAAAAQAgAAAADAEAAGRycy9ncm91cHNo&#10;YXBleG1sLnhtbFBLBQYAAAAABgAGAGABAADJAwAAAAA=&#10;">
                  <o:lock v:ext="edit" aspectratio="f"/>
                  <v:line id="直线 348" o:spid="_x0000_s1026" o:spt="20" style="position:absolute;left:3283;top:10000;height:0;width:299;" filled="f" stroked="t" coordsize="21600,21600" o:gfxdata="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fvWG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49" o:spid="_x0000_s1026" o:spt="20" style="position:absolute;left:3400;top:10100;height:0;width:182;" filled="f" stroked="t" coordsize="21600,21600" o:gfxdata="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rdzg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50" o:spid="_x0000_s1026" o:spt="203" style="position:absolute;left:4065;top:7518;height:72;width:248;" coordorigin="3283,10000" coordsize="299,100" o:gfxdata="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eExtL0AAADdAAAADwAAAAAAAAABACAAAAAiAAAAZHJzL2Rvd25yZXYueG1s&#10;UEsBAhQAFAAAAAgAh07iQDMvBZ47AAAAOQAAABUAAAAAAAAAAQAgAAAADAEAAGRycy9ncm91cHNo&#10;YXBleG1sLnhtbFBLBQYAAAAABgAGAGABAADJAwAAAAA=&#10;">
                  <o:lock v:ext="edit" aspectratio="f"/>
                  <v:line id="直线 351" o:spid="_x0000_s1026" o:spt="20" style="position:absolute;left:3283;top:10000;height:0;width:299;" filled="f" stroked="t" coordsize="21600,21600" o:gfxdata="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SlIb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52" o:spid="_x0000_s1026" o:spt="20" style="position:absolute;left:3400;top:10100;height:0;width:182;" filled="f" stroked="t" coordsize="21600,21600" o:gfxdata="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ttwf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353" o:spid="_x0000_s1026" o:spt="203" style="position:absolute;left:4065;top:7823;height:72;width:248;" coordorigin="3283,10000" coordsize="299,100" o:gfxdata="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6cNRi+AAAA3QAAAA8AAAAAAAAAAQAgAAAAIgAAAGRycy9kb3ducmV2Lnht&#10;bFBLAQIUABQAAAAIAIdO4kAzLwWeOwAAADkAAAAVAAAAAAAAAAEAIAAAAA0BAABkcnMvZ3JvdXBz&#10;aGFwZXhtbC54bWxQSwUGAAAAAAYABgBgAQAAygMAAAAA&#10;">
                  <o:lock v:ext="edit" aspectratio="f"/>
                  <v:line id="直线 354" o:spid="_x0000_s1026" o:spt="20" style="position:absolute;left:3283;top:10000;height:0;width:299;" filled="f" stroked="t" coordsize="21600,21600" o:gfxdata="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GUbE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355" o:spid="_x0000_s1026" o:spt="20" style="position:absolute;left:3400;top:10100;height:0;width:182;" filled="f" stroked="t" coordsize="21600,21600" o:gfxdata="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hV41+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group>
                <v:group id="组合 356" o:spid="_x0000_s1026" o:spt="203" style="position:absolute;left:4065;top:8129;height:72;width:248;" coordorigin="3283,10000" coordsize="299,100" o:gfxdata="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Bda1svAAAAN0AAAAPAAAAAAAAAAEAIAAAACIAAABkcnMvZG93bnJldi54bWxQ&#10;SwECFAAUAAAACACHTuJAMy8FnjsAAAA5AAAAFQAAAAAAAAABACAAAAALAQAAZHJzL2dyb3Vwc2hh&#10;cGV4bWwueG1sUEsFBgAAAAAGAAYAYAEAAMgDAAAAAA==&#10;">
                  <o:lock v:ext="edit" aspectratio="f"/>
                  <v:line id="直线 357" o:spid="_x0000_s1026" o:spt="20" style="position:absolute;left:3283;top:10000;height:0;width:299;" filled="f" stroked="t" coordsize="21600,21600" o:gfxdata="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8vYs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58" o:spid="_x0000_s1026" o:spt="20" style="position:absolute;left:3400;top:10100;height:0;width:182;" filled="f" stroked="t" coordsize="21600,21600" o:gfxdata="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CJAx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59" o:spid="_x0000_s1026" o:spt="203" style="position:absolute;left:4065;top:8434;height:72;width:248;" coordorigin="3283,10000" coordsize="299,100" o:gfxdata="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73QC8sAAAADdAAAADwAAAAAAAAABACAAAAAiAAAAZHJzL2Rvd25yZXYu&#10;eG1sUEsBAhQAFAAAAAgAh07iQDMvBZ47AAAAOQAAABUAAAAAAAAAAQAgAAAADwEAAGRycy9ncm91&#10;cHNoYXBleG1sLnhtbFBLBQYAAAAABgAGAGABAADMAwAAAAA=&#10;">
                  <o:lock v:ext="edit" aspectratio="f"/>
                  <v:line id="直线 360" o:spid="_x0000_s1026" o:spt="20" style="position:absolute;left:3283;top:10000;height:0;width:299;" filled="f" stroked="t" coordsize="21600,21600" o:gfxdata="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vHsr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61" o:spid="_x0000_s1026" o:spt="20" style="position:absolute;left:3400;top:10100;height:0;width:182;" filled="f" stroked="t" coordsize="21600,21600" o:gfxdata="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Des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62" o:spid="_x0000_s1026" o:spt="203" style="position:absolute;left:4065;top:8739;height:72;width:248;" coordorigin="3283,10000" coordsize="299,100" o:gfxdata="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sCJh0r0AAADdAAAADwAAAAAAAAABACAAAAAiAAAAZHJzL2Rvd25yZXYueG1s&#10;UEsBAhQAFAAAAAgAh07iQDMvBZ47AAAAOQAAABUAAAAAAAAAAQAgAAAADAEAAGRycy9ncm91cHNo&#10;YXBleG1sLnhtbFBLBQYAAAAABgAGAGABAADJAwAAAAA=&#10;">
                  <o:lock v:ext="edit" aspectratio="f"/>
                  <v:line id="直线 363" o:spid="_x0000_s1026" o:spt="20" style="position:absolute;left:3283;top:10000;height:0;width:299;" filled="f" stroked="t" coordsize="21600,21600" o:gfxdata="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iPvW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64" o:spid="_x0000_s1026" o:spt="20" style="position:absolute;left:3400;top:10100;height:0;width:182;" filled="f" stroked="t" coordsize="21600,21600" o:gfxdata="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dYx5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line id="直线 365" o:spid="_x0000_s1026" o:spt="20" style="position:absolute;left:7014;top:6138;height:3617;width:1;" filled="f" stroked="t" coordsize="21600,21600" o:gfxdata="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67eV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66" o:spid="_x0000_s1026" o:spt="20" style="position:absolute;left:2920;top:9552;height:203;width:1;" filled="f" stroked="t" coordsize="21600,21600" o:gfxdata="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pxIO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67" o:spid="_x0000_s1026" o:spt="20" style="position:absolute;left:2993;top:9363;height:392;width:1;" filled="f" stroked="t" coordsize="21600,21600" o:gfxdata="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Top6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68" o:spid="_x0000_s1026" o:spt="20" style="position:absolute;left:3285;top:9552;height:203;width:1;" filled="f" stroked="t" coordsize="21600,21600" o:gfxdata="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Ai/h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69" o:spid="_x0000_s1026" o:spt="20" style="position:absolute;left:3358;top:9363;height:392;width:1;" filled="f" stroked="t" coordsize="21600,21600" o:gfxdata="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0LGW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70" o:spid="_x0000_s1026" o:spt="20" style="position:absolute;left:3629;top:9552;height:203;width:1;" filled="f" stroked="t" coordsize="21600,21600" o:gfxdata="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nBQN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71" o:spid="_x0000_s1026" o:spt="20" style="position:absolute;left:3702;top:9363;height:392;width:1;" filled="f" stroked="t" coordsize="21600,21600" o:gfxdata="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A4B/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id="组合 372" o:spid="_x0000_s1026" o:spt="203" style="position:absolute;left:6770;top:6632;height:73;width:248;" coordorigin="3283,10000" coordsize="299,100" o:gfxdata="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fv3D70AAADdAAAADwAAAAAAAAABACAAAAAiAAAAZHJzL2Rvd25yZXYueG1s&#10;UEsBAhQAFAAAAAgAh07iQDMvBZ47AAAAOQAAABUAAAAAAAAAAQAgAAAADAEAAGRycy9ncm91cHNo&#10;YXBleG1sLnhtbFBLBQYAAAAABgAGAGABAADJAwAAAAA=&#10;">
                  <o:lock v:ext="edit" aspectratio="f"/>
                  <v:line id="直线 373" o:spid="_x0000_s1026" o:spt="20" style="position:absolute;left:3283;top:10000;height:0;width:299;" filled="f" stroked="t" coordsize="21600,21600" o:gfxdata="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TyXk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374" o:spid="_x0000_s1026" o:spt="20" style="position:absolute;left:3400;top:10100;height:0;width:182;" filled="f" stroked="t" coordsize="21600,21600" o:gfxdata="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rBqk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375" o:spid="_x0000_s1026" o:spt="203" style="position:absolute;left:6770;top:6942;height:73;width:248;" coordorigin="3283,10000" coordsize="299,100" o:gfxdata="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YxUl70AAADdAAAADwAAAAAAAAABACAAAAAiAAAAZHJzL2Rvd25yZXYueG1s&#10;UEsBAhQAFAAAAAgAh07iQDMvBZ47AAAAOQAAABUAAAAAAAAAAQAgAAAADAEAAGRycy9ncm91cHNo&#10;YXBleG1sLnhtbFBLBQYAAAAABgAGAGABAADJAwAAAAA=&#10;">
                  <o:lock v:ext="edit" aspectratio="f"/>
                  <v:line id="直线 376" o:spid="_x0000_s1026" o:spt="20" style="position:absolute;left:3283;top:10000;height:0;width:299;" filled="f" stroked="t" coordsize="21600,21600" o:gfxdata="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IhS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77" o:spid="_x0000_s1026" o:spt="20" style="position:absolute;left:3400;top:10100;height:0;width:182;" filled="f" stroked="t" coordsize="21600,21600" o:gfxdata="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H6E0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78" o:spid="_x0000_s1026" o:spt="203" style="position:absolute;left:6770;top:7253;height:73;width:248;" coordorigin="3283,10000" coordsize="299,100" o:gfxdata="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VeyuC+AAAA3QAAAA8AAAAAAAAAAQAgAAAAIgAAAGRycy9kb3ducmV2Lnht&#10;bFBLAQIUABQAAAAIAIdO4kAzLwWeOwAAADkAAAAVAAAAAAAAAAEAIAAAAA0BAABkcnMvZ3JvdXBz&#10;aGFwZXhtbC54bWxQSwUGAAAAAAYABgBgAQAAygMAAAAA&#10;">
                  <o:lock v:ext="edit" aspectratio="f"/>
                  <v:line id="直线 379" o:spid="_x0000_s1026" o:spt="20" style="position:absolute;left:3283;top:10000;height:0;width:299;" filled="f" stroked="t" coordsize="21600,21600" o:gfxdata="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Nu5P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80" o:spid="_x0000_s1026" o:spt="20" style="position:absolute;left:3400;top:10100;height:0;width:182;" filled="f" stroked="t" coordsize="21600,21600" o:gfxdata="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CSdL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group>
                <v:group id="组合 381" o:spid="_x0000_s1026" o:spt="203" style="position:absolute;left:6770;top:7563;height:73;width:248;" coordorigin="3283,10000" coordsize="299,100" o:gfxdata="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vYiKzvwAAAN0AAAAPAAAAAAAAAAEAIAAAACIAAABkcnMvZG93bnJldi54&#10;bWxQSwECFAAUAAAACACHTuJAMy8FnjsAAAA5AAAAFQAAAAAAAAABACAAAAAOAQAAZHJzL2dyb3Vw&#10;c2hhcGV4bWwueG1sUEsFBgAAAAAGAAYAYAEAAMsDAAAAAA==&#10;">
                  <o:lock v:ext="edit" aspectratio="f"/>
                  <v:line id="直线 382" o:spid="_x0000_s1026" o:spt="20" style="position:absolute;left:3283;top:10000;height:0;width:299;" filled="f" stroked="t" coordsize="21600,21600" o:gfxdata="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2hai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383" o:spid="_x0000_s1026" o:spt="20" style="position:absolute;left:3400;top:10100;height:0;width:182;" filled="f" stroked="t" coordsize="21600,21600" o:gfxdata="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ZazO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84" o:spid="_x0000_s1026" o:spt="203" style="position:absolute;left:6770;top:7874;height:73;width:248;" coordorigin="3283,10000" coordsize="299,100" o:gfxdata="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7C8xL0AAADdAAAADwAAAAAAAAABACAAAAAiAAAAZHJzL2Rvd25yZXYueG1s&#10;UEsBAhQAFAAAAAgAh07iQDMvBZ47AAAAOQAAABUAAAAAAAAAAQAgAAAADAEAAGRycy9ncm91cHNo&#10;YXBleG1sLnhtbFBLBQYAAAAABgAGAGABAADJAwAAAAA=&#10;">
                  <o:lock v:ext="edit" aspectratio="f"/>
                  <v:line id="直线 385" o:spid="_x0000_s1026" o:spt="20" style="position:absolute;left:3283;top:10000;height:0;width:299;" filled="f" stroked="t" coordsize="21600,21600" o:gfxdata="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jXPG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86" o:spid="_x0000_s1026" o:spt="20" style="position:absolute;left:3400;top:10100;height:0;width:182;" filled="f" stroked="t" coordsize="21600,21600" o:gfxdata="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udRb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87" o:spid="_x0000_s1026" o:spt="203" style="position:absolute;left:6770;top:8185;height:72;width:248;" coordorigin="3283,10000" coordsize="299,100" o:gfxdata="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Pxx9cvAAAAN0AAAAPAAAAAAAAAAEAIAAAACIAAABkcnMvZG93bnJldi54bWxQ&#10;SwECFAAUAAAACACHTuJAMy8FnjsAAAA5AAAAFQAAAAAAAAABACAAAAALAQAAZHJzL2dyb3Vwc2hh&#10;cGV4bWwueG1sUEsFBgAAAAAGAAYAYAEAAMgDAAAAAA==&#10;">
                  <o:lock v:ext="edit" aspectratio="f"/>
                  <v:line id="直线 388" o:spid="_x0000_s1026" o:spt="20" style="position:absolute;left:3283;top:10000;height:0;width:299;" filled="f" stroked="t" coordsize="21600,21600" o:gfxdata="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kJsg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89" o:spid="_x0000_s1026" o:spt="20" style="position:absolute;left:3400;top:10100;height:0;width:182;" filled="f" stroked="t" coordsize="21600,21600" o:gfxdata="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Q7JG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90" o:spid="_x0000_s1026" o:spt="203" style="position:absolute;left:6770;top:8495;height:73;width:248;" coordorigin="3283,10000" coordsize="299,100" o:gfxdata="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5Yiy6+AAAA3QAAAA8AAAAAAAAAAQAgAAAAIgAAAGRycy9kb3ducmV2Lnht&#10;bFBLAQIUABQAAAAIAIdO4kAzLwWeOwAAADkAAAAVAAAAAAAAAAEAIAAAAA0BAABkcnMvZ3JvdXBz&#10;aGFwZXhtbC54bWxQSwUGAAAAAAYABgBgAQAAygMAAAAA&#10;">
                  <o:lock v:ext="edit" aspectratio="f"/>
                  <v:line id="直线 391" o:spid="_x0000_s1026" o:spt="20" style="position:absolute;left:3283;top:10000;height:0;width:299;" filled="f" stroked="t" coordsize="21600,21600" o:gfxdata="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pDy9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92" o:spid="_x0000_s1026" o:spt="20" style="position:absolute;left:3400;top:10100;height:0;width:182;" filled="f" stroked="t" coordsize="21600,21600" o:gfxdata="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D2aF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393" o:spid="_x0000_s1026" o:spt="203" style="position:absolute;left:6770;top:8805;height:73;width:248;" coordorigin="3283,10000" coordsize="299,100" o:gfxdata="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Ulj4K+AAAA3QAAAA8AAAAAAAAAAQAgAAAAIgAAAGRycy9kb3ducmV2Lnht&#10;bFBLAQIUABQAAAAIAIdO4kAzLwWeOwAAADkAAAAVAAAAAAAAAAEAIAAAAA0BAABkcnMvZ3JvdXBz&#10;aGFwZXhtbC54bWxQSwUGAAAAAAYABgBgAQAAygMAAAAA&#10;">
                  <o:lock v:ext="edit" aspectratio="f"/>
                  <v:line id="直线 394" o:spid="_x0000_s1026" o:spt="20" style="position:absolute;left:3283;top:10000;height:0;width:299;" filled="f" stroked="t" coordsize="21600,21600" o:gfxdata="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oPxe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395" o:spid="_x0000_s1026" o:spt="20" style="position:absolute;left:3400;top:10100;height:0;width:182;" filled="f" stroked="t" coordsize="21600,21600" o:gfxdata="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xZx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group id="组合 396" o:spid="_x0000_s1026" o:spt="203" style="position:absolute;left:6770;top:9116;height:73;width:248;" coordorigin="3283,10000" coordsize="299,100" o:gfxdata="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6zBf2vAAAAN0AAAAPAAAAAAAAAAEAIAAAACIAAABkcnMvZG93bnJldi54bWxQ&#10;SwECFAAUAAAACACHTuJAMy8FnjsAAAA5AAAAFQAAAAAAAAABACAAAAALAQAAZHJzL2dyb3Vwc2hh&#10;cGV4bWwueG1sUEsFBgAAAAAGAAYAYAEAAMgDAAAAAA==&#10;">
                  <o:lock v:ext="edit" aspectratio="f"/>
                  <v:line id="直线 397" o:spid="_x0000_s1026" o:spt="20" style="position:absolute;left:3283;top:10000;height:0;width:299;" filled="f" stroked="t" coordsize="21600,21600" o:gfxdata="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JiK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398" o:spid="_x0000_s1026" o:spt="20" style="position:absolute;left:3400;top:10100;height:0;width:182;" filled="f" stroked="t" coordsize="21600,21600" o:gfxdata="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5v6X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group>
                <v:shape id="椭圆 399" o:spid="_x0000_s1026" o:spt="3" type="#_x0000_t3" style="position:absolute;left:4492;top:9723;height:65;width:74;" filled="f" stroked="t" coordsize="21600,21600" o:gfxdata="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poe8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00" o:spid="_x0000_s1026" o:spt="3" type="#_x0000_t3" style="position:absolute;left:5796;top:9723;height:65;width:75;" filled="f" stroked="t" coordsize="21600,21600" o:gfxdata="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da7a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01" o:spid="_x0000_s1026" o:spt="3" type="#_x0000_t3" style="position:absolute;left:5013;top:9723;height:65;width:74;" filled="f" stroked="t" coordsize="21600,21600" o:gfxdata="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SS8a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02" o:spid="_x0000_s1026" o:spt="3" type="#_x0000_t3" style="position:absolute;left:5535;top:9723;height:65;width:75;" filled="f" stroked="t" coordsize="21600,21600" o:gfxdata="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wWKg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03" o:spid="_x0000_s1026" o:spt="3" type="#_x0000_t3" style="position:absolute;left:4752;top:9723;height:65;width:74;" filled="f" stroked="t" coordsize="21600,21600" o:gfxdata="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1LkG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04" o:spid="_x0000_s1026" o:spt="3" type="#_x0000_t3" style="position:absolute;left:5274;top:9723;height:65;width:75;" filled="f" stroked="t" coordsize="21600,21600" o:gfxdata="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mByd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05" o:spid="_x0000_s1026" o:spt="3" type="#_x0000_t3" style="position:absolute;left:8406;top:9723;height:65;width:75;" filled="f" stroked="t" coordsize="21600,21600" o:gfxdata="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SoLq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06" o:spid="_x0000_s1026" o:spt="3" type="#_x0000_t3" style="position:absolute;left:6840;top:9723;height:65;width:75;" filled="f" stroked="t" coordsize="21600,21600" o:gfxdata="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AYnc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407" o:spid="_x0000_s1026" o:spt="3" type="#_x0000_t3" style="position:absolute;left:7884;top:9723;height:65;width:74;" filled="f" stroked="t" coordsize="21600,21600" o:gfxdata="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B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408" o:spid="_x0000_s1026" o:spt="3" type="#_x0000_t3" style="position:absolute;left:9450;top:9723;height:65;width:75;" filled="f" stroked="t" coordsize="21600,21600" o:gfxdata="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Man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409" o:spid="_x0000_s1026" o:spt="3" type="#_x0000_t3" style="position:absolute;left:6057;top:9723;height:65;width:75;" filled="f" stroked="t" coordsize="21600,21600" o:gfxdata="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HGE6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410" o:spid="_x0000_s1026" o:spt="3" type="#_x0000_t3" style="position:absolute;left:6318;top:9723;height:65;width:75;" filled="f" stroked="t" coordsize="21600,21600" o:gfxdata="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z0hc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411" o:spid="_x0000_s1026" o:spt="3" type="#_x0000_t3" style="position:absolute;left:6579;top:9723;height:65;width:75;" filled="f" stroked="t" coordsize="21600,21600" o:gfxdata="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orUA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12" o:spid="_x0000_s1026" o:spt="3" type="#_x0000_t3" style="position:absolute;left:7101;top:9723;height:65;width:74;" filled="f" stroked="t" coordsize="21600,21600" o:gfxdata="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3uEJu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13" o:spid="_x0000_s1026" o:spt="3" type="#_x0000_t3" style="position:absolute;left:7362;top:9723;height:65;width:74;" filled="f" stroked="t" coordsize="21600,21600" o:gfxdata="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Q0v2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414" o:spid="_x0000_s1026" o:spt="3" type="#_x0000_t3" style="position:absolute;left:7623;top:9723;height:65;width:74;" filled="f" stroked="t" coordsize="21600,21600" o:gfxdata="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kGKQ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15" o:spid="_x0000_s1026" o:spt="3" type="#_x0000_t3" style="position:absolute;left:8145;top:9723;height:65;width:75;" filled="f" stroked="t" coordsize="21600,21600" o:gfxdata="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kxQ3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16" o:spid="_x0000_s1026" o:spt="3" type="#_x0000_t3" style="position:absolute;left:8667;top:9723;height:65;width:75;" filled="f" stroked="t" coordsize="21600,21600" o:gfxdata="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nfsay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417" o:spid="_x0000_s1026" o:spt="3" type="#_x0000_t3" style="position:absolute;left:8928;top:9723;height:65;width:75;" filled="f" stroked="t" coordsize="21600,21600" o:gfxdata="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Y2Kdi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418" o:spid="_x0000_s1026" o:spt="3" type="#_x0000_t3" style="position:absolute;left:9189;top:9723;height:65;width:75;" filled="f" stroked="t" coordsize="21600,21600" o:gfxdata="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6jEO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419" o:spid="_x0000_s1026" o:spt="3" type="#_x0000_t3" style="position:absolute;left:4529;top:6105;height:65;width:74;" filled="f" stroked="t" coordsize="21600,21600" o:gfxdata="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agSN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20" o:spid="_x0000_s1026" o:spt="3" type="#_x0000_t3" style="position:absolute;left:5833;top:6105;height:65;width:75;" filled="f" stroked="t" coordsize="21600,21600" o:gfxdata="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uS3r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21" o:spid="_x0000_s1026" o:spt="3" type="#_x0000_t3" style="position:absolute;left:5050;top:6105;height:65;width:75;" filled="f" stroked="t" coordsize="21600,21600" o:gfxdata="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3sj3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422" o:spid="_x0000_s1026" o:spt="3" type="#_x0000_t3" style="position:absolute;left:5572;top:6105;height:65;width:75;" filled="f" stroked="t" coordsize="21600,21600" o:gfxdata="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N4ZG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23" o:spid="_x0000_s1026" o:spt="3" type="#_x0000_t3" style="position:absolute;left:4789;top:6105;height:65;width:75;" filled="f" stroked="t" coordsize="21600,21600" o:gfxdata="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2HlZ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424" o:spid="_x0000_s1026" o:spt="3" type="#_x0000_t3" style="position:absolute;left:5311;top:6105;height:65;width:75;" filled="f" stroked="t" coordsize="21600,21600" o:gfxdata="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LUD9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25" o:spid="_x0000_s1026" o:spt="3" type="#_x0000_t3" style="position:absolute;left:8443;top:6105;height:65;width:75;" filled="f" stroked="t" coordsize="21600,21600" o:gfxdata="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P/ei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26" o:spid="_x0000_s1026" o:spt="3" type="#_x0000_t3" style="position:absolute;left:6878;top:6105;height:65;width:74;" filled="f" stroked="t" coordsize="21600,21600" o:gfxdata="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s3sR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27" o:spid="_x0000_s1026" o:spt="3" type="#_x0000_t3" style="position:absolute;left:7921;top:6105;height:65;width:75;" filled="f" stroked="t" coordsize="21600,21600" o:gfxdata="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WuNl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28" o:spid="_x0000_s1026" o:spt="3" type="#_x0000_t3" style="position:absolute;left:9488;top:6105;height:65;width:74;" filled="f" stroked="t" coordsize="21600,21600" o:gfxdata="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Fkb+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29" o:spid="_x0000_s1026" o:spt="3" type="#_x0000_t3" style="position:absolute;left:6094;top:6105;height:65;width:75;" filled="f" stroked="t" coordsize="21600,21600" o:gfxdata="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8TYi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30" o:spid="_x0000_s1026" o:spt="3" type="#_x0000_t3" style="position:absolute;left:6356;top:6105;height:65;width:74;" filled="f" stroked="t" coordsize="21600,21600" o:gfxdata="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h9E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31" o:spid="_x0000_s1026" o:spt="3" type="#_x0000_t3" style="position:absolute;left:6617;top:6105;height:65;width:74;" filled="f" stroked="t" coordsize="21600,21600" o:gfxdata="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RfpYL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432" o:spid="_x0000_s1026" o:spt="3" type="#_x0000_t3" style="position:absolute;left:7138;top:6105;height:65;width:75;" filled="f" stroked="t" coordsize="21600,21600" o:gfxdata="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W0z7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33" o:spid="_x0000_s1026" o:spt="3" type="#_x0000_t3" style="position:absolute;left:7399;top:6105;height:65;width:75;" filled="f" stroked="t" coordsize="21600,21600" o:gfxdata="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uHO7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34" o:spid="_x0000_s1026" o:spt="3" type="#_x0000_t3" style="position:absolute;left:7660;top:6105;height:65;width:75;" filled="f" stroked="t" coordsize="21600,21600" o:gfxdata="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301i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435" o:spid="_x0000_s1026" o:spt="3" type="#_x0000_t3" style="position:absolute;left:8182;top:6105;height:65;width:75;" filled="f" stroked="t" coordsize="21600,21600" o:gfxdata="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JkhX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36" o:spid="_x0000_s1026" o:spt="3" type="#_x0000_t3" style="position:absolute;left:8704;top:6105;height:65;width:75;" filled="f" stroked="t" coordsize="21600,21600" o:gfxdata="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mrtz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37" o:spid="_x0000_s1026" o:spt="3" type="#_x0000_t3" style="position:absolute;left:8965;top:6105;height:65;width:75;" filled="f" stroked="t" coordsize="21600,21600" o:gfxdata="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2Ddbi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38" o:spid="_x0000_s1026" o:spt="3" type="#_x0000_t3" style="position:absolute;left:9227;top:6105;height:65;width:74;" filled="f" stroked="t" coordsize="21600,21600" o:gfxdata="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LP0CO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39" o:spid="_x0000_s1026" o:spt="3" type="#_x0000_t3" style="position:absolute;left:4516;top:6606;height:65;width:75;" filled="f" stroked="t" coordsize="21600,21600" o:gfxdata="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h1OV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40" o:spid="_x0000_s1026" o:spt="3" type="#_x0000_t3" style="position:absolute;left:5324;top:6606;height:65;width:74;" filled="f" stroked="t" coordsize="21600,21600" o:gfxdata="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VHrz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41" o:spid="_x0000_s1026" o:spt="3" type="#_x0000_t3" style="position:absolute;left:6107;top:6606;height:65;width:74;" filled="f" stroked="t" coordsize="21600,21600" o:gfxdata="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zn+9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42" o:spid="_x0000_s1026" o:spt="3" type="#_x0000_t3" style="position:absolute;left:4516;top:7257;height:66;width:75;" filled="f" stroked="t" coordsize="21600,21600" o:gfxdata="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gtom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43" o:spid="_x0000_s1026" o:spt="3" type="#_x0000_t3" style="position:absolute;left:4516;top:7908;height:65;width:75;" filled="f" stroked="t" coordsize="21600,21600" o:gfxdata="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vgDG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44" o:spid="_x0000_s1026" o:spt="3" type="#_x0000_t3" style="position:absolute;left:4516;top:8559;height:66;width:75;" filled="f" stroked="t" coordsize="21600,21600" o:gfxdata="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XypV2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445" o:spid="_x0000_s1026" o:spt="3" type="#_x0000_t3" style="position:absolute;left:4516;top:9211;height:65;width:75;" filled="f" stroked="t" coordsize="21600,21600" o:gfxdata="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IDsq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46" o:spid="_x0000_s1026" o:spt="3" type="#_x0000_t3" style="position:absolute;left:4976;top:6933;height:65;width:75;" filled="f" stroked="t" coordsize="21600,21600" o:gfxdata="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psnrG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47" o:spid="_x0000_s1026" o:spt="3" type="#_x0000_t3" style="position:absolute;left:4976;top:7584;height:66;width:75;" filled="f" stroked="t" coordsize="21600,21600" o:gfxdata="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YUGx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48" o:spid="_x0000_s1026" o:spt="3" type="#_x0000_t3" style="position:absolute;left:4976;top:8236;height:65;width:75;" filled="f" stroked="t" coordsize="21600,21600" o:gfxdata="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Jo16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49" o:spid="_x0000_s1026" o:spt="3" type="#_x0000_t3" style="position:absolute;left:4976;top:8886;height:65;width:75;" filled="f" stroked="t" coordsize="21600,21600" o:gfxdata="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hs9K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50" o:spid="_x0000_s1026" o:spt="3" type="#_x0000_t3" style="position:absolute;left:5324;top:6606;height:65;width:75;" filled="f" stroked="t" coordsize="21600,21600" o:gfxdata="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VeYs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51" o:spid="_x0000_s1026" o:spt="3" type="#_x0000_t3" style="position:absolute;left:5324;top:7257;height:66;width:75;" filled="f" stroked="t" coordsize="21600,21600" o:gfxdata="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yAzA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52" o:spid="_x0000_s1026" o:spt="3" type="#_x0000_t3" style="position:absolute;left:5324;top:7908;height:65;width:75;" filled="f" stroked="t" coordsize="21600,21600" o:gfxdata="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hKlb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53" o:spid="_x0000_s1026" o:spt="3" type="#_x0000_t3" style="position:absolute;left:5324;top:8559;height:66;width:75;" filled="f" stroked="t" coordsize="21600,21600" o:gfxdata="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Z5Yb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54" o:spid="_x0000_s1026" o:spt="3" type="#_x0000_t3" style="position:absolute;left:5324;top:9211;height:65;width:75;" filled="f" stroked="t" coordsize="21600,21600" o:gfxdata="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ArM4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455" o:spid="_x0000_s1026" o:spt="3" type="#_x0000_t3" style="position:absolute;left:5747;top:6933;height:65;width:75;" filled="f" stroked="t" coordsize="21600,21600" o:gfxdata="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a33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56" o:spid="_x0000_s1026" o:spt="3" type="#_x0000_t3" style="position:absolute;left:5747;top:7584;height:66;width:75;" filled="f" stroked="t" coordsize="21600,21600" o:gfxdata="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CGy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57" o:spid="_x0000_s1026" o:spt="3" type="#_x0000_t3" style="position:absolute;left:5747;top:8236;height:65;width:75;" filled="f" stroked="t" coordsize="21600,21600" o:gfxdata="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ckBi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458" o:spid="_x0000_s1026" o:spt="3" type="#_x0000_t3" style="position:absolute;left:5747;top:8886;height:65;width:75;" filled="f" stroked="t" coordsize="21600,21600" o:gfxdata="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xA1g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59" o:spid="_x0000_s1026" o:spt="3" type="#_x0000_t3" style="position:absolute;left:6107;top:7127;height:65;width:74;" filled="f" stroked="t" coordsize="21600,21600" o:gfxdata="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8Kr9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0" o:spid="_x0000_s1026" o:spt="3" type="#_x0000_t3" style="position:absolute;left:6107;top:7649;height:65;width:74;" filled="f" stroked="t" coordsize="21600,21600" o:gfxdata="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I4Ob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1" o:spid="_x0000_s1026" o:spt="3" type="#_x0000_t3" style="position:absolute;left:6107;top:8170;height:66;width:74;" filled="f" stroked="t" coordsize="21600,21600" o:gfxdata="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EZod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62" o:spid="_x0000_s1026" o:spt="3" type="#_x0000_t3" style="position:absolute;left:6107;top:8692;height:65;width:74;" filled="f" stroked="t" coordsize="21600,21600" o:gfxdata="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T+G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63" o:spid="_x0000_s1026" o:spt="3" type="#_x0000_t3" style="position:absolute;left:6107;top:9214;height:65;width:74;" filled="f" stroked="t" coordsize="21600,21600" o:gfxdata="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C1ym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64" o:spid="_x0000_s1026" o:spt="3" type="#_x0000_t3" style="position:absolute;left:7411;top:6606;height:65;width:75;" filled="f" stroked="t" coordsize="21600,21600" o:gfxdata="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kf5P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5" o:spid="_x0000_s1026" o:spt="3" type="#_x0000_t3" style="position:absolute;left:8219;top:6606;height:65;width:74;" filled="f" stroked="t" coordsize="21600,21600" o:gfxdata="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pVnS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6" o:spid="_x0000_s1026" o:spt="3" type="#_x0000_t3" style="position:absolute;left:9002;top:6606;height:65;width:75;" filled="f" stroked="t" coordsize="21600,21600" o:gfxdata="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dnC0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7" o:spid="_x0000_s1026" o:spt="3" type="#_x0000_t3" style="position:absolute;left:7411;top:7257;height:66;width:75;" filled="f" stroked="t" coordsize="21600,21600" o:gfxdata="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jBap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8" o:spid="_x0000_s1026" o:spt="3" type="#_x0000_t3" style="position:absolute;left:7411;top:7908;height:65;width:75;" filled="f" stroked="t" coordsize="21600,21600" o:gfxdata="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Xz/P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69" o:spid="_x0000_s1026" o:spt="3" type="#_x0000_t3" style="position:absolute;left:7411;top:8559;height:66;width:75;" filled="f" stroked="t" coordsize="21600,21600" o:gfxdata="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a5hSb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0" o:spid="_x0000_s1026" o:spt="3" type="#_x0000_t3" style="position:absolute;left:7411;top:9211;height:65;width:75;" filled="f" stroked="t" coordsize="21600,21600" o:gfxdata="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uLE0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1" o:spid="_x0000_s1026" o:spt="3" type="#_x0000_t3" style="position:absolute;left:7871;top:6933;height:65;width:75;" filled="f" stroked="t" coordsize="21600,21600" o:gfxdata="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fVCg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72" o:spid="_x0000_s1026" o:spt="3" type="#_x0000_t3" style="position:absolute;left:7871;top:7584;height:66;width:75;" filled="f" stroked="t" coordsize="21600,21600" o:gfxdata="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DH1O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3" o:spid="_x0000_s1026" o:spt="3" type="#_x0000_t3" style="position:absolute;left:7871;top:8236;height:65;width:75;" filled="f" stroked="t" coordsize="21600,21600" o:gfxdata="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0sp7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74" o:spid="_x0000_s1026" o:spt="3" type="#_x0000_t3" style="position:absolute;left:7871;top:8886;height:65;width:75;" filled="f" stroked="t" coordsize="21600,21600" o:gfxdata="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55v4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5" o:spid="_x0000_s1026" o:spt="3" type="#_x0000_t3" style="position:absolute;left:8220;top:6606;height:65;width:74;" filled="f" stroked="t" coordsize="21600,21600" o:gfxdata="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zxl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6" o:spid="_x0000_s1026" o:spt="3" type="#_x0000_t3" style="position:absolute;left:8220;top:7257;height:66;width:74;" filled="f" stroked="t" coordsize="21600,21600" o:gfxdata="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ABUD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7" o:spid="_x0000_s1026" o:spt="3" type="#_x0000_t3" style="position:absolute;left:8220;top:7908;height:65;width:74;" filled="f" stroked="t" coordsize="21600,21600" o:gfxdata="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nMe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8" o:spid="_x0000_s1026" o:spt="3" type="#_x0000_t3" style="position:absolute;left:8220;top:8559;height:66;width:74;" filled="f" stroked="t" coordsize="21600,21600" o:gfxdata="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KVp4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79" o:spid="_x0000_s1026" o:spt="3" type="#_x0000_t3" style="position:absolute;left:8220;top:9211;height:65;width:74;" filled="f" stroked="t" coordsize="21600,21600" o:gfxdata="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Hf3l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80" o:spid="_x0000_s1026" o:spt="3" type="#_x0000_t3" style="position:absolute;left:8642;top:6933;height:65;width:75;" filled="f" stroked="t" coordsize="21600,21600" o:gfxdata="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6ztSD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81" o:spid="_x0000_s1026" o:spt="3" type="#_x0000_t3" style="position:absolute;left:8642;top:7584;height:66;width:75;" filled="f" stroked="t" coordsize="21600,21600" o:gfxdata="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MZ9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82" o:spid="_x0000_s1026" o:spt="3" type="#_x0000_t3" style="position:absolute;left:8642;top:8236;height:65;width:75;" filled="f" stroked="t" coordsize="21600,21600" o:gfxdata="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ehj5r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483" o:spid="_x0000_s1026" o:spt="3" type="#_x0000_t3" style="position:absolute;left:8642;top:8886;height:65;width:75;" filled="f" stroked="t" coordsize="21600,21600" o:gfxdata="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Qe6XL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484" o:spid="_x0000_s1026" o:spt="3" type="#_x0000_t3" style="position:absolute;left:9002;top:7127;height:65;width:75;" filled="f" stroked="t" coordsize="21600,21600" o:gfxdata="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ksfx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485" o:spid="_x0000_s1026" o:spt="3" type="#_x0000_t3" style="position:absolute;left:9002;top:7649;height:65;width:75;" filled="f" stroked="t" coordsize="21600,21600" o:gfxdata="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mYGw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486" o:spid="_x0000_s1026" o:spt="3" type="#_x0000_t3" style="position:absolute;left:9002;top:8170;height:66;width:75;" filled="f" stroked="t" coordsize="21600,21600" o:gfxdata="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1SQr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87" o:spid="_x0000_s1026" o:spt="3" type="#_x0000_t3" style="position:absolute;left:9002;top:8692;height:65;width:75;" filled="f" stroked="t" coordsize="21600,21600" o:gfxdata="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PLxf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488" o:spid="_x0000_s1026" o:spt="3" type="#_x0000_t3" style="position:absolute;left:9002;top:9214;height:65;width:75;" filled="f" stroked="t" coordsize="21600,21600" o:gfxdata="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cBnE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line id="直线 489" o:spid="_x0000_s1026" o:spt="20" style="position:absolute;left:4314;top:7285;flip:x;height:1;width:178;" filled="f" stroked="t" coordsize="21600,21600" o:gfxdata="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wkd1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490" o:spid="_x0000_s1026" o:spt="20" style="position:absolute;left:4314;top:7947;flip:x;height:1;width:178;" filled="f" stroked="t" coordsize="21600,21600" o:gfxdata="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juLu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491" o:spid="_x0000_s1026" o:spt="20" style="position:absolute;left:4314;top:8589;flip:x;height:1;width:178;" filled="f" stroked="t" coordsize="21600,21600" o:gfxdata="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EXac&#10;wAAAAN0AAAAPAAAAAAAAAAEAIAAAACIAAABkcnMvZG93bnJldi54bWxQSwECFAAUAAAACACHTuJA&#10;My8FnjsAAAA5AAAAEAAAAAAAAAABACAAAAAPAQAAZHJzL3NoYXBleG1sLnhtbFBLBQYAAAAABgAG&#10;AFsBAAC5AwAAAAA=&#10;">
                  <v:fill on="f" focussize="0,0"/>
                  <v:stroke weight="0.5pt" color="#000000" joinstyle="round"/>
                  <v:imagedata o:title=""/>
                  <o:lock v:ext="edit" aspectratio="f"/>
                </v:line>
                <v:line id="直线 492" o:spid="_x0000_s1026" o:spt="20" style="position:absolute;left:4477;top:7285;height:662;width:1;" filled="f" stroked="t" coordsize="21600,21600" o:gfxdata="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6gXxvQAA&#10;AN0AAAAPAAAAAAAAAAEAIAAAACIAAABkcnMvZG93bnJldi54bWxQSwECFAAUAAAACACHTuJAMy8F&#10;njsAAAA5AAAAEAAAAAAAAAABACAAAAAMAQAAZHJzL3NoYXBleG1sLnhtbFBLBQYAAAAABgAGAFsB&#10;AAC2AwAAAAA=&#10;">
                  <v:fill on="f" focussize="0,0"/>
                  <v:stroke weight="0.5pt" color="#000000" joinstyle="round" startarrow="classic" startarrowwidth="narrow" startarrowlength="long" endarrow="classic" endarrowwidth="narrow" endarrowlength="long"/>
                  <v:imagedata o:title=""/>
                  <o:lock v:ext="edit" aspectratio="f"/>
                </v:line>
                <v:line id="直线 493" o:spid="_x0000_s1026" o:spt="20" style="position:absolute;left:4477;top:7947;height:642;width:1;" filled="f" stroked="t" coordsize="21600,21600" o:gfxdata="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CTqx&#10;wAAAAN0AAAAPAAAAAAAAAAEAIAAAACIAAABkcnMvZG93bnJldi54bWxQSwECFAAUAAAACACHTuJA&#10;My8FnjsAAAA5AAAAEAAAAAAAAAABACAAAAAPAQAAZHJzL3NoYXBleG1sLnhtbFBLBQYAAAAABgAG&#10;AFsBAAC5AwAAAAA=&#10;">
                  <v:fill on="f" focussize="0,0"/>
                  <v:stroke weight="0.5pt" color="#000000" joinstyle="round" startarrow="classic" startarrowwidth="narrow" startarrowlength="long" endarrow="classic" endarrowwidth="narrow" endarrowlength="long"/>
                  <v:imagedata o:title=""/>
                  <o:lock v:ext="edit" aspectratio="f"/>
                </v:line>
                <v:line id="直线 494" o:spid="_x0000_s1026" o:spt="20" style="position:absolute;left:4566;top:7086;flip:y;height:175;width:1;" filled="f" stroked="t" coordsize="21600,21600" o:gfxdata="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8knc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495" o:spid="_x0000_s1026" o:spt="20" style="position:absolute;left:4065;top:7137;height:1;width:249;" filled="f" stroked="t" coordsize="21600,21600" o:gfxdata="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jx/9b4A&#10;AADdAAAADwAAAAAAAAABACAAAAAiAAAAZHJzL2Rvd25yZXYueG1sUEsBAhQAFAAAAAgAh07iQDMv&#10;BZ47AAAAOQAAABAAAAAAAAAAAQAgAAAADQEAAGRycy9zaGFwZXhtbC54bWxQSwUGAAAAAAYABgBb&#10;AQAAtwMAAAAA&#10;">
                  <v:fill on="f" focussize="0,0"/>
                  <v:stroke weight="0.5pt" color="#000000" joinstyle="round" endarrow="classic" endarrowwidth="narrow" endarrowlength="long"/>
                  <v:imagedata o:title=""/>
                  <o:lock v:ext="edit" aspectratio="f"/>
                </v:line>
                <v:line id="直线 496" o:spid="_x0000_s1026" o:spt="20" style="position:absolute;left:4566;top:7137;height:1;width:260;" filled="f" stroked="t" coordsize="21600,21600" o:gfxdata="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AJ0K8AAAA&#10;3QAAAA8AAAAAAAAAAQAgAAAAIgAAAGRycy9kb3ducmV2LnhtbFBLAQIUABQAAAAIAIdO4kAzLwWe&#10;OwAAADkAAAAQAAAAAAAAAAEAIAAAAAsBAABkcnMvc2hhcGV4bWwueG1sUEsFBgAAAAAGAAYAWwEA&#10;ALUDAAAAAA==&#10;">
                  <v:fill on="f" focussize="0,0"/>
                  <v:stroke weight="0.5pt" color="#000000" joinstyle="round" startarrow="classic" startarrowwidth="narrow" startarrowlength="long" endarrowwidth="narrow" endarrowlength="long"/>
                  <v:imagedata o:title=""/>
                  <o:lock v:ext="edit" aspectratio="f"/>
                </v:line>
                <v:line id="直线 497" o:spid="_x0000_s1026" o:spt="20" style="position:absolute;left:4550;top:7326;height:258;width:1;" filled="f" stroked="t" coordsize="21600,21600" o:gfxdata="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Xr1w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498" o:spid="_x0000_s1026" o:spt="20" style="position:absolute;left:5013;top:7323;flip:y;height:261;width:1;" filled="f" stroked="t" coordsize="21600,21600" o:gfxdata="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yU/f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499" o:spid="_x0000_s1026" o:spt="20" style="position:absolute;left:4550;top:7455;height:1;width:463;" filled="f" stroked="t" coordsize="21600,21600" o:gfxdata="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TOL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00" o:spid="_x0000_s1026" o:spt="20" style="position:absolute;left:6181;top:7692;height:1;width:335;" filled="f" stroked="t" coordsize="21600,21600" o:gfxdata="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ahrt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01" o:spid="_x0000_s1026" o:spt="20" style="position:absolute;left:6181;top:8214;height:1;width:335;" filled="f" stroked="t" coordsize="21600,21600" o:gfxdata="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Df/x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502" o:spid="_x0000_s1026" o:spt="20" style="position:absolute;left:6377;top:7692;height:522;width:1;" filled="f" stroked="t" coordsize="21600,21600" o:gfxdata="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zkyy8AAAA&#10;3QAAAA8AAAAAAAAAAQAgAAAAIgAAAGRycy9kb3ducmV2LnhtbFBLAQIUABQAAAAIAIdO4kAzLwWe&#10;OwAAADkAAAAQAAAAAAAAAAEAIAAAAAsBAABkcnMvc2hhcGV4bWwueG1sUEsFBgAAAAAGAAYAWwEA&#10;ALUDAAAAAA==&#10;">
                  <v:fill on="f" focussize="0,0"/>
                  <v:stroke weight="0.5pt" color="#000000" joinstyle="round" startarrow="classic" startarrowwidth="narrow" startarrowlength="long" endarrow="classic" endarrowwidth="narrow" endarrowlength="long"/>
                  <v:imagedata o:title=""/>
                  <o:lock v:ext="edit" aspectratio="f"/>
                </v:line>
                <v:shape id="文本框 503" o:spid="_x0000_s1026" o:spt="202" type="#_x0000_t202" style="position:absolute;left:9064;top:7801;height:273;width:287;" filled="f" stroked="f" coordsize="21600,21600" o:gfxdata="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NaxpO/&#10;AAAA3Q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677406B4">
                        <w:pPr>
                          <w:pStyle w:val="33"/>
                          <w:tabs>
                            <w:tab w:val="clear" w:pos="4153"/>
                            <w:tab w:val="clear" w:pos="8306"/>
                          </w:tabs>
                          <w:snapToGrid/>
                          <w:spacing w:line="240" w:lineRule="exact"/>
                          <w:rPr>
                            <w:rFonts w:ascii="宋体" w:hAnsi="宋体"/>
                            <w:szCs w:val="24"/>
                          </w:rPr>
                        </w:pPr>
                        <w:r>
                          <w:rPr>
                            <w:rFonts w:ascii="宋体" w:hAnsi="宋体"/>
                            <w:szCs w:val="24"/>
                          </w:rPr>
                          <w:t>2b</w:t>
                        </w:r>
                      </w:p>
                    </w:txbxContent>
                  </v:textbox>
                </v:shape>
                <v:line id="直线 504" o:spid="_x0000_s1026" o:spt="20" style="position:absolute;left:9114;top:7682;height:1;width:335;" filled="f" stroked="t" coordsize="21600,21600" o:gfxdata="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uzV4m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505" o:spid="_x0000_s1026" o:spt="20" style="position:absolute;left:9114;top:8202;height:1;width:335;" filled="f" stroked="t" coordsize="21600,21600" o:gfxdata="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Ycn+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506" o:spid="_x0000_s1026" o:spt="20" style="position:absolute;left:9309;top:7682;height:520;width:1;" filled="f" stroked="t" coordsize="21600,21600" o:gfxdata="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lpRe8AAAA&#10;3QAAAA8AAAAAAAAAAQAgAAAAIgAAAGRycy9kb3ducmV2LnhtbFBLAQIUABQAAAAIAIdO4kAzLwWe&#10;OwAAADkAAAAQAAAAAAAAAAEAIAAAAAsBAABkcnMvc2hhcGV4bWwueG1sUEsFBgAAAAAGAAYAWwEA&#10;ALUDAAAAAA==&#10;">
                  <v:fill on="f" focussize="0,0"/>
                  <v:stroke weight="0.5pt" color="#000000" joinstyle="round" startarrow="classic" startarrowwidth="narrow" startarrowlength="long" endarrow="classic" endarrowwidth="narrow" endarrowlength="long"/>
                  <v:imagedata o:title=""/>
                  <o:lock v:ext="edit" aspectratio="f"/>
                </v:line>
                <v:line id="直线 507" o:spid="_x0000_s1026" o:spt="20" style="position:absolute;left:6654;top:6530;height:2833;width:1;" filled="f" stroked="t" coordsize="21600,21600" o:gfxdata="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8T0E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08" o:spid="_x0000_s1026" o:spt="20" style="position:absolute;left:4327;top:6519;height:2834;width:1;" filled="f" stroked="t" coordsize="21600,21600" o:gfxdata="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iFGK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group>
            </w:pict>
          </mc:Fallback>
        </mc:AlternateContent>
      </w:r>
    </w:p>
    <w:p w14:paraId="55EB30C9">
      <w:pPr>
        <w:pStyle w:val="178"/>
        <w:rPr>
          <w:rFonts w:hint="default" w:cs="Times New Roman" w:asciiTheme="minorEastAsia" w:hAnsiTheme="minorEastAsia" w:eastAsiaTheme="minorEastAsia"/>
          <w:szCs w:val="24"/>
          <w:highlight w:val="none"/>
          <w:lang w:val="en-US" w:eastAsia="zh-CN"/>
        </w:rPr>
      </w:pPr>
    </w:p>
    <w:p w14:paraId="5AEF6B2C">
      <w:pPr>
        <w:pStyle w:val="178"/>
        <w:rPr>
          <w:rFonts w:hint="default" w:cs="Times New Roman" w:asciiTheme="minorEastAsia" w:hAnsiTheme="minorEastAsia" w:eastAsiaTheme="minorEastAsia"/>
          <w:szCs w:val="24"/>
          <w:highlight w:val="none"/>
          <w:lang w:val="en-US" w:eastAsia="zh-CN"/>
        </w:rPr>
      </w:pPr>
    </w:p>
    <w:p w14:paraId="4865CCB7">
      <w:pPr>
        <w:pStyle w:val="178"/>
        <w:rPr>
          <w:rFonts w:hint="default" w:cs="Times New Roman" w:asciiTheme="minorEastAsia" w:hAnsiTheme="minorEastAsia" w:eastAsiaTheme="minorEastAsia"/>
          <w:szCs w:val="24"/>
          <w:highlight w:val="none"/>
          <w:lang w:val="en-US" w:eastAsia="zh-CN"/>
        </w:rPr>
      </w:pPr>
    </w:p>
    <w:p w14:paraId="00E8827A">
      <w:pPr>
        <w:pStyle w:val="178"/>
        <w:rPr>
          <w:rFonts w:hint="default" w:cs="Times New Roman" w:asciiTheme="minorEastAsia" w:hAnsiTheme="minorEastAsia" w:eastAsiaTheme="minorEastAsia"/>
          <w:szCs w:val="24"/>
          <w:highlight w:val="none"/>
          <w:lang w:val="en-US" w:eastAsia="zh-CN"/>
        </w:rPr>
      </w:pPr>
    </w:p>
    <w:p w14:paraId="7CB313C2">
      <w:pPr>
        <w:pStyle w:val="178"/>
        <w:rPr>
          <w:rFonts w:hint="default" w:cs="Times New Roman" w:asciiTheme="minorEastAsia" w:hAnsiTheme="minorEastAsia" w:eastAsiaTheme="minorEastAsia"/>
          <w:szCs w:val="24"/>
          <w:highlight w:val="none"/>
          <w:lang w:val="en-US" w:eastAsia="zh-CN"/>
        </w:rPr>
      </w:pPr>
    </w:p>
    <w:p w14:paraId="0104F2D1">
      <w:pPr>
        <w:pStyle w:val="178"/>
        <w:rPr>
          <w:rFonts w:hint="default" w:cs="Times New Roman" w:asciiTheme="minorEastAsia" w:hAnsiTheme="minorEastAsia" w:eastAsiaTheme="minorEastAsia"/>
          <w:szCs w:val="24"/>
          <w:highlight w:val="none"/>
          <w:lang w:val="en-US" w:eastAsia="zh-CN"/>
        </w:rPr>
      </w:pPr>
    </w:p>
    <w:p w14:paraId="769D8240">
      <w:pPr>
        <w:pStyle w:val="178"/>
        <w:rPr>
          <w:rFonts w:hint="default" w:cs="Times New Roman" w:asciiTheme="minorEastAsia" w:hAnsiTheme="minorEastAsia" w:eastAsiaTheme="minorEastAsia"/>
          <w:szCs w:val="24"/>
          <w:highlight w:val="none"/>
          <w:lang w:val="en-US" w:eastAsia="zh-CN"/>
        </w:rPr>
      </w:pPr>
    </w:p>
    <w:p w14:paraId="66187713">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图8.11 宽孔距小排距梅花形全路堑开挖平面布孔图</w:t>
      </w:r>
    </w:p>
    <w:p w14:paraId="47D8FE23">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mc:AlternateContent>
          <mc:Choice Requires="wpg">
            <w:drawing>
              <wp:anchor distT="0" distB="0" distL="114300" distR="114300" simplePos="0" relativeHeight="251687936" behindDoc="0" locked="0" layoutInCell="1" allowOverlap="1">
                <wp:simplePos x="0" y="0"/>
                <wp:positionH relativeFrom="column">
                  <wp:posOffset>475615</wp:posOffset>
                </wp:positionH>
                <wp:positionV relativeFrom="paragraph">
                  <wp:posOffset>60325</wp:posOffset>
                </wp:positionV>
                <wp:extent cx="4360545" cy="1871980"/>
                <wp:effectExtent l="0" t="0" r="0" b="2540"/>
                <wp:wrapNone/>
                <wp:docPr id="1908" name="组合 509"/>
                <wp:cNvGraphicFramePr/>
                <a:graphic xmlns:a="http://schemas.openxmlformats.org/drawingml/2006/main">
                  <a:graphicData uri="http://schemas.microsoft.com/office/word/2010/wordprocessingGroup">
                    <wpg:wgp>
                      <wpg:cNvGrpSpPr/>
                      <wpg:grpSpPr>
                        <a:xfrm>
                          <a:off x="1465580" y="3773170"/>
                          <a:ext cx="4360545" cy="1871980"/>
                          <a:chOff x="2234" y="11202"/>
                          <a:chExt cx="7966" cy="3924"/>
                        </a:xfrm>
                        <a:effectLst/>
                      </wpg:grpSpPr>
                      <wps:wsp>
                        <wps:cNvPr id="1807" name="文本框 510"/>
                        <wps:cNvSpPr txBox="1"/>
                        <wps:spPr>
                          <a:xfrm>
                            <a:off x="7426" y="13920"/>
                            <a:ext cx="384" cy="366"/>
                          </a:xfrm>
                          <a:prstGeom prst="rect">
                            <a:avLst/>
                          </a:prstGeom>
                          <a:noFill/>
                          <a:ln w="6350">
                            <a:noFill/>
                          </a:ln>
                          <a:effectLst/>
                        </wps:spPr>
                        <wps:txbx>
                          <w:txbxContent>
                            <w:p w14:paraId="48E535B7">
                              <w:pPr>
                                <w:jc w:val="center"/>
                                <w:rPr>
                                  <w:rFonts w:ascii="宋体" w:hAnsi="宋体"/>
                                </w:rPr>
                              </w:pPr>
                            </w:p>
                          </w:txbxContent>
                        </wps:txbx>
                        <wps:bodyPr lIns="0" tIns="0" rIns="0" bIns="0" upright="1"/>
                      </wps:wsp>
                      <wps:wsp>
                        <wps:cNvPr id="1808" name="文本框 511"/>
                        <wps:cNvSpPr txBox="1"/>
                        <wps:spPr>
                          <a:xfrm>
                            <a:off x="6981" y="13359"/>
                            <a:ext cx="384" cy="366"/>
                          </a:xfrm>
                          <a:prstGeom prst="rect">
                            <a:avLst/>
                          </a:prstGeom>
                          <a:noFill/>
                          <a:ln w="6350">
                            <a:noFill/>
                          </a:ln>
                          <a:effectLst/>
                        </wps:spPr>
                        <wps:txbx>
                          <w:txbxContent>
                            <w:p w14:paraId="7D2E012A">
                              <w:pPr>
                                <w:jc w:val="center"/>
                                <w:rPr>
                                  <w:rFonts w:ascii="宋体" w:hAnsi="宋体"/>
                                </w:rPr>
                              </w:pPr>
                            </w:p>
                          </w:txbxContent>
                        </wps:txbx>
                        <wps:bodyPr lIns="0" tIns="0" rIns="0" bIns="0" upright="1"/>
                      </wps:wsp>
                      <wps:wsp>
                        <wps:cNvPr id="1809" name="文本框 512"/>
                        <wps:cNvSpPr txBox="1"/>
                        <wps:spPr>
                          <a:xfrm>
                            <a:off x="7503" y="12834"/>
                            <a:ext cx="385" cy="367"/>
                          </a:xfrm>
                          <a:prstGeom prst="rect">
                            <a:avLst/>
                          </a:prstGeom>
                          <a:noFill/>
                          <a:ln w="6350">
                            <a:noFill/>
                          </a:ln>
                          <a:effectLst/>
                        </wps:spPr>
                        <wps:txbx>
                          <w:txbxContent>
                            <w:p w14:paraId="18077334">
                              <w:pPr>
                                <w:jc w:val="center"/>
                                <w:rPr>
                                  <w:rFonts w:ascii="宋体" w:hAnsi="宋体"/>
                                </w:rPr>
                              </w:pPr>
                            </w:p>
                          </w:txbxContent>
                        </wps:txbx>
                        <wps:bodyPr lIns="0" tIns="0" rIns="0" bIns="0" upright="1"/>
                      </wps:wsp>
                      <wps:wsp>
                        <wps:cNvPr id="1810" name="文本框 513"/>
                        <wps:cNvSpPr txBox="1"/>
                        <wps:spPr>
                          <a:xfrm>
                            <a:off x="6965" y="12294"/>
                            <a:ext cx="384" cy="367"/>
                          </a:xfrm>
                          <a:prstGeom prst="rect">
                            <a:avLst/>
                          </a:prstGeom>
                          <a:noFill/>
                          <a:ln w="6350">
                            <a:noFill/>
                          </a:ln>
                          <a:effectLst/>
                        </wps:spPr>
                        <wps:txbx>
                          <w:txbxContent>
                            <w:p w14:paraId="11F7148D">
                              <w:pPr>
                                <w:jc w:val="center"/>
                                <w:rPr>
                                  <w:rFonts w:ascii="宋体" w:hAnsi="宋体"/>
                                </w:rPr>
                              </w:pPr>
                            </w:p>
                          </w:txbxContent>
                        </wps:txbx>
                        <wps:bodyPr lIns="0" tIns="0" rIns="0" bIns="0" upright="1"/>
                      </wps:wsp>
                      <wps:wsp>
                        <wps:cNvPr id="1811" name="文本框 514"/>
                        <wps:cNvSpPr txBox="1"/>
                        <wps:spPr>
                          <a:xfrm>
                            <a:off x="5246" y="14596"/>
                            <a:ext cx="1557" cy="530"/>
                          </a:xfrm>
                          <a:prstGeom prst="rect">
                            <a:avLst/>
                          </a:prstGeom>
                          <a:noFill/>
                          <a:ln w="6350">
                            <a:noFill/>
                          </a:ln>
                          <a:effectLst/>
                        </wps:spPr>
                        <wps:txbx>
                          <w:txbxContent>
                            <w:p w14:paraId="0C200D27">
                              <w:pPr>
                                <w:pStyle w:val="120"/>
                                <w:spacing w:line="360" w:lineRule="exact"/>
                                <w:rPr>
                                  <w:rFonts w:ascii="宋体" w:hAnsi="宋体" w:eastAsia="宋体"/>
                                  <w:szCs w:val="24"/>
                                </w:rPr>
                              </w:pPr>
                              <w:r>
                                <w:rPr>
                                  <w:rFonts w:hint="eastAsia" w:ascii="宋体" w:hAnsi="宋体" w:eastAsia="宋体"/>
                                  <w:szCs w:val="24"/>
                                </w:rPr>
                                <w:t>连通管</w:t>
                              </w:r>
                            </w:p>
                          </w:txbxContent>
                        </wps:txbx>
                        <wps:bodyPr lIns="0" tIns="0" rIns="0" bIns="0" upright="1"/>
                      </wps:wsp>
                      <wps:wsp>
                        <wps:cNvPr id="1812" name="文本框 515"/>
                        <wps:cNvSpPr txBox="1"/>
                        <wps:spPr>
                          <a:xfrm>
                            <a:off x="2830" y="12756"/>
                            <a:ext cx="1091" cy="367"/>
                          </a:xfrm>
                          <a:prstGeom prst="rect">
                            <a:avLst/>
                          </a:prstGeom>
                          <a:noFill/>
                          <a:ln w="6350">
                            <a:noFill/>
                          </a:ln>
                          <a:effectLst/>
                        </wps:spPr>
                        <wps:txbx>
                          <w:txbxContent>
                            <w:p w14:paraId="0389BF47">
                              <w:pPr>
                                <w:pStyle w:val="120"/>
                                <w:spacing w:line="240" w:lineRule="exact"/>
                                <w:rPr>
                                  <w:rFonts w:ascii="宋体" w:hAnsi="宋体" w:eastAsia="宋体"/>
                                  <w:szCs w:val="24"/>
                                </w:rPr>
                              </w:pPr>
                              <w:r>
                                <w:rPr>
                                  <w:rFonts w:hint="eastAsia" w:ascii="宋体" w:hAnsi="宋体" w:eastAsia="宋体"/>
                                  <w:szCs w:val="24"/>
                                </w:rPr>
                                <w:t>8段</w:t>
                              </w:r>
                            </w:p>
                          </w:txbxContent>
                        </wps:txbx>
                        <wps:bodyPr lIns="0" tIns="0" rIns="0" bIns="0" upright="1"/>
                      </wps:wsp>
                      <wps:wsp>
                        <wps:cNvPr id="1813" name="文本框 516"/>
                        <wps:cNvSpPr txBox="1"/>
                        <wps:spPr>
                          <a:xfrm>
                            <a:off x="2343" y="13310"/>
                            <a:ext cx="1091" cy="367"/>
                          </a:xfrm>
                          <a:prstGeom prst="rect">
                            <a:avLst/>
                          </a:prstGeom>
                          <a:noFill/>
                          <a:ln w="6350">
                            <a:noFill/>
                          </a:ln>
                          <a:effectLst/>
                        </wps:spPr>
                        <wps:txbx>
                          <w:txbxContent>
                            <w:p w14:paraId="0A667D52">
                              <w:pPr>
                                <w:pStyle w:val="120"/>
                                <w:spacing w:line="240" w:lineRule="exact"/>
                                <w:rPr>
                                  <w:rFonts w:ascii="宋体" w:hAnsi="宋体" w:eastAsia="宋体"/>
                                </w:rPr>
                              </w:pPr>
                              <w:r>
                                <w:rPr>
                                  <w:rFonts w:hint="eastAsia" w:ascii="宋体" w:hAnsi="宋体" w:eastAsia="宋体"/>
                                  <w:szCs w:val="24"/>
                                </w:rPr>
                                <w:t>6段</w:t>
                              </w:r>
                            </w:p>
                          </w:txbxContent>
                        </wps:txbx>
                        <wps:bodyPr lIns="0" tIns="0" rIns="0" bIns="0" upright="1"/>
                      </wps:wsp>
                      <wps:wsp>
                        <wps:cNvPr id="1814" name="文本框 517"/>
                        <wps:cNvSpPr txBox="1"/>
                        <wps:spPr>
                          <a:xfrm>
                            <a:off x="2785" y="13835"/>
                            <a:ext cx="1091" cy="366"/>
                          </a:xfrm>
                          <a:prstGeom prst="rect">
                            <a:avLst/>
                          </a:prstGeom>
                          <a:noFill/>
                          <a:ln w="6350">
                            <a:noFill/>
                          </a:ln>
                          <a:effectLst/>
                        </wps:spPr>
                        <wps:txbx>
                          <w:txbxContent>
                            <w:p w14:paraId="0BED3F1E">
                              <w:pPr>
                                <w:pStyle w:val="120"/>
                                <w:spacing w:line="240" w:lineRule="exact"/>
                                <w:rPr>
                                  <w:rFonts w:ascii="宋体" w:hAnsi="宋体" w:eastAsia="宋体"/>
                                </w:rPr>
                              </w:pPr>
                              <w:r>
                                <w:rPr>
                                  <w:rFonts w:hint="eastAsia" w:ascii="宋体" w:hAnsi="宋体" w:eastAsia="宋体"/>
                                  <w:szCs w:val="24"/>
                                </w:rPr>
                                <w:t>4段</w:t>
                              </w:r>
                            </w:p>
                          </w:txbxContent>
                        </wps:txbx>
                        <wps:bodyPr lIns="0" tIns="0" rIns="0" bIns="0" upright="1"/>
                      </wps:wsp>
                      <wps:wsp>
                        <wps:cNvPr id="1815" name="文本框 518"/>
                        <wps:cNvSpPr txBox="1"/>
                        <wps:spPr>
                          <a:xfrm>
                            <a:off x="2234" y="14374"/>
                            <a:ext cx="1091" cy="366"/>
                          </a:xfrm>
                          <a:prstGeom prst="rect">
                            <a:avLst/>
                          </a:prstGeom>
                          <a:noFill/>
                          <a:ln w="6350">
                            <a:noFill/>
                          </a:ln>
                          <a:effectLst/>
                        </wps:spPr>
                        <wps:txbx>
                          <w:txbxContent>
                            <w:p w14:paraId="7952A964">
                              <w:pPr>
                                <w:pStyle w:val="120"/>
                                <w:spacing w:line="240" w:lineRule="exact"/>
                                <w:rPr>
                                  <w:rFonts w:ascii="宋体" w:hAnsi="宋体" w:eastAsia="宋体"/>
                                </w:rPr>
                              </w:pPr>
                              <w:r>
                                <w:rPr>
                                  <w:rFonts w:hint="eastAsia" w:ascii="宋体" w:hAnsi="宋体" w:eastAsia="宋体"/>
                                  <w:szCs w:val="24"/>
                                </w:rPr>
                                <w:t>1段</w:t>
                              </w:r>
                            </w:p>
                          </w:txbxContent>
                        </wps:txbx>
                        <wps:bodyPr lIns="0" tIns="0" rIns="0" bIns="0" upright="1"/>
                      </wps:wsp>
                      <wps:wsp>
                        <wps:cNvPr id="1816" name="文本框 519"/>
                        <wps:cNvSpPr txBox="1"/>
                        <wps:spPr>
                          <a:xfrm>
                            <a:off x="2295" y="12175"/>
                            <a:ext cx="1091" cy="366"/>
                          </a:xfrm>
                          <a:prstGeom prst="rect">
                            <a:avLst/>
                          </a:prstGeom>
                          <a:noFill/>
                          <a:ln w="6350">
                            <a:noFill/>
                          </a:ln>
                          <a:effectLst/>
                        </wps:spPr>
                        <wps:txbx>
                          <w:txbxContent>
                            <w:p w14:paraId="4D9D2EC7">
                              <w:pPr>
                                <w:pStyle w:val="120"/>
                                <w:spacing w:line="240" w:lineRule="exact"/>
                                <w:rPr>
                                  <w:rFonts w:ascii="宋体" w:hAnsi="宋体" w:eastAsia="宋体"/>
                                  <w:szCs w:val="24"/>
                                </w:rPr>
                              </w:pPr>
                              <w:r>
                                <w:rPr>
                                  <w:rFonts w:hint="eastAsia" w:ascii="宋体" w:hAnsi="宋体" w:eastAsia="宋体"/>
                                  <w:szCs w:val="24"/>
                                </w:rPr>
                                <w:t>10段</w:t>
                              </w:r>
                            </w:p>
                          </w:txbxContent>
                        </wps:txbx>
                        <wps:bodyPr lIns="0" tIns="0" rIns="0" bIns="0" upright="1"/>
                      </wps:wsp>
                      <wps:wsp>
                        <wps:cNvPr id="1817" name="文本框 520"/>
                        <wps:cNvSpPr txBox="1"/>
                        <wps:spPr>
                          <a:xfrm>
                            <a:off x="8643" y="11461"/>
                            <a:ext cx="1557" cy="540"/>
                          </a:xfrm>
                          <a:prstGeom prst="rect">
                            <a:avLst/>
                          </a:prstGeom>
                          <a:noFill/>
                          <a:ln w="6350">
                            <a:noFill/>
                          </a:ln>
                          <a:effectLst/>
                        </wps:spPr>
                        <wps:txbx>
                          <w:txbxContent>
                            <w:p w14:paraId="408786B5">
                              <w:pPr>
                                <w:pStyle w:val="120"/>
                                <w:spacing w:line="360" w:lineRule="exact"/>
                                <w:rPr>
                                  <w:rFonts w:ascii="宋体" w:hAnsi="宋体" w:eastAsia="宋体"/>
                                  <w:szCs w:val="24"/>
                                </w:rPr>
                              </w:pPr>
                              <w:r>
                                <w:rPr>
                                  <w:rFonts w:hint="eastAsia" w:ascii="宋体" w:hAnsi="宋体" w:eastAsia="宋体"/>
                                  <w:szCs w:val="24"/>
                                </w:rPr>
                                <w:t>起爆雷管</w:t>
                              </w:r>
                            </w:p>
                          </w:txbxContent>
                        </wps:txbx>
                        <wps:bodyPr lIns="0" tIns="0" rIns="0" bIns="0" upright="1"/>
                      </wps:wsp>
                      <wps:wsp>
                        <wps:cNvPr id="1818" name="文本框 521"/>
                        <wps:cNvSpPr txBox="1"/>
                        <wps:spPr>
                          <a:xfrm>
                            <a:off x="6297" y="11202"/>
                            <a:ext cx="1558" cy="529"/>
                          </a:xfrm>
                          <a:prstGeom prst="rect">
                            <a:avLst/>
                          </a:prstGeom>
                          <a:noFill/>
                          <a:ln w="6350">
                            <a:noFill/>
                          </a:ln>
                          <a:effectLst/>
                        </wps:spPr>
                        <wps:txbx>
                          <w:txbxContent>
                            <w:p w14:paraId="7978EC34">
                              <w:pPr>
                                <w:pStyle w:val="120"/>
                                <w:spacing w:line="360" w:lineRule="exact"/>
                                <w:rPr>
                                  <w:rFonts w:ascii="宋体" w:hAnsi="宋体" w:eastAsia="宋体"/>
                                  <w:szCs w:val="24"/>
                                </w:rPr>
                              </w:pPr>
                              <w:r>
                                <w:rPr>
                                  <w:rFonts w:hint="eastAsia" w:ascii="宋体" w:hAnsi="宋体" w:eastAsia="宋体"/>
                                  <w:szCs w:val="24"/>
                                </w:rPr>
                                <w:t>孔内导爆管</w:t>
                              </w:r>
                            </w:p>
                          </w:txbxContent>
                        </wps:txbx>
                        <wps:bodyPr lIns="0" tIns="0" rIns="0" bIns="0" upright="1"/>
                      </wps:wsp>
                      <wps:wsp>
                        <wps:cNvPr id="1819" name="文本框 522"/>
                        <wps:cNvSpPr txBox="1"/>
                        <wps:spPr>
                          <a:xfrm>
                            <a:off x="4315" y="11202"/>
                            <a:ext cx="1558" cy="529"/>
                          </a:xfrm>
                          <a:prstGeom prst="rect">
                            <a:avLst/>
                          </a:prstGeom>
                          <a:noFill/>
                          <a:ln w="6350">
                            <a:noFill/>
                          </a:ln>
                          <a:effectLst/>
                        </wps:spPr>
                        <wps:txbx>
                          <w:txbxContent>
                            <w:p w14:paraId="3841F38C">
                              <w:pPr>
                                <w:pStyle w:val="120"/>
                                <w:spacing w:line="340" w:lineRule="exact"/>
                                <w:rPr>
                                  <w:rFonts w:ascii="宋体" w:hAnsi="宋体" w:eastAsia="宋体"/>
                                </w:rPr>
                              </w:pPr>
                              <w:r>
                                <w:rPr>
                                  <w:rFonts w:hint="eastAsia" w:ascii="宋体" w:hAnsi="宋体" w:eastAsia="宋体"/>
                                  <w:szCs w:val="24"/>
                                </w:rPr>
                                <w:t>孔内导爆雷管</w:t>
                              </w:r>
                            </w:p>
                          </w:txbxContent>
                        </wps:txbx>
                        <wps:bodyPr lIns="0" tIns="0" rIns="0" bIns="0" upright="1"/>
                      </wps:wsp>
                      <wpg:grpSp>
                        <wpg:cNvPr id="1832" name="组合 523"/>
                        <wpg:cNvGrpSpPr/>
                        <wpg:grpSpPr>
                          <a:xfrm>
                            <a:off x="2983" y="14100"/>
                            <a:ext cx="4590" cy="427"/>
                            <a:chOff x="2266" y="7906"/>
                            <a:chExt cx="5394" cy="532"/>
                          </a:xfrm>
                          <a:effectLst/>
                        </wpg:grpSpPr>
                        <wps:wsp>
                          <wps:cNvPr id="1820" name="自选图形 524"/>
                          <wps:cNvSpPr/>
                          <wps:spPr>
                            <a:xfrm rot="-5487622">
                              <a:off x="4395"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21" name="自选图形 525"/>
                          <wps:cNvSpPr/>
                          <wps:spPr>
                            <a:xfrm rot="-5487622">
                              <a:off x="5980"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22" name="自选图形 526"/>
                          <wps:cNvSpPr/>
                          <wps:spPr>
                            <a:xfrm rot="-5487622">
                              <a:off x="7517"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23" name="自选图形 527"/>
                          <wps:cNvSpPr/>
                          <wps:spPr>
                            <a:xfrm rot="-5487622">
                              <a:off x="2814"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24" name="椭圆 528"/>
                          <wps:cNvSpPr/>
                          <wps:spPr>
                            <a:xfrm>
                              <a:off x="2266"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25" name="椭圆 529"/>
                          <wps:cNvSpPr/>
                          <wps:spPr>
                            <a:xfrm>
                              <a:off x="3832"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26" name="椭圆 530"/>
                          <wps:cNvSpPr/>
                          <wps:spPr>
                            <a:xfrm>
                              <a:off x="5398"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27" name="椭圆 531"/>
                          <wps:cNvSpPr/>
                          <wps:spPr>
                            <a:xfrm>
                              <a:off x="6965"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28" name="任意多边形 532"/>
                          <wps:cNvSpPr/>
                          <wps:spPr>
                            <a:xfrm>
                              <a:off x="2371"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29" name="任意多边形 533"/>
                          <wps:cNvSpPr/>
                          <wps:spPr>
                            <a:xfrm>
                              <a:off x="3952"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30" name="任意多边形 534"/>
                          <wps:cNvSpPr/>
                          <wps:spPr>
                            <a:xfrm>
                              <a:off x="5537"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31" name="任意多边形 535"/>
                          <wps:cNvSpPr/>
                          <wps:spPr>
                            <a:xfrm>
                              <a:off x="7074"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g:grpSp>
                      <wpg:grpSp>
                        <wpg:cNvPr id="1845" name="组合 536"/>
                        <wpg:cNvGrpSpPr/>
                        <wpg:grpSpPr>
                          <a:xfrm>
                            <a:off x="3034" y="13007"/>
                            <a:ext cx="4590" cy="427"/>
                            <a:chOff x="2266" y="7906"/>
                            <a:chExt cx="5394" cy="532"/>
                          </a:xfrm>
                          <a:effectLst/>
                        </wpg:grpSpPr>
                        <wps:wsp>
                          <wps:cNvPr id="1833" name="自选图形 537"/>
                          <wps:cNvSpPr/>
                          <wps:spPr>
                            <a:xfrm rot="-5487622">
                              <a:off x="4395"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34" name="自选图形 538"/>
                          <wps:cNvSpPr/>
                          <wps:spPr>
                            <a:xfrm rot="-5487622">
                              <a:off x="5980"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35" name="自选图形 539"/>
                          <wps:cNvSpPr/>
                          <wps:spPr>
                            <a:xfrm rot="-5487622">
                              <a:off x="7517"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36" name="自选图形 540"/>
                          <wps:cNvSpPr/>
                          <wps:spPr>
                            <a:xfrm rot="-5487622">
                              <a:off x="2814"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37" name="椭圆 541"/>
                          <wps:cNvSpPr/>
                          <wps:spPr>
                            <a:xfrm>
                              <a:off x="2266"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38" name="椭圆 542"/>
                          <wps:cNvSpPr/>
                          <wps:spPr>
                            <a:xfrm>
                              <a:off x="3832"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39" name="椭圆 543"/>
                          <wps:cNvSpPr/>
                          <wps:spPr>
                            <a:xfrm>
                              <a:off x="5398"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40" name="椭圆 544"/>
                          <wps:cNvSpPr/>
                          <wps:spPr>
                            <a:xfrm>
                              <a:off x="6965"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41" name="任意多边形 545"/>
                          <wps:cNvSpPr/>
                          <wps:spPr>
                            <a:xfrm>
                              <a:off x="2371"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42" name="任意多边形 546"/>
                          <wps:cNvSpPr/>
                          <wps:spPr>
                            <a:xfrm>
                              <a:off x="3952"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43" name="任意多边形 547"/>
                          <wps:cNvSpPr/>
                          <wps:spPr>
                            <a:xfrm>
                              <a:off x="5537"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44" name="任意多边形 548"/>
                          <wps:cNvSpPr/>
                          <wps:spPr>
                            <a:xfrm>
                              <a:off x="7074"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g:grpSp>
                      <wpg:grpSp>
                        <wpg:cNvPr id="1858" name="组合 549"/>
                        <wpg:cNvGrpSpPr/>
                        <wpg:grpSpPr>
                          <a:xfrm>
                            <a:off x="3514" y="13562"/>
                            <a:ext cx="4590" cy="425"/>
                            <a:chOff x="2266" y="7906"/>
                            <a:chExt cx="5394" cy="532"/>
                          </a:xfrm>
                          <a:effectLst/>
                        </wpg:grpSpPr>
                        <wps:wsp>
                          <wps:cNvPr id="1846" name="自选图形 550"/>
                          <wps:cNvSpPr/>
                          <wps:spPr>
                            <a:xfrm rot="-5487622">
                              <a:off x="4395"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47" name="自选图形 551"/>
                          <wps:cNvSpPr/>
                          <wps:spPr>
                            <a:xfrm rot="-5487622">
                              <a:off x="5980"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48" name="自选图形 552"/>
                          <wps:cNvSpPr/>
                          <wps:spPr>
                            <a:xfrm rot="-5487622">
                              <a:off x="7517"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49" name="自选图形 553"/>
                          <wps:cNvSpPr/>
                          <wps:spPr>
                            <a:xfrm rot="-5487622">
                              <a:off x="2814"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50" name="椭圆 554"/>
                          <wps:cNvSpPr/>
                          <wps:spPr>
                            <a:xfrm>
                              <a:off x="2266"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51" name="椭圆 555"/>
                          <wps:cNvSpPr/>
                          <wps:spPr>
                            <a:xfrm>
                              <a:off x="3832"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52" name="椭圆 556"/>
                          <wps:cNvSpPr/>
                          <wps:spPr>
                            <a:xfrm>
                              <a:off x="5398"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53" name="椭圆 557"/>
                          <wps:cNvSpPr/>
                          <wps:spPr>
                            <a:xfrm>
                              <a:off x="6965"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54" name="任意多边形 558"/>
                          <wps:cNvSpPr/>
                          <wps:spPr>
                            <a:xfrm>
                              <a:off x="2371"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55" name="任意多边形 559"/>
                          <wps:cNvSpPr/>
                          <wps:spPr>
                            <a:xfrm>
                              <a:off x="3952"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56" name="任意多边形 560"/>
                          <wps:cNvSpPr/>
                          <wps:spPr>
                            <a:xfrm>
                              <a:off x="5537"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57" name="任意多边形 561"/>
                          <wps:cNvSpPr/>
                          <wps:spPr>
                            <a:xfrm>
                              <a:off x="7074"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g:grpSp>
                      <wpg:grpSp>
                        <wpg:cNvPr id="1871" name="组合 562"/>
                        <wpg:cNvGrpSpPr/>
                        <wpg:grpSpPr>
                          <a:xfrm>
                            <a:off x="3565" y="12483"/>
                            <a:ext cx="4590" cy="427"/>
                            <a:chOff x="2266" y="7906"/>
                            <a:chExt cx="5394" cy="532"/>
                          </a:xfrm>
                          <a:effectLst/>
                        </wpg:grpSpPr>
                        <wps:wsp>
                          <wps:cNvPr id="1859" name="自选图形 563"/>
                          <wps:cNvSpPr/>
                          <wps:spPr>
                            <a:xfrm rot="-5487622">
                              <a:off x="4395"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60" name="自选图形 564"/>
                          <wps:cNvSpPr/>
                          <wps:spPr>
                            <a:xfrm rot="-5487622">
                              <a:off x="5980"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61" name="自选图形 565"/>
                          <wps:cNvSpPr/>
                          <wps:spPr>
                            <a:xfrm rot="-5487622">
                              <a:off x="7517"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62" name="自选图形 566"/>
                          <wps:cNvSpPr/>
                          <wps:spPr>
                            <a:xfrm rot="-5487622">
                              <a:off x="2814"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63" name="椭圆 567"/>
                          <wps:cNvSpPr/>
                          <wps:spPr>
                            <a:xfrm>
                              <a:off x="2266"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64" name="椭圆 568"/>
                          <wps:cNvSpPr/>
                          <wps:spPr>
                            <a:xfrm>
                              <a:off x="3832"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65" name="椭圆 569"/>
                          <wps:cNvSpPr/>
                          <wps:spPr>
                            <a:xfrm>
                              <a:off x="5398"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66" name="椭圆 570"/>
                          <wps:cNvSpPr/>
                          <wps:spPr>
                            <a:xfrm>
                              <a:off x="6965"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67" name="任意多边形 571"/>
                          <wps:cNvSpPr/>
                          <wps:spPr>
                            <a:xfrm>
                              <a:off x="2371"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68" name="任意多边形 572"/>
                          <wps:cNvSpPr/>
                          <wps:spPr>
                            <a:xfrm>
                              <a:off x="3952"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69" name="任意多边形 573"/>
                          <wps:cNvSpPr/>
                          <wps:spPr>
                            <a:xfrm>
                              <a:off x="5537"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70" name="任意多边形 574"/>
                          <wps:cNvSpPr/>
                          <wps:spPr>
                            <a:xfrm>
                              <a:off x="7074"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g:grpSp>
                      <wps:wsp>
                        <wps:cNvPr id="1872" name="直线 575"/>
                        <wps:cNvCnPr/>
                        <wps:spPr>
                          <a:xfrm>
                            <a:off x="3128" y="11998"/>
                            <a:ext cx="5081" cy="0"/>
                          </a:xfrm>
                          <a:prstGeom prst="line">
                            <a:avLst/>
                          </a:prstGeom>
                          <a:ln w="6350" cap="flat" cmpd="sng">
                            <a:solidFill>
                              <a:srgbClr val="000000"/>
                            </a:solidFill>
                            <a:prstDash val="solid"/>
                            <a:headEnd type="none" w="med" len="med"/>
                            <a:tailEnd type="none" w="med" len="med"/>
                          </a:ln>
                          <a:effectLst/>
                        </wps:spPr>
                        <wps:bodyPr upright="1"/>
                      </wps:wsp>
                      <wps:wsp>
                        <wps:cNvPr id="1873" name="直线 576"/>
                        <wps:cNvCnPr/>
                        <wps:spPr>
                          <a:xfrm>
                            <a:off x="3905" y="12536"/>
                            <a:ext cx="4304" cy="0"/>
                          </a:xfrm>
                          <a:prstGeom prst="line">
                            <a:avLst/>
                          </a:prstGeom>
                          <a:ln w="6350" cap="flat" cmpd="sng">
                            <a:solidFill>
                              <a:srgbClr val="000000"/>
                            </a:solidFill>
                            <a:prstDash val="solid"/>
                            <a:headEnd type="none" w="med" len="med"/>
                            <a:tailEnd type="none" w="med" len="med"/>
                          </a:ln>
                          <a:effectLst/>
                        </wps:spPr>
                        <wps:bodyPr upright="1"/>
                      </wps:wsp>
                      <wps:wsp>
                        <wps:cNvPr id="1874" name="直线 577"/>
                        <wps:cNvCnPr/>
                        <wps:spPr>
                          <a:xfrm>
                            <a:off x="3128" y="13075"/>
                            <a:ext cx="5559" cy="0"/>
                          </a:xfrm>
                          <a:prstGeom prst="line">
                            <a:avLst/>
                          </a:prstGeom>
                          <a:ln w="6350" cap="flat" cmpd="sng">
                            <a:solidFill>
                              <a:srgbClr val="000000"/>
                            </a:solidFill>
                            <a:prstDash val="solid"/>
                            <a:headEnd type="none" w="med" len="med"/>
                            <a:tailEnd type="none" w="med" len="med"/>
                          </a:ln>
                          <a:effectLst/>
                        </wps:spPr>
                        <wps:bodyPr upright="1"/>
                      </wps:wsp>
                      <wps:wsp>
                        <wps:cNvPr id="1875" name="直线 578"/>
                        <wps:cNvCnPr/>
                        <wps:spPr>
                          <a:xfrm>
                            <a:off x="3905" y="13614"/>
                            <a:ext cx="4304" cy="0"/>
                          </a:xfrm>
                          <a:prstGeom prst="line">
                            <a:avLst/>
                          </a:prstGeom>
                          <a:ln w="6350" cap="flat" cmpd="sng">
                            <a:solidFill>
                              <a:srgbClr val="000000"/>
                            </a:solidFill>
                            <a:prstDash val="solid"/>
                            <a:headEnd type="none" w="med" len="med"/>
                            <a:tailEnd type="none" w="med" len="med"/>
                          </a:ln>
                          <a:effectLst/>
                        </wps:spPr>
                        <wps:bodyPr upright="1"/>
                      </wps:wsp>
                      <wps:wsp>
                        <wps:cNvPr id="1876" name="直线 579"/>
                        <wps:cNvCnPr/>
                        <wps:spPr>
                          <a:xfrm>
                            <a:off x="3128" y="14153"/>
                            <a:ext cx="5081" cy="0"/>
                          </a:xfrm>
                          <a:prstGeom prst="line">
                            <a:avLst/>
                          </a:prstGeom>
                          <a:ln w="6350" cap="flat" cmpd="sng">
                            <a:solidFill>
                              <a:srgbClr val="000000"/>
                            </a:solidFill>
                            <a:prstDash val="solid"/>
                            <a:headEnd type="none" w="med" len="med"/>
                            <a:tailEnd type="none" w="med" len="med"/>
                          </a:ln>
                          <a:effectLst/>
                        </wps:spPr>
                        <wps:bodyPr upright="1"/>
                      </wps:wsp>
                      <wps:wsp>
                        <wps:cNvPr id="1877" name="任意多边形 580"/>
                        <wps:cNvSpPr/>
                        <wps:spPr>
                          <a:xfrm>
                            <a:off x="8209" y="12533"/>
                            <a:ext cx="434" cy="532"/>
                          </a:xfrm>
                          <a:custGeom>
                            <a:avLst/>
                            <a:gdLst/>
                            <a:ahLst/>
                            <a:cxnLst/>
                            <a:pathLst>
                              <a:path w="510" h="663">
                                <a:moveTo>
                                  <a:pt x="0" y="0"/>
                                </a:moveTo>
                                <a:cubicBezTo>
                                  <a:pt x="35" y="12"/>
                                  <a:pt x="85" y="4"/>
                                  <a:pt x="106" y="35"/>
                                </a:cubicBezTo>
                                <a:cubicBezTo>
                                  <a:pt x="146" y="95"/>
                                  <a:pt x="159" y="141"/>
                                  <a:pt x="176" y="211"/>
                                </a:cubicBezTo>
                                <a:cubicBezTo>
                                  <a:pt x="182" y="264"/>
                                  <a:pt x="187" y="317"/>
                                  <a:pt x="194" y="369"/>
                                </a:cubicBezTo>
                                <a:cubicBezTo>
                                  <a:pt x="198" y="399"/>
                                  <a:pt x="207" y="427"/>
                                  <a:pt x="211" y="457"/>
                                </a:cubicBezTo>
                                <a:cubicBezTo>
                                  <a:pt x="218" y="509"/>
                                  <a:pt x="209" y="566"/>
                                  <a:pt x="229" y="615"/>
                                </a:cubicBezTo>
                                <a:cubicBezTo>
                                  <a:pt x="236" y="632"/>
                                  <a:pt x="263" y="627"/>
                                  <a:pt x="281" y="632"/>
                                </a:cubicBezTo>
                                <a:cubicBezTo>
                                  <a:pt x="390" y="663"/>
                                  <a:pt x="356" y="650"/>
                                  <a:pt x="510" y="650"/>
                                </a:cubicBezTo>
                              </a:path>
                            </a:pathLst>
                          </a:custGeom>
                          <a:noFill/>
                          <a:ln w="6350" cap="flat" cmpd="sng">
                            <a:solidFill>
                              <a:srgbClr val="000000"/>
                            </a:solidFill>
                            <a:prstDash val="solid"/>
                            <a:headEnd type="none" w="med" len="med"/>
                            <a:tailEnd type="none" w="med" len="med"/>
                          </a:ln>
                          <a:effectLst/>
                        </wps:spPr>
                        <wps:bodyPr upright="1"/>
                      </wps:wsp>
                      <wps:wsp>
                        <wps:cNvPr id="1878" name="任意多边形 581"/>
                        <wps:cNvSpPr/>
                        <wps:spPr>
                          <a:xfrm>
                            <a:off x="8209" y="11998"/>
                            <a:ext cx="478" cy="1014"/>
                          </a:xfrm>
                          <a:custGeom>
                            <a:avLst/>
                            <a:gdLst/>
                            <a:ahLst/>
                            <a:cxnLst/>
                            <a:pathLst>
                              <a:path w="562" h="1264">
                                <a:moveTo>
                                  <a:pt x="0" y="0"/>
                                </a:moveTo>
                                <a:cubicBezTo>
                                  <a:pt x="29" y="6"/>
                                  <a:pt x="62" y="2"/>
                                  <a:pt x="88" y="17"/>
                                </a:cubicBezTo>
                                <a:cubicBezTo>
                                  <a:pt x="106" y="27"/>
                                  <a:pt x="114" y="51"/>
                                  <a:pt x="123" y="70"/>
                                </a:cubicBezTo>
                                <a:cubicBezTo>
                                  <a:pt x="163" y="159"/>
                                  <a:pt x="181" y="258"/>
                                  <a:pt x="211" y="351"/>
                                </a:cubicBezTo>
                                <a:cubicBezTo>
                                  <a:pt x="222" y="565"/>
                                  <a:pt x="230" y="775"/>
                                  <a:pt x="281" y="983"/>
                                </a:cubicBezTo>
                                <a:cubicBezTo>
                                  <a:pt x="287" y="1042"/>
                                  <a:pt x="290" y="1101"/>
                                  <a:pt x="299" y="1159"/>
                                </a:cubicBezTo>
                                <a:cubicBezTo>
                                  <a:pt x="302" y="1177"/>
                                  <a:pt x="304" y="1198"/>
                                  <a:pt x="317" y="1211"/>
                                </a:cubicBezTo>
                                <a:cubicBezTo>
                                  <a:pt x="330" y="1224"/>
                                  <a:pt x="351" y="1224"/>
                                  <a:pt x="369" y="1229"/>
                                </a:cubicBezTo>
                                <a:cubicBezTo>
                                  <a:pt x="438" y="1249"/>
                                  <a:pt x="491" y="1264"/>
                                  <a:pt x="562" y="1264"/>
                                </a:cubicBezTo>
                              </a:path>
                            </a:pathLst>
                          </a:custGeom>
                          <a:noFill/>
                          <a:ln w="6350" cap="flat" cmpd="sng">
                            <a:solidFill>
                              <a:srgbClr val="000000"/>
                            </a:solidFill>
                            <a:prstDash val="solid"/>
                            <a:headEnd type="none" w="med" len="med"/>
                            <a:tailEnd type="none" w="med" len="med"/>
                          </a:ln>
                          <a:effectLst/>
                        </wps:spPr>
                        <wps:bodyPr upright="1"/>
                      </wps:wsp>
                      <wps:wsp>
                        <wps:cNvPr id="1879" name="任意多边形 582"/>
                        <wps:cNvSpPr/>
                        <wps:spPr>
                          <a:xfrm>
                            <a:off x="8147" y="13124"/>
                            <a:ext cx="525" cy="493"/>
                          </a:xfrm>
                          <a:custGeom>
                            <a:avLst/>
                            <a:gdLst/>
                            <a:ahLst/>
                            <a:cxnLst/>
                            <a:pathLst>
                              <a:path w="616" h="614">
                                <a:moveTo>
                                  <a:pt x="19" y="614"/>
                                </a:moveTo>
                                <a:cubicBezTo>
                                  <a:pt x="37" y="608"/>
                                  <a:pt x="59" y="610"/>
                                  <a:pt x="72" y="597"/>
                                </a:cubicBezTo>
                                <a:cubicBezTo>
                                  <a:pt x="169" y="501"/>
                                  <a:pt x="0" y="575"/>
                                  <a:pt x="142" y="526"/>
                                </a:cubicBezTo>
                                <a:cubicBezTo>
                                  <a:pt x="189" y="391"/>
                                  <a:pt x="120" y="556"/>
                                  <a:pt x="213" y="439"/>
                                </a:cubicBezTo>
                                <a:cubicBezTo>
                                  <a:pt x="225" y="424"/>
                                  <a:pt x="222" y="403"/>
                                  <a:pt x="230" y="386"/>
                                </a:cubicBezTo>
                                <a:cubicBezTo>
                                  <a:pt x="239" y="367"/>
                                  <a:pt x="253" y="351"/>
                                  <a:pt x="265" y="333"/>
                                </a:cubicBezTo>
                                <a:cubicBezTo>
                                  <a:pt x="289" y="216"/>
                                  <a:pt x="310" y="0"/>
                                  <a:pt x="476" y="0"/>
                                </a:cubicBezTo>
                                <a:cubicBezTo>
                                  <a:pt x="523" y="0"/>
                                  <a:pt x="569" y="0"/>
                                  <a:pt x="616" y="0"/>
                                </a:cubicBezTo>
                              </a:path>
                            </a:pathLst>
                          </a:custGeom>
                          <a:noFill/>
                          <a:ln w="6350" cap="flat" cmpd="sng">
                            <a:solidFill>
                              <a:srgbClr val="000000"/>
                            </a:solidFill>
                            <a:prstDash val="solid"/>
                            <a:headEnd type="none" w="med" len="med"/>
                            <a:tailEnd type="none" w="med" len="med"/>
                          </a:ln>
                          <a:effectLst/>
                        </wps:spPr>
                        <wps:bodyPr upright="1"/>
                      </wps:wsp>
                      <wps:wsp>
                        <wps:cNvPr id="1880" name="任意多边形 583"/>
                        <wps:cNvSpPr/>
                        <wps:spPr>
                          <a:xfrm>
                            <a:off x="8195" y="13202"/>
                            <a:ext cx="523" cy="961"/>
                          </a:xfrm>
                          <a:custGeom>
                            <a:avLst/>
                            <a:gdLst/>
                            <a:ahLst/>
                            <a:cxnLst/>
                            <a:pathLst>
                              <a:path w="614" h="1198">
                                <a:moveTo>
                                  <a:pt x="16" y="1186"/>
                                </a:moveTo>
                                <a:cubicBezTo>
                                  <a:pt x="57" y="1065"/>
                                  <a:pt x="0" y="1198"/>
                                  <a:pt x="87" y="1098"/>
                                </a:cubicBezTo>
                                <a:cubicBezTo>
                                  <a:pt x="159" y="1015"/>
                                  <a:pt x="159" y="985"/>
                                  <a:pt x="192" y="887"/>
                                </a:cubicBezTo>
                                <a:cubicBezTo>
                                  <a:pt x="205" y="847"/>
                                  <a:pt x="262" y="782"/>
                                  <a:pt x="262" y="782"/>
                                </a:cubicBezTo>
                                <a:cubicBezTo>
                                  <a:pt x="284" y="569"/>
                                  <a:pt x="281" y="353"/>
                                  <a:pt x="350" y="149"/>
                                </a:cubicBezTo>
                                <a:cubicBezTo>
                                  <a:pt x="366" y="101"/>
                                  <a:pt x="371" y="19"/>
                                  <a:pt x="438" y="9"/>
                                </a:cubicBezTo>
                                <a:cubicBezTo>
                                  <a:pt x="496" y="0"/>
                                  <a:pt x="555" y="9"/>
                                  <a:pt x="614" y="9"/>
                                </a:cubicBezTo>
                              </a:path>
                            </a:pathLst>
                          </a:custGeom>
                          <a:noFill/>
                          <a:ln w="6350" cap="flat" cmpd="sng">
                            <a:solidFill>
                              <a:srgbClr val="000000"/>
                            </a:solidFill>
                            <a:prstDash val="solid"/>
                            <a:headEnd type="none" w="med" len="med"/>
                            <a:tailEnd type="none" w="med" len="med"/>
                          </a:ln>
                          <a:effectLst/>
                        </wps:spPr>
                        <wps:bodyPr upright="1"/>
                      </wps:wsp>
                      <wps:wsp>
                        <wps:cNvPr id="1881" name="任意多边形 584"/>
                        <wps:cNvSpPr/>
                        <wps:spPr>
                          <a:xfrm>
                            <a:off x="8675" y="12490"/>
                            <a:ext cx="998" cy="593"/>
                          </a:xfrm>
                          <a:custGeom>
                            <a:avLst/>
                            <a:gdLst/>
                            <a:ahLst/>
                            <a:cxnLst/>
                            <a:pathLst>
                              <a:path w="1173" h="738">
                                <a:moveTo>
                                  <a:pt x="32" y="738"/>
                                </a:moveTo>
                                <a:cubicBezTo>
                                  <a:pt x="159" y="695"/>
                                  <a:pt x="0" y="738"/>
                                  <a:pt x="155" y="738"/>
                                </a:cubicBezTo>
                                <a:cubicBezTo>
                                  <a:pt x="226" y="738"/>
                                  <a:pt x="296" y="726"/>
                                  <a:pt x="366" y="720"/>
                                </a:cubicBezTo>
                                <a:cubicBezTo>
                                  <a:pt x="404" y="663"/>
                                  <a:pt x="414" y="609"/>
                                  <a:pt x="436" y="545"/>
                                </a:cubicBezTo>
                                <a:cubicBezTo>
                                  <a:pt x="457" y="412"/>
                                  <a:pt x="482" y="285"/>
                                  <a:pt x="524" y="158"/>
                                </a:cubicBezTo>
                                <a:cubicBezTo>
                                  <a:pt x="530" y="141"/>
                                  <a:pt x="526" y="116"/>
                                  <a:pt x="541" y="106"/>
                                </a:cubicBezTo>
                                <a:cubicBezTo>
                                  <a:pt x="594" y="71"/>
                                  <a:pt x="622" y="37"/>
                                  <a:pt x="682" y="18"/>
                                </a:cubicBezTo>
                                <a:cubicBezTo>
                                  <a:pt x="804" y="38"/>
                                  <a:pt x="800" y="28"/>
                                  <a:pt x="910" y="0"/>
                                </a:cubicBezTo>
                                <a:cubicBezTo>
                                  <a:pt x="1115" y="21"/>
                                  <a:pt x="1027" y="18"/>
                                  <a:pt x="1173" y="18"/>
                                </a:cubicBezTo>
                              </a:path>
                            </a:pathLst>
                          </a:custGeom>
                          <a:noFill/>
                          <a:ln w="6350" cap="flat" cmpd="sng">
                            <a:solidFill>
                              <a:srgbClr val="000000"/>
                            </a:solidFill>
                            <a:prstDash val="solid"/>
                            <a:headEnd type="none" w="med" len="med"/>
                            <a:tailEnd type="none" w="med" len="med"/>
                          </a:ln>
                          <a:effectLst/>
                        </wps:spPr>
                        <wps:bodyPr upright="1"/>
                      </wps:wsp>
                      <wps:wsp>
                        <wps:cNvPr id="1882" name="任意多边形 585"/>
                        <wps:cNvSpPr/>
                        <wps:spPr>
                          <a:xfrm>
                            <a:off x="8718" y="13083"/>
                            <a:ext cx="1000" cy="745"/>
                          </a:xfrm>
                          <a:custGeom>
                            <a:avLst/>
                            <a:gdLst/>
                            <a:ahLst/>
                            <a:cxnLst/>
                            <a:pathLst>
                              <a:path w="1176" h="931">
                                <a:moveTo>
                                  <a:pt x="0" y="0"/>
                                </a:moveTo>
                                <a:cubicBezTo>
                                  <a:pt x="120" y="39"/>
                                  <a:pt x="247" y="30"/>
                                  <a:pt x="368" y="70"/>
                                </a:cubicBezTo>
                                <a:cubicBezTo>
                                  <a:pt x="374" y="99"/>
                                  <a:pt x="384" y="128"/>
                                  <a:pt x="386" y="158"/>
                                </a:cubicBezTo>
                                <a:cubicBezTo>
                                  <a:pt x="396" y="327"/>
                                  <a:pt x="387" y="498"/>
                                  <a:pt x="403" y="667"/>
                                </a:cubicBezTo>
                                <a:cubicBezTo>
                                  <a:pt x="405" y="684"/>
                                  <a:pt x="428" y="689"/>
                                  <a:pt x="439" y="702"/>
                                </a:cubicBezTo>
                                <a:cubicBezTo>
                                  <a:pt x="452" y="718"/>
                                  <a:pt x="458" y="741"/>
                                  <a:pt x="474" y="755"/>
                                </a:cubicBezTo>
                                <a:cubicBezTo>
                                  <a:pt x="611" y="875"/>
                                  <a:pt x="775" y="902"/>
                                  <a:pt x="948" y="931"/>
                                </a:cubicBezTo>
                                <a:cubicBezTo>
                                  <a:pt x="1024" y="920"/>
                                  <a:pt x="1100" y="895"/>
                                  <a:pt x="1176" y="895"/>
                                </a:cubicBezTo>
                              </a:path>
                            </a:pathLst>
                          </a:custGeom>
                          <a:noFill/>
                          <a:ln w="6350" cap="flat" cmpd="sng">
                            <a:solidFill>
                              <a:srgbClr val="000000"/>
                            </a:solidFill>
                            <a:prstDash val="solid"/>
                            <a:headEnd type="none" w="med" len="med"/>
                            <a:tailEnd type="none" w="med" len="med"/>
                          </a:ln>
                          <a:effectLst/>
                        </wps:spPr>
                        <wps:bodyPr upright="1"/>
                      </wps:wsp>
                      <wps:wsp>
                        <wps:cNvPr id="1883" name="任意多边形 586"/>
                        <wps:cNvSpPr/>
                        <wps:spPr>
                          <a:xfrm>
                            <a:off x="8532" y="12969"/>
                            <a:ext cx="271" cy="311"/>
                          </a:xfrm>
                          <a:custGeom>
                            <a:avLst/>
                            <a:gdLst/>
                            <a:ahLst/>
                            <a:cxnLst/>
                            <a:pathLst>
                              <a:path w="318" h="387">
                                <a:moveTo>
                                  <a:pt x="7" y="352"/>
                                </a:moveTo>
                                <a:cubicBezTo>
                                  <a:pt x="13" y="241"/>
                                  <a:pt x="0" y="127"/>
                                  <a:pt x="24" y="18"/>
                                </a:cubicBezTo>
                                <a:cubicBezTo>
                                  <a:pt x="28" y="0"/>
                                  <a:pt x="64" y="23"/>
                                  <a:pt x="77" y="36"/>
                                </a:cubicBezTo>
                                <a:cubicBezTo>
                                  <a:pt x="90" y="49"/>
                                  <a:pt x="89" y="71"/>
                                  <a:pt x="95" y="88"/>
                                </a:cubicBezTo>
                                <a:cubicBezTo>
                                  <a:pt x="101" y="164"/>
                                  <a:pt x="112" y="240"/>
                                  <a:pt x="112" y="316"/>
                                </a:cubicBezTo>
                                <a:cubicBezTo>
                                  <a:pt x="112" y="363"/>
                                  <a:pt x="95" y="223"/>
                                  <a:pt x="95" y="176"/>
                                </a:cubicBezTo>
                                <a:cubicBezTo>
                                  <a:pt x="95" y="151"/>
                                  <a:pt x="121" y="80"/>
                                  <a:pt x="130" y="53"/>
                                </a:cubicBezTo>
                                <a:cubicBezTo>
                                  <a:pt x="159" y="97"/>
                                  <a:pt x="182" y="119"/>
                                  <a:pt x="182" y="176"/>
                                </a:cubicBezTo>
                                <a:cubicBezTo>
                                  <a:pt x="182" y="229"/>
                                  <a:pt x="165" y="387"/>
                                  <a:pt x="165" y="334"/>
                                </a:cubicBezTo>
                                <a:cubicBezTo>
                                  <a:pt x="165" y="240"/>
                                  <a:pt x="176" y="147"/>
                                  <a:pt x="182" y="53"/>
                                </a:cubicBezTo>
                                <a:cubicBezTo>
                                  <a:pt x="318" y="99"/>
                                  <a:pt x="235" y="52"/>
                                  <a:pt x="235" y="334"/>
                                </a:cubicBezTo>
                              </a:path>
                            </a:pathLst>
                          </a:custGeom>
                          <a:noFill/>
                          <a:ln w="6350" cap="flat" cmpd="sng">
                            <a:solidFill>
                              <a:srgbClr val="000000"/>
                            </a:solidFill>
                            <a:prstDash val="solid"/>
                            <a:headEnd type="none" w="med" len="med"/>
                            <a:tailEnd type="none" w="med" len="med"/>
                          </a:ln>
                          <a:effectLst/>
                        </wps:spPr>
                        <wps:bodyPr upright="1"/>
                      </wps:wsp>
                      <wpg:grpSp>
                        <wpg:cNvPr id="1896" name="组合 587"/>
                        <wpg:cNvGrpSpPr/>
                        <wpg:grpSpPr>
                          <a:xfrm>
                            <a:off x="3039" y="11944"/>
                            <a:ext cx="4590" cy="427"/>
                            <a:chOff x="2266" y="7906"/>
                            <a:chExt cx="5394" cy="532"/>
                          </a:xfrm>
                          <a:effectLst/>
                        </wpg:grpSpPr>
                        <wps:wsp>
                          <wps:cNvPr id="1884" name="自选图形 588"/>
                          <wps:cNvSpPr/>
                          <wps:spPr>
                            <a:xfrm rot="-5487622">
                              <a:off x="4395"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85" name="自选图形 589"/>
                          <wps:cNvSpPr/>
                          <wps:spPr>
                            <a:xfrm rot="-5487622">
                              <a:off x="5980"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86" name="自选图形 590"/>
                          <wps:cNvSpPr/>
                          <wps:spPr>
                            <a:xfrm rot="-5487622">
                              <a:off x="7517"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87" name="自选图形 591"/>
                          <wps:cNvSpPr/>
                          <wps:spPr>
                            <a:xfrm rot="-5487622">
                              <a:off x="2814" y="7906"/>
                              <a:ext cx="143" cy="143"/>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noFill/>
                            <a:ln w="6350" cap="flat" cmpd="sng">
                              <a:solidFill>
                                <a:srgbClr val="000000"/>
                              </a:solidFill>
                              <a:prstDash val="solid"/>
                              <a:miter/>
                              <a:headEnd type="none" w="med" len="med"/>
                              <a:tailEnd type="none" w="med" len="med"/>
                            </a:ln>
                            <a:effectLst/>
                          </wps:spPr>
                          <wps:bodyPr upright="1"/>
                        </wps:wsp>
                        <wps:wsp>
                          <wps:cNvPr id="1888" name="椭圆 592"/>
                          <wps:cNvSpPr/>
                          <wps:spPr>
                            <a:xfrm>
                              <a:off x="2266"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89" name="椭圆 593"/>
                          <wps:cNvSpPr/>
                          <wps:spPr>
                            <a:xfrm>
                              <a:off x="3832"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90" name="椭圆 594"/>
                          <wps:cNvSpPr/>
                          <wps:spPr>
                            <a:xfrm>
                              <a:off x="5398"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91" name="椭圆 595"/>
                          <wps:cNvSpPr/>
                          <wps:spPr>
                            <a:xfrm>
                              <a:off x="6965" y="8174"/>
                              <a:ext cx="264" cy="264"/>
                            </a:xfrm>
                            <a:prstGeom prst="ellipse">
                              <a:avLst/>
                            </a:prstGeom>
                            <a:noFill/>
                            <a:ln w="6350" cap="flat" cmpd="sng">
                              <a:solidFill>
                                <a:srgbClr val="000000"/>
                              </a:solidFill>
                              <a:prstDash val="solid"/>
                              <a:headEnd type="none" w="med" len="med"/>
                              <a:tailEnd type="none" w="med" len="med"/>
                            </a:ln>
                            <a:effectLst/>
                          </wps:spPr>
                          <wps:bodyPr upright="1"/>
                        </wps:wsp>
                        <wps:wsp>
                          <wps:cNvPr id="1892" name="任意多边形 596"/>
                          <wps:cNvSpPr/>
                          <wps:spPr>
                            <a:xfrm>
                              <a:off x="2371"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93" name="任意多边形 597"/>
                          <wps:cNvSpPr/>
                          <wps:spPr>
                            <a:xfrm>
                              <a:off x="3952"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94" name="任意多边形 598"/>
                          <wps:cNvSpPr/>
                          <wps:spPr>
                            <a:xfrm>
                              <a:off x="5537"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s:wsp>
                          <wps:cNvPr id="1895" name="任意多边形 599"/>
                          <wps:cNvSpPr/>
                          <wps:spPr>
                            <a:xfrm>
                              <a:off x="7074" y="7973"/>
                              <a:ext cx="509" cy="316"/>
                            </a:xfrm>
                            <a:custGeom>
                              <a:avLst/>
                              <a:gdLst/>
                              <a:ahLst/>
                              <a:cxnLst/>
                              <a:pathLst>
                                <a:path w="509" h="316">
                                  <a:moveTo>
                                    <a:pt x="0" y="316"/>
                                  </a:moveTo>
                                  <a:cubicBezTo>
                                    <a:pt x="37" y="285"/>
                                    <a:pt x="74" y="254"/>
                                    <a:pt x="159" y="201"/>
                                  </a:cubicBezTo>
                                  <a:cubicBezTo>
                                    <a:pt x="244" y="148"/>
                                    <a:pt x="448" y="33"/>
                                    <a:pt x="509" y="0"/>
                                  </a:cubicBezTo>
                                </a:path>
                              </a:pathLst>
                            </a:custGeom>
                            <a:noFill/>
                            <a:ln w="6350" cap="flat" cmpd="sng">
                              <a:solidFill>
                                <a:srgbClr val="000000"/>
                              </a:solidFill>
                              <a:prstDash val="solid"/>
                              <a:headEnd type="none" w="med" len="med"/>
                              <a:tailEnd type="none" w="med" len="med"/>
                            </a:ln>
                            <a:effectLst/>
                          </wps:spPr>
                          <wps:bodyPr upright="1"/>
                        </wps:wsp>
                      </wpg:grpSp>
                      <wps:wsp>
                        <wps:cNvPr id="1897" name="直线 600"/>
                        <wps:cNvCnPr/>
                        <wps:spPr>
                          <a:xfrm>
                            <a:off x="4315" y="11674"/>
                            <a:ext cx="1609" cy="0"/>
                          </a:xfrm>
                          <a:prstGeom prst="line">
                            <a:avLst/>
                          </a:prstGeom>
                          <a:ln w="6350" cap="flat" cmpd="sng">
                            <a:solidFill>
                              <a:srgbClr val="000000"/>
                            </a:solidFill>
                            <a:prstDash val="solid"/>
                            <a:headEnd type="none" w="med" len="med"/>
                            <a:tailEnd type="none" w="med" len="med"/>
                          </a:ln>
                          <a:effectLst/>
                        </wps:spPr>
                        <wps:bodyPr upright="1"/>
                      </wps:wsp>
                      <wps:wsp>
                        <wps:cNvPr id="1898" name="直线 601"/>
                        <wps:cNvCnPr/>
                        <wps:spPr>
                          <a:xfrm>
                            <a:off x="5924" y="11674"/>
                            <a:ext cx="219" cy="385"/>
                          </a:xfrm>
                          <a:prstGeom prst="line">
                            <a:avLst/>
                          </a:prstGeom>
                          <a:ln w="6350" cap="flat" cmpd="sng">
                            <a:solidFill>
                              <a:srgbClr val="000000"/>
                            </a:solidFill>
                            <a:prstDash val="solid"/>
                            <a:headEnd type="none" w="med" len="med"/>
                            <a:tailEnd type="stealth" w="sm" len="lg"/>
                          </a:ln>
                          <a:effectLst/>
                        </wps:spPr>
                        <wps:bodyPr upright="1"/>
                      </wps:wsp>
                      <wps:wsp>
                        <wps:cNvPr id="1899" name="直线 602"/>
                        <wps:cNvCnPr/>
                        <wps:spPr>
                          <a:xfrm>
                            <a:off x="4540" y="11674"/>
                            <a:ext cx="220" cy="385"/>
                          </a:xfrm>
                          <a:prstGeom prst="line">
                            <a:avLst/>
                          </a:prstGeom>
                          <a:ln w="6350" cap="flat" cmpd="sng">
                            <a:solidFill>
                              <a:srgbClr val="000000"/>
                            </a:solidFill>
                            <a:prstDash val="solid"/>
                            <a:headEnd type="none" w="med" len="med"/>
                            <a:tailEnd type="stealth" w="sm" len="lg"/>
                          </a:ln>
                          <a:effectLst/>
                        </wps:spPr>
                        <wps:bodyPr upright="1"/>
                      </wps:wsp>
                      <wps:wsp>
                        <wps:cNvPr id="1900" name="直线 603"/>
                        <wps:cNvCnPr/>
                        <wps:spPr>
                          <a:xfrm>
                            <a:off x="6565" y="11674"/>
                            <a:ext cx="1172" cy="0"/>
                          </a:xfrm>
                          <a:prstGeom prst="line">
                            <a:avLst/>
                          </a:prstGeom>
                          <a:ln w="6350" cap="flat" cmpd="sng">
                            <a:solidFill>
                              <a:srgbClr val="000000"/>
                            </a:solidFill>
                            <a:prstDash val="solid"/>
                            <a:headEnd type="none" w="med" len="med"/>
                            <a:tailEnd type="none" w="med" len="med"/>
                          </a:ln>
                          <a:effectLst/>
                        </wps:spPr>
                        <wps:bodyPr upright="1"/>
                      </wps:wsp>
                      <wps:wsp>
                        <wps:cNvPr id="1901" name="直线 604"/>
                        <wps:cNvCnPr/>
                        <wps:spPr>
                          <a:xfrm>
                            <a:off x="6796" y="11674"/>
                            <a:ext cx="154" cy="324"/>
                          </a:xfrm>
                          <a:prstGeom prst="line">
                            <a:avLst/>
                          </a:prstGeom>
                          <a:ln w="6350" cap="flat" cmpd="sng">
                            <a:solidFill>
                              <a:srgbClr val="000000"/>
                            </a:solidFill>
                            <a:prstDash val="solid"/>
                            <a:headEnd type="none" w="med" len="med"/>
                            <a:tailEnd type="stealth" w="sm" len="lg"/>
                          </a:ln>
                          <a:effectLst/>
                        </wps:spPr>
                        <wps:bodyPr upright="1"/>
                      </wps:wsp>
                      <wps:wsp>
                        <wps:cNvPr id="1902" name="直线 605"/>
                        <wps:cNvCnPr/>
                        <wps:spPr>
                          <a:xfrm>
                            <a:off x="7737" y="11674"/>
                            <a:ext cx="154" cy="324"/>
                          </a:xfrm>
                          <a:prstGeom prst="line">
                            <a:avLst/>
                          </a:prstGeom>
                          <a:ln w="6350" cap="flat" cmpd="sng">
                            <a:solidFill>
                              <a:srgbClr val="000000"/>
                            </a:solidFill>
                            <a:prstDash val="solid"/>
                            <a:headEnd type="none" w="med" len="med"/>
                            <a:tailEnd type="stealth" w="sm" len="lg"/>
                          </a:ln>
                          <a:effectLst/>
                        </wps:spPr>
                        <wps:bodyPr upright="1"/>
                      </wps:wsp>
                      <wps:wsp>
                        <wps:cNvPr id="1903" name="直线 606"/>
                        <wps:cNvCnPr/>
                        <wps:spPr>
                          <a:xfrm flipV="1">
                            <a:off x="8718" y="11944"/>
                            <a:ext cx="253" cy="1068"/>
                          </a:xfrm>
                          <a:prstGeom prst="line">
                            <a:avLst/>
                          </a:prstGeom>
                          <a:ln w="6350" cap="flat" cmpd="sng">
                            <a:solidFill>
                              <a:srgbClr val="000000"/>
                            </a:solidFill>
                            <a:prstDash val="solid"/>
                            <a:headEnd type="none" w="med" len="med"/>
                            <a:tailEnd type="none" w="med" len="med"/>
                          </a:ln>
                          <a:effectLst/>
                        </wps:spPr>
                        <wps:bodyPr upright="1"/>
                      </wps:wsp>
                      <wps:wsp>
                        <wps:cNvPr id="1904" name="直线 607"/>
                        <wps:cNvCnPr/>
                        <wps:spPr>
                          <a:xfrm>
                            <a:off x="8971" y="11944"/>
                            <a:ext cx="1076" cy="0"/>
                          </a:xfrm>
                          <a:prstGeom prst="line">
                            <a:avLst/>
                          </a:prstGeom>
                          <a:ln w="6350" cap="flat" cmpd="sng">
                            <a:solidFill>
                              <a:srgbClr val="000000"/>
                            </a:solidFill>
                            <a:prstDash val="solid"/>
                            <a:headEnd type="none" w="med" len="med"/>
                            <a:tailEnd type="none" w="med" len="med"/>
                          </a:ln>
                          <a:effectLst/>
                        </wps:spPr>
                        <wps:bodyPr upright="1"/>
                      </wps:wsp>
                      <wps:wsp>
                        <wps:cNvPr id="1905" name="直线 608"/>
                        <wps:cNvCnPr/>
                        <wps:spPr>
                          <a:xfrm>
                            <a:off x="3500" y="14214"/>
                            <a:ext cx="815" cy="854"/>
                          </a:xfrm>
                          <a:prstGeom prst="line">
                            <a:avLst/>
                          </a:prstGeom>
                          <a:ln w="6350" cap="flat" cmpd="sng">
                            <a:solidFill>
                              <a:srgbClr val="000000"/>
                            </a:solidFill>
                            <a:prstDash val="solid"/>
                            <a:headEnd type="stealth" w="sm" len="lg"/>
                            <a:tailEnd type="none" w="sm" len="lg"/>
                          </a:ln>
                          <a:effectLst/>
                        </wps:spPr>
                        <wps:bodyPr upright="1"/>
                      </wps:wsp>
                      <wps:wsp>
                        <wps:cNvPr id="1906" name="直线 609"/>
                        <wps:cNvCnPr/>
                        <wps:spPr>
                          <a:xfrm>
                            <a:off x="4315" y="15068"/>
                            <a:ext cx="2410" cy="0"/>
                          </a:xfrm>
                          <a:prstGeom prst="line">
                            <a:avLst/>
                          </a:prstGeom>
                          <a:ln w="6350" cap="flat" cmpd="sng">
                            <a:solidFill>
                              <a:srgbClr val="000000"/>
                            </a:solidFill>
                            <a:prstDash val="solid"/>
                            <a:headEnd type="none" w="med" len="med"/>
                            <a:tailEnd type="none" w="med" len="med"/>
                          </a:ln>
                          <a:effectLst/>
                        </wps:spPr>
                        <wps:bodyPr upright="1"/>
                      </wps:wsp>
                      <wps:wsp>
                        <wps:cNvPr id="1907" name="直线 610"/>
                        <wps:cNvCnPr/>
                        <wps:spPr>
                          <a:xfrm>
                            <a:off x="4884" y="14214"/>
                            <a:ext cx="815" cy="854"/>
                          </a:xfrm>
                          <a:prstGeom prst="line">
                            <a:avLst/>
                          </a:prstGeom>
                          <a:ln w="6350" cap="flat" cmpd="sng">
                            <a:solidFill>
                              <a:srgbClr val="000000"/>
                            </a:solidFill>
                            <a:prstDash val="solid"/>
                            <a:headEnd type="stealth" w="sm" len="lg"/>
                            <a:tailEnd type="none" w="sm" len="lg"/>
                          </a:ln>
                          <a:effectLst/>
                        </wps:spPr>
                        <wps:bodyPr upright="1"/>
                      </wps:wsp>
                    </wpg:wgp>
                  </a:graphicData>
                </a:graphic>
              </wp:anchor>
            </w:drawing>
          </mc:Choice>
          <mc:Fallback>
            <w:pict>
              <v:group id="组合 509" o:spid="_x0000_s1026" o:spt="203" style="position:absolute;left:0pt;margin-left:37.45pt;margin-top:4.75pt;height:147.4pt;width:343.35pt;z-index:251687936;mso-width-relative:page;mso-height-relative:page;" coordorigin="2234,11202" coordsize="7966,3924" o:gfxdata="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">
                <o:lock v:ext="edit" aspectratio="f"/>
                <v:shape id="文本框 510" o:spid="_x0000_s1026" o:spt="202" type="#_x0000_t202" style="position:absolute;left:7426;top:13920;height:366;width:384;" filled="f" stroked="f" coordsize="21600,21600" o:gfxdata="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Ne57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48E535B7">
                        <w:pPr>
                          <w:jc w:val="center"/>
                          <w:rPr>
                            <w:rFonts w:ascii="宋体" w:hAnsi="宋体"/>
                          </w:rPr>
                        </w:pPr>
                      </w:p>
                    </w:txbxContent>
                  </v:textbox>
                </v:shape>
                <v:shape id="文本框 511" o:spid="_x0000_s1026" o:spt="202" type="#_x0000_t202" style="position:absolute;left:6981;top:13359;height:366;width:384;" filled="f" stroked="f" coordsize="21600,21600" o:gfxdata="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0sypW/&#10;AAAA3QAAAA8AAAAAAAAAAQAgAAAAIgAAAGRycy9kb3ducmV2LnhtbFBLAQIUABQAAAAIAIdO4kAz&#10;LwWeOwAAADkAAAAQAAAAAAAAAAEAIAAAAA4BAABkcnMvc2hhcGV4bWwueG1sUEsFBgAAAAAGAAYA&#10;WwEAALgDAAAAAA==&#10;">
                  <v:fill on="f" focussize="0,0"/>
                  <v:stroke on="f" weight="0.5pt"/>
                  <v:imagedata o:title=""/>
                  <o:lock v:ext="edit" aspectratio="f"/>
                  <v:textbox inset="0mm,0mm,0mm,0mm">
                    <w:txbxContent>
                      <w:p w14:paraId="7D2E012A">
                        <w:pPr>
                          <w:jc w:val="center"/>
                          <w:rPr>
                            <w:rFonts w:ascii="宋体" w:hAnsi="宋体"/>
                          </w:rPr>
                        </w:pPr>
                      </w:p>
                    </w:txbxContent>
                  </v:textbox>
                </v:shape>
                <v:shape id="文本框 512" o:spid="_x0000_s1026" o:spt="202" type="#_x0000_t202" style="position:absolute;left:7503;top:12834;height:367;width:385;" filled="f" stroked="f" coordsize="21600,21600" o:gfxdata="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BvDr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18077334">
                        <w:pPr>
                          <w:jc w:val="center"/>
                          <w:rPr>
                            <w:rFonts w:ascii="宋体" w:hAnsi="宋体"/>
                          </w:rPr>
                        </w:pPr>
                      </w:p>
                    </w:txbxContent>
                  </v:textbox>
                </v:shape>
                <v:shape id="文本框 513" o:spid="_x0000_s1026" o:spt="202" type="#_x0000_t202" style="position:absolute;left:6965;top:12294;height:367;width:384;" filled="f" stroked="f" coordsize="21600,21600" o:gfxdata="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g1BO&#10;wAAAAN0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11F7148D">
                        <w:pPr>
                          <w:jc w:val="center"/>
                          <w:rPr>
                            <w:rFonts w:ascii="宋体" w:hAnsi="宋体"/>
                          </w:rPr>
                        </w:pPr>
                      </w:p>
                    </w:txbxContent>
                  </v:textbox>
                </v:shape>
                <v:shape id="文本框 514" o:spid="_x0000_s1026" o:spt="202" type="#_x0000_t202" style="position:absolute;left:5246;top:14596;height:530;width:1557;" filled="f" stroked="f" coordsize="21600,21600" o:gfxdata="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z/XVvQAA&#10;AN0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14:paraId="0C200D27">
                        <w:pPr>
                          <w:pStyle w:val="120"/>
                          <w:spacing w:line="360" w:lineRule="exact"/>
                          <w:rPr>
                            <w:rFonts w:ascii="宋体" w:hAnsi="宋体" w:eastAsia="宋体"/>
                            <w:szCs w:val="24"/>
                          </w:rPr>
                        </w:pPr>
                        <w:r>
                          <w:rPr>
                            <w:rFonts w:hint="eastAsia" w:ascii="宋体" w:hAnsi="宋体" w:eastAsia="宋体"/>
                            <w:szCs w:val="24"/>
                          </w:rPr>
                          <w:t>连通管</w:t>
                        </w:r>
                      </w:p>
                    </w:txbxContent>
                  </v:textbox>
                </v:shape>
                <v:shape id="文本框 515" o:spid="_x0000_s1026" o:spt="202" type="#_x0000_t202" style="position:absolute;left:2830;top:12756;height:367;width:1091;" filled="f" stroked="f" coordsize="21600,21600" o:gfxdata="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HWuivQAA&#10;AN0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14:paraId="0389BF47">
                        <w:pPr>
                          <w:pStyle w:val="120"/>
                          <w:spacing w:line="240" w:lineRule="exact"/>
                          <w:rPr>
                            <w:rFonts w:ascii="宋体" w:hAnsi="宋体" w:eastAsia="宋体"/>
                            <w:szCs w:val="24"/>
                          </w:rPr>
                        </w:pPr>
                        <w:r>
                          <w:rPr>
                            <w:rFonts w:hint="eastAsia" w:ascii="宋体" w:hAnsi="宋体" w:eastAsia="宋体"/>
                            <w:szCs w:val="24"/>
                          </w:rPr>
                          <w:t>8段</w:t>
                        </w:r>
                      </w:p>
                    </w:txbxContent>
                  </v:textbox>
                </v:shape>
                <v:shape id="文本框 516" o:spid="_x0000_s1026" o:spt="202" type="#_x0000_t202" style="position:absolute;left:2343;top:13310;height:367;width:1091;" filled="f" stroked="f" coordsize="21600,21600" o:gfxdata="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HOOb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0A667D52">
                        <w:pPr>
                          <w:pStyle w:val="120"/>
                          <w:spacing w:line="240" w:lineRule="exact"/>
                          <w:rPr>
                            <w:rFonts w:ascii="宋体" w:hAnsi="宋体" w:eastAsia="宋体"/>
                          </w:rPr>
                        </w:pPr>
                        <w:r>
                          <w:rPr>
                            <w:rFonts w:hint="eastAsia" w:ascii="宋体" w:hAnsi="宋体" w:eastAsia="宋体"/>
                            <w:szCs w:val="24"/>
                          </w:rPr>
                          <w:t>6段</w:t>
                        </w:r>
                      </w:p>
                    </w:txbxContent>
                  </v:textbox>
                </v:shape>
                <v:shape id="文本框 517" o:spid="_x0000_s1026" o:spt="202" type="#_x0000_t202" style="position:absolute;left:2785;top:13835;height:366;width:1091;" filled="f" stroked="f" coordsize="21600,21600" o:gfxdata="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WTb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0BED3F1E">
                        <w:pPr>
                          <w:pStyle w:val="120"/>
                          <w:spacing w:line="240" w:lineRule="exact"/>
                          <w:rPr>
                            <w:rFonts w:ascii="宋体" w:hAnsi="宋体" w:eastAsia="宋体"/>
                          </w:rPr>
                        </w:pPr>
                        <w:r>
                          <w:rPr>
                            <w:rFonts w:hint="eastAsia" w:ascii="宋体" w:hAnsi="宋体" w:eastAsia="宋体"/>
                            <w:szCs w:val="24"/>
                          </w:rPr>
                          <w:t>4段</w:t>
                        </w:r>
                      </w:p>
                    </w:txbxContent>
                  </v:textbox>
                </v:shape>
                <v:shape id="文本框 518" o:spid="_x0000_s1026" o:spt="202" type="#_x0000_t202" style="position:absolute;left:2234;top:14374;height:366;width:1091;" filled="f" stroked="f" coordsize="21600,21600" o:gfxdata="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Tz1r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7952A964">
                        <w:pPr>
                          <w:pStyle w:val="120"/>
                          <w:spacing w:line="240" w:lineRule="exact"/>
                          <w:rPr>
                            <w:rFonts w:ascii="宋体" w:hAnsi="宋体" w:eastAsia="宋体"/>
                          </w:rPr>
                        </w:pPr>
                        <w:r>
                          <w:rPr>
                            <w:rFonts w:hint="eastAsia" w:ascii="宋体" w:hAnsi="宋体" w:eastAsia="宋体"/>
                            <w:szCs w:val="24"/>
                          </w:rPr>
                          <w:t>1段</w:t>
                        </w:r>
                      </w:p>
                    </w:txbxContent>
                  </v:textbox>
                </v:shape>
                <v:shape id="文本框 519" o:spid="_x0000_s1026" o:spt="202" type="#_x0000_t202" style="position:absolute;left:2295;top:12175;height:366;width:1091;" filled="f" stroked="f" coordsize="21600,21600" o:gfxdata="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Ztob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4D9D2EC7">
                        <w:pPr>
                          <w:pStyle w:val="120"/>
                          <w:spacing w:line="240" w:lineRule="exact"/>
                          <w:rPr>
                            <w:rFonts w:ascii="宋体" w:hAnsi="宋体" w:eastAsia="宋体"/>
                            <w:szCs w:val="24"/>
                          </w:rPr>
                        </w:pPr>
                        <w:r>
                          <w:rPr>
                            <w:rFonts w:hint="eastAsia" w:ascii="宋体" w:hAnsi="宋体" w:eastAsia="宋体"/>
                            <w:szCs w:val="24"/>
                          </w:rPr>
                          <w:t>10段</w:t>
                        </w:r>
                      </w:p>
                    </w:txbxContent>
                  </v:textbox>
                </v:shape>
                <v:shape id="文本框 520" o:spid="_x0000_s1026" o:spt="202" type="#_x0000_t202" style="position:absolute;left:8643;top:11461;height:540;width:1557;" filled="f" stroked="f" coordsize="21600,21600" o:gfxdata="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rIOr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408786B5">
                        <w:pPr>
                          <w:pStyle w:val="120"/>
                          <w:spacing w:line="360" w:lineRule="exact"/>
                          <w:rPr>
                            <w:rFonts w:ascii="宋体" w:hAnsi="宋体" w:eastAsia="宋体"/>
                            <w:szCs w:val="24"/>
                          </w:rPr>
                        </w:pPr>
                        <w:r>
                          <w:rPr>
                            <w:rFonts w:hint="eastAsia" w:ascii="宋体" w:hAnsi="宋体" w:eastAsia="宋体"/>
                            <w:szCs w:val="24"/>
                          </w:rPr>
                          <w:t>起爆雷管</w:t>
                        </w:r>
                      </w:p>
                    </w:txbxContent>
                  </v:textbox>
                </v:shape>
                <v:shape id="文本框 521" o:spid="_x0000_s1026" o:spt="202" type="#_x0000_t202" style="position:absolute;left:6297;top:11202;height:529;width:1558;" filled="f" stroked="f" coordsize="21600,21600" o:gfxdata="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9VxI&#10;wAAAAN0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7978EC34">
                        <w:pPr>
                          <w:pStyle w:val="120"/>
                          <w:spacing w:line="360" w:lineRule="exact"/>
                          <w:rPr>
                            <w:rFonts w:ascii="宋体" w:hAnsi="宋体" w:eastAsia="宋体"/>
                            <w:szCs w:val="24"/>
                          </w:rPr>
                        </w:pPr>
                        <w:r>
                          <w:rPr>
                            <w:rFonts w:hint="eastAsia" w:ascii="宋体" w:hAnsi="宋体" w:eastAsia="宋体"/>
                            <w:szCs w:val="24"/>
                          </w:rPr>
                          <w:t>孔内导爆管</w:t>
                        </w:r>
                      </w:p>
                    </w:txbxContent>
                  </v:textbox>
                </v:shape>
                <v:shape id="文本框 522" o:spid="_x0000_s1026" o:spt="202" type="#_x0000_t202" style="position:absolute;left:4315;top:11202;height:529;width:1558;" filled="f" stroked="f" coordsize="21600,21600" o:gfxdata="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7n507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3841F38C">
                        <w:pPr>
                          <w:pStyle w:val="120"/>
                          <w:spacing w:line="340" w:lineRule="exact"/>
                          <w:rPr>
                            <w:rFonts w:ascii="宋体" w:hAnsi="宋体" w:eastAsia="宋体"/>
                          </w:rPr>
                        </w:pPr>
                        <w:r>
                          <w:rPr>
                            <w:rFonts w:hint="eastAsia" w:ascii="宋体" w:hAnsi="宋体" w:eastAsia="宋体"/>
                            <w:szCs w:val="24"/>
                          </w:rPr>
                          <w:t>孔内导爆雷管</w:t>
                        </w:r>
                      </w:p>
                    </w:txbxContent>
                  </v:textbox>
                </v:shape>
                <v:group id="组合 523" o:spid="_x0000_s1026" o:spt="203" style="position:absolute;left:2983;top:14100;height:427;width:4590;" coordorigin="2266,7906" coordsize="5394,532" o:gfxdata="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MWS3O+AAAA3QAAAA8AAAAAAAAAAQAgAAAAIgAAAGRycy9kb3ducmV2Lnht&#10;bFBLAQIUABQAAAAIAIdO4kAzLwWeOwAAADkAAAAVAAAAAAAAAAEAIAAAAA0BAABkcnMvZ3JvdXBz&#10;aGFwZXhtbC54bWxQSwUGAAAAAAYABgBgAQAAygMAAAAA&#10;">
                  <o:lock v:ext="edit" aspectratio="f"/>
                  <v:shape id="自选图形 524" o:spid="_x0000_s1026" o:spt="100" style="position:absolute;left:4395;top:7906;height:143;width:143;rotation:-5993947f;" filled="f" stroked="t" coordsize="21600,21600" o:gfxdata="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C7sAAADd&#10;AAAADwAAAAAAAAABACAAAAAiAAAAZHJzL2Rvd25yZXYueG1sUEsBAhQAFAAAAAgAh07iQDMvBZ47&#10;AAAAOQAAABAAAAAAAAAAAQAgAAAACgEAAGRycy9zaGFwZXhtbC54bWxQSwUGAAAAAAYABgBbAQAA&#10;tAMAAAAA&#10;" path="m0,0l5400,21600,16200,21600,21600,0xe">
                    <v:path o:connectlocs="18900,10800;10800,21600;2700,10800;10800,0" o:connectangles="0,0,0,0"/>
                    <v:fill on="f" focussize="0,0"/>
                    <v:stroke weight="0.5pt" color="#000000" joinstyle="miter"/>
                    <v:imagedata o:title=""/>
                    <o:lock v:ext="edit" aspectratio="f"/>
                  </v:shape>
                  <v:shape id="自选图形 525" o:spid="_x0000_s1026" o:spt="100" style="position:absolute;left:5980;top:7906;height:143;width:143;rotation:-5993947f;" filled="f" stroked="t" coordsize="21600,21600" o:gfxdata="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Ckm5C2AAAA3QAAAA8A&#10;AAAAAAAAAQAgAAAAIgAAAGRycy9kb3ducmV2LnhtbFBLAQIUABQAAAAIAIdO4kAzLwWeOwAAADkA&#10;AAAQAAAAAAAAAAEAIAAAAAUBAABkcnMvc2hhcGV4bWwueG1sUEsFBgAAAAAGAAYAWwEAAK8DAAAA&#10;AA==&#10;" path="m0,0l5400,21600,16200,21600,21600,0xe">
                    <v:path o:connectlocs="18900,10800;10800,21600;2700,10800;10800,0" o:connectangles="0,0,0,0"/>
                    <v:fill on="f" focussize="0,0"/>
                    <v:stroke weight="0.5pt" color="#000000" joinstyle="miter"/>
                    <v:imagedata o:title=""/>
                    <o:lock v:ext="edit" aspectratio="f"/>
                  </v:shape>
                  <v:shape id="自选图形 526" o:spid="_x0000_s1026" o:spt="100" style="position:absolute;left:7517;top:7906;height:143;width:143;rotation:-5993947f;" filled="f" stroked="t" coordsize="21600,21600" o:gfxdata="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B2Bee2AAAA3QAAAA8A&#10;AAAAAAAAAQAgAAAAIgAAAGRycy9kb3ducmV2LnhtbFBLAQIUABQAAAAIAIdO4kAzLwWeOwAAADkA&#10;AAAQAAAAAAAAAAEAIAAAAAUBAABkcnMvc2hhcGV4bWwueG1sUEsFBgAAAAAGAAYAWwEAAK8DAAAA&#10;AA==&#10;" path="m0,0l5400,21600,16200,21600,21600,0xe">
                    <v:path o:connectlocs="18900,10800;10800,21600;2700,10800;10800,0" o:connectangles="0,0,0,0"/>
                    <v:fill on="f" focussize="0,0"/>
                    <v:stroke weight="0.5pt" color="#000000" joinstyle="miter"/>
                    <v:imagedata o:title=""/>
                    <o:lock v:ext="edit" aspectratio="f"/>
                  </v:shape>
                  <v:shape id="自选图形 527" o:spid="_x0000_s1026" o:spt="100" style="position:absolute;left:2814;top:7906;height:143;width:143;rotation:-5993947f;" filled="f" stroked="t" coordsize="21600,21600" o:gfxdata="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OqB8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椭圆 528" o:spid="_x0000_s1026" o:spt="3" type="#_x0000_t3" style="position:absolute;left:2266;top:8174;height:264;width:264;" filled="f" stroked="t" coordsize="21600,21600" o:gfxdata="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ncz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529" o:spid="_x0000_s1026" o:spt="3" type="#_x0000_t3" style="position:absolute;left:3832;top:8174;height:264;width:264;" filled="f" stroked="t" coordsize="21600,21600" o:gfxdata="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otKo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530" o:spid="_x0000_s1026" o:spt="3" type="#_x0000_t3" style="position:absolute;left:5398;top:8174;height:264;width:264;" filled="f" stroked="t" coordsize="21600,21600" o:gfxdata="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XBM3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531" o:spid="_x0000_s1026" o:spt="3" type="#_x0000_t3" style="position:absolute;left:6965;top:8174;height:264;width:264;" filled="f" stroked="t" coordsize="21600,21600" o:gfxdata="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POlE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任意多边形 532" o:spid="_x0000_s1026" o:spt="100" style="position:absolute;left:2371;top:7973;height:316;width:509;" filled="f" stroked="t" coordsize="509,316" o:gfxdata="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tDDC&#10;wAAAAN0AAAAPAAAAAAAAAAEAIAAAACIAAABkcnMvZG93bnJldi54bWxQSwECFAAUAAAACACHTuJA&#10;My8FnjsAAAA5AAAAEAAAAAAAAAABACAAAAAPAQAAZHJzL3NoYXBleG1sLnhtbFBLBQYAAAAABgAG&#10;AFsBAAC5AwAAAAA=&#10;" path="m0,316c37,285,74,254,159,201c244,148,448,33,509,0e">
                    <v:fill on="f" focussize="0,0"/>
                    <v:stroke weight="0.5pt" color="#000000" joinstyle="round"/>
                    <v:imagedata o:title=""/>
                    <o:lock v:ext="edit" aspectratio="f"/>
                  </v:shape>
                  <v:shape id="任意多边形 533" o:spid="_x0000_s1026" o:spt="100" style="position:absolute;left:3952;top:7973;height:316;width:509;" filled="f" stroked="t" coordsize="509,316" o:gfxdata="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H4lVm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34" o:spid="_x0000_s1026" o:spt="100" style="position:absolute;left:5537;top:7973;height:316;width:509;" filled="f" stroked="t" coordsize="509,316" o:gfxdata="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bqhm/&#10;AAAA3QAAAA8AAAAAAAAAAQAgAAAAIgAAAGRycy9kb3ducmV2LnhtbFBLAQIUABQAAAAIAIdO4kAz&#10;LwWeOwAAADkAAAAQAAAAAAAAAAEAIAAAAA4BAABkcnMvc2hhcGV4bWwueG1sUEsFBgAAAAAGAAYA&#10;WwEAALgDAAAAAA==&#10;" path="m0,316c37,285,74,254,159,201c244,148,448,33,509,0e">
                    <v:fill on="f" focussize="0,0"/>
                    <v:stroke weight="0.5pt" color="#000000" joinstyle="round"/>
                    <v:imagedata o:title=""/>
                    <o:lock v:ext="edit" aspectratio="f"/>
                  </v:shape>
                  <v:shape id="任意多边形 535" o:spid="_x0000_s1026" o:spt="100" style="position:absolute;left:7074;top:7973;height:316;width:509;" filled="f" stroked="t" coordsize="509,316" o:gfxdata="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cPgr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group>
                <v:group id="组合 536" o:spid="_x0000_s1026" o:spt="203" style="position:absolute;left:3034;top:13007;height:427;width:4590;" coordorigin="2266,7906" coordsize="5394,532" o:gfxdata="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T5oHq+AAAA3QAAAA8AAAAAAAAAAQAgAAAAIgAAAGRycy9kb3ducmV2Lnht&#10;bFBLAQIUABQAAAAIAIdO4kAzLwWeOwAAADkAAAAVAAAAAAAAAAEAIAAAAA0BAABkcnMvZ3JvdXBz&#10;aGFwZXhtbC54bWxQSwUGAAAAAAYABgBgAQAAygMAAAAA&#10;">
                  <o:lock v:ext="edit" aspectratio="f"/>
                  <v:shape id="自选图形 537" o:spid="_x0000_s1026" o:spt="100" style="position:absolute;left:4395;top:7906;height:143;width:143;rotation:-5993947f;" filled="f" stroked="t" coordsize="21600,21600" o:gfxdata="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4zahtwAAAN0AAAAP&#10;AAAAAAAAAAEAIAAAACIAAABkcnMvZG93bnJldi54bWxQSwECFAAUAAAACACHTuJAMy8FnjsAAAA5&#10;AAAAEAAAAAAAAAABACAAAAAGAQAAZHJzL3NoYXBleG1sLnhtbFBLBQYAAAAABgAGAFsBAACwAwAA&#10;AAA=&#10;" path="m0,0l5400,21600,16200,21600,21600,0xe">
                    <v:path o:connectlocs="18900,10800;10800,21600;2700,10800;10800,0" o:connectangles="0,0,0,0"/>
                    <v:fill on="f" focussize="0,0"/>
                    <v:stroke weight="0.5pt" color="#000000" joinstyle="miter"/>
                    <v:imagedata o:title=""/>
                    <o:lock v:ext="edit" aspectratio="f"/>
                  </v:shape>
                  <v:shape id="自选图形 538" o:spid="_x0000_s1026" o:spt="100" style="position:absolute;left:5980;top:7906;height:143;width:143;rotation:-5993947f;" filled="f" stroked="t" coordsize="21600,21600" o:gfxdata="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UKrtW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39" o:spid="_x0000_s1026" o:spt="100" style="position:absolute;left:7517;top:7906;height:143;width:143;rotation:-5993947f;" filled="f" stroked="t" coordsize="21600,21600" o:gfxdata="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GC06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40" o:spid="_x0000_s1026" o:spt="100" style="position:absolute;left:2814;top:7906;height:143;width:143;rotation:-5993947f;" filled="f" stroked="t" coordsize="21600,21600" o:gfxdata="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lJU5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椭圆 541" o:spid="_x0000_s1026" o:spt="3" type="#_x0000_t3" style="position:absolute;left:2266;top:8174;height:264;width:264;" filled="f" stroked="t" coordsize="21600,21600" o:gfxdata="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5X+Z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542" o:spid="_x0000_s1026" o:spt="3" type="#_x0000_t3" style="position:absolute;left:3832;top:8174;height:264;width:264;" filled="f" stroked="t" coordsize="21600,21600" o:gfxdata="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rr6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543" o:spid="_x0000_s1026" o:spt="3" type="#_x0000_t3" style="position:absolute;left:5398;top:8174;height:264;width:264;" filled="f" stroked="t" coordsize="21600,21600" o:gfxdata="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Nk5w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544" o:spid="_x0000_s1026" o:spt="3" type="#_x0000_t3" style="position:absolute;left:6965;top:8174;height:264;width:264;" filled="f" stroked="t" coordsize="21600,21600" o:gfxdata="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qUkL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任意多边形 545" o:spid="_x0000_s1026" o:spt="100" style="position:absolute;left:2371;top:7973;height:316;width:509;" filled="f" stroked="t" coordsize="509,316" o:gfxdata="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UXz/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46" o:spid="_x0000_s1026" o:spt="100" style="position:absolute;left:3952;top:7973;height:316;width:509;" filled="f" stroked="t" coordsize="509,316" o:gfxdata="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oPiiL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shape id="任意多边形 547" o:spid="_x0000_s1026" o:spt="100" style="position:absolute;left:5537;top:7973;height:316;width:509;" filled="f" stroked="t" coordsize="509,316" o:gfxdata="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z0cT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48" o:spid="_x0000_s1026" o:spt="100" style="position:absolute;left:7074;top:7973;height:316;width:509;" filled="f" stroked="t" coordsize="509,316" o:gfxdata="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Jt9n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group>
                <v:group id="组合 549" o:spid="_x0000_s1026" o:spt="203" style="position:absolute;left:3514;top:13562;height:425;width:4590;" coordorigin="2266,7906" coordsize="5394,532" o:gfxdata="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vIZk5vwAAAN0AAAAPAAAAAAAAAAEAIAAAACIAAABkcnMvZG93bnJldi54&#10;bWxQSwECFAAUAAAACACHTuJAMy8FnjsAAAA5AAAAFQAAAAAAAAABACAAAAAOAQAAZHJzL2dyb3Vw&#10;c2hhcGV4bWwueG1sUEsFBgAAAAAGAAYAYAEAAMsDAAAAAA==&#10;">
                  <o:lock v:ext="edit" aspectratio="f"/>
                  <v:shape id="自选图形 550" o:spid="_x0000_s1026" o:spt="100" style="position:absolute;left:4395;top:7906;height:143;width:143;rotation:-5993947f;" filled="f" stroked="t" coordsize="21600,21600" o:gfxdata="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kuZE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51" o:spid="_x0000_s1026" o:spt="100" style="position:absolute;left:5980;top:7906;height:143;width:143;rotation:-5993947f;" filled="f" stroked="t" coordsize="21600,21600" o:gfxdata="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3eQ9+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52" o:spid="_x0000_s1026" o:spt="100" style="position:absolute;left:7517;top:7906;height:143;width:143;rotation:-5993947f;" filled="f" stroked="t" coordsize="21600,21600" o:gfxdata="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B1628AAAA&#10;3QAAAA8AAAAAAAAAAQAgAAAAIgAAAGRycy9kb3ducmV2LnhtbFBLAQIUABQAAAAIAIdO4kAzLwWe&#10;OwAAADkAAAAQAAAAAAAAAAEAIAAAAAsBAABkcnMvc2hhcGV4bWwueG1sUEsFBgAAAAAGAAYAWwEA&#10;ALUDAAAAAA==&#10;" path="m0,0l5400,21600,16200,21600,21600,0xe">
                    <v:path o:connectlocs="18900,10800;10800,21600;2700,10800;10800,0" o:connectangles="0,0,0,0"/>
                    <v:fill on="f" focussize="0,0"/>
                    <v:stroke weight="0.5pt" color="#000000" joinstyle="miter"/>
                    <v:imagedata o:title=""/>
                    <o:lock v:ext="edit" aspectratio="f"/>
                  </v:shape>
                  <v:shape id="自选图形 553" o:spid="_x0000_s1026" o:spt="100" style="position:absolute;left:2814;top:7906;height:143;width:143;rotation:-5993947f;" filled="f" stroked="t" coordsize="21600,21600" o:gfxdata="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DXI2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椭圆 554" o:spid="_x0000_s1026" o:spt="3" type="#_x0000_t3" style="position:absolute;left:2266;top:8174;height:264;width:264;" filled="f" stroked="t" coordsize="21600,21600" o:gfxdata="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dMCT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555" o:spid="_x0000_s1026" o:spt="3" type="#_x0000_t3" style="position:absolute;left:3832;top:8174;height:264;width:264;" filled="f" stroked="t" coordsize="21600,21600" o:gfxdata="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p+n1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556" o:spid="_x0000_s1026" o:spt="3" type="#_x0000_t3" style="position:absolute;left:5398;top:8174;height:264;width:264;" filled="f" stroked="t" coordsize="21600,21600" o:gfxdata="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TTmh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557" o:spid="_x0000_s1026" o:spt="3" type="#_x0000_t3" style="position:absolute;left:6965;top:8174;height:264;width:264;" filled="f" stroked="t" coordsize="21600,21600" o:gfxdata="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AZw6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任意多边形 558" o:spid="_x0000_s1026" o:spt="100" style="position:absolute;left:2371;top:7973;height:316;width:509;" filled="f" stroked="t" coordsize="509,316" o:gfxdata="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0m6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59" o:spid="_x0000_s1026" o:spt="100" style="position:absolute;left:3952;top:7973;height:316;width:509;" filled="f" stroked="t" coordsize="509,316" o:gfxdata="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s+wh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60" o:spid="_x0000_s1026" o:spt="100" style="position:absolute;left:5537;top:7973;height:316;width:509;" filled="f" stroked="t" coordsize="509,316" o:gfxdata="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hcla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61" o:spid="_x0000_s1026" o:spt="100" style="position:absolute;left:7074;top:7973;height:316;width:509;" filled="f" stroked="t" coordsize="509,316" o:gfxdata="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LdfN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group>
                <v:group id="组合 562" o:spid="_x0000_s1026" o:spt="203" style="position:absolute;left:3565;top:12483;height:427;width:4590;" coordorigin="2266,7906" coordsize="5394,532" o:gfxdata="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ta5sxL0AAADdAAAADwAAAAAAAAABACAAAAAiAAAAZHJzL2Rvd25yZXYueG1s&#10;UEsBAhQAFAAAAAgAh07iQDMvBZ47AAAAOQAAABUAAAAAAAAAAQAgAAAADAEAAGRycy9ncm91cHNo&#10;YXBleG1sLnhtbFBLBQYAAAAABgAGAGABAADJAwAAAAA=&#10;">
                  <o:lock v:ext="edit" aspectratio="f"/>
                  <v:shape id="自选图形 563" o:spid="_x0000_s1026" o:spt="100" style="position:absolute;left:4395;top:7906;height:143;width:143;rotation:-5993947f;" filled="f" stroked="t" coordsize="21600,21600" o:gfxdata="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1OTr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64" o:spid="_x0000_s1026" o:spt="100" style="position:absolute;left:5980;top:7906;height:143;width:143;rotation:-5993947f;" filled="f" stroked="t" coordsize="21600,21600" o:gfxdata="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Ch8u8AAAA&#10;3QAAAA8AAAAAAAAAAQAgAAAAIgAAAGRycy9kb3ducmV2LnhtbFBLAQIUABQAAAAIAIdO4kAzLwWe&#10;OwAAADkAAAAQAAAAAAAAAAEAIAAAAAsBAABkcnMvc2hhcGV4bWwueG1sUEsFBgAAAAAGAAYAWwEA&#10;ALUDAAAAAA==&#10;" path="m0,0l5400,21600,16200,21600,21600,0xe">
                    <v:path o:connectlocs="18900,10800;10800,21600;2700,10800;10800,0" o:connectangles="0,0,0,0"/>
                    <v:fill on="f" focussize="0,0"/>
                    <v:stroke weight="0.5pt" color="#000000" joinstyle="miter"/>
                    <v:imagedata o:title=""/>
                    <o:lock v:ext="edit" aspectratio="f"/>
                  </v:shape>
                  <v:shape id="自选图形 565" o:spid="_x0000_s1026" o:spt="100" style="position:absolute;left:7517;top:7906;height:143;width:143;rotation:-5993947f;" filled="f" stroked="t" coordsize="21600,21600" o:gfxdata="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bOIlC2AAAA3QAAAA8A&#10;AAAAAAAAAQAgAAAAIgAAAGRycy9kb3ducmV2LnhtbFBLAQIUABQAAAAIAIdO4kAzLwWeOwAAADkA&#10;AAAQAAAAAAAAAAEAIAAAAAUBAABkcnMvc2hhcGV4bWwueG1sUEsFBgAAAAAGAAYAWwEAAK8DAAAA&#10;AA==&#10;" path="m0,0l5400,21600,16200,21600,21600,0xe">
                    <v:path o:connectlocs="18900,10800;10800,21600;2700,10800;10800,0" o:connectangles="0,0,0,0"/>
                    <v:fill on="f" focussize="0,0"/>
                    <v:stroke weight="0.5pt" color="#000000" joinstyle="miter"/>
                    <v:imagedata o:title=""/>
                    <o:lock v:ext="edit" aspectratio="f"/>
                  </v:shape>
                  <v:shape id="自选图形 566" o:spid="_x0000_s1026" o:spt="100" style="position:absolute;left:2814;top:7906;height:143;width:143;rotation:-5993947f;" filled="f" stroked="t" coordsize="21600,21600" o:gfxdata="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cvCe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椭圆 567" o:spid="_x0000_s1026" o:spt="3" type="#_x0000_t3" style="position:absolute;left:2266;top:8174;height:264;width:264;" filled="f" stroked="t" coordsize="21600,21600" o:gfxdata="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21Wh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568" o:spid="_x0000_s1026" o:spt="3" type="#_x0000_t3" style="position:absolute;left:3832;top:8174;height:264;width:264;" filled="f" stroked="t" coordsize="21600,21600" o:gfxdata="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ITO8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569" o:spid="_x0000_s1026" o:spt="3" type="#_x0000_t3" style="position:absolute;left:5398;top:8174;height:264;width:264;" filled="f" stroked="t" coordsize="21600,21600" o:gfxdata="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8hraL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570" o:spid="_x0000_s1026" o:spt="3" type="#_x0000_t3" style="position:absolute;left:6965;top:8174;height:264;width:264;" filled="f" stroked="t" coordsize="21600,21600" o:gfxdata="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xr1H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任意多边形 571" o:spid="_x0000_s1026" o:spt="100" style="position:absolute;left:2371;top:7973;height:316;width:509;" filled="f" stroked="t" coordsize="509,316" o:gfxdata="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UEdcL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shape id="任意多边形 572" o:spid="_x0000_s1026" o:spt="100" style="position:absolute;left:3952;top:7973;height:316;width:509;" filled="f" stroked="t" coordsize="509,316" o:gfxdata="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3okC&#10;wAAAAN0AAAAPAAAAAAAAAAEAIAAAACIAAABkcnMvZG93bnJldi54bWxQSwECFAAUAAAACACHTuJA&#10;My8FnjsAAAA5AAAAEAAAAAAAAAABACAAAAAPAQAAZHJzL3NoYXBleG1sLnhtbFBLBQYAAAAABgAG&#10;AFsBAAC5AwAAAAA=&#10;" path="m0,316c37,285,74,254,159,201c244,148,448,33,509,0e">
                    <v:fill on="f" focussize="0,0"/>
                    <v:stroke weight="0.5pt" color="#000000" joinstyle="round"/>
                    <v:imagedata o:title=""/>
                    <o:lock v:ext="edit" aspectratio="f"/>
                  </v:shape>
                  <v:shape id="任意多边形 573" o:spid="_x0000_s1026" o:spt="100" style="position:absolute;left:5537;top:7973;height:316;width:509;" filled="f" stroked="t" coordsize="509,316" o:gfxdata="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kiyZ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shape id="任意多边形 574" o:spid="_x0000_s1026" o:spt="100" style="position:absolute;left:7074;top:7973;height:316;width:509;" filled="f" stroked="t" coordsize="509,316" o:gfxdata="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cRPZ&#10;wAAAAN0AAAAPAAAAAAAAAAEAIAAAACIAAABkcnMvZG93bnJldi54bWxQSwECFAAUAAAACACHTuJA&#10;My8FnjsAAAA5AAAAEAAAAAAAAAABACAAAAAPAQAAZHJzL3NoYXBleG1sLnhtbFBLBQYAAAAABgAG&#10;AFsBAAC5AwAAAAA=&#10;" path="m0,316c37,285,74,254,159,201c244,148,448,33,509,0e">
                    <v:fill on="f" focussize="0,0"/>
                    <v:stroke weight="0.5pt" color="#000000" joinstyle="round"/>
                    <v:imagedata o:title=""/>
                    <o:lock v:ext="edit" aspectratio="f"/>
                  </v:shape>
                </v:group>
                <v:line id="直线 575" o:spid="_x0000_s1026" o:spt="20" style="position:absolute;left:3128;top:11998;height:0;width:5081;" filled="f" stroked="t" coordsize="21600,21600" o:gfxdata="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2e6g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76" o:spid="_x0000_s1026" o:spt="20" style="position:absolute;left:3905;top:12536;height:0;width:4304;" filled="f" stroked="t" coordsize="21600,21600" o:gfxdata="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CsfG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77" o:spid="_x0000_s1026" o:spt="20" style="position:absolute;left:3128;top:13075;height:0;width:5559;" filled="f" stroked="t" coordsize="21600,21600" o:gfxdata="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8KHb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78" o:spid="_x0000_s1026" o:spt="20" style="position:absolute;left:3905;top:13614;height:0;width:4304;" filled="f" stroked="t" coordsize="21600,21600" o:gfxdata="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I4i9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579" o:spid="_x0000_s1026" o:spt="20" style="position:absolute;left:3128;top:14153;height:0;width:5081;" filled="f" stroked="t" coordsize="21600,21600" o:gfxdata="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y8g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shape id="任意多边形 580" o:spid="_x0000_s1026" o:spt="100" style="position:absolute;left:8209;top:12533;height:532;width:434;" filled="f" stroked="t" coordsize="510,663" o:gfxdata="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XbMersAAADd&#10;AAAADwAAAAAAAAABACAAAAAiAAAAZHJzL2Rvd25yZXYueG1sUEsBAhQAFAAAAAgAh07iQDMvBZ47&#10;AAAAOQAAABAAAAAAAAAAAQAgAAAACgEAAGRycy9zaGFwZXhtbC54bWxQSwUGAAAAAAYABgBbAQAA&#10;tAMAAAAA&#10;" path="m0,0c35,12,85,4,106,35c146,95,159,141,176,211c182,264,187,317,194,369c198,399,207,427,211,457c218,509,209,566,229,615c236,632,263,627,281,632c390,663,356,650,510,650e">
                  <v:fill on="f" focussize="0,0"/>
                  <v:stroke weight="0.5pt" color="#000000" joinstyle="round"/>
                  <v:imagedata o:title=""/>
                  <o:lock v:ext="edit" aspectratio="f"/>
                </v:shape>
                <v:shape id="任意多边形 581" o:spid="_x0000_s1026" o:spt="100" style="position:absolute;left:8209;top:11998;height:1014;width:478;" filled="f" stroked="t" coordsize="562,1264" o:gfxdata="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50&#10;PUvCAAAA3QAAAA8AAAAAAAAAAQAgAAAAIgAAAGRycy9kb3ducmV2LnhtbFBLAQIUABQAAAAIAIdO&#10;4kAzLwWeOwAAADkAAAAQAAAAAAAAAAEAIAAAABEBAABkcnMvc2hhcGV4bWwueG1sUEsFBgAAAAAG&#10;AAYAWwEAALsDAAAAAA==&#10;" path="m0,0c29,6,62,2,88,17c106,27,114,51,123,70c163,159,181,258,211,351c222,565,230,775,281,983c287,1042,290,1101,299,1159c302,1177,304,1198,317,1211c330,1224,351,1224,369,1229c438,1249,491,1264,562,1264e">
                  <v:fill on="f" focussize="0,0"/>
                  <v:stroke weight="0.5pt" color="#000000" joinstyle="round"/>
                  <v:imagedata o:title=""/>
                  <o:lock v:ext="edit" aspectratio="f"/>
                </v:shape>
                <v:shape id="任意多边形 582" o:spid="_x0000_s1026" o:spt="100" style="position:absolute;left:8147;top:13124;height:493;width:525;" filled="f" stroked="t" coordsize="616,614" o:gfxdata="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z6WovQAA&#10;AN0AAAAPAAAAAAAAAAEAIAAAACIAAABkcnMvZG93bnJldi54bWxQSwECFAAUAAAACACHTuJAMy8F&#10;njsAAAA5AAAAEAAAAAAAAAABACAAAAAMAQAAZHJzL3NoYXBleG1sLnhtbFBLBQYAAAAABgAGAFsB&#10;AAC2AwAAAAA=&#10;" path="m19,614c37,608,59,610,72,597c169,501,0,575,142,526c189,391,120,556,213,439c225,424,222,403,230,386c239,367,253,351,265,333c289,216,310,0,476,0c523,0,569,0,616,0e">
                  <v:fill on="f" focussize="0,0"/>
                  <v:stroke weight="0.5pt" color="#000000" joinstyle="round"/>
                  <v:imagedata o:title=""/>
                  <o:lock v:ext="edit" aspectratio="f"/>
                </v:shape>
                <v:shape id="任意多边形 583" o:spid="_x0000_s1026" o:spt="100" style="position:absolute;left:8195;top:13202;height:961;width:523;" filled="f" stroked="t" coordsize="614,1198" o:gfxdata="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Ik974A&#10;AADdAAAADwAAAAAAAAABACAAAAAiAAAAZHJzL2Rvd25yZXYueG1sUEsBAhQAFAAAAAgAh07iQDMv&#10;BZ47AAAAOQAAABAAAAAAAAAAAQAgAAAADQEAAGRycy9zaGFwZXhtbC54bWxQSwUGAAAAAAYABgBb&#10;AQAAtwMAAAAA&#10;" path="m16,1186c57,1065,0,1198,87,1098c159,1015,159,985,192,887c205,847,262,782,262,782c284,569,281,353,350,149c366,101,371,19,438,9c496,0,555,9,614,9e">
                  <v:fill on="f" focussize="0,0"/>
                  <v:stroke weight="0.5pt" color="#000000" joinstyle="round"/>
                  <v:imagedata o:title=""/>
                  <o:lock v:ext="edit" aspectratio="f"/>
                </v:shape>
                <v:shape id="任意多边形 584" o:spid="_x0000_s1026" o:spt="100" style="position:absolute;left:8675;top:12490;height:593;width:998;" filled="f" stroked="t" coordsize="1173,738" o:gfxdata="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XdUy8AAAA&#10;3QAAAA8AAAAAAAAAAQAgAAAAIgAAAGRycy9kb3ducmV2LnhtbFBLAQIUABQAAAAIAIdO4kAzLwWe&#10;OwAAADkAAAAQAAAAAAAAAAEAIAAAAAsBAABkcnMvc2hhcGV4bWwueG1sUEsFBgAAAAAGAAYAWwEA&#10;ALUDAAAAAA==&#10;" path="m32,738c159,695,0,738,155,738c226,738,296,726,366,720c404,663,414,609,436,545c457,412,482,285,524,158c530,141,526,116,541,106c594,71,622,37,682,18c804,38,800,28,910,0c1115,21,1027,18,1173,18e">
                  <v:fill on="f" focussize="0,0"/>
                  <v:stroke weight="0.5pt" color="#000000" joinstyle="round"/>
                  <v:imagedata o:title=""/>
                  <o:lock v:ext="edit" aspectratio="f"/>
                </v:shape>
                <v:shape id="任意多边形 585" o:spid="_x0000_s1026" o:spt="100" style="position:absolute;left:8718;top:13083;height:745;width:1000;" filled="f" stroked="t" coordsize="1176,931" o:gfxdata="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QgTS8AAAA&#10;3QAAAA8AAAAAAAAAAQAgAAAAIgAAAGRycy9kb3ducmV2LnhtbFBLAQIUABQAAAAIAIdO4kAzLwWe&#10;OwAAADkAAAAQAAAAAAAAAAEAIAAAAAsBAABkcnMvc2hhcGV4bWwueG1sUEsFBgAAAAAGAAYAWwEA&#10;ALUDAAAAAA==&#10;" path="m0,0c120,39,247,30,368,70c374,99,384,128,386,158c396,327,387,498,403,667c405,684,428,689,439,702c452,718,458,741,474,755c611,875,775,902,948,931c1024,920,1100,895,1176,895e">
                  <v:fill on="f" focussize="0,0"/>
                  <v:stroke weight="0.5pt" color="#000000" joinstyle="round"/>
                  <v:imagedata o:title=""/>
                  <o:lock v:ext="edit" aspectratio="f"/>
                </v:shape>
                <v:shape id="任意多边形 586" o:spid="_x0000_s1026" o:spt="100" style="position:absolute;left:8532;top:12969;height:311;width:271;" filled="f" stroked="t" coordsize="318,387" o:gfxdata="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CsRsvQAA&#10;AN0AAAAPAAAAAAAAAAEAIAAAACIAAABkcnMvZG93bnJldi54bWxQSwECFAAUAAAACACHTuJAMy8F&#10;njsAAAA5AAAAEAAAAAAAAAABACAAAAAMAQAAZHJzL3NoYXBleG1sLnhtbFBLBQYAAAAABgAGAFsB&#10;AAC2AwAAAAA=&#10;" path="m7,352c13,241,0,127,24,18c28,0,64,23,77,36c90,49,89,71,95,88c101,164,112,240,112,316c112,363,95,223,95,176c95,151,121,80,130,53c159,97,182,119,182,176c182,229,165,387,165,334c165,240,176,147,182,53c318,99,235,52,235,334e">
                  <v:fill on="f" focussize="0,0"/>
                  <v:stroke weight="0.5pt" color="#000000" joinstyle="round"/>
                  <v:imagedata o:title=""/>
                  <o:lock v:ext="edit" aspectratio="f"/>
                </v:shape>
                <v:group id="组合 587" o:spid="_x0000_s1026" o:spt="203" style="position:absolute;left:3039;top:11944;height:427;width:4590;" coordorigin="2266,7906" coordsize="5394,532" o:gfxdata="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pLEkq+AAAA3QAAAA8AAAAAAAAAAQAgAAAAIgAAAGRycy9kb3ducmV2Lnht&#10;bFBLAQIUABQAAAAIAIdO4kAzLwWeOwAAADkAAAAVAAAAAAAAAAEAIAAAAA0BAABkcnMvZ3JvdXBz&#10;aGFwZXhtbC54bWxQSwUGAAAAAAYABgBgAQAAygMAAAAA&#10;">
                  <o:lock v:ext="edit" aspectratio="f"/>
                  <v:shape id="自选图形 588" o:spid="_x0000_s1026" o:spt="100" style="position:absolute;left:4395;top:7906;height:143;width:143;rotation:-5993947f;" filled="f" stroked="t" coordsize="21600,21600" o:gfxdata="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tWcy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89" o:spid="_x0000_s1026" o:spt="100" style="position:absolute;left:5980;top:7906;height:143;width:143;rotation:-5993947f;" filled="f" stroked="t" coordsize="21600,21600" o:gfxdata="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cKpugAAAN0A&#10;AAAPAAAAAAAAAAEAIAAAACIAAABkcnMvZG93bnJldi54bWxQSwECFAAUAAAACACHTuJAMy8FnjsA&#10;AAA5AAAAEAAAAAAAAAABACAAAAAJAQAAZHJzL3NoYXBleG1sLnhtbFBLBQYAAAAABgAGAFsBAACz&#10;AwAAAAA=&#10;" path="m0,0l5400,21600,16200,21600,21600,0xe">
                    <v:path o:connectlocs="18900,10800;10800,21600;2700,10800;10800,0" o:connectangles="0,0,0,0"/>
                    <v:fill on="f" focussize="0,0"/>
                    <v:stroke weight="0.5pt" color="#000000" joinstyle="miter"/>
                    <v:imagedata o:title=""/>
                    <o:lock v:ext="edit" aspectratio="f"/>
                  </v:shape>
                  <v:shape id="自选图形 590" o:spid="_x0000_s1026" o:spt="100" style="position:absolute;left:7517;top:7906;height:143;width:143;rotation:-5993947f;" filled="f" stroked="t" coordsize="21600,21600" o:gfxdata="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krXN65AAAA3QAA&#10;AA8AAAAAAAAAAQAgAAAAIgAAAGRycy9kb3ducmV2LnhtbFBLAQIUABQAAAAIAIdO4kAzLwWeOwAA&#10;ADkAAAAQAAAAAAAAAAEAIAAAAAgBAABkcnMvc2hhcGV4bWwueG1sUEsFBgAAAAAGAAYAWwEAALID&#10;AAAAAA==&#10;" path="m0,0l5400,21600,16200,21600,21600,0xe">
                    <v:path o:connectlocs="18900,10800;10800,21600;2700,10800;10800,0" o:connectangles="0,0,0,0"/>
                    <v:fill on="f" focussize="0,0"/>
                    <v:stroke weight="0.5pt" color="#000000" joinstyle="miter"/>
                    <v:imagedata o:title=""/>
                    <o:lock v:ext="edit" aspectratio="f"/>
                  </v:shape>
                  <v:shape id="自选图形 591" o:spid="_x0000_s1026" o:spt="100" style="position:absolute;left:2814;top:7906;height:143;width:143;rotation:-5993947f;" filled="f" stroked="t" coordsize="21600,21600" o:gfxdata="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mf5RbgAAADdAAAA&#10;DwAAAAAAAAABACAAAAAiAAAAZHJzL2Rvd25yZXYueG1sUEsBAhQAFAAAAAgAh07iQDMvBZ47AAAA&#10;OQAAABAAAAAAAAAAAQAgAAAABwEAAGRycy9zaGFwZXhtbC54bWxQSwUGAAAAAAYABgBbAQAAsQMA&#10;AAAA&#10;" path="m0,0l5400,21600,16200,21600,21600,0xe">
                    <v:path o:connectlocs="18900,10800;10800,21600;2700,10800;10800,0" o:connectangles="0,0,0,0"/>
                    <v:fill on="f" focussize="0,0"/>
                    <v:stroke weight="0.5pt" color="#000000" joinstyle="miter"/>
                    <v:imagedata o:title=""/>
                    <o:lock v:ext="edit" aspectratio="f"/>
                  </v:shape>
                  <v:shape id="椭圆 592" o:spid="_x0000_s1026" o:spt="3" type="#_x0000_t3" style="position:absolute;left:2266;top:8174;height:264;width:264;" filled="f" stroked="t" coordsize="21600,21600" o:gfxdata="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nFIgy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593" o:spid="_x0000_s1026" o:spt="3" type="#_x0000_t3" style="position:absolute;left:3832;top:8174;height:264;width:264;" filled="f" stroked="t" coordsize="21600,21600" o:gfxdata="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omHl7gAAADdAAAA&#10;DwAAAAAAAAABACAAAAAiAAAAZHJzL2Rvd25yZXYueG1sUEsBAhQAFAAAAAgAh07iQDMvBZ47AAAA&#10;OQAAABAAAAAAAAAAAQAgAAAABwEAAGRycy9zaGFwZXhtbC54bWxQSwUGAAAAAAYABgBbAQAAsQMA&#10;AAAA&#10;">
                    <v:fill on="f" focussize="0,0"/>
                    <v:stroke weight="0.5pt" color="#000000" joinstyle="round"/>
                    <v:imagedata o:title=""/>
                    <o:lock v:ext="edit" aspectratio="f"/>
                  </v:shape>
                  <v:shape id="椭圆 594" o:spid="_x0000_s1026" o:spt="3" type="#_x0000_t3" style="position:absolute;left:5398;top:8174;height:264;width:264;" filled="f" stroked="t" coordsize="21600,21600" o:gfxdata="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q41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595" o:spid="_x0000_s1026" o:spt="3" type="#_x0000_t3" style="position:absolute;left:6965;top:8174;height:264;width:264;" filled="f" stroked="t" coordsize="21600,21600" o:gfxdata="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YdT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任意多边形 596" o:spid="_x0000_s1026" o:spt="100" style="position:absolute;left:2371;top:7973;height:316;width:509;" filled="f" stroked="t" coordsize="509,316" o:gfxdata="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jzs+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97" o:spid="_x0000_s1026" o:spt="100" style="position:absolute;left:3952;top:7973;height:316;width:509;" filled="f" stroked="t" coordsize="509,316" o:gfxdata="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Ova1S8AAAA&#10;3QAAAA8AAAAAAAAAAQAgAAAAIgAAAGRycy9kb3ducmV2LnhtbFBLAQIUABQAAAAIAIdO4kAzLwWe&#10;OwAAADkAAAAQAAAAAAAAAAEAIAAAAAsBAABkcnMvc2hhcGV4bWwueG1sUEsFBgAAAAAGAAYAWwEA&#10;ALUDAAAAAA==&#10;" path="m0,316c37,285,74,254,159,201c244,148,448,33,509,0e">
                    <v:fill on="f" focussize="0,0"/>
                    <v:stroke weight="0.5pt" color="#000000" joinstyle="round"/>
                    <v:imagedata o:title=""/>
                    <o:lock v:ext="edit" aspectratio="f"/>
                  </v:shape>
                  <v:shape id="任意多边形 598" o:spid="_x0000_s1026" o:spt="100" style="position:absolute;left:5537;top:7973;height:316;width:509;" filled="f" stroked="t" coordsize="509,316" o:gfxdata="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EbzIL4A&#10;AADdAAAADwAAAAAAAAABACAAAAAiAAAAZHJzL2Rvd25yZXYueG1sUEsBAhQAFAAAAAgAh07iQDMv&#10;BZ47AAAAOQAAABAAAAAAAAAAAQAgAAAADQEAAGRycy9zaGFwZXhtbC54bWxQSwUGAAAAAAYABgBb&#10;AQAAtwMAAAAA&#10;" path="m0,316c37,285,74,254,159,201c244,148,448,33,509,0e">
                    <v:fill on="f" focussize="0,0"/>
                    <v:stroke weight="0.5pt" color="#000000" joinstyle="round"/>
                    <v:imagedata o:title=""/>
                    <o:lock v:ext="edit" aspectratio="f"/>
                  </v:shape>
                  <v:shape id="任意多边形 599" o:spid="_x0000_s1026" o:spt="100" style="position:absolute;left:7074;top:7973;height:316;width:509;" filled="f" stroked="t" coordsize="509,316" o:gfxdata="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Cla7vQAA&#10;AN0AAAAPAAAAAAAAAAEAIAAAACIAAABkcnMvZG93bnJldi54bWxQSwECFAAUAAAACACHTuJAMy8F&#10;njsAAAA5AAAAEAAAAAAAAAABACAAAAAMAQAAZHJzL3NoYXBleG1sLnhtbFBLBQYAAAAABgAGAFsB&#10;AAC2AwAAAAA=&#10;" path="m0,316c37,285,74,254,159,201c244,148,448,33,509,0e">
                    <v:fill on="f" focussize="0,0"/>
                    <v:stroke weight="0.5pt" color="#000000" joinstyle="round"/>
                    <v:imagedata o:title=""/>
                    <o:lock v:ext="edit" aspectratio="f"/>
                  </v:shape>
                </v:group>
                <v:line id="直线 600" o:spid="_x0000_s1026" o:spt="20" style="position:absolute;left:4315;top:11674;height:0;width:1609;" filled="f" stroked="t" coordsize="21600,21600" o:gfxdata="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xz/4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601" o:spid="_x0000_s1026" o:spt="20" style="position:absolute;left:5924;top:11674;height:385;width:219;" filled="f" stroked="t" coordsize="21600,21600" o:gfxdata="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YNxJ&#10;wAAAAN0AAAAPAAAAAAAAAAEAIAAAACIAAABkcnMvZG93bnJldi54bWxQSwECFAAUAAAACACHTuJA&#10;My8FnjsAAAA5AAAAEAAAAAAAAAABACAAAAAPAQAAZHJzL3NoYXBleG1sLnhtbFBLBQYAAAAABgAG&#10;AFsBAAC5AwAAAAA=&#10;">
                  <v:fill on="f" focussize="0,0"/>
                  <v:stroke weight="0.5pt" color="#000000" joinstyle="round" endarrow="classic" endarrowwidth="narrow" endarrowlength="long"/>
                  <v:imagedata o:title=""/>
                  <o:lock v:ext="edit" aspectratio="f"/>
                </v:line>
                <v:line id="直线 602" o:spid="_x0000_s1026" o:spt="20" style="position:absolute;left:4540;top:11674;height:385;width:220;" filled="f" stroked="t" coordsize="21600,21600" o:gfxdata="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LHnSvQAA&#10;AN0AAAAPAAAAAAAAAAEAIAAAACIAAABkcnMvZG93bnJldi54bWxQSwECFAAUAAAACACHTuJAMy8F&#10;njsAAAA5AAAAEAAAAAAAAAABACAAAAAMAQAAZHJzL3NoYXBleG1sLnhtbFBLBQYAAAAABgAGAFsB&#10;AAC2AwAAAAA=&#10;">
                  <v:fill on="f" focussize="0,0"/>
                  <v:stroke weight="0.5pt" color="#000000" joinstyle="round" endarrow="classic" endarrowwidth="narrow" endarrowlength="long"/>
                  <v:imagedata o:title=""/>
                  <o:lock v:ext="edit" aspectratio="f"/>
                </v:line>
                <v:line id="直线 603" o:spid="_x0000_s1026" o:spt="20" style="position:absolute;left:6565;top:11674;height:0;width:1172;" filled="f" stroked="t" coordsize="21600,21600" o:gfxdata="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Hv2P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04" o:spid="_x0000_s1026" o:spt="20" style="position:absolute;left:6796;top:11674;height:324;width:154;" filled="f" stroked="t" coordsize="21600,21600" o:gfxdata="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Hvzr4A&#10;AADdAAAADwAAAAAAAAABACAAAAAiAAAAZHJzL2Rvd25yZXYueG1sUEsBAhQAFAAAAAgAh07iQDMv&#10;BZ47AAAAOQAAABAAAAAAAAAAAQAgAAAADQEAAGRycy9zaGFwZXhtbC54bWxQSwUGAAAAAAYABgBb&#10;AQAAtwMAAAAA&#10;">
                  <v:fill on="f" focussize="0,0"/>
                  <v:stroke weight="0.5pt" color="#000000" joinstyle="round" endarrow="classic" endarrowwidth="narrow" endarrowlength="long"/>
                  <v:imagedata o:title=""/>
                  <o:lock v:ext="edit" aspectratio="f"/>
                </v:line>
                <v:line id="直线 605" o:spid="_x0000_s1026" o:spt="20" style="position:absolute;left:7737;top:11674;height:324;width:154;" filled="f" stroked="t" coordsize="21600,21600" o:gfxdata="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mNxub4A&#10;AADdAAAADwAAAAAAAAABACAAAAAiAAAAZHJzL2Rvd25yZXYueG1sUEsBAhQAFAAAAAgAh07iQDMv&#10;BZ47AAAAOQAAABAAAAAAAAAAAQAgAAAADQEAAGRycy9zaGFwZXhtbC54bWxQSwUGAAAAAAYABgBb&#10;AQAAtwMAAAAA&#10;">
                  <v:fill on="f" focussize="0,0"/>
                  <v:stroke weight="0.5pt" color="#000000" joinstyle="round" endarrow="classic" endarrowwidth="narrow" endarrowlength="long"/>
                  <v:imagedata o:title=""/>
                  <o:lock v:ext="edit" aspectratio="f"/>
                </v:line>
                <v:line id="直线 606" o:spid="_x0000_s1026" o:spt="20" style="position:absolute;left:8718;top:11944;flip:y;height:1068;width:253;" filled="f" stroked="t" coordsize="21600,21600" o:gfxdata="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N8fL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07" o:spid="_x0000_s1026" o:spt="20" style="position:absolute;left:8971;top:11944;height:0;width:1076;" filled="f" stroked="t" coordsize="21600,21600" o:gfxdata="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X7j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608" o:spid="_x0000_s1026" o:spt="20" style="position:absolute;left:3500;top:14214;height:854;width:815;" filled="f" stroked="t" coordsize="21600,21600" o:gfxdata="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96FOG8AAAA&#10;3QAAAA8AAAAAAAAAAQAgAAAAIgAAAGRycy9kb3ducmV2LnhtbFBLAQIUABQAAAAIAIdO4kAzLwWe&#10;OwAAADkAAAAQAAAAAAAAAAEAIAAAAAsBAABkcnMvc2hhcGV4bWwueG1sUEsFBgAAAAAGAAYAWwEA&#10;ALUDAAAAAA==&#10;">
                  <v:fill on="f" focussize="0,0"/>
                  <v:stroke weight="0.5pt" color="#000000" joinstyle="round" startarrow="classic" startarrowwidth="narrow" startarrowlength="long" endarrowwidth="narrow" endarrowlength="long"/>
                  <v:imagedata o:title=""/>
                  <o:lock v:ext="edit" aspectratio="f"/>
                </v:line>
                <v:line id="直线 609" o:spid="_x0000_s1026" o:spt="20" style="position:absolute;left:4315;top:15068;height:0;width:2410;" filled="f" stroked="t" coordsize="21600,21600" o:gfxdata="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rvAYL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610" o:spid="_x0000_s1026" o:spt="20" style="position:absolute;left:4884;top:14214;height:854;width:815;" filled="f" stroked="t" coordsize="21600,21600" o:gfxdata="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DkLw28AAAA&#10;3QAAAA8AAAAAAAAAAQAgAAAAIgAAAGRycy9kb3ducmV2LnhtbFBLAQIUABQAAAAIAIdO4kAzLwWe&#10;OwAAADkAAAAQAAAAAAAAAAEAIAAAAAsBAABkcnMvc2hhcGV4bWwueG1sUEsFBgAAAAAGAAYAWwEA&#10;ALUDAAAAAA==&#10;">
                  <v:fill on="f" focussize="0,0"/>
                  <v:stroke weight="0.5pt" color="#000000" joinstyle="round" startarrow="classic" startarrowwidth="narrow" startarrowlength="long" endarrowwidth="narrow" endarrowlength="long"/>
                  <v:imagedata o:title=""/>
                  <o:lock v:ext="edit" aspectratio="f"/>
                </v:line>
              </v:group>
            </w:pict>
          </mc:Fallback>
        </mc:AlternateContent>
      </w:r>
    </w:p>
    <w:p w14:paraId="2EDFB84C">
      <w:pPr>
        <w:pStyle w:val="178"/>
        <w:rPr>
          <w:rFonts w:hint="default" w:cs="Times New Roman" w:asciiTheme="minorEastAsia" w:hAnsiTheme="minorEastAsia" w:eastAsiaTheme="minorEastAsia"/>
          <w:szCs w:val="24"/>
          <w:highlight w:val="none"/>
          <w:lang w:val="en-US" w:eastAsia="zh-CN"/>
        </w:rPr>
      </w:pPr>
    </w:p>
    <w:p w14:paraId="2B622604">
      <w:pPr>
        <w:pStyle w:val="178"/>
        <w:rPr>
          <w:rFonts w:hint="default" w:cs="Times New Roman" w:asciiTheme="minorEastAsia" w:hAnsiTheme="minorEastAsia" w:eastAsiaTheme="minorEastAsia"/>
          <w:szCs w:val="24"/>
          <w:highlight w:val="none"/>
          <w:lang w:val="en-US" w:eastAsia="zh-CN"/>
        </w:rPr>
      </w:pPr>
    </w:p>
    <w:p w14:paraId="34367507">
      <w:pPr>
        <w:pStyle w:val="178"/>
        <w:rPr>
          <w:rFonts w:hint="default" w:cs="Times New Roman" w:asciiTheme="minorEastAsia" w:hAnsiTheme="minorEastAsia" w:eastAsiaTheme="minorEastAsia"/>
          <w:szCs w:val="24"/>
          <w:highlight w:val="none"/>
          <w:lang w:val="en-US" w:eastAsia="zh-CN"/>
        </w:rPr>
      </w:pPr>
    </w:p>
    <w:p w14:paraId="34EBB902">
      <w:pPr>
        <w:pStyle w:val="178"/>
        <w:rPr>
          <w:rFonts w:hint="default" w:cs="Times New Roman" w:asciiTheme="minorEastAsia" w:hAnsiTheme="minorEastAsia" w:eastAsiaTheme="minorEastAsia"/>
          <w:szCs w:val="24"/>
          <w:highlight w:val="none"/>
          <w:lang w:val="en-US" w:eastAsia="zh-CN"/>
        </w:rPr>
      </w:pPr>
    </w:p>
    <w:p w14:paraId="3C15BD8C">
      <w:pPr>
        <w:pStyle w:val="178"/>
        <w:rPr>
          <w:rFonts w:hint="default" w:cs="Times New Roman" w:asciiTheme="minorEastAsia" w:hAnsiTheme="minorEastAsia" w:eastAsiaTheme="minorEastAsia"/>
          <w:szCs w:val="24"/>
          <w:highlight w:val="none"/>
          <w:lang w:val="en-US" w:eastAsia="zh-CN"/>
        </w:rPr>
      </w:pPr>
    </w:p>
    <w:p w14:paraId="3095EFC0">
      <w:pPr>
        <w:pStyle w:val="178"/>
        <w:rPr>
          <w:rFonts w:hint="default" w:cs="Times New Roman" w:asciiTheme="minorEastAsia" w:hAnsiTheme="minorEastAsia" w:eastAsiaTheme="minorEastAsia"/>
          <w:szCs w:val="24"/>
          <w:highlight w:val="none"/>
          <w:lang w:val="en-US" w:eastAsia="zh-CN"/>
        </w:rPr>
      </w:pPr>
    </w:p>
    <w:p w14:paraId="4F6186A6">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图8.12 宽孔距小排距孔内延期微差挤压爆破网络图</w:t>
      </w:r>
    </w:p>
    <w:p w14:paraId="4E098E77">
      <w:pPr>
        <w:pStyle w:val="178"/>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mc:AlternateContent>
          <mc:Choice Requires="wpg">
            <w:drawing>
              <wp:anchor distT="0" distB="0" distL="114300" distR="114300" simplePos="0" relativeHeight="251688960" behindDoc="0" locked="0" layoutInCell="1" allowOverlap="1">
                <wp:simplePos x="0" y="0"/>
                <wp:positionH relativeFrom="column">
                  <wp:posOffset>77470</wp:posOffset>
                </wp:positionH>
                <wp:positionV relativeFrom="paragraph">
                  <wp:posOffset>102235</wp:posOffset>
                </wp:positionV>
                <wp:extent cx="4613275" cy="1934210"/>
                <wp:effectExtent l="1270" t="0" r="3175" b="0"/>
                <wp:wrapNone/>
                <wp:docPr id="1964" name="组合 611"/>
                <wp:cNvGraphicFramePr/>
                <a:graphic xmlns:a="http://schemas.openxmlformats.org/drawingml/2006/main">
                  <a:graphicData uri="http://schemas.microsoft.com/office/word/2010/wordprocessingGroup">
                    <wpg:wgp>
                      <wpg:cNvGrpSpPr/>
                      <wpg:grpSpPr>
                        <a:xfrm>
                          <a:off x="1085850" y="6751955"/>
                          <a:ext cx="4613275" cy="1934210"/>
                          <a:chOff x="2281" y="2116"/>
                          <a:chExt cx="8038" cy="5561"/>
                        </a:xfrm>
                        <a:effectLst/>
                      </wpg:grpSpPr>
                      <wps:wsp>
                        <wps:cNvPr id="1909" name="直线 612"/>
                        <wps:cNvCnPr/>
                        <wps:spPr>
                          <a:xfrm>
                            <a:off x="6051" y="2410"/>
                            <a:ext cx="0" cy="5267"/>
                          </a:xfrm>
                          <a:prstGeom prst="line">
                            <a:avLst/>
                          </a:prstGeom>
                          <a:ln w="6350" cap="flat" cmpd="sng">
                            <a:solidFill>
                              <a:srgbClr val="000000"/>
                            </a:solidFill>
                            <a:prstDash val="lgDashDot"/>
                            <a:headEnd type="none" w="med" len="med"/>
                            <a:tailEnd type="none" w="med" len="med"/>
                          </a:ln>
                          <a:effectLst/>
                        </wps:spPr>
                        <wps:bodyPr upright="1"/>
                      </wps:wsp>
                      <wpg:grpSp>
                        <wpg:cNvPr id="1963" name="组合 613"/>
                        <wpg:cNvGrpSpPr/>
                        <wpg:grpSpPr>
                          <a:xfrm>
                            <a:off x="2281" y="2116"/>
                            <a:ext cx="8038" cy="5177"/>
                            <a:chOff x="2281" y="2116"/>
                            <a:chExt cx="8038" cy="5177"/>
                          </a:xfrm>
                          <a:effectLst/>
                        </wpg:grpSpPr>
                        <wps:wsp>
                          <wps:cNvPr id="1910" name="文本框 614"/>
                          <wps:cNvSpPr txBox="1"/>
                          <wps:spPr>
                            <a:xfrm>
                              <a:off x="2936" y="6359"/>
                              <a:ext cx="326" cy="405"/>
                            </a:xfrm>
                            <a:prstGeom prst="rect">
                              <a:avLst/>
                            </a:prstGeom>
                            <a:noFill/>
                            <a:ln w="6350">
                              <a:noFill/>
                            </a:ln>
                            <a:effectLst/>
                          </wps:spPr>
                          <wps:txbx>
                            <w:txbxContent>
                              <w:p w14:paraId="7CBBF31D">
                                <w:pPr>
                                  <w:spacing w:line="300" w:lineRule="exact"/>
                                  <w:ind w:firstLine="240" w:firstLineChars="100"/>
                                  <w:rPr>
                                    <w:rFonts w:ascii="仿宋_GB2312"/>
                                  </w:rPr>
                                </w:pPr>
                                <w:r>
                                  <w:rPr>
                                    <w:rFonts w:ascii="仿宋_GB2312"/>
                                    <w:vertAlign w:val="subscript"/>
                                  </w:rPr>
                                  <w:t>w1</w:t>
                                </w:r>
                              </w:p>
                            </w:txbxContent>
                          </wps:txbx>
                          <wps:bodyPr lIns="0" tIns="0" rIns="0" bIns="0" upright="1"/>
                        </wps:wsp>
                        <wps:wsp>
                          <wps:cNvPr id="1911" name="文本框 615"/>
                          <wps:cNvSpPr txBox="1"/>
                          <wps:spPr>
                            <a:xfrm>
                              <a:off x="3735" y="5672"/>
                              <a:ext cx="326" cy="405"/>
                            </a:xfrm>
                            <a:prstGeom prst="rect">
                              <a:avLst/>
                            </a:prstGeom>
                            <a:noFill/>
                            <a:ln w="6350">
                              <a:noFill/>
                            </a:ln>
                            <a:effectLst/>
                          </wps:spPr>
                          <wps:txbx>
                            <w:txbxContent>
                              <w:p w14:paraId="78F91550">
                                <w:pPr>
                                  <w:spacing w:line="240" w:lineRule="exact"/>
                                  <w:rPr>
                                    <w:rFonts w:ascii="仿宋_GB2312"/>
                                  </w:rPr>
                                </w:pPr>
                                <w:r>
                                  <w:rPr>
                                    <w:rFonts w:ascii="仿宋_GB2312"/>
                                  </w:rPr>
                                  <w:t>w</w:t>
                                </w:r>
                                <w:r>
                                  <w:rPr>
                                    <w:rFonts w:ascii="仿宋_GB2312"/>
                                    <w:vertAlign w:val="subscript"/>
                                  </w:rPr>
                                  <w:t>1</w:t>
                                </w:r>
                              </w:p>
                            </w:txbxContent>
                          </wps:txbx>
                          <wps:bodyPr lIns="0" tIns="0" rIns="0" bIns="0" upright="1"/>
                        </wps:wsp>
                        <wps:wsp>
                          <wps:cNvPr id="1912" name="文本框 616"/>
                          <wps:cNvSpPr txBox="1"/>
                          <wps:spPr>
                            <a:xfrm>
                              <a:off x="6748" y="3603"/>
                              <a:ext cx="326" cy="406"/>
                            </a:xfrm>
                            <a:prstGeom prst="rect">
                              <a:avLst/>
                            </a:prstGeom>
                            <a:noFill/>
                            <a:ln w="6350">
                              <a:noFill/>
                            </a:ln>
                            <a:effectLst/>
                          </wps:spPr>
                          <wps:txbx>
                            <w:txbxContent>
                              <w:p w14:paraId="071DDE10">
                                <w:pPr>
                                  <w:spacing w:line="240" w:lineRule="exact"/>
                                  <w:rPr>
                                    <w:rFonts w:ascii="仿宋_GB2312"/>
                                  </w:rPr>
                                </w:pPr>
                                <w:r>
                                  <w:rPr>
                                    <w:rFonts w:ascii="仿宋_GB2312"/>
                                  </w:rPr>
                                  <w:t>w</w:t>
                                </w:r>
                                <w:r>
                                  <w:rPr>
                                    <w:rFonts w:ascii="仿宋_GB2312"/>
                                    <w:vertAlign w:val="subscript"/>
                                  </w:rPr>
                                  <w:t>1</w:t>
                                </w:r>
                              </w:p>
                            </w:txbxContent>
                          </wps:txbx>
                          <wps:bodyPr lIns="0" tIns="0" rIns="0" bIns="0" upright="1"/>
                        </wps:wsp>
                        <wps:wsp>
                          <wps:cNvPr id="1913" name="文本框 617"/>
                          <wps:cNvSpPr txBox="1"/>
                          <wps:spPr>
                            <a:xfrm>
                              <a:off x="8917" y="5528"/>
                              <a:ext cx="646" cy="472"/>
                            </a:xfrm>
                            <a:prstGeom prst="rect">
                              <a:avLst/>
                            </a:prstGeom>
                            <a:noFill/>
                            <a:ln w="6350">
                              <a:noFill/>
                            </a:ln>
                            <a:effectLst/>
                          </wps:spPr>
                          <wps:txbx>
                            <w:txbxContent>
                              <w:p w14:paraId="697651E7">
                                <w:pPr>
                                  <w:spacing w:line="380" w:lineRule="exact"/>
                                  <w:rPr>
                                    <w:spacing w:val="-20"/>
                                    <w:sz w:val="24"/>
                                  </w:rPr>
                                </w:pPr>
                                <w:r>
                                  <w:rPr>
                                    <w:rFonts w:hint="eastAsia"/>
                                    <w:spacing w:val="-20"/>
                                    <w:sz w:val="24"/>
                                  </w:rPr>
                                  <w:t>光爆孔</w:t>
                                </w:r>
                              </w:p>
                            </w:txbxContent>
                          </wps:txbx>
                          <wps:bodyPr lIns="0" tIns="0" rIns="0" bIns="0" upright="1"/>
                        </wps:wsp>
                        <wps:wsp>
                          <wps:cNvPr id="1914" name="文本框 618"/>
                          <wps:cNvSpPr txBox="1"/>
                          <wps:spPr>
                            <a:xfrm>
                              <a:off x="9852" y="3137"/>
                              <a:ext cx="326" cy="405"/>
                            </a:xfrm>
                            <a:prstGeom prst="rect">
                              <a:avLst/>
                            </a:prstGeom>
                            <a:noFill/>
                            <a:ln w="6350">
                              <a:noFill/>
                            </a:ln>
                            <a:effectLst/>
                          </wps:spPr>
                          <wps:txbx>
                            <w:txbxContent>
                              <w:p w14:paraId="5080137E">
                                <w:pPr>
                                  <w:spacing w:line="240" w:lineRule="exact"/>
                                  <w:rPr>
                                    <w:rFonts w:ascii="仿宋_GB2312"/>
                                    <w:sz w:val="24"/>
                                  </w:rPr>
                                </w:pPr>
                                <w:r>
                                  <w:rPr>
                                    <w:rFonts w:hint="eastAsia" w:ascii="仿宋_GB2312"/>
                                    <w:sz w:val="24"/>
                                  </w:rPr>
                                  <w:t>H</w:t>
                                </w:r>
                              </w:p>
                            </w:txbxContent>
                          </wps:txbx>
                          <wps:bodyPr lIns="0" tIns="0" rIns="0" bIns="0" upright="1"/>
                        </wps:wsp>
                        <wps:wsp>
                          <wps:cNvPr id="1915" name="文本框 619"/>
                          <wps:cNvSpPr txBox="1"/>
                          <wps:spPr>
                            <a:xfrm>
                              <a:off x="9867" y="5123"/>
                              <a:ext cx="326" cy="405"/>
                            </a:xfrm>
                            <a:prstGeom prst="rect">
                              <a:avLst/>
                            </a:prstGeom>
                            <a:noFill/>
                            <a:ln w="6350">
                              <a:noFill/>
                            </a:ln>
                            <a:effectLst/>
                          </wps:spPr>
                          <wps:txbx>
                            <w:txbxContent>
                              <w:p w14:paraId="693D28A1">
                                <w:pPr>
                                  <w:spacing w:line="240" w:lineRule="exact"/>
                                  <w:rPr>
                                    <w:rFonts w:ascii="仿宋_GB2312"/>
                                  </w:rPr>
                                </w:pPr>
                                <w:r>
                                  <w:rPr>
                                    <w:rFonts w:hint="eastAsia" w:ascii="仿宋_GB2312"/>
                                    <w:sz w:val="24"/>
                                  </w:rPr>
                                  <w:t>H</w:t>
                                </w:r>
                              </w:p>
                            </w:txbxContent>
                          </wps:txbx>
                          <wps:bodyPr lIns="0" tIns="0" rIns="0" bIns="0" upright="1"/>
                        </wps:wsp>
                        <wps:wsp>
                          <wps:cNvPr id="1916" name="文本框 620"/>
                          <wps:cNvSpPr txBox="1"/>
                          <wps:spPr>
                            <a:xfrm>
                              <a:off x="9881" y="6476"/>
                              <a:ext cx="326" cy="407"/>
                            </a:xfrm>
                            <a:prstGeom prst="rect">
                              <a:avLst/>
                            </a:prstGeom>
                            <a:noFill/>
                            <a:ln w="6350">
                              <a:noFill/>
                            </a:ln>
                            <a:effectLst/>
                          </wps:spPr>
                          <wps:txbx>
                            <w:txbxContent>
                              <w:p w14:paraId="717C59BD">
                                <w:pPr>
                                  <w:spacing w:line="240" w:lineRule="exact"/>
                                  <w:rPr>
                                    <w:rFonts w:ascii="仿宋_GB2312"/>
                                    <w:sz w:val="24"/>
                                  </w:rPr>
                                </w:pPr>
                                <w:r>
                                  <w:rPr>
                                    <w:rFonts w:hint="eastAsia" w:ascii="仿宋_GB2312"/>
                                    <w:sz w:val="24"/>
                                  </w:rPr>
                                  <w:t>2</w:t>
                                </w:r>
                              </w:p>
                            </w:txbxContent>
                          </wps:txbx>
                          <wps:bodyPr lIns="0" tIns="0" rIns="0" bIns="0" upright="1"/>
                        </wps:wsp>
                        <wps:wsp>
                          <wps:cNvPr id="1917" name="直线 621"/>
                          <wps:cNvCnPr/>
                          <wps:spPr>
                            <a:xfrm>
                              <a:off x="2508" y="6929"/>
                              <a:ext cx="5571" cy="0"/>
                            </a:xfrm>
                            <a:prstGeom prst="line">
                              <a:avLst/>
                            </a:prstGeom>
                            <a:ln w="6350" cap="flat" cmpd="sng">
                              <a:solidFill>
                                <a:srgbClr val="000000"/>
                              </a:solidFill>
                              <a:prstDash val="solid"/>
                              <a:headEnd type="none" w="med" len="med"/>
                              <a:tailEnd type="none" w="med" len="med"/>
                            </a:ln>
                            <a:effectLst/>
                          </wps:spPr>
                          <wps:bodyPr upright="1"/>
                        </wps:wsp>
                        <wps:wsp>
                          <wps:cNvPr id="1918" name="矩形 622"/>
                          <wps:cNvSpPr/>
                          <wps:spPr>
                            <a:xfrm rot="-9522052" flipH="1">
                              <a:off x="8889" y="2166"/>
                              <a:ext cx="65" cy="3788"/>
                            </a:xfrm>
                            <a:prstGeom prst="rect">
                              <a:avLst/>
                            </a:prstGeom>
                            <a:noFill/>
                            <a:ln w="6350" cap="flat" cmpd="sng">
                              <a:solidFill>
                                <a:srgbClr val="000000"/>
                              </a:solidFill>
                              <a:prstDash val="solid"/>
                              <a:miter/>
                              <a:headEnd type="none" w="med" len="med"/>
                              <a:tailEnd type="none" w="med" len="med"/>
                            </a:ln>
                            <a:effectLst/>
                          </wps:spPr>
                          <wps:bodyPr upright="1"/>
                        </wps:wsp>
                        <wps:wsp>
                          <wps:cNvPr id="1919" name="直线 623"/>
                          <wps:cNvCnPr/>
                          <wps:spPr>
                            <a:xfrm>
                              <a:off x="4256" y="4217"/>
                              <a:ext cx="2325" cy="0"/>
                            </a:xfrm>
                            <a:prstGeom prst="line">
                              <a:avLst/>
                            </a:prstGeom>
                            <a:ln w="6350" cap="flat" cmpd="sng">
                              <a:solidFill>
                                <a:srgbClr val="000000"/>
                              </a:solidFill>
                              <a:prstDash val="solid"/>
                              <a:headEnd type="none" w="med" len="med"/>
                              <a:tailEnd type="none" w="med" len="med"/>
                            </a:ln>
                            <a:effectLst/>
                          </wps:spPr>
                          <wps:bodyPr upright="1"/>
                        </wps:wsp>
                        <wps:wsp>
                          <wps:cNvPr id="1920" name="矩形 624"/>
                          <wps:cNvSpPr/>
                          <wps:spPr>
                            <a:xfrm rot="1334739">
                              <a:off x="4210" y="4140"/>
                              <a:ext cx="77"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1" name="矩形 625"/>
                          <wps:cNvSpPr/>
                          <wps:spPr>
                            <a:xfrm rot="1334739">
                              <a:off x="4687" y="4140"/>
                              <a:ext cx="77"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2" name="矩形 626"/>
                          <wps:cNvSpPr/>
                          <wps:spPr>
                            <a:xfrm rot="1334739">
                              <a:off x="5165" y="4140"/>
                              <a:ext cx="76"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3" name="矩形 627"/>
                          <wps:cNvSpPr/>
                          <wps:spPr>
                            <a:xfrm rot="1334739">
                              <a:off x="5641" y="4140"/>
                              <a:ext cx="78"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4" name="矩形 628"/>
                          <wps:cNvSpPr/>
                          <wps:spPr>
                            <a:xfrm rot="1334739">
                              <a:off x="7230" y="2116"/>
                              <a:ext cx="77"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5" name="矩形 629"/>
                          <wps:cNvSpPr/>
                          <wps:spPr>
                            <a:xfrm rot="1334739">
                              <a:off x="7701" y="2157"/>
                              <a:ext cx="77"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6" name="矩形 630"/>
                          <wps:cNvSpPr/>
                          <wps:spPr>
                            <a:xfrm rot="1334739">
                              <a:off x="8170" y="2116"/>
                              <a:ext cx="77"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7" name="矩形 631"/>
                          <wps:cNvSpPr/>
                          <wps:spPr>
                            <a:xfrm rot="1334739">
                              <a:off x="8639" y="2157"/>
                              <a:ext cx="77" cy="2464"/>
                            </a:xfrm>
                            <a:prstGeom prst="rect">
                              <a:avLst/>
                            </a:prstGeom>
                            <a:noFill/>
                            <a:ln w="6350" cap="flat" cmpd="sng">
                              <a:solidFill>
                                <a:srgbClr val="000000"/>
                              </a:solidFill>
                              <a:prstDash val="solid"/>
                              <a:miter/>
                              <a:headEnd type="none" w="med" len="med"/>
                              <a:tailEnd type="none" w="med" len="med"/>
                            </a:ln>
                            <a:effectLst/>
                          </wps:spPr>
                          <wps:bodyPr upright="1"/>
                        </wps:wsp>
                        <wps:wsp>
                          <wps:cNvPr id="1928" name="任意多边形 632"/>
                          <wps:cNvSpPr/>
                          <wps:spPr>
                            <a:xfrm>
                              <a:off x="6566" y="2148"/>
                              <a:ext cx="3154" cy="2065"/>
                            </a:xfrm>
                            <a:custGeom>
                              <a:avLst/>
                              <a:gdLst/>
                              <a:ahLst/>
                              <a:cxnLst/>
                              <a:pathLst>
                                <a:path w="3154" h="2065">
                                  <a:moveTo>
                                    <a:pt x="0" y="2065"/>
                                  </a:moveTo>
                                  <a:cubicBezTo>
                                    <a:pt x="35" y="1921"/>
                                    <a:pt x="12" y="1979"/>
                                    <a:pt x="61" y="1884"/>
                                  </a:cubicBezTo>
                                  <a:cubicBezTo>
                                    <a:pt x="76" y="1784"/>
                                    <a:pt x="66" y="1673"/>
                                    <a:pt x="121" y="1599"/>
                                  </a:cubicBezTo>
                                  <a:cubicBezTo>
                                    <a:pt x="144" y="1507"/>
                                    <a:pt x="148" y="1442"/>
                                    <a:pt x="197" y="1377"/>
                                  </a:cubicBezTo>
                                  <a:cubicBezTo>
                                    <a:pt x="216" y="1299"/>
                                    <a:pt x="259" y="1231"/>
                                    <a:pt x="303" y="1175"/>
                                  </a:cubicBezTo>
                                  <a:cubicBezTo>
                                    <a:pt x="338" y="1034"/>
                                    <a:pt x="334" y="889"/>
                                    <a:pt x="363" y="749"/>
                                  </a:cubicBezTo>
                                  <a:cubicBezTo>
                                    <a:pt x="380" y="670"/>
                                    <a:pt x="381" y="624"/>
                                    <a:pt x="424" y="566"/>
                                  </a:cubicBezTo>
                                  <a:cubicBezTo>
                                    <a:pt x="441" y="467"/>
                                    <a:pt x="439" y="356"/>
                                    <a:pt x="469" y="263"/>
                                  </a:cubicBezTo>
                                  <a:cubicBezTo>
                                    <a:pt x="476" y="241"/>
                                    <a:pt x="491" y="224"/>
                                    <a:pt x="499" y="202"/>
                                  </a:cubicBezTo>
                                  <a:cubicBezTo>
                                    <a:pt x="506" y="183"/>
                                    <a:pt x="506" y="160"/>
                                    <a:pt x="514" y="142"/>
                                  </a:cubicBezTo>
                                  <a:cubicBezTo>
                                    <a:pt x="548" y="68"/>
                                    <a:pt x="627" y="44"/>
                                    <a:pt x="681" y="19"/>
                                  </a:cubicBezTo>
                                  <a:cubicBezTo>
                                    <a:pt x="696" y="12"/>
                                    <a:pt x="727" y="0"/>
                                    <a:pt x="727" y="0"/>
                                  </a:cubicBezTo>
                                  <a:cubicBezTo>
                                    <a:pt x="845" y="38"/>
                                    <a:pt x="969" y="60"/>
                                    <a:pt x="1089" y="81"/>
                                  </a:cubicBezTo>
                                  <a:cubicBezTo>
                                    <a:pt x="1300" y="60"/>
                                    <a:pt x="1312" y="70"/>
                                    <a:pt x="1499" y="100"/>
                                  </a:cubicBezTo>
                                  <a:cubicBezTo>
                                    <a:pt x="1749" y="64"/>
                                    <a:pt x="1921" y="68"/>
                                    <a:pt x="2195" y="81"/>
                                  </a:cubicBezTo>
                                  <a:cubicBezTo>
                                    <a:pt x="2431" y="104"/>
                                    <a:pt x="2916" y="132"/>
                                    <a:pt x="3154" y="132"/>
                                  </a:cubicBezTo>
                                </a:path>
                              </a:pathLst>
                            </a:custGeom>
                            <a:noFill/>
                            <a:ln w="6350" cap="flat" cmpd="sng">
                              <a:solidFill>
                                <a:srgbClr val="000000"/>
                              </a:solidFill>
                              <a:prstDash val="solid"/>
                              <a:headEnd type="none" w="med" len="med"/>
                              <a:tailEnd type="none" w="med" len="med"/>
                            </a:ln>
                            <a:effectLst/>
                          </wps:spPr>
                          <wps:bodyPr upright="1"/>
                        </wps:wsp>
                        <wps:wsp>
                          <wps:cNvPr id="1929" name="任意多边形 633"/>
                          <wps:cNvSpPr/>
                          <wps:spPr>
                            <a:xfrm>
                              <a:off x="8079" y="2265"/>
                              <a:ext cx="1641" cy="4664"/>
                            </a:xfrm>
                            <a:custGeom>
                              <a:avLst/>
                              <a:gdLst/>
                              <a:ahLst/>
                              <a:cxnLst/>
                              <a:pathLst>
                                <a:path w="1641" h="4664">
                                  <a:moveTo>
                                    <a:pt x="1641" y="0"/>
                                  </a:moveTo>
                                  <a:lnTo>
                                    <a:pt x="0" y="4664"/>
                                  </a:lnTo>
                                </a:path>
                              </a:pathLst>
                            </a:custGeom>
                            <a:noFill/>
                            <a:ln w="6350" cap="flat" cmpd="sng">
                              <a:solidFill>
                                <a:srgbClr val="000000"/>
                              </a:solidFill>
                              <a:prstDash val="solid"/>
                              <a:headEnd type="none" w="med" len="med"/>
                              <a:tailEnd type="none" w="med" len="med"/>
                            </a:ln>
                            <a:effectLst/>
                          </wps:spPr>
                          <wps:bodyPr upright="1"/>
                        </wps:wsp>
                        <wps:wsp>
                          <wps:cNvPr id="1930" name="直线 634"/>
                          <wps:cNvCnPr/>
                          <wps:spPr>
                            <a:xfrm>
                              <a:off x="3231" y="6280"/>
                              <a:ext cx="5016" cy="0"/>
                            </a:xfrm>
                            <a:prstGeom prst="line">
                              <a:avLst/>
                            </a:prstGeom>
                            <a:ln w="6350" cap="flat" cmpd="sng">
                              <a:solidFill>
                                <a:srgbClr val="000000"/>
                              </a:solidFill>
                              <a:prstDash val="lgDashDot"/>
                              <a:headEnd type="none" w="med" len="med"/>
                              <a:tailEnd type="none" w="med" len="med"/>
                            </a:ln>
                            <a:effectLst/>
                          </wps:spPr>
                          <wps:bodyPr upright="1"/>
                        </wps:wsp>
                        <wps:wsp>
                          <wps:cNvPr id="1931" name="直线 635"/>
                          <wps:cNvCnPr/>
                          <wps:spPr>
                            <a:xfrm flipH="1">
                              <a:off x="3129"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32" name="直线 636"/>
                          <wps:cNvCnPr/>
                          <wps:spPr>
                            <a:xfrm flipH="1">
                              <a:off x="3414"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33" name="直线 637"/>
                          <wps:cNvCnPr/>
                          <wps:spPr>
                            <a:xfrm flipH="1">
                              <a:off x="3699" y="6280"/>
                              <a:ext cx="101" cy="649"/>
                            </a:xfrm>
                            <a:prstGeom prst="line">
                              <a:avLst/>
                            </a:prstGeom>
                            <a:ln w="6350" cap="flat" cmpd="sng">
                              <a:solidFill>
                                <a:srgbClr val="000000"/>
                              </a:solidFill>
                              <a:prstDash val="solid"/>
                              <a:headEnd type="none" w="med" len="med"/>
                              <a:tailEnd type="none" w="med" len="med"/>
                            </a:ln>
                            <a:effectLst/>
                          </wps:spPr>
                          <wps:bodyPr upright="1"/>
                        </wps:wsp>
                        <wps:wsp>
                          <wps:cNvPr id="1934" name="直线 638"/>
                          <wps:cNvCnPr/>
                          <wps:spPr>
                            <a:xfrm flipH="1">
                              <a:off x="3984"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35" name="直线 639"/>
                          <wps:cNvCnPr/>
                          <wps:spPr>
                            <a:xfrm flipH="1">
                              <a:off x="4269" y="6280"/>
                              <a:ext cx="103" cy="649"/>
                            </a:xfrm>
                            <a:prstGeom prst="line">
                              <a:avLst/>
                            </a:prstGeom>
                            <a:ln w="6350" cap="flat" cmpd="sng">
                              <a:solidFill>
                                <a:srgbClr val="000000"/>
                              </a:solidFill>
                              <a:prstDash val="solid"/>
                              <a:headEnd type="none" w="med" len="med"/>
                              <a:tailEnd type="none" w="med" len="med"/>
                            </a:ln>
                            <a:effectLst/>
                          </wps:spPr>
                          <wps:bodyPr upright="1"/>
                        </wps:wsp>
                        <wps:wsp>
                          <wps:cNvPr id="1936" name="直线 640"/>
                          <wps:cNvCnPr/>
                          <wps:spPr>
                            <a:xfrm flipH="1">
                              <a:off x="4554" y="6280"/>
                              <a:ext cx="103" cy="649"/>
                            </a:xfrm>
                            <a:prstGeom prst="line">
                              <a:avLst/>
                            </a:prstGeom>
                            <a:ln w="6350" cap="flat" cmpd="sng">
                              <a:solidFill>
                                <a:srgbClr val="000000"/>
                              </a:solidFill>
                              <a:prstDash val="solid"/>
                              <a:headEnd type="none" w="med" len="med"/>
                              <a:tailEnd type="none" w="med" len="med"/>
                            </a:ln>
                            <a:effectLst/>
                          </wps:spPr>
                          <wps:bodyPr upright="1"/>
                        </wps:wsp>
                        <wps:wsp>
                          <wps:cNvPr id="1937" name="直线 641"/>
                          <wps:cNvCnPr/>
                          <wps:spPr>
                            <a:xfrm flipH="1">
                              <a:off x="4839" y="6280"/>
                              <a:ext cx="103" cy="649"/>
                            </a:xfrm>
                            <a:prstGeom prst="line">
                              <a:avLst/>
                            </a:prstGeom>
                            <a:ln w="6350" cap="flat" cmpd="sng">
                              <a:solidFill>
                                <a:srgbClr val="000000"/>
                              </a:solidFill>
                              <a:prstDash val="solid"/>
                              <a:headEnd type="none" w="med" len="med"/>
                              <a:tailEnd type="none" w="med" len="med"/>
                            </a:ln>
                            <a:effectLst/>
                          </wps:spPr>
                          <wps:bodyPr upright="1"/>
                        </wps:wsp>
                        <wps:wsp>
                          <wps:cNvPr id="1938" name="直线 642"/>
                          <wps:cNvCnPr/>
                          <wps:spPr>
                            <a:xfrm flipH="1">
                              <a:off x="5125" y="6280"/>
                              <a:ext cx="101" cy="649"/>
                            </a:xfrm>
                            <a:prstGeom prst="line">
                              <a:avLst/>
                            </a:prstGeom>
                            <a:ln w="6350" cap="flat" cmpd="sng">
                              <a:solidFill>
                                <a:srgbClr val="000000"/>
                              </a:solidFill>
                              <a:prstDash val="solid"/>
                              <a:headEnd type="none" w="med" len="med"/>
                              <a:tailEnd type="none" w="med" len="med"/>
                            </a:ln>
                            <a:effectLst/>
                          </wps:spPr>
                          <wps:bodyPr upright="1"/>
                        </wps:wsp>
                        <wps:wsp>
                          <wps:cNvPr id="1939" name="直线 643"/>
                          <wps:cNvCnPr/>
                          <wps:spPr>
                            <a:xfrm flipH="1">
                              <a:off x="5410"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40" name="直线 644"/>
                          <wps:cNvCnPr/>
                          <wps:spPr>
                            <a:xfrm flipH="1">
                              <a:off x="5695"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41" name="直线 645"/>
                          <wps:cNvCnPr/>
                          <wps:spPr>
                            <a:xfrm flipH="1">
                              <a:off x="5981" y="6280"/>
                              <a:ext cx="101" cy="649"/>
                            </a:xfrm>
                            <a:prstGeom prst="line">
                              <a:avLst/>
                            </a:prstGeom>
                            <a:ln w="6350" cap="flat" cmpd="sng">
                              <a:solidFill>
                                <a:srgbClr val="000000"/>
                              </a:solidFill>
                              <a:prstDash val="solid"/>
                              <a:headEnd type="none" w="med" len="med"/>
                              <a:tailEnd type="none" w="med" len="med"/>
                            </a:ln>
                            <a:effectLst/>
                          </wps:spPr>
                          <wps:bodyPr upright="1"/>
                        </wps:wsp>
                        <wps:wsp>
                          <wps:cNvPr id="1942" name="直线 646"/>
                          <wps:cNvCnPr/>
                          <wps:spPr>
                            <a:xfrm flipH="1">
                              <a:off x="6265"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43" name="直线 647"/>
                          <wps:cNvCnPr/>
                          <wps:spPr>
                            <a:xfrm flipH="1">
                              <a:off x="6550" y="6280"/>
                              <a:ext cx="103" cy="649"/>
                            </a:xfrm>
                            <a:prstGeom prst="line">
                              <a:avLst/>
                            </a:prstGeom>
                            <a:ln w="6350" cap="flat" cmpd="sng">
                              <a:solidFill>
                                <a:srgbClr val="000000"/>
                              </a:solidFill>
                              <a:prstDash val="solid"/>
                              <a:headEnd type="none" w="med" len="med"/>
                              <a:tailEnd type="none" w="med" len="med"/>
                            </a:ln>
                            <a:effectLst/>
                          </wps:spPr>
                          <wps:bodyPr upright="1"/>
                        </wps:wsp>
                        <wps:wsp>
                          <wps:cNvPr id="1944" name="直线 648"/>
                          <wps:cNvCnPr/>
                          <wps:spPr>
                            <a:xfrm flipH="1">
                              <a:off x="6835" y="6280"/>
                              <a:ext cx="103" cy="649"/>
                            </a:xfrm>
                            <a:prstGeom prst="line">
                              <a:avLst/>
                            </a:prstGeom>
                            <a:ln w="6350" cap="flat" cmpd="sng">
                              <a:solidFill>
                                <a:srgbClr val="000000"/>
                              </a:solidFill>
                              <a:prstDash val="solid"/>
                              <a:headEnd type="none" w="med" len="med"/>
                              <a:tailEnd type="none" w="med" len="med"/>
                            </a:ln>
                            <a:effectLst/>
                          </wps:spPr>
                          <wps:bodyPr upright="1"/>
                        </wps:wsp>
                        <wps:wsp>
                          <wps:cNvPr id="1945" name="直线 649"/>
                          <wps:cNvCnPr/>
                          <wps:spPr>
                            <a:xfrm flipH="1">
                              <a:off x="7120" y="6280"/>
                              <a:ext cx="103" cy="649"/>
                            </a:xfrm>
                            <a:prstGeom prst="line">
                              <a:avLst/>
                            </a:prstGeom>
                            <a:ln w="6350" cap="flat" cmpd="sng">
                              <a:solidFill>
                                <a:srgbClr val="000000"/>
                              </a:solidFill>
                              <a:prstDash val="solid"/>
                              <a:headEnd type="none" w="med" len="med"/>
                              <a:tailEnd type="none" w="med" len="med"/>
                            </a:ln>
                            <a:effectLst/>
                          </wps:spPr>
                          <wps:bodyPr upright="1"/>
                        </wps:wsp>
                        <wps:wsp>
                          <wps:cNvPr id="1946" name="直线 650"/>
                          <wps:cNvCnPr/>
                          <wps:spPr>
                            <a:xfrm flipH="1">
                              <a:off x="7406"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47" name="直线 651"/>
                          <wps:cNvCnPr/>
                          <wps:spPr>
                            <a:xfrm flipH="1">
                              <a:off x="7691"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48" name="直线 652"/>
                          <wps:cNvCnPr/>
                          <wps:spPr>
                            <a:xfrm flipH="1">
                              <a:off x="7977" y="6280"/>
                              <a:ext cx="102" cy="649"/>
                            </a:xfrm>
                            <a:prstGeom prst="line">
                              <a:avLst/>
                            </a:prstGeom>
                            <a:ln w="6350" cap="flat" cmpd="sng">
                              <a:solidFill>
                                <a:srgbClr val="000000"/>
                              </a:solidFill>
                              <a:prstDash val="solid"/>
                              <a:headEnd type="none" w="med" len="med"/>
                              <a:tailEnd type="none" w="med" len="med"/>
                            </a:ln>
                            <a:effectLst/>
                          </wps:spPr>
                          <wps:bodyPr upright="1"/>
                        </wps:wsp>
                        <wps:wsp>
                          <wps:cNvPr id="1949" name="直线 653"/>
                          <wps:cNvCnPr/>
                          <wps:spPr>
                            <a:xfrm>
                              <a:off x="6581" y="4213"/>
                              <a:ext cx="2336" cy="0"/>
                            </a:xfrm>
                            <a:prstGeom prst="line">
                              <a:avLst/>
                            </a:prstGeom>
                            <a:ln w="6350" cap="flat" cmpd="sng">
                              <a:solidFill>
                                <a:srgbClr val="000000"/>
                              </a:solidFill>
                              <a:prstDash val="lgDashDot"/>
                              <a:headEnd type="none" w="med" len="med"/>
                              <a:tailEnd type="none" w="med" len="med"/>
                            </a:ln>
                            <a:effectLst/>
                          </wps:spPr>
                          <wps:bodyPr upright="1"/>
                        </wps:wsp>
                        <wps:wsp>
                          <wps:cNvPr id="1950" name="直线 654"/>
                          <wps:cNvCnPr/>
                          <wps:spPr>
                            <a:xfrm>
                              <a:off x="9563" y="2269"/>
                              <a:ext cx="756" cy="0"/>
                            </a:xfrm>
                            <a:prstGeom prst="line">
                              <a:avLst/>
                            </a:prstGeom>
                            <a:ln w="6350" cap="flat" cmpd="sng">
                              <a:solidFill>
                                <a:srgbClr val="000000"/>
                              </a:solidFill>
                              <a:prstDash val="solid"/>
                              <a:headEnd type="none" w="med" len="med"/>
                              <a:tailEnd type="none" w="med" len="med"/>
                            </a:ln>
                            <a:effectLst/>
                          </wps:spPr>
                          <wps:bodyPr upright="1"/>
                        </wps:wsp>
                        <wps:wsp>
                          <wps:cNvPr id="1951" name="直线 655"/>
                          <wps:cNvCnPr/>
                          <wps:spPr>
                            <a:xfrm>
                              <a:off x="9563" y="4213"/>
                              <a:ext cx="756" cy="0"/>
                            </a:xfrm>
                            <a:prstGeom prst="line">
                              <a:avLst/>
                            </a:prstGeom>
                            <a:ln w="6350" cap="flat" cmpd="sng">
                              <a:solidFill>
                                <a:srgbClr val="000000"/>
                              </a:solidFill>
                              <a:prstDash val="solid"/>
                              <a:headEnd type="none" w="med" len="med"/>
                              <a:tailEnd type="none" w="med" len="med"/>
                            </a:ln>
                            <a:effectLst/>
                          </wps:spPr>
                          <wps:bodyPr upright="1"/>
                        </wps:wsp>
                        <wps:wsp>
                          <wps:cNvPr id="1952" name="直线 656"/>
                          <wps:cNvCnPr/>
                          <wps:spPr>
                            <a:xfrm>
                              <a:off x="9563" y="6280"/>
                              <a:ext cx="756" cy="0"/>
                            </a:xfrm>
                            <a:prstGeom prst="line">
                              <a:avLst/>
                            </a:prstGeom>
                            <a:ln w="6350" cap="flat" cmpd="sng">
                              <a:solidFill>
                                <a:srgbClr val="000000"/>
                              </a:solidFill>
                              <a:prstDash val="solid"/>
                              <a:headEnd type="none" w="med" len="med"/>
                              <a:tailEnd type="none" w="med" len="med"/>
                            </a:ln>
                            <a:effectLst/>
                          </wps:spPr>
                          <wps:bodyPr upright="1"/>
                        </wps:wsp>
                        <wps:wsp>
                          <wps:cNvPr id="1953" name="直线 657"/>
                          <wps:cNvCnPr/>
                          <wps:spPr>
                            <a:xfrm>
                              <a:off x="9563" y="6926"/>
                              <a:ext cx="756" cy="0"/>
                            </a:xfrm>
                            <a:prstGeom prst="line">
                              <a:avLst/>
                            </a:prstGeom>
                            <a:ln w="6350" cap="flat" cmpd="sng">
                              <a:solidFill>
                                <a:srgbClr val="000000"/>
                              </a:solidFill>
                              <a:prstDash val="solid"/>
                              <a:headEnd type="none" w="med" len="med"/>
                              <a:tailEnd type="none" w="med" len="med"/>
                            </a:ln>
                            <a:effectLst/>
                          </wps:spPr>
                          <wps:bodyPr upright="1"/>
                        </wps:wsp>
                        <wps:wsp>
                          <wps:cNvPr id="1954" name="直线 658"/>
                          <wps:cNvCnPr/>
                          <wps:spPr>
                            <a:xfrm>
                              <a:off x="10121" y="2269"/>
                              <a:ext cx="0" cy="1944"/>
                            </a:xfrm>
                            <a:prstGeom prst="line">
                              <a:avLst/>
                            </a:prstGeom>
                            <a:ln w="6350" cap="flat" cmpd="sng">
                              <a:solidFill>
                                <a:srgbClr val="000000"/>
                              </a:solidFill>
                              <a:prstDash val="solid"/>
                              <a:headEnd type="stealth" w="sm" len="lg"/>
                              <a:tailEnd type="stealth" w="sm" len="lg"/>
                            </a:ln>
                            <a:effectLst/>
                          </wps:spPr>
                          <wps:bodyPr upright="1"/>
                        </wps:wsp>
                        <wps:wsp>
                          <wps:cNvPr id="1955" name="直线 659"/>
                          <wps:cNvCnPr/>
                          <wps:spPr>
                            <a:xfrm>
                              <a:off x="10121" y="4213"/>
                              <a:ext cx="0" cy="2067"/>
                            </a:xfrm>
                            <a:prstGeom prst="line">
                              <a:avLst/>
                            </a:prstGeom>
                            <a:ln w="6350" cap="flat" cmpd="sng">
                              <a:solidFill>
                                <a:srgbClr val="000000"/>
                              </a:solidFill>
                              <a:prstDash val="solid"/>
                              <a:headEnd type="stealth" w="sm" len="lg"/>
                              <a:tailEnd type="stealth" w="sm" len="lg"/>
                            </a:ln>
                            <a:effectLst/>
                          </wps:spPr>
                          <wps:bodyPr upright="1"/>
                        </wps:wsp>
                        <wps:wsp>
                          <wps:cNvPr id="1956" name="直线 660"/>
                          <wps:cNvCnPr/>
                          <wps:spPr>
                            <a:xfrm>
                              <a:off x="10121" y="6280"/>
                              <a:ext cx="0" cy="649"/>
                            </a:xfrm>
                            <a:prstGeom prst="line">
                              <a:avLst/>
                            </a:prstGeom>
                            <a:ln w="6350" cap="flat" cmpd="sng">
                              <a:solidFill>
                                <a:srgbClr val="000000"/>
                              </a:solidFill>
                              <a:prstDash val="solid"/>
                              <a:headEnd type="stealth" w="sm" len="lg"/>
                              <a:tailEnd type="stealth" w="sm" len="lg"/>
                            </a:ln>
                            <a:effectLst/>
                          </wps:spPr>
                          <wps:bodyPr upright="1"/>
                        </wps:wsp>
                        <wps:wsp>
                          <wps:cNvPr id="1957" name="直线 661"/>
                          <wps:cNvCnPr/>
                          <wps:spPr>
                            <a:xfrm flipH="1" flipV="1">
                              <a:off x="8608" y="5372"/>
                              <a:ext cx="267" cy="628"/>
                            </a:xfrm>
                            <a:prstGeom prst="line">
                              <a:avLst/>
                            </a:prstGeom>
                            <a:ln w="6350" cap="flat" cmpd="sng">
                              <a:solidFill>
                                <a:srgbClr val="000000"/>
                              </a:solidFill>
                              <a:prstDash val="solid"/>
                              <a:headEnd type="none" w="med" len="med"/>
                              <a:tailEnd type="stealth" w="sm" len="lg"/>
                            </a:ln>
                            <a:effectLst/>
                          </wps:spPr>
                          <wps:bodyPr upright="1"/>
                        </wps:wsp>
                        <wps:wsp>
                          <wps:cNvPr id="1958" name="直线 662"/>
                          <wps:cNvCnPr/>
                          <wps:spPr>
                            <a:xfrm>
                              <a:off x="8875" y="6000"/>
                              <a:ext cx="700" cy="0"/>
                            </a:xfrm>
                            <a:prstGeom prst="line">
                              <a:avLst/>
                            </a:prstGeom>
                            <a:ln w="6350" cap="flat" cmpd="sng">
                              <a:solidFill>
                                <a:srgbClr val="000000"/>
                              </a:solidFill>
                              <a:prstDash val="solid"/>
                              <a:headEnd type="none" w="med" len="med"/>
                              <a:tailEnd type="none" w="med" len="med"/>
                            </a:ln>
                            <a:effectLst/>
                          </wps:spPr>
                          <wps:bodyPr upright="1"/>
                        </wps:wsp>
                        <wps:wsp>
                          <wps:cNvPr id="1959" name="直线 663"/>
                          <wps:cNvCnPr/>
                          <wps:spPr>
                            <a:xfrm flipH="1" flipV="1">
                              <a:off x="6636" y="3892"/>
                              <a:ext cx="302" cy="321"/>
                            </a:xfrm>
                            <a:prstGeom prst="line">
                              <a:avLst/>
                            </a:prstGeom>
                            <a:ln w="6350" cap="flat" cmpd="sng">
                              <a:solidFill>
                                <a:srgbClr val="000000"/>
                              </a:solidFill>
                              <a:prstDash val="solid"/>
                              <a:headEnd type="none" w="med" len="med"/>
                              <a:tailEnd type="stealth" w="sm" len="lg"/>
                            </a:ln>
                            <a:effectLst/>
                          </wps:spPr>
                          <wps:bodyPr upright="1"/>
                        </wps:wsp>
                        <wps:wsp>
                          <wps:cNvPr id="1960" name="直线 664"/>
                          <wps:cNvCnPr/>
                          <wps:spPr>
                            <a:xfrm flipH="1" flipV="1">
                              <a:off x="3614" y="5954"/>
                              <a:ext cx="370" cy="326"/>
                            </a:xfrm>
                            <a:prstGeom prst="line">
                              <a:avLst/>
                            </a:prstGeom>
                            <a:ln w="6350" cap="flat" cmpd="sng">
                              <a:solidFill>
                                <a:srgbClr val="000000"/>
                              </a:solidFill>
                              <a:prstDash val="solid"/>
                              <a:headEnd type="none" w="med" len="med"/>
                              <a:tailEnd type="stealth" w="sm" len="lg"/>
                            </a:ln>
                            <a:effectLst/>
                          </wps:spPr>
                          <wps:bodyPr upright="1"/>
                        </wps:wsp>
                        <wps:wsp>
                          <wps:cNvPr id="1961" name="直线 665"/>
                          <wps:cNvCnPr/>
                          <wps:spPr>
                            <a:xfrm flipH="1" flipV="1">
                              <a:off x="2774" y="6601"/>
                              <a:ext cx="370" cy="329"/>
                            </a:xfrm>
                            <a:prstGeom prst="line">
                              <a:avLst/>
                            </a:prstGeom>
                            <a:ln w="6350" cap="flat" cmpd="sng">
                              <a:solidFill>
                                <a:srgbClr val="000000"/>
                              </a:solidFill>
                              <a:prstDash val="solid"/>
                              <a:headEnd type="none" w="med" len="med"/>
                              <a:tailEnd type="stealth" w="sm" len="lg"/>
                            </a:ln>
                            <a:effectLst/>
                          </wps:spPr>
                          <wps:bodyPr upright="1"/>
                        </wps:wsp>
                        <wps:wsp>
                          <wps:cNvPr id="1962" name="任意多边形 666"/>
                          <wps:cNvSpPr/>
                          <wps:spPr>
                            <a:xfrm>
                              <a:off x="2281" y="4213"/>
                              <a:ext cx="1953" cy="3080"/>
                            </a:xfrm>
                            <a:custGeom>
                              <a:avLst/>
                              <a:gdLst/>
                              <a:ahLst/>
                              <a:cxnLst/>
                              <a:pathLst>
                                <a:path w="2160" h="2546">
                                  <a:moveTo>
                                    <a:pt x="0" y="2546"/>
                                  </a:moveTo>
                                  <a:cubicBezTo>
                                    <a:pt x="17" y="2540"/>
                                    <a:pt x="37" y="2540"/>
                                    <a:pt x="51" y="2529"/>
                                  </a:cubicBezTo>
                                  <a:cubicBezTo>
                                    <a:pt x="82" y="2505"/>
                                    <a:pt x="134" y="2445"/>
                                    <a:pt x="134" y="2445"/>
                                  </a:cubicBezTo>
                                  <a:cubicBezTo>
                                    <a:pt x="140" y="2428"/>
                                    <a:pt x="142" y="2410"/>
                                    <a:pt x="151" y="2395"/>
                                  </a:cubicBezTo>
                                  <a:cubicBezTo>
                                    <a:pt x="159" y="2381"/>
                                    <a:pt x="177" y="2375"/>
                                    <a:pt x="184" y="2361"/>
                                  </a:cubicBezTo>
                                  <a:cubicBezTo>
                                    <a:pt x="200" y="2330"/>
                                    <a:pt x="207" y="2294"/>
                                    <a:pt x="218" y="2261"/>
                                  </a:cubicBezTo>
                                  <a:cubicBezTo>
                                    <a:pt x="238" y="2202"/>
                                    <a:pt x="288" y="2193"/>
                                    <a:pt x="335" y="2177"/>
                                  </a:cubicBezTo>
                                  <a:cubicBezTo>
                                    <a:pt x="369" y="2077"/>
                                    <a:pt x="324" y="2166"/>
                                    <a:pt x="402" y="2110"/>
                                  </a:cubicBezTo>
                                  <a:cubicBezTo>
                                    <a:pt x="541" y="2010"/>
                                    <a:pt x="406" y="2064"/>
                                    <a:pt x="519" y="2026"/>
                                  </a:cubicBezTo>
                                  <a:cubicBezTo>
                                    <a:pt x="605" y="1942"/>
                                    <a:pt x="494" y="2041"/>
                                    <a:pt x="603" y="1976"/>
                                  </a:cubicBezTo>
                                  <a:cubicBezTo>
                                    <a:pt x="634" y="1958"/>
                                    <a:pt x="657" y="1929"/>
                                    <a:pt x="687" y="1909"/>
                                  </a:cubicBezTo>
                                  <a:cubicBezTo>
                                    <a:pt x="748" y="1817"/>
                                    <a:pt x="685" y="1890"/>
                                    <a:pt x="771" y="1842"/>
                                  </a:cubicBezTo>
                                  <a:cubicBezTo>
                                    <a:pt x="966" y="1733"/>
                                    <a:pt x="775" y="1807"/>
                                    <a:pt x="971" y="1742"/>
                                  </a:cubicBezTo>
                                  <a:cubicBezTo>
                                    <a:pt x="1005" y="1731"/>
                                    <a:pt x="1038" y="1719"/>
                                    <a:pt x="1072" y="1708"/>
                                  </a:cubicBezTo>
                                  <a:cubicBezTo>
                                    <a:pt x="1089" y="1703"/>
                                    <a:pt x="1122" y="1692"/>
                                    <a:pt x="1122" y="1692"/>
                                  </a:cubicBezTo>
                                  <a:cubicBezTo>
                                    <a:pt x="1139" y="1681"/>
                                    <a:pt x="1154" y="1666"/>
                                    <a:pt x="1172" y="1658"/>
                                  </a:cubicBezTo>
                                  <a:cubicBezTo>
                                    <a:pt x="1204" y="1644"/>
                                    <a:pt x="1273" y="1625"/>
                                    <a:pt x="1273" y="1625"/>
                                  </a:cubicBezTo>
                                  <a:cubicBezTo>
                                    <a:pt x="1284" y="1614"/>
                                    <a:pt x="1292" y="1598"/>
                                    <a:pt x="1306" y="1591"/>
                                  </a:cubicBezTo>
                                  <a:cubicBezTo>
                                    <a:pt x="1338" y="1575"/>
                                    <a:pt x="1407" y="1558"/>
                                    <a:pt x="1407" y="1558"/>
                                  </a:cubicBezTo>
                                  <a:cubicBezTo>
                                    <a:pt x="1445" y="1519"/>
                                    <a:pt x="1452" y="1479"/>
                                    <a:pt x="1491" y="1440"/>
                                  </a:cubicBezTo>
                                  <a:cubicBezTo>
                                    <a:pt x="1496" y="1423"/>
                                    <a:pt x="1498" y="1405"/>
                                    <a:pt x="1507" y="1390"/>
                                  </a:cubicBezTo>
                                  <a:cubicBezTo>
                                    <a:pt x="1515" y="1376"/>
                                    <a:pt x="1534" y="1371"/>
                                    <a:pt x="1541" y="1357"/>
                                  </a:cubicBezTo>
                                  <a:cubicBezTo>
                                    <a:pt x="1551" y="1336"/>
                                    <a:pt x="1550" y="1312"/>
                                    <a:pt x="1557" y="1290"/>
                                  </a:cubicBezTo>
                                  <a:cubicBezTo>
                                    <a:pt x="1601" y="1143"/>
                                    <a:pt x="1589" y="1227"/>
                                    <a:pt x="1624" y="1055"/>
                                  </a:cubicBezTo>
                                  <a:cubicBezTo>
                                    <a:pt x="1661" y="872"/>
                                    <a:pt x="1706" y="693"/>
                                    <a:pt x="1775" y="520"/>
                                  </a:cubicBezTo>
                                  <a:cubicBezTo>
                                    <a:pt x="1785" y="496"/>
                                    <a:pt x="1813" y="407"/>
                                    <a:pt x="1825" y="369"/>
                                  </a:cubicBezTo>
                                  <a:cubicBezTo>
                                    <a:pt x="1858" y="265"/>
                                    <a:pt x="1973" y="175"/>
                                    <a:pt x="2060" y="118"/>
                                  </a:cubicBezTo>
                                  <a:cubicBezTo>
                                    <a:pt x="2087" y="36"/>
                                    <a:pt x="2058" y="90"/>
                                    <a:pt x="2127" y="34"/>
                                  </a:cubicBezTo>
                                  <a:cubicBezTo>
                                    <a:pt x="2139" y="24"/>
                                    <a:pt x="2160" y="0"/>
                                    <a:pt x="2160" y="0"/>
                                  </a:cubicBezTo>
                                </a:path>
                              </a:pathLst>
                            </a:custGeom>
                            <a:noFill/>
                            <a:ln w="6350" cap="flat" cmpd="sng">
                              <a:solidFill>
                                <a:srgbClr val="000000"/>
                              </a:solidFill>
                              <a:prstDash val="solid"/>
                              <a:headEnd type="none" w="med" len="med"/>
                              <a:tailEnd type="none" w="med" len="med"/>
                            </a:ln>
                            <a:effectLst/>
                          </wps:spPr>
                          <wps:bodyPr upright="1"/>
                        </wps:wsp>
                      </wpg:grpSp>
                    </wpg:wgp>
                  </a:graphicData>
                </a:graphic>
              </wp:anchor>
            </w:drawing>
          </mc:Choice>
          <mc:Fallback>
            <w:pict>
              <v:group id="组合 611" o:spid="_x0000_s1026" o:spt="203" style="position:absolute;left:0pt;margin-left:6.1pt;margin-top:8.05pt;height:152.3pt;width:363.25pt;z-index:251688960;mso-width-relative:page;mso-height-relative:page;" coordorigin="2281,2116" coordsize="8038,5561" o:gfxdata="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">
                <o:lock v:ext="edit" aspectratio="f"/>
                <v:line id="直线 612" o:spid="_x0000_s1026" o:spt="20" style="position:absolute;left:6051;top:2410;height:5267;width:0;" filled="f" stroked="t" coordsize="21600,21600" o:gfxdata="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qao68AAAA&#10;3QAAAA8AAAAAAAAAAQAgAAAAIgAAAGRycy9kb3ducmV2LnhtbFBLAQIUABQAAAAIAIdO4kAzLwWe&#10;OwAAADkAAAAQAAAAAAAAAAEAIAAAAAsBAABkcnMvc2hhcGV4bWwueG1sUEsFBgAAAAAGAAYAWwEA&#10;ALUDAAAAAA==&#10;">
                  <v:fill on="f" focussize="0,0"/>
                  <v:stroke weight="0.5pt" color="#000000" joinstyle="round" dashstyle="longDashDot"/>
                  <v:imagedata o:title=""/>
                  <o:lock v:ext="edit" aspectratio="f"/>
                </v:line>
                <v:group id="组合 613" o:spid="_x0000_s1026" o:spt="203" style="position:absolute;left:2281;top:2116;height:5177;width:8038;" coordorigin="2281,2116" coordsize="8038,5177" o:gfxdata="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ZCM5ovAAAAN0AAAAPAAAAAAAAAAEAIAAAACIAAABkcnMvZG93bnJldi54bWxQ&#10;SwECFAAUAAAACACHTuJAMy8FnjsAAAA5AAAAFQAAAAAAAAABACAAAAALAQAAZHJzL2dyb3Vwc2hh&#10;cGV4bWwueG1sUEsFBgAAAAAGAAYAYAEAAMgDAAAAAA==&#10;">
                  <o:lock v:ext="edit" aspectratio="f"/>
                  <v:shape id="文本框 614" o:spid="_x0000_s1026" o:spt="202" type="#_x0000_t202" style="position:absolute;left:2936;top:6359;height:405;width:326;" filled="f" stroked="f" coordsize="21600,21600" o:gfxdata="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Yl/T&#10;wAAAAN0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7CBBF31D">
                          <w:pPr>
                            <w:spacing w:line="300" w:lineRule="exact"/>
                            <w:ind w:firstLine="240" w:firstLineChars="100"/>
                            <w:rPr>
                              <w:rFonts w:ascii="仿宋_GB2312"/>
                            </w:rPr>
                          </w:pPr>
                          <w:r>
                            <w:rPr>
                              <w:rFonts w:ascii="仿宋_GB2312"/>
                              <w:vertAlign w:val="subscript"/>
                            </w:rPr>
                            <w:t>w1</w:t>
                          </w:r>
                        </w:p>
                      </w:txbxContent>
                    </v:textbox>
                  </v:shape>
                  <v:shape id="文本框 615" o:spid="_x0000_s1026" o:spt="202" type="#_x0000_t202" style="position:absolute;left:3735;top:5672;height:405;width:326;" filled="f" stroked="f" coordsize="21600,21600" o:gfxdata="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u+ki8AAAA&#10;3QAAAA8AAAAAAAAAAQAgAAAAIgAAAGRycy9kb3ducmV2LnhtbFBLAQIUABQAAAAIAIdO4kAzLwWe&#10;OwAAADkAAAAQAAAAAAAAAAEAIAAAAAsBAABkcnMvc2hhcGV4bWwueG1sUEsFBgAAAAAGAAYAWwEA&#10;ALUDAAAAAA==&#10;">
                    <v:fill on="f" focussize="0,0"/>
                    <v:stroke on="f" weight="0.5pt"/>
                    <v:imagedata o:title=""/>
                    <o:lock v:ext="edit" aspectratio="f"/>
                    <v:textbox inset="0mm,0mm,0mm,0mm">
                      <w:txbxContent>
                        <w:p w14:paraId="78F91550">
                          <w:pPr>
                            <w:spacing w:line="240" w:lineRule="exact"/>
                            <w:rPr>
                              <w:rFonts w:ascii="仿宋_GB2312"/>
                            </w:rPr>
                          </w:pPr>
                          <w:r>
                            <w:rPr>
                              <w:rFonts w:ascii="仿宋_GB2312"/>
                            </w:rPr>
                            <w:t>w</w:t>
                          </w:r>
                          <w:r>
                            <w:rPr>
                              <w:rFonts w:ascii="仿宋_GB2312"/>
                              <w:vertAlign w:val="subscript"/>
                            </w:rPr>
                            <w:t>1</w:t>
                          </w:r>
                        </w:p>
                      </w:txbxContent>
                    </v:textbox>
                  </v:shape>
                  <v:shape id="文本框 616" o:spid="_x0000_s1026" o:spt="202" type="#_x0000_t202" style="position:absolute;left:6748;top:3603;height:406;width:326;" filled="f" stroked="f" coordsize="21600,21600" o:gfxdata="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xkP7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071DDE10">
                          <w:pPr>
                            <w:spacing w:line="240" w:lineRule="exact"/>
                            <w:rPr>
                              <w:rFonts w:ascii="仿宋_GB2312"/>
                            </w:rPr>
                          </w:pPr>
                          <w:r>
                            <w:rPr>
                              <w:rFonts w:ascii="仿宋_GB2312"/>
                            </w:rPr>
                            <w:t>w</w:t>
                          </w:r>
                          <w:r>
                            <w:rPr>
                              <w:rFonts w:ascii="仿宋_GB2312"/>
                              <w:vertAlign w:val="subscript"/>
                            </w:rPr>
                            <w:t>1</w:t>
                          </w:r>
                        </w:p>
                      </w:txbxContent>
                    </v:textbox>
                  </v:shape>
                  <v:shape id="文本框 617" o:spid="_x0000_s1026" o:spt="202" type="#_x0000_t202" style="position:absolute;left:8917;top:5528;height:472;width:646;" filled="f" stroked="f" coordsize="21600,21600" o:gfxdata="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LDBpL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697651E7">
                          <w:pPr>
                            <w:spacing w:line="380" w:lineRule="exact"/>
                            <w:rPr>
                              <w:spacing w:val="-20"/>
                              <w:sz w:val="24"/>
                            </w:rPr>
                          </w:pPr>
                          <w:r>
                            <w:rPr>
                              <w:rFonts w:hint="eastAsia"/>
                              <w:spacing w:val="-20"/>
                              <w:sz w:val="24"/>
                            </w:rPr>
                            <w:t>光爆孔</w:t>
                          </w:r>
                        </w:p>
                      </w:txbxContent>
                    </v:textbox>
                  </v:shape>
                  <v:shape id="文本框 618" o:spid="_x0000_s1026" o:spt="202" type="#_x0000_t202" style="position:absolute;left:9852;top:3137;height:405;width:326;" filled="f" stroked="f" coordsize="21600,21600" o:gfxdata="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1lZ0L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5080137E">
                          <w:pPr>
                            <w:spacing w:line="240" w:lineRule="exact"/>
                            <w:rPr>
                              <w:rFonts w:ascii="仿宋_GB2312"/>
                              <w:sz w:val="24"/>
                            </w:rPr>
                          </w:pPr>
                          <w:r>
                            <w:rPr>
                              <w:rFonts w:hint="eastAsia" w:ascii="仿宋_GB2312"/>
                              <w:sz w:val="24"/>
                            </w:rPr>
                            <w:t>H</w:t>
                          </w:r>
                        </w:p>
                      </w:txbxContent>
                    </v:textbox>
                  </v:shape>
                  <v:shape id="文本框 619" o:spid="_x0000_s1026" o:spt="202" type="#_x0000_t202" style="position:absolute;left:9867;top:5123;height:405;width:326;" filled="f" stroked="f" coordsize="21600,21600" o:gfxdata="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BX8S7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693D28A1">
                          <w:pPr>
                            <w:spacing w:line="240" w:lineRule="exact"/>
                            <w:rPr>
                              <w:rFonts w:ascii="仿宋_GB2312"/>
                            </w:rPr>
                          </w:pPr>
                          <w:r>
                            <w:rPr>
                              <w:rFonts w:hint="eastAsia" w:ascii="仿宋_GB2312"/>
                              <w:sz w:val="24"/>
                            </w:rPr>
                            <w:t>H</w:t>
                          </w:r>
                        </w:p>
                      </w:txbxContent>
                    </v:textbox>
                  </v:shape>
                  <v:shape id="文本框 620" o:spid="_x0000_s1026" o:spt="202" type="#_x0000_t202" style="position:absolute;left:9881;top:6476;height:407;width:326;" filled="f" stroked="f" coordsize="21600,21600" o:gfxdata="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diPL4A&#10;AADdAAAADwAAAAAAAAABACAAAAAiAAAAZHJzL2Rvd25yZXYueG1sUEsBAhQAFAAAAAgAh07iQDMv&#10;BZ47AAAAOQAAABAAAAAAAAAAAQAgAAAADQEAAGRycy9zaGFwZXhtbC54bWxQSwUGAAAAAAYABgBb&#10;AQAAtwMAAAAA&#10;">
                    <v:fill on="f" focussize="0,0"/>
                    <v:stroke on="f" weight="0.5pt"/>
                    <v:imagedata o:title=""/>
                    <o:lock v:ext="edit" aspectratio="f"/>
                    <v:textbox inset="0mm,0mm,0mm,0mm">
                      <w:txbxContent>
                        <w:p w14:paraId="717C59BD">
                          <w:pPr>
                            <w:spacing w:line="240" w:lineRule="exact"/>
                            <w:rPr>
                              <w:rFonts w:ascii="仿宋_GB2312"/>
                              <w:sz w:val="24"/>
                            </w:rPr>
                          </w:pPr>
                          <w:r>
                            <w:rPr>
                              <w:rFonts w:hint="eastAsia" w:ascii="仿宋_GB2312"/>
                              <w:sz w:val="24"/>
                            </w:rPr>
                            <w:t>2</w:t>
                          </w:r>
                        </w:p>
                      </w:txbxContent>
                    </v:textbox>
                  </v:shape>
                  <v:line id="直线 621" o:spid="_x0000_s1026" o:spt="20" style="position:absolute;left:2508;top:6929;height:0;width:5571;" filled="f" stroked="t" coordsize="21600,21600" o:gfxdata="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C7zJ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rect id="矩形 622" o:spid="_x0000_s1026" o:spt="1" style="position:absolute;left:8889;top:2166;flip:x;height:3788;width:65;rotation:10400620f;" filled="f" stroked="t" coordsize="21600,21600" o:gfxdata="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wld9&#10;wAAAAN0AAAAPAAAAAAAAAAEAIAAAACIAAABkcnMvZG93bnJldi54bWxQSwECFAAUAAAACACHTuJA&#10;My8FnjsAAAA5AAAAEAAAAAAAAAABACAAAAAPAQAAZHJzL3NoYXBleG1sLnhtbFBLBQYAAAAABgAG&#10;AFsBAAC5AwAAAAA=&#10;">
                    <v:fill on="f" focussize="0,0"/>
                    <v:stroke weight="0.5pt" color="#000000" joinstyle="miter"/>
                    <v:imagedata o:title=""/>
                    <o:lock v:ext="edit" aspectratio="f"/>
                  </v:rect>
                  <v:line id="直线 623" o:spid="_x0000_s1026" o:spt="20" style="position:absolute;left:4256;top:4217;height:0;width:2325;" filled="f" stroked="t" coordsize="21600,21600" o:gfxdata="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v3Cz7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rect id="矩形 624" o:spid="_x0000_s1026" o:spt="1" style="position:absolute;left:4210;top:4140;height:2464;width:77;rotation:1457891f;" filled="f" stroked="t" coordsize="21600,21600" o:gfxdata="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Iyeq74A&#10;AADdAAAADwAAAAAAAAABACAAAAAiAAAAZHJzL2Rvd25yZXYueG1sUEsBAhQAFAAAAAgAh07iQDMv&#10;BZ47AAAAOQAAABAAAAAAAAAAAQAgAAAADQEAAGRycy9zaGFwZXhtbC54bWxQSwUGAAAAAAYABgBb&#10;AQAAtwMAAAAA&#10;">
                    <v:fill on="f" focussize="0,0"/>
                    <v:stroke weight="0.5pt" color="#000000" joinstyle="miter"/>
                    <v:imagedata o:title=""/>
                    <o:lock v:ext="edit" aspectratio="f"/>
                  </v:rect>
                  <v:rect id="矩形 625" o:spid="_x0000_s1026" o:spt="1" style="position:absolute;left:4687;top:4140;height:2464;width:77;rotation:1457891f;" filled="f" stroked="t" coordsize="21600,21600" o:gfxdata="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AOzC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rect id="矩形 626" o:spid="_x0000_s1026" o:spt="1" style="position:absolute;left:5165;top:4140;height:2464;width:76;rotation:1457891f;" filled="f" stroked="t" coordsize="21600,21600" o:gfxdata="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SpUe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rect id="矩形 627" o:spid="_x0000_s1026" o:spt="1" style="position:absolute;left:5641;top:4140;height:2464;width:78;rotation:1457891f;" filled="f" stroked="t" coordsize="21600,21600" o:gfxdata="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eANy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rect id="矩形 628" o:spid="_x0000_s1026" o:spt="1" style="position:absolute;left:7230;top:2116;height:2464;width:77;rotation:1457891f;" filled="f" stroked="t" coordsize="21600,21600" o:gfxdata="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e3mKi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rect id="矩形 629" o:spid="_x0000_s1026" o:spt="1" style="position:absolute;left:7701;top:2157;height:2464;width:77;rotation:1457891f;" filled="f" stroked="t" coordsize="21600,21600" o:gfxdata="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7PTO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rect id="矩形 630" o:spid="_x0000_s1026" o:spt="1" style="position:absolute;left:8170;top:2116;height:2464;width:77;rotation:1457891f;" filled="f" stroked="t" coordsize="21600,21600" o:gfxdata="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mjRLsAAADd&#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rect>
                  <v:rect id="矩形 631" o:spid="_x0000_s1026" o:spt="1" style="position:absolute;left:8639;top:2157;height:2464;width:77;rotation:1457891f;" filled="f" stroked="t" coordsize="21600,21600" o:gfxdata="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lBt+8AAAA&#10;3QAAAA8AAAAAAAAAAQAgAAAAIgAAAGRycy9kb3ducmV2LnhtbFBLAQIUABQAAAAIAIdO4kAzLwWe&#10;OwAAADkAAAAQAAAAAAAAAAEAIAAAAAsBAABkcnMvc2hhcGV4bWwueG1sUEsFBgAAAAAGAAYAWwEA&#10;ALUDAAAAAA==&#10;">
                    <v:fill on="f" focussize="0,0"/>
                    <v:stroke weight="0.5pt" color="#000000" joinstyle="miter"/>
                    <v:imagedata o:title=""/>
                    <o:lock v:ext="edit" aspectratio="f"/>
                  </v:rect>
                  <v:shape id="任意多边形 632" o:spid="_x0000_s1026" o:spt="100" style="position:absolute;left:6566;top:2148;height:2065;width:3154;" filled="f" stroked="t" coordsize="3154,2065" o:gfxdata="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7Ehy/&#10;AAAA3QAAAA8AAAAAAAAAAQAgAAAAIgAAAGRycy9kb3ducmV2LnhtbFBLAQIUABQAAAAIAIdO4kAz&#10;LwWeOwAAADkAAAAQAAAAAAAAAAEAIAAAAA4BAABkcnMvc2hhcGV4bWwueG1sUEsFBgAAAAAGAAYA&#10;WwEAALgDAAAAAA==&#10;" path="m0,2065c35,1921,12,1979,61,1884c76,1784,66,1673,121,1599c144,1507,148,1442,197,1377c216,1299,259,1231,303,1175c338,1034,334,889,363,749c380,670,381,624,424,566c441,467,439,356,469,263c476,241,491,224,499,202c506,183,506,160,514,142c548,68,627,44,681,19c696,12,727,0,727,0c845,38,969,60,1089,81c1300,60,1312,70,1499,100c1749,64,1921,68,2195,81c2431,104,2916,132,3154,132e">
                    <v:fill on="f" focussize="0,0"/>
                    <v:stroke weight="0.5pt" color="#000000" joinstyle="round"/>
                    <v:imagedata o:title=""/>
                    <o:lock v:ext="edit" aspectratio="f"/>
                  </v:shape>
                  <v:shape id="任意多边形 633" o:spid="_x0000_s1026" o:spt="100" style="position:absolute;left:8079;top:2265;height:4664;width:1641;" filled="f" stroked="t" coordsize="1641,4664" o:gfxdata="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Sm028AAAA&#10;3QAAAA8AAAAAAAAAAQAgAAAAIgAAAGRycy9kb3ducmV2LnhtbFBLAQIUABQAAAAIAIdO4kAzLwWe&#10;OwAAADkAAAAQAAAAAAAAAAEAIAAAAAsBAABkcnMvc2hhcGV4bWwueG1sUEsFBgAAAAAGAAYAWwEA&#10;ALUDAAAAAA==&#10;" path="m1641,0l0,4664e">
                    <v:fill on="f" focussize="0,0"/>
                    <v:stroke weight="0.5pt" color="#000000" joinstyle="round"/>
                    <v:imagedata o:title=""/>
                    <o:lock v:ext="edit" aspectratio="f"/>
                  </v:shape>
                  <v:line id="直线 634" o:spid="_x0000_s1026" o:spt="20" style="position:absolute;left:3231;top:6280;height:0;width:5016;" filled="f" stroked="t" coordsize="21600,21600" o:gfxdata="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8Ca6/&#10;AAAA3QAAAA8AAAAAAAAAAQAgAAAAIgAAAGRycy9kb3ducmV2LnhtbFBLAQIUABQAAAAIAIdO4kAz&#10;LwWeOwAAADkAAAAQAAAAAAAAAAEAIAAAAA4BAABkcnMvc2hhcGV4bWwueG1sUEsFBgAAAAAGAAYA&#10;WwEAALgDAAAAAA==&#10;">
                    <v:fill on="f" focussize="0,0"/>
                    <v:stroke weight="0.5pt" color="#000000" joinstyle="round" dashstyle="longDashDot"/>
                    <v:imagedata o:title=""/>
                    <o:lock v:ext="edit" aspectratio="f"/>
                  </v:line>
                  <v:line id="直线 635" o:spid="_x0000_s1026" o:spt="20" style="position:absolute;left:3129;top:6280;flip:x;height:649;width:102;" filled="f" stroked="t" coordsize="21600,21600" o:gfxdata="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sGNL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36" o:spid="_x0000_s1026" o:spt="20" style="position:absolute;left:3414;top:6280;flip:x;height:649;width:102;" filled="f" stroked="t" coordsize="21600,21600" o:gfxdata="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MTW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37" o:spid="_x0000_s1026" o:spt="20" style="position:absolute;left:3699;top:6280;flip:x;height:649;width:101;" filled="f" stroked="t" coordsize="21600,21600" o:gfxdata="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X7bB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38" o:spid="_x0000_s1026" o:spt="20" style="position:absolute;left:3984;top:6280;flip:x;height:649;width:102;" filled="f" stroked="t" coordsize="21600,21600" o:gfxdata="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ti61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39" o:spid="_x0000_s1026" o:spt="20" style="position:absolute;left:4269;top:6280;flip:x;height:649;width:103;" filled="f" stroked="t" coordsize="21600,21600" o:gfxdata="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osu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40" o:spid="_x0000_s1026" o:spt="20" style="position:absolute;left:4554;top:6280;flip:x;height:649;width:103;" filled="f" stroked="t" coordsize="21600,21600" o:gfxdata="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oFVm/&#10;AAAA3QAAAA8AAAAAAAAAAQAgAAAAIgAAAGRycy9kb3ducmV2LnhtbFBLAQIUABQAAAAIAIdO4kAz&#10;LwWeOwAAADkAAAAQAAAAAAAAAAEAIAAAAA4BAABkcnMvc2hhcGV4bWwueG1sUEsFBgAAAAAGAAYA&#10;WwEAALgDAAAAAA==&#10;">
                    <v:fill on="f" focussize="0,0"/>
                    <v:stroke weight="0.5pt" color="#000000" joinstyle="round"/>
                    <v:imagedata o:title=""/>
                    <o:lock v:ext="edit" aspectratio="f"/>
                  </v:line>
                  <v:line id="直线 641" o:spid="_x0000_s1026" o:spt="20" style="position:absolute;left:4839;top:6280;flip:x;height:649;width:103;" filled="f" stroked="t" coordsize="21600,21600" o:gfxdata="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ksMK/&#10;AAAA3QAAAA8AAAAAAAAAAQAgAAAAIgAAAGRycy9kb3ducmV2LnhtbFBLAQIUABQAAAAIAIdO4kAz&#10;LwWeOwAAADkAAAAQAAAAAAAAAAEAIAAAAA4BAABkcnMvc2hhcGV4bWwueG1sUEsFBgAAAAAGAAYA&#10;WwEAALgDAAAAAA==&#10;">
                    <v:fill on="f" focussize="0,0"/>
                    <v:stroke weight="0.5pt" color="#000000" joinstyle="round"/>
                    <v:imagedata o:title=""/>
                    <o:lock v:ext="edit" aspectratio="f"/>
                  </v:line>
                  <v:line id="直线 642" o:spid="_x0000_s1026" o:spt="20" style="position:absolute;left:5125;top:6280;flip:x;height:649;width:101;" filled="f" stroked="t" coordsize="21600,21600" o:gfxdata="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sk&#10;sMEAAADdAAAADwAAAAAAAAABACAAAAAiAAAAZHJzL2Rvd25yZXYueG1sUEsBAhQAFAAAAAgAh07i&#10;QDMvBZ47AAAAOQAAABAAAAAAAAAAAQAgAAAAEAEAAGRycy9zaGFwZXhtbC54bWxQSwUGAAAAAAYA&#10;BgBbAQAAugMAAAAA&#10;">
                    <v:fill on="f" focussize="0,0"/>
                    <v:stroke weight="0.5pt" color="#000000" joinstyle="round"/>
                    <v:imagedata o:title=""/>
                    <o:lock v:ext="edit" aspectratio="f"/>
                  </v:line>
                  <v:line id="直线 643" o:spid="_x0000_s1026" o:spt="20" style="position:absolute;left:5410;top:6280;flip:x;height:649;width:102;" filled="f" stroked="t" coordsize="21600,21600" o:gfxdata="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3gSu/&#10;AAAA3QAAAA8AAAAAAAAAAQAgAAAAIgAAAGRycy9kb3ducmV2LnhtbFBLAQIUABQAAAAIAIdO4kAz&#10;LwWeOwAAADkAAAAQAAAAAAAAAAEAIAAAAA4BAABkcnMvc2hhcGV4bWwueG1sUEsFBgAAAAAGAAYA&#10;WwEAALgDAAAAAA==&#10;">
                    <v:fill on="f" focussize="0,0"/>
                    <v:stroke weight="0.5pt" color="#000000" joinstyle="round"/>
                    <v:imagedata o:title=""/>
                    <o:lock v:ext="edit" aspectratio="f"/>
                  </v:line>
                  <v:line id="直线 644" o:spid="_x0000_s1026" o:spt="20" style="position:absolute;left:5695;top:6280;flip:x;height:649;width:102;" filled="f" stroked="t" coordsize="21600,21600" o:gfxdata="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Ytb&#10;y8EAAADdAAAADwAAAAAAAAABACAAAAAiAAAAZHJzL2Rvd25yZXYueG1sUEsBAhQAFAAAAAgAh07i&#10;QDMvBZ47AAAAOQAAABAAAAAAAAAAAQAgAAAAEAEAAGRycy9zaGFwZXhtbC54bWxQSwUGAAAAAAYA&#10;BgBbAQAAugMAAAAA&#10;">
                    <v:fill on="f" focussize="0,0"/>
                    <v:stroke weight="0.5pt" color="#000000" joinstyle="round"/>
                    <v:imagedata o:title=""/>
                    <o:lock v:ext="edit" aspectratio="f"/>
                  </v:line>
                  <v:line id="直线 645" o:spid="_x0000_s1026" o:spt="20" style="position:absolute;left:5981;top:6280;flip:x;height:649;width:101;" filled="f" stroked="t" coordsize="21600,21600" o:gfxdata="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x/5Q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46" o:spid="_x0000_s1026" o:spt="20" style="position:absolute;left:6265;top:6280;flip:x;height:649;width:102;" filled="f" stroked="t" coordsize="21600,21600" o:gfxdata="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VgJ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47" o:spid="_x0000_s1026" o:spt="20" style="position:absolute;left:6550;top:6280;flip:x;height:649;width:103;" filled="f" stroked="t" coordsize="21600,21600" o:gfxdata="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WcW8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48" o:spid="_x0000_s1026" o:spt="20" style="position:absolute;left:6835;top:6280;flip:x;height:649;width:103;" filled="f" stroked="t" coordsize="21600,21600" o:gfxdata="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F3I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49" o:spid="_x0000_s1026" o:spt="20" style="position:absolute;left:7120;top:6280;flip:x;height:649;width:103;" filled="f" stroked="t" coordsize="21600,21600" o:gfxdata="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z4U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50" o:spid="_x0000_s1026" o:spt="20" style="position:absolute;left:7406;top:6280;flip:x;height:649;width:102;" filled="f" stroked="t" coordsize="21600,21600" o:gfxdata="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S5mJL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51" o:spid="_x0000_s1026" o:spt="20" style="position:absolute;left:7691;top:6280;flip:x;height:649;width:102;" filled="f" stroked="t" coordsize="21600,21600" o:gfxdata="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mLDv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line>
                  <v:line id="直线 652" o:spid="_x0000_s1026" o:spt="20" style="position:absolute;left:7977;top:6280;flip:x;height:649;width:102;" filled="f" stroked="t" coordsize="21600,21600" o:gfxdata="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X&#10;zcEAAADdAAAADwAAAAAAAAABACAAAAAiAAAAZHJzL2Rvd25yZXYueG1sUEsBAhQAFAAAAAgAh07i&#10;QDMvBZ47AAAAOQAAABAAAAAAAAAAAQAgAAAAEAEAAGRycy9zaGFwZXhtbC54bWxQSwUGAAAAAAYA&#10;BgBbAQAAugMAAAAA&#10;">
                    <v:fill on="f" focussize="0,0"/>
                    <v:stroke weight="0.5pt" color="#000000" joinstyle="round"/>
                    <v:imagedata o:title=""/>
                    <o:lock v:ext="edit" aspectratio="f"/>
                  </v:line>
                  <v:line id="直线 653" o:spid="_x0000_s1026" o:spt="20" style="position:absolute;left:6581;top:4213;height:0;width:2336;" filled="f" stroked="t" coordsize="21600,21600" o:gfxdata="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gNNOvQAA&#10;AN0AAAAPAAAAAAAAAAEAIAAAACIAAABkcnMvZG93bnJldi54bWxQSwECFAAUAAAACACHTuJAMy8F&#10;njsAAAA5AAAAEAAAAAAAAAABACAAAAAMAQAAZHJzL3NoYXBleG1sLnhtbFBLBQYAAAAABgAGAFsB&#10;AAC2AwAAAAA=&#10;">
                    <v:fill on="f" focussize="0,0"/>
                    <v:stroke weight="0.5pt" color="#000000" joinstyle="round" dashstyle="longDashDot"/>
                    <v:imagedata o:title=""/>
                    <o:lock v:ext="edit" aspectratio="f"/>
                  </v:line>
                  <v:line id="直线 654" o:spid="_x0000_s1026" o:spt="20" style="position:absolute;left:9563;top:2269;height:0;width:756;" filled="f" stroked="t" coordsize="21600,21600" o:gfxdata="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rdKS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55" o:spid="_x0000_s1026" o:spt="20" style="position:absolute;left:9563;top:4213;height:0;width:756;" filled="f" stroked="t" coordsize="21600,21600" o:gfxdata="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7hdwm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656" o:spid="_x0000_s1026" o:spt="20" style="position:absolute;left:9563;top:6280;height:0;width:756;" filled="f" stroked="t" coordsize="21600,21600" o:gfxdata="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jPpfr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657" o:spid="_x0000_s1026" o:spt="20" style="position:absolute;left:9563;top:6926;height:0;width:756;" filled="f" stroked="t" coordsize="21600,21600" o:gfxdata="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X9M5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line>
                  <v:line id="直线 658" o:spid="_x0000_s1026" o:spt="20" style="position:absolute;left:10121;top:2269;height:1944;width:0;" filled="f" stroked="t" coordsize="21600,21600" o:gfxdata="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4d474A&#10;AADdAAAADwAAAAAAAAABACAAAAAiAAAAZHJzL2Rvd25yZXYueG1sUEsBAhQAFAAAAAgAh07iQDMv&#10;BZ47AAAAOQAAABAAAAAAAAAAAQAgAAAADQEAAGRycy9zaGFwZXhtbC54bWxQSwUGAAAAAAYABgBb&#10;AQAAtwMAAAAA&#10;">
                    <v:fill on="f" focussize="0,0"/>
                    <v:stroke weight="0.5pt" color="#000000" joinstyle="round" startarrow="classic" startarrowwidth="narrow" startarrowlength="long" endarrow="classic" endarrowwidth="narrow" endarrowlength="long"/>
                    <v:imagedata o:title=""/>
                    <o:lock v:ext="edit" aspectratio="f"/>
                  </v:line>
                  <v:line id="直线 659" o:spid="_x0000_s1026" o:spt="20" style="position:absolute;left:10121;top:4213;height:2067;width:0;" filled="f" stroked="t" coordsize="21600,21600" o:gfxdata="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krh4vQAA&#10;AN0AAAAPAAAAAAAAAAEAIAAAACIAAABkcnMvZG93bnJldi54bWxQSwECFAAUAAAACACHTuJAMy8F&#10;njsAAAA5AAAAEAAAAAAAAAABACAAAAAMAQAAZHJzL3NoYXBleG1sLnhtbFBLBQYAAAAABgAGAFsB&#10;AAC2AwAAAAA=&#10;">
                    <v:fill on="f" focussize="0,0"/>
                    <v:stroke weight="0.5pt" color="#000000" joinstyle="round" startarrow="classic" startarrowwidth="narrow" startarrowlength="long" endarrow="classic" endarrowwidth="narrow" endarrowlength="long"/>
                    <v:imagedata o:title=""/>
                    <o:lock v:ext="edit" aspectratio="f"/>
                  </v:line>
                  <v:line id="直线 660" o:spid="_x0000_s1026" o:spt="20" style="position:absolute;left:10121;top:6280;height:649;width:0;" filled="f" stroked="t" coordsize="21600,21600" o:gfxdata="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CYPvQAA&#10;AN0AAAAPAAAAAAAAAAEAIAAAACIAAABkcnMvZG93bnJldi54bWxQSwECFAAUAAAACACHTuJAMy8F&#10;njsAAAA5AAAAEAAAAAAAAAABACAAAAAMAQAAZHJzL3NoYXBleG1sLnhtbFBLBQYAAAAABgAGAFsB&#10;AAC2AwAAAAA=&#10;">
                    <v:fill on="f" focussize="0,0"/>
                    <v:stroke weight="0.5pt" color="#000000" joinstyle="round" startarrow="classic" startarrowwidth="narrow" startarrowlength="long" endarrow="classic" endarrowwidth="narrow" endarrowlength="long"/>
                    <v:imagedata o:title=""/>
                    <o:lock v:ext="edit" aspectratio="f"/>
                  </v:line>
                  <v:line id="直线 661" o:spid="_x0000_s1026" o:spt="20" style="position:absolute;left:8608;top:5372;flip:x y;height:628;width:267;" filled="f" stroked="t" coordsize="21600,21600" o:gfxdata="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NeOtLsAAADd&#10;AAAADwAAAAAAAAABACAAAAAiAAAAZHJzL2Rvd25yZXYueG1sUEsBAhQAFAAAAAgAh07iQDMvBZ47&#10;AAAAOQAAABAAAAAAAAAAAQAgAAAACgEAAGRycy9zaGFwZXhtbC54bWxQSwUGAAAAAAYABgBbAQAA&#10;tAMAAAAA&#10;">
                    <v:fill on="f" focussize="0,0"/>
                    <v:stroke weight="0.5pt" color="#000000" joinstyle="round" endarrow="classic" endarrowwidth="narrow" endarrowlength="long"/>
                    <v:imagedata o:title=""/>
                    <o:lock v:ext="edit" aspectratio="f"/>
                  </v:line>
                  <v:line id="直线 662" o:spid="_x0000_s1026" o:spt="20" style="position:absolute;left:8875;top:6000;height:0;width:700;" filled="f" stroked="t" coordsize="21600,21600" o:gfxdata="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296U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663" o:spid="_x0000_s1026" o:spt="20" style="position:absolute;left:6636;top:3892;flip:x y;height:321;width:302;" filled="f" stroked="t" coordsize="21600,21600" o:gfxdata="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YEv125AAAA3QAA&#10;AA8AAAAAAAAAAQAgAAAAIgAAAGRycy9kb3ducmV2LnhtbFBLAQIUABQAAAAIAIdO4kAzLwWeOwAA&#10;ADkAAAAQAAAAAAAAAAEAIAAAAAgBAABkcnMvc2hhcGV4bWwueG1sUEsFBgAAAAAGAAYAWwEAALID&#10;AAAAAA==&#10;">
                    <v:fill on="f" focussize="0,0"/>
                    <v:stroke weight="0.5pt" color="#000000" joinstyle="round" endarrow="classic" endarrowwidth="narrow" endarrowlength="long"/>
                    <v:imagedata o:title=""/>
                    <o:lock v:ext="edit" aspectratio="f"/>
                  </v:line>
                  <v:line id="直线 664" o:spid="_x0000_s1026" o:spt="20" style="position:absolute;left:3614;top:5954;flip:x y;height:326;width:370;" filled="f" stroked="t" coordsize="21600,21600" o:gfxdata="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Utx9vQAA&#10;AN0AAAAPAAAAAAAAAAEAIAAAACIAAABkcnMvZG93bnJldi54bWxQSwECFAAUAAAACACHTuJAMy8F&#10;njsAAAA5AAAAEAAAAAAAAAABACAAAAAMAQAAZHJzL3NoYXBleG1sLnhtbFBLBQYAAAAABgAGAFsB&#10;AAC2AwAAAAA=&#10;">
                    <v:fill on="f" focussize="0,0"/>
                    <v:stroke weight="0.5pt" color="#000000" joinstyle="round" endarrow="classic" endarrowwidth="narrow" endarrowlength="long"/>
                    <v:imagedata o:title=""/>
                    <o:lock v:ext="edit" aspectratio="f"/>
                  </v:line>
                  <v:line id="直线 665" o:spid="_x0000_s1026" o:spt="20" style="position:absolute;left:2774;top:6601;flip:x y;height:329;width:370;" filled="f" stroked="t" coordsize="21600,21600" o:gfxdata="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h555rsAAADd&#10;AAAADwAAAAAAAAABACAAAAAiAAAAZHJzL2Rvd25yZXYueG1sUEsBAhQAFAAAAAgAh07iQDMvBZ47&#10;AAAAOQAAABAAAAAAAAAAAQAgAAAACgEAAGRycy9zaGFwZXhtbC54bWxQSwUGAAAAAAYABgBbAQAA&#10;tAMAAAAA&#10;">
                    <v:fill on="f" focussize="0,0"/>
                    <v:stroke weight="0.5pt" color="#000000" joinstyle="round" endarrow="classic" endarrowwidth="narrow" endarrowlength="long"/>
                    <v:imagedata o:title=""/>
                    <o:lock v:ext="edit" aspectratio="f"/>
                  </v:line>
                  <v:shape id="任意多边形 666" o:spid="_x0000_s1026" o:spt="100" style="position:absolute;left:2281;top:4213;height:3080;width:1953;" filled="f" stroked="t" coordsize="2160,2546" o:gfxdata="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w9hy8AAAA&#10;3QAAAA8AAAAAAAAAAQAgAAAAIgAAAGRycy9kb3ducmV2LnhtbFBLAQIUABQAAAAIAIdO4kAzLwWe&#10;OwAAADkAAAAQAAAAAAAAAAEAIAAAAAsBAABkcnMvc2hhcGV4bWwueG1sUEsFBgAAAAAGAAYAWwEA&#10;ALUDAAAAAA==&#10;" path="m0,2546c17,2540,37,2540,51,2529c82,2505,134,2445,134,2445c140,2428,142,2410,151,2395c159,2381,177,2375,184,2361c200,2330,207,2294,218,2261c238,2202,288,2193,335,2177c369,2077,324,2166,402,2110c541,2010,406,2064,519,2026c605,1942,494,2041,603,1976c634,1958,657,1929,687,1909c748,1817,685,1890,771,1842c966,1733,775,1807,971,1742c1005,1731,1038,1719,1072,1708c1089,1703,1122,1692,1122,1692c1139,1681,1154,1666,1172,1658c1204,1644,1273,1625,1273,1625c1284,1614,1292,1598,1306,1591c1338,1575,1407,1558,1407,1558c1445,1519,1452,1479,1491,1440c1496,1423,1498,1405,1507,1390c1515,1376,1534,1371,1541,1357c1551,1336,1550,1312,1557,1290c1601,1143,1589,1227,1624,1055c1661,872,1706,693,1775,520c1785,496,1813,407,1825,369c1858,265,1973,175,2060,118c2087,36,2058,90,2127,34c2139,24,2160,0,2160,0e">
                    <v:fill on="f" focussize="0,0"/>
                    <v:stroke weight="0.5pt" color="#000000" joinstyle="round"/>
                    <v:imagedata o:title=""/>
                    <o:lock v:ext="edit" aspectratio="f"/>
                  </v:shape>
                </v:group>
              </v:group>
            </w:pict>
          </mc:Fallback>
        </mc:AlternateContent>
      </w:r>
    </w:p>
    <w:p w14:paraId="35191953">
      <w:pPr>
        <w:pStyle w:val="178"/>
        <w:rPr>
          <w:rFonts w:hint="default" w:cs="Times New Roman" w:asciiTheme="minorEastAsia" w:hAnsiTheme="minorEastAsia" w:eastAsiaTheme="minorEastAsia"/>
          <w:szCs w:val="24"/>
          <w:highlight w:val="none"/>
          <w:lang w:val="en-US" w:eastAsia="zh-CN"/>
        </w:rPr>
      </w:pPr>
    </w:p>
    <w:p w14:paraId="08CDC3A5">
      <w:pPr>
        <w:pStyle w:val="178"/>
        <w:rPr>
          <w:rFonts w:hint="default" w:cs="Times New Roman" w:asciiTheme="minorEastAsia" w:hAnsiTheme="minorEastAsia" w:eastAsiaTheme="minorEastAsia"/>
          <w:szCs w:val="24"/>
          <w:highlight w:val="none"/>
          <w:lang w:val="en-US" w:eastAsia="zh-CN"/>
        </w:rPr>
      </w:pPr>
    </w:p>
    <w:p w14:paraId="079B6B89">
      <w:pPr>
        <w:pStyle w:val="178"/>
        <w:rPr>
          <w:rFonts w:hint="default" w:cs="Times New Roman" w:asciiTheme="minorEastAsia" w:hAnsiTheme="minorEastAsia" w:eastAsiaTheme="minorEastAsia"/>
          <w:szCs w:val="24"/>
          <w:highlight w:val="none"/>
          <w:lang w:val="en-US" w:eastAsia="zh-CN"/>
        </w:rPr>
      </w:pPr>
    </w:p>
    <w:p w14:paraId="0CA5565D">
      <w:pPr>
        <w:pStyle w:val="178"/>
        <w:rPr>
          <w:rFonts w:hint="eastAsia" w:cs="Times New Roman" w:asciiTheme="minorEastAsia" w:hAnsiTheme="minorEastAsia" w:eastAsiaTheme="minorEastAsia"/>
          <w:szCs w:val="24"/>
          <w:highlight w:val="none"/>
          <w:lang w:val="en-US" w:eastAsia="zh-CN"/>
        </w:rPr>
      </w:pPr>
    </w:p>
    <w:p w14:paraId="53D905FD">
      <w:pPr>
        <w:pStyle w:val="178"/>
        <w:rPr>
          <w:rFonts w:hint="eastAsia" w:cs="Times New Roman" w:asciiTheme="minorEastAsia" w:hAnsiTheme="minorEastAsia" w:eastAsiaTheme="minorEastAsia"/>
          <w:szCs w:val="24"/>
          <w:highlight w:val="none"/>
          <w:lang w:val="en-US" w:eastAsia="zh-CN"/>
        </w:rPr>
      </w:pPr>
    </w:p>
    <w:p w14:paraId="391E600B">
      <w:pPr>
        <w:pStyle w:val="178"/>
        <w:rPr>
          <w:rFonts w:hint="eastAsia" w:cs="Times New Roman" w:asciiTheme="minorEastAsia" w:hAnsiTheme="minorEastAsia" w:eastAsiaTheme="minorEastAsia"/>
          <w:szCs w:val="24"/>
          <w:highlight w:val="none"/>
          <w:lang w:val="en-US" w:eastAsia="zh-CN"/>
        </w:rPr>
      </w:pPr>
    </w:p>
    <w:p w14:paraId="7E8F3CDD">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图8.13  半路堑横向爆破炮孔横断面布置图</w:t>
      </w:r>
    </w:p>
    <w:p w14:paraId="5019D61E">
      <w:pPr>
        <w:pStyle w:val="29"/>
        <w:spacing w:line="480" w:lineRule="exact"/>
        <w:jc w:val="center"/>
        <w:rPr>
          <w:rFonts w:hint="eastAsia" w:ascii="黑体" w:hAnsi="黑体" w:eastAsia="黑体" w:cs="黑体"/>
          <w:b/>
          <w:bCs/>
          <w:sz w:val="21"/>
          <w:szCs w:val="21"/>
          <w:highlight w:val="none"/>
          <w:lang w:val="en-US" w:eastAsia="zh-CN"/>
        </w:rPr>
      </w:pPr>
    </w:p>
    <w:p w14:paraId="7CDADB87">
      <w:pPr>
        <w:pStyle w:val="29"/>
        <w:spacing w:line="480" w:lineRule="exact"/>
        <w:jc w:val="center"/>
        <w:rPr>
          <w:rFonts w:hint="eastAsia" w:ascii="黑体" w:hAnsi="黑体" w:eastAsia="黑体" w:cs="黑体"/>
          <w:b/>
          <w:bCs/>
          <w:sz w:val="21"/>
          <w:szCs w:val="21"/>
          <w:highlight w:val="none"/>
          <w:lang w:val="en-US" w:eastAsia="zh-CN"/>
        </w:rPr>
      </w:pPr>
    </w:p>
    <w:p w14:paraId="722B6388">
      <w:pPr>
        <w:pStyle w:val="29"/>
        <w:spacing w:line="480" w:lineRule="exact"/>
        <w:jc w:val="center"/>
        <w:rPr>
          <w:rFonts w:hint="eastAsia" w:ascii="黑体" w:hAnsi="黑体" w:eastAsia="黑体" w:cs="黑体"/>
          <w:b/>
          <w:bCs/>
          <w:sz w:val="21"/>
          <w:szCs w:val="21"/>
          <w:highlight w:val="none"/>
          <w:lang w:val="en-US" w:eastAsia="zh-CN"/>
        </w:rPr>
      </w:pPr>
    </w:p>
    <w:p w14:paraId="423156ED">
      <w:pPr>
        <w:pStyle w:val="29"/>
        <w:spacing w:line="480" w:lineRule="exact"/>
        <w:jc w:val="center"/>
        <w:rPr>
          <w:rFonts w:hint="eastAsia" w:ascii="黑体" w:hAnsi="黑体" w:eastAsia="黑体" w:cs="黑体"/>
          <w:b/>
          <w:bCs/>
          <w:sz w:val="21"/>
          <w:szCs w:val="21"/>
          <w:highlight w:val="none"/>
          <w:lang w:val="en-US" w:eastAsia="zh-CN"/>
        </w:rPr>
      </w:pPr>
    </w:p>
    <w:p w14:paraId="338A3AA6">
      <w:pPr>
        <w:pStyle w:val="178"/>
        <w:ind w:left="0" w:leftChars="0" w:firstLine="0" w:firstLineChars="0"/>
        <w:rPr>
          <w:rFonts w:hint="default" w:cs="Times New Roman" w:asciiTheme="minorEastAsia" w:hAnsiTheme="minorEastAsia" w:eastAsiaTheme="minorEastAsia"/>
          <w:szCs w:val="24"/>
          <w:highlight w:val="none"/>
          <w:lang w:val="en-US" w:eastAsia="zh-CN"/>
        </w:rPr>
      </w:pPr>
    </w:p>
    <w:p w14:paraId="2EE549EB">
      <w:pPr>
        <w:pStyle w:val="178"/>
        <w:ind w:left="0" w:leftChars="0" w:firstLine="0" w:firstLineChars="0"/>
        <w:rPr>
          <w:rFonts w:hint="default"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mc:AlternateContent>
          <mc:Choice Requires="wpg">
            <w:drawing>
              <wp:anchor distT="0" distB="0" distL="114300" distR="114300" simplePos="0" relativeHeight="251689984" behindDoc="0" locked="0" layoutInCell="1" allowOverlap="1">
                <wp:simplePos x="0" y="0"/>
                <wp:positionH relativeFrom="column">
                  <wp:posOffset>353695</wp:posOffset>
                </wp:positionH>
                <wp:positionV relativeFrom="paragraph">
                  <wp:posOffset>3810</wp:posOffset>
                </wp:positionV>
                <wp:extent cx="4537075" cy="2340610"/>
                <wp:effectExtent l="0" t="0" r="4445" b="6350"/>
                <wp:wrapNone/>
                <wp:docPr id="2568" name="组合 667"/>
                <wp:cNvGraphicFramePr/>
                <a:graphic xmlns:a="http://schemas.openxmlformats.org/drawingml/2006/main">
                  <a:graphicData uri="http://schemas.microsoft.com/office/word/2010/wordprocessingGroup">
                    <wpg:wgp>
                      <wpg:cNvGrpSpPr/>
                      <wpg:grpSpPr>
                        <a:xfrm>
                          <a:off x="1362075" y="1021080"/>
                          <a:ext cx="4537075" cy="2340610"/>
                          <a:chOff x="2370" y="8770"/>
                          <a:chExt cx="7210" cy="5010"/>
                        </a:xfrm>
                        <a:effectLst/>
                      </wpg:grpSpPr>
                      <wps:wsp>
                        <wps:cNvPr id="2429" name="文本框 668"/>
                        <wps:cNvSpPr txBox="1"/>
                        <wps:spPr>
                          <a:xfrm>
                            <a:off x="6226" y="12533"/>
                            <a:ext cx="941" cy="417"/>
                          </a:xfrm>
                          <a:prstGeom prst="rect">
                            <a:avLst/>
                          </a:prstGeom>
                          <a:noFill/>
                          <a:ln w="6350">
                            <a:noFill/>
                          </a:ln>
                          <a:effectLst/>
                        </wps:spPr>
                        <wps:txbx>
                          <w:txbxContent>
                            <w:p w14:paraId="6979B144">
                              <w:pPr>
                                <w:pStyle w:val="120"/>
                                <w:spacing w:line="300" w:lineRule="exact"/>
                                <w:rPr>
                                  <w:rFonts w:ascii="仿宋_GB2312" w:hAnsi="Times New Roman" w:eastAsia="仿宋_GB2312"/>
                                  <w:szCs w:val="24"/>
                                </w:rPr>
                              </w:pPr>
                              <w:r>
                                <w:rPr>
                                  <w:rFonts w:ascii="仿宋_GB2312" w:hAnsi="Times New Roman" w:eastAsia="仿宋_GB2312"/>
                                  <w:szCs w:val="24"/>
                                </w:rPr>
                                <w:t>a=3b</w:t>
                              </w:r>
                            </w:p>
                          </w:txbxContent>
                        </wps:txbx>
                        <wps:bodyPr lIns="0" tIns="0" rIns="0" bIns="0" upright="1"/>
                      </wps:wsp>
                      <wps:wsp>
                        <wps:cNvPr id="2430" name="文本框 669"/>
                        <wps:cNvSpPr txBox="1"/>
                        <wps:spPr>
                          <a:xfrm>
                            <a:off x="4713" y="12533"/>
                            <a:ext cx="941" cy="417"/>
                          </a:xfrm>
                          <a:prstGeom prst="rect">
                            <a:avLst/>
                          </a:prstGeom>
                          <a:noFill/>
                          <a:ln w="6350">
                            <a:noFill/>
                          </a:ln>
                          <a:effectLst/>
                        </wps:spPr>
                        <wps:txbx>
                          <w:txbxContent>
                            <w:p w14:paraId="48125E8A">
                              <w:pPr>
                                <w:pStyle w:val="120"/>
                                <w:spacing w:line="300" w:lineRule="exact"/>
                                <w:rPr>
                                  <w:rFonts w:ascii="仿宋_GB2312" w:hAnsi="Times New Roman" w:eastAsia="仿宋_GB2312"/>
                                  <w:szCs w:val="24"/>
                                </w:rPr>
                              </w:pPr>
                              <w:r>
                                <w:rPr>
                                  <w:rFonts w:ascii="仿宋_GB2312" w:hAnsi="Times New Roman" w:eastAsia="仿宋_GB2312"/>
                                  <w:szCs w:val="24"/>
                                </w:rPr>
                                <w:t>a=3b</w:t>
                              </w:r>
                            </w:p>
                          </w:txbxContent>
                        </wps:txbx>
                        <wps:bodyPr lIns="0" tIns="0" rIns="0" bIns="0" upright="1"/>
                      </wps:wsp>
                      <wps:wsp>
                        <wps:cNvPr id="2431" name="文本框 670"/>
                        <wps:cNvSpPr txBox="1"/>
                        <wps:spPr>
                          <a:xfrm>
                            <a:off x="8937" y="9326"/>
                            <a:ext cx="596" cy="417"/>
                          </a:xfrm>
                          <a:prstGeom prst="rect">
                            <a:avLst/>
                          </a:prstGeom>
                          <a:noFill/>
                          <a:ln w="6350">
                            <a:noFill/>
                          </a:ln>
                          <a:effectLst/>
                        </wps:spPr>
                        <wps:txbx>
                          <w:txbxContent>
                            <w:p w14:paraId="79706983">
                              <w:pPr>
                                <w:spacing w:line="280" w:lineRule="exact"/>
                                <w:jc w:val="center"/>
                              </w:pPr>
                              <w:r>
                                <w:rPr>
                                  <w:rFonts w:ascii="仿宋_GB2312"/>
                                </w:rPr>
                                <w:t>1.2a</w:t>
                              </w:r>
                              <w:r>
                                <w:rPr>
                                  <w:rFonts w:hint="eastAsia" w:hAnsi="宋体"/>
                                </w:rPr>
                                <w:t>′</w:t>
                              </w:r>
                            </w:p>
                          </w:txbxContent>
                        </wps:txbx>
                        <wps:bodyPr lIns="0" tIns="0" rIns="0" bIns="0" upright="1"/>
                      </wps:wsp>
                      <wps:wsp>
                        <wps:cNvPr id="2432" name="文本框 671"/>
                        <wps:cNvSpPr txBox="1"/>
                        <wps:spPr>
                          <a:xfrm>
                            <a:off x="7376" y="8770"/>
                            <a:ext cx="416" cy="416"/>
                          </a:xfrm>
                          <a:prstGeom prst="rect">
                            <a:avLst/>
                          </a:prstGeom>
                          <a:noFill/>
                          <a:ln w="6350">
                            <a:noFill/>
                          </a:ln>
                          <a:effectLst/>
                        </wps:spPr>
                        <wps:txbx>
                          <w:txbxContent>
                            <w:p w14:paraId="702476B7">
                              <w:pPr>
                                <w:pStyle w:val="120"/>
                                <w:spacing w:line="240" w:lineRule="exact"/>
                                <w:jc w:val="both"/>
                                <w:rPr>
                                  <w:rFonts w:ascii="仿宋_GB2312" w:hAnsi="Times New Roman" w:eastAsia="仿宋_GB2312"/>
                                  <w:szCs w:val="24"/>
                                </w:rPr>
                              </w:pPr>
                              <w:r>
                                <w:rPr>
                                  <w:rFonts w:ascii="仿宋_GB2312" w:hAnsi="Times New Roman" w:eastAsia="仿宋_GB2312"/>
                                  <w:szCs w:val="24"/>
                                </w:rPr>
                                <w:t>a</w:t>
                              </w:r>
                            </w:p>
                          </w:txbxContent>
                        </wps:txbx>
                        <wps:bodyPr lIns="0" tIns="0" rIns="0" bIns="0" upright="1"/>
                      </wps:wsp>
                      <wps:wsp>
                        <wps:cNvPr id="2433" name="文本框 672"/>
                        <wps:cNvSpPr txBox="1"/>
                        <wps:spPr>
                          <a:xfrm>
                            <a:off x="6064" y="11928"/>
                            <a:ext cx="276" cy="417"/>
                          </a:xfrm>
                          <a:prstGeom prst="rect">
                            <a:avLst/>
                          </a:prstGeom>
                          <a:noFill/>
                          <a:ln w="6350">
                            <a:noFill/>
                          </a:ln>
                          <a:effectLst/>
                        </wps:spPr>
                        <wps:txbx>
                          <w:txbxContent>
                            <w:p w14:paraId="265AE6D9">
                              <w:pPr>
                                <w:jc w:val="right"/>
                                <w:rPr>
                                  <w:rFonts w:ascii="仿宋_GB2312"/>
                                </w:rPr>
                              </w:pPr>
                              <w:r>
                                <w:rPr>
                                  <w:rFonts w:ascii="仿宋_GB2312"/>
                                </w:rPr>
                                <w:t>b</w:t>
                              </w:r>
                            </w:p>
                          </w:txbxContent>
                        </wps:txbx>
                        <wps:bodyPr lIns="0" tIns="0" rIns="0" bIns="0" upright="1"/>
                      </wps:wsp>
                      <wps:wsp>
                        <wps:cNvPr id="2434" name="文本框 673"/>
                        <wps:cNvSpPr txBox="1"/>
                        <wps:spPr>
                          <a:xfrm>
                            <a:off x="5116" y="11928"/>
                            <a:ext cx="276" cy="417"/>
                          </a:xfrm>
                          <a:prstGeom prst="rect">
                            <a:avLst/>
                          </a:prstGeom>
                          <a:noFill/>
                          <a:ln w="6350">
                            <a:noFill/>
                          </a:ln>
                          <a:effectLst/>
                        </wps:spPr>
                        <wps:txbx>
                          <w:txbxContent>
                            <w:p w14:paraId="1CC005B4">
                              <w:pPr>
                                <w:jc w:val="right"/>
                                <w:rPr>
                                  <w:rFonts w:ascii="仿宋_GB2312"/>
                                </w:rPr>
                              </w:pPr>
                              <w:r>
                                <w:rPr>
                                  <w:rFonts w:ascii="仿宋_GB2312"/>
                                </w:rPr>
                                <w:t>b</w:t>
                              </w:r>
                            </w:p>
                          </w:txbxContent>
                        </wps:txbx>
                        <wps:bodyPr lIns="0" tIns="0" rIns="0" bIns="0" upright="1"/>
                      </wps:wsp>
                      <wps:wsp>
                        <wps:cNvPr id="2435" name="文本框 674"/>
                        <wps:cNvSpPr txBox="1"/>
                        <wps:spPr>
                          <a:xfrm>
                            <a:off x="2822" y="12576"/>
                            <a:ext cx="277" cy="416"/>
                          </a:xfrm>
                          <a:prstGeom prst="rect">
                            <a:avLst/>
                          </a:prstGeom>
                          <a:noFill/>
                          <a:ln w="6350">
                            <a:noFill/>
                          </a:ln>
                          <a:effectLst/>
                        </wps:spPr>
                        <wps:txbx>
                          <w:txbxContent>
                            <w:p w14:paraId="380F8E21">
                              <w:pPr>
                                <w:spacing w:line="240" w:lineRule="exact"/>
                                <w:jc w:val="center"/>
                                <w:rPr>
                                  <w:rFonts w:ascii="仿宋_GB2312"/>
                                </w:rPr>
                              </w:pPr>
                              <w:r>
                                <w:rPr>
                                  <w:rFonts w:ascii="仿宋_GB2312"/>
                                </w:rPr>
                                <w:t>w</w:t>
                              </w:r>
                              <w:r>
                                <w:rPr>
                                  <w:rFonts w:ascii="仿宋_GB2312"/>
                                  <w:vertAlign w:val="subscript"/>
                                </w:rPr>
                                <w:t>1</w:t>
                              </w:r>
                            </w:p>
                          </w:txbxContent>
                        </wps:txbx>
                        <wps:bodyPr lIns="0" tIns="0" rIns="0" bIns="0" upright="1"/>
                      </wps:wsp>
                      <wps:wsp>
                        <wps:cNvPr id="2436" name="椭圆 675"/>
                        <wps:cNvSpPr/>
                        <wps:spPr>
                          <a:xfrm>
                            <a:off x="2785"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37" name="椭圆 676"/>
                        <wps:cNvSpPr/>
                        <wps:spPr>
                          <a:xfrm>
                            <a:off x="3023"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38" name="椭圆 677"/>
                        <wps:cNvSpPr/>
                        <wps:spPr>
                          <a:xfrm>
                            <a:off x="3498"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39" name="椭圆 678"/>
                        <wps:cNvSpPr/>
                        <wps:spPr>
                          <a:xfrm>
                            <a:off x="3973"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40" name="椭圆 679"/>
                        <wps:cNvSpPr/>
                        <wps:spPr>
                          <a:xfrm>
                            <a:off x="4449"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1" name="椭圆 680"/>
                        <wps:cNvSpPr/>
                        <wps:spPr>
                          <a:xfrm>
                            <a:off x="4925"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2" name="椭圆 681"/>
                        <wps:cNvSpPr/>
                        <wps:spPr>
                          <a:xfrm>
                            <a:off x="5400"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3" name="椭圆 682"/>
                        <wps:cNvSpPr/>
                        <wps:spPr>
                          <a:xfrm>
                            <a:off x="5875"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44" name="椭圆 683"/>
                        <wps:cNvSpPr/>
                        <wps:spPr>
                          <a:xfrm>
                            <a:off x="6351"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5" name="椭圆 684"/>
                        <wps:cNvSpPr/>
                        <wps:spPr>
                          <a:xfrm>
                            <a:off x="6826"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6" name="椭圆 685"/>
                        <wps:cNvSpPr/>
                        <wps:spPr>
                          <a:xfrm>
                            <a:off x="7302"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7" name="椭圆 686"/>
                        <wps:cNvSpPr/>
                        <wps:spPr>
                          <a:xfrm>
                            <a:off x="7539"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48" name="椭圆 687"/>
                        <wps:cNvSpPr/>
                        <wps:spPr>
                          <a:xfrm>
                            <a:off x="7778"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49" name="椭圆 688"/>
                        <wps:cNvSpPr/>
                        <wps:spPr>
                          <a:xfrm>
                            <a:off x="8015"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0" name="椭圆 689"/>
                        <wps:cNvSpPr/>
                        <wps:spPr>
                          <a:xfrm>
                            <a:off x="8252"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51" name="椭圆 690"/>
                        <wps:cNvSpPr/>
                        <wps:spPr>
                          <a:xfrm>
                            <a:off x="8491"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2" name="椭圆 691"/>
                        <wps:cNvSpPr/>
                        <wps:spPr>
                          <a:xfrm>
                            <a:off x="8728"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3" name="椭圆 692"/>
                        <wps:cNvSpPr/>
                        <wps:spPr>
                          <a:xfrm>
                            <a:off x="8966"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4" name="椭圆 693"/>
                        <wps:cNvSpPr/>
                        <wps:spPr>
                          <a:xfrm>
                            <a:off x="3260"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5" name="椭圆 694"/>
                        <wps:cNvSpPr/>
                        <wps:spPr>
                          <a:xfrm>
                            <a:off x="3736"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6" name="椭圆 695"/>
                        <wps:cNvSpPr/>
                        <wps:spPr>
                          <a:xfrm>
                            <a:off x="4212"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7" name="椭圆 696"/>
                        <wps:cNvSpPr/>
                        <wps:spPr>
                          <a:xfrm>
                            <a:off x="4687"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58" name="椭圆 697"/>
                        <wps:cNvSpPr/>
                        <wps:spPr>
                          <a:xfrm>
                            <a:off x="5162"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59" name="椭圆 698"/>
                        <wps:cNvSpPr/>
                        <wps:spPr>
                          <a:xfrm>
                            <a:off x="5638"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60" name="椭圆 699"/>
                        <wps:cNvSpPr/>
                        <wps:spPr>
                          <a:xfrm>
                            <a:off x="6113"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61" name="椭圆 700"/>
                        <wps:cNvSpPr/>
                        <wps:spPr>
                          <a:xfrm>
                            <a:off x="6589"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62" name="椭圆 701"/>
                        <wps:cNvSpPr/>
                        <wps:spPr>
                          <a:xfrm>
                            <a:off x="7064" y="9250"/>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63" name="椭圆 702"/>
                        <wps:cNvSpPr/>
                        <wps:spPr>
                          <a:xfrm>
                            <a:off x="9204" y="9250"/>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70" name="直线 703"/>
                        <wps:cNvCnPr/>
                        <wps:spPr>
                          <a:xfrm>
                            <a:off x="2370" y="9309"/>
                            <a:ext cx="7210" cy="0"/>
                          </a:xfrm>
                          <a:prstGeom prst="line">
                            <a:avLst/>
                          </a:prstGeom>
                          <a:ln w="6350" cap="flat" cmpd="sng">
                            <a:solidFill>
                              <a:srgbClr val="000000"/>
                            </a:solidFill>
                            <a:prstDash val="solid"/>
                            <a:headEnd type="none" w="med" len="med"/>
                            <a:tailEnd type="none" w="med" len="med"/>
                          </a:ln>
                          <a:effectLst/>
                        </wps:spPr>
                        <wps:bodyPr upright="1"/>
                      </wps:wsp>
                      <wps:wsp>
                        <wps:cNvPr id="2477" name="椭圆 704"/>
                        <wps:cNvSpPr/>
                        <wps:spPr>
                          <a:xfrm>
                            <a:off x="3046" y="9813"/>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78" name="椭圆 705"/>
                        <wps:cNvSpPr/>
                        <wps:spPr>
                          <a:xfrm>
                            <a:off x="3738" y="9597"/>
                            <a:ext cx="113" cy="125"/>
                          </a:xfrm>
                          <a:prstGeom prst="ellipse">
                            <a:avLst/>
                          </a:prstGeom>
                          <a:noFill/>
                          <a:ln w="6350" cap="flat" cmpd="sng">
                            <a:solidFill>
                              <a:srgbClr val="000000"/>
                            </a:solidFill>
                            <a:prstDash val="solid"/>
                            <a:headEnd type="none" w="med" len="med"/>
                            <a:tailEnd type="none" w="med" len="med"/>
                          </a:ln>
                          <a:effectLst/>
                        </wps:spPr>
                        <wps:bodyPr upright="1"/>
                      </wps:wsp>
                      <wps:wsp>
                        <wps:cNvPr id="2479" name="椭圆 706"/>
                        <wps:cNvSpPr/>
                        <wps:spPr>
                          <a:xfrm>
                            <a:off x="4441" y="9813"/>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82" name="椭圆 707"/>
                        <wps:cNvSpPr/>
                        <wps:spPr>
                          <a:xfrm>
                            <a:off x="5176" y="9597"/>
                            <a:ext cx="113" cy="125"/>
                          </a:xfrm>
                          <a:prstGeom prst="ellipse">
                            <a:avLst/>
                          </a:prstGeom>
                          <a:noFill/>
                          <a:ln w="6350" cap="flat" cmpd="sng">
                            <a:solidFill>
                              <a:srgbClr val="000000"/>
                            </a:solidFill>
                            <a:prstDash val="solid"/>
                            <a:headEnd type="none" w="med" len="med"/>
                            <a:tailEnd type="none" w="med" len="med"/>
                          </a:ln>
                          <a:effectLst/>
                        </wps:spPr>
                        <wps:bodyPr upright="1"/>
                      </wps:wsp>
                      <wps:wsp>
                        <wps:cNvPr id="2483" name="椭圆 708"/>
                        <wps:cNvSpPr/>
                        <wps:spPr>
                          <a:xfrm>
                            <a:off x="5881" y="9813"/>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89" name="椭圆 709"/>
                        <wps:cNvSpPr/>
                        <wps:spPr>
                          <a:xfrm>
                            <a:off x="6601" y="9597"/>
                            <a:ext cx="114" cy="125"/>
                          </a:xfrm>
                          <a:prstGeom prst="ellipse">
                            <a:avLst/>
                          </a:prstGeom>
                          <a:noFill/>
                          <a:ln w="6350" cap="flat" cmpd="sng">
                            <a:solidFill>
                              <a:srgbClr val="000000"/>
                            </a:solidFill>
                            <a:prstDash val="solid"/>
                            <a:headEnd type="none" w="med" len="med"/>
                            <a:tailEnd type="none" w="med" len="med"/>
                          </a:ln>
                          <a:effectLst/>
                        </wps:spPr>
                        <wps:bodyPr upright="1"/>
                      </wps:wsp>
                      <wps:wsp>
                        <wps:cNvPr id="2491" name="椭圆 710"/>
                        <wps:cNvSpPr/>
                        <wps:spPr>
                          <a:xfrm>
                            <a:off x="7321" y="9813"/>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92" name="椭圆 711"/>
                        <wps:cNvSpPr/>
                        <wps:spPr>
                          <a:xfrm>
                            <a:off x="8041" y="9597"/>
                            <a:ext cx="113" cy="125"/>
                          </a:xfrm>
                          <a:prstGeom prst="ellipse">
                            <a:avLst/>
                          </a:prstGeom>
                          <a:noFill/>
                          <a:ln w="6350" cap="flat" cmpd="sng">
                            <a:solidFill>
                              <a:srgbClr val="000000"/>
                            </a:solidFill>
                            <a:prstDash val="solid"/>
                            <a:headEnd type="none" w="med" len="med"/>
                            <a:tailEnd type="none" w="med" len="med"/>
                          </a:ln>
                          <a:effectLst/>
                        </wps:spPr>
                        <wps:bodyPr upright="1"/>
                      </wps:wsp>
                      <wps:wsp>
                        <wps:cNvPr id="2493" name="椭圆 712"/>
                        <wps:cNvSpPr/>
                        <wps:spPr>
                          <a:xfrm>
                            <a:off x="8747" y="9813"/>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94" name="椭圆 713"/>
                        <wps:cNvSpPr/>
                        <wps:spPr>
                          <a:xfrm>
                            <a:off x="3046" y="11068"/>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496" name="椭圆 714"/>
                        <wps:cNvSpPr/>
                        <wps:spPr>
                          <a:xfrm>
                            <a:off x="4429" y="11052"/>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97" name="椭圆 715"/>
                        <wps:cNvSpPr/>
                        <wps:spPr>
                          <a:xfrm>
                            <a:off x="5869" y="11052"/>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98" name="椭圆 716"/>
                        <wps:cNvSpPr/>
                        <wps:spPr>
                          <a:xfrm>
                            <a:off x="7309" y="11052"/>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499" name="椭圆 717"/>
                        <wps:cNvSpPr/>
                        <wps:spPr>
                          <a:xfrm>
                            <a:off x="8734" y="11052"/>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500" name="椭圆 718"/>
                        <wps:cNvSpPr/>
                        <wps:spPr>
                          <a:xfrm>
                            <a:off x="3735" y="1043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01" name="椭圆 719"/>
                        <wps:cNvSpPr/>
                        <wps:spPr>
                          <a:xfrm>
                            <a:off x="5173" y="1043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02" name="椭圆 720"/>
                        <wps:cNvSpPr/>
                        <wps:spPr>
                          <a:xfrm>
                            <a:off x="6599" y="1043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03" name="椭圆 721"/>
                        <wps:cNvSpPr/>
                        <wps:spPr>
                          <a:xfrm>
                            <a:off x="8039" y="1043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04" name="椭圆 722"/>
                        <wps:cNvSpPr/>
                        <wps:spPr>
                          <a:xfrm>
                            <a:off x="3738" y="11697"/>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505" name="椭圆 723"/>
                        <wps:cNvSpPr/>
                        <wps:spPr>
                          <a:xfrm>
                            <a:off x="5176" y="11697"/>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506" name="椭圆 724"/>
                        <wps:cNvSpPr/>
                        <wps:spPr>
                          <a:xfrm>
                            <a:off x="6601" y="11697"/>
                            <a:ext cx="114" cy="123"/>
                          </a:xfrm>
                          <a:prstGeom prst="ellipse">
                            <a:avLst/>
                          </a:prstGeom>
                          <a:noFill/>
                          <a:ln w="6350" cap="flat" cmpd="sng">
                            <a:solidFill>
                              <a:srgbClr val="000000"/>
                            </a:solidFill>
                            <a:prstDash val="solid"/>
                            <a:headEnd type="none" w="med" len="med"/>
                            <a:tailEnd type="none" w="med" len="med"/>
                          </a:ln>
                          <a:effectLst/>
                        </wps:spPr>
                        <wps:bodyPr upright="1"/>
                      </wps:wsp>
                      <wps:wsp>
                        <wps:cNvPr id="2507" name="椭圆 725"/>
                        <wps:cNvSpPr/>
                        <wps:spPr>
                          <a:xfrm>
                            <a:off x="8041" y="11697"/>
                            <a:ext cx="113" cy="123"/>
                          </a:xfrm>
                          <a:prstGeom prst="ellipse">
                            <a:avLst/>
                          </a:prstGeom>
                          <a:noFill/>
                          <a:ln w="6350" cap="flat" cmpd="sng">
                            <a:solidFill>
                              <a:srgbClr val="000000"/>
                            </a:solidFill>
                            <a:prstDash val="solid"/>
                            <a:headEnd type="none" w="med" len="med"/>
                            <a:tailEnd type="none" w="med" len="med"/>
                          </a:ln>
                          <a:effectLst/>
                        </wps:spPr>
                        <wps:bodyPr upright="1"/>
                      </wps:wsp>
                      <wps:wsp>
                        <wps:cNvPr id="2508" name="椭圆 726"/>
                        <wps:cNvSpPr/>
                        <wps:spPr>
                          <a:xfrm>
                            <a:off x="3034" y="1242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09" name="椭圆 727"/>
                        <wps:cNvSpPr/>
                        <wps:spPr>
                          <a:xfrm>
                            <a:off x="4429" y="1242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10" name="椭圆 728"/>
                        <wps:cNvSpPr/>
                        <wps:spPr>
                          <a:xfrm>
                            <a:off x="5869" y="1242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11" name="椭圆 729"/>
                        <wps:cNvSpPr/>
                        <wps:spPr>
                          <a:xfrm>
                            <a:off x="7309" y="1242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12" name="椭圆 730"/>
                        <wps:cNvSpPr/>
                        <wps:spPr>
                          <a:xfrm>
                            <a:off x="8734" y="12422"/>
                            <a:ext cx="113" cy="124"/>
                          </a:xfrm>
                          <a:prstGeom prst="ellipse">
                            <a:avLst/>
                          </a:prstGeom>
                          <a:noFill/>
                          <a:ln w="6350" cap="flat" cmpd="sng">
                            <a:solidFill>
                              <a:srgbClr val="000000"/>
                            </a:solidFill>
                            <a:prstDash val="solid"/>
                            <a:headEnd type="none" w="med" len="med"/>
                            <a:tailEnd type="none" w="med" len="med"/>
                          </a:ln>
                          <a:effectLst/>
                        </wps:spPr>
                        <wps:bodyPr upright="1"/>
                      </wps:wsp>
                      <wps:wsp>
                        <wps:cNvPr id="2513" name="直线 731"/>
                        <wps:cNvCnPr/>
                        <wps:spPr>
                          <a:xfrm>
                            <a:off x="2370" y="13163"/>
                            <a:ext cx="7210" cy="0"/>
                          </a:xfrm>
                          <a:prstGeom prst="line">
                            <a:avLst/>
                          </a:prstGeom>
                          <a:ln w="6350" cap="flat" cmpd="sng">
                            <a:solidFill>
                              <a:srgbClr val="000000"/>
                            </a:solidFill>
                            <a:prstDash val="solid"/>
                            <a:headEnd type="none" w="med" len="med"/>
                            <a:tailEnd type="none" w="med" len="med"/>
                          </a:ln>
                          <a:effectLst/>
                        </wps:spPr>
                        <wps:bodyPr upright="1"/>
                      </wps:wsp>
                      <wps:wsp>
                        <wps:cNvPr id="2514" name="直线 732"/>
                        <wps:cNvCnPr/>
                        <wps:spPr>
                          <a:xfrm>
                            <a:off x="2370" y="13780"/>
                            <a:ext cx="7210" cy="0"/>
                          </a:xfrm>
                          <a:prstGeom prst="line">
                            <a:avLst/>
                          </a:prstGeom>
                          <a:ln w="6350" cap="flat" cmpd="sng">
                            <a:solidFill>
                              <a:srgbClr val="000000"/>
                            </a:solidFill>
                            <a:prstDash val="solid"/>
                            <a:headEnd type="none" w="med" len="med"/>
                            <a:tailEnd type="none" w="med" len="med"/>
                          </a:ln>
                          <a:effectLst/>
                        </wps:spPr>
                        <wps:bodyPr upright="1"/>
                      </wps:wsp>
                      <wpg:grpSp>
                        <wpg:cNvPr id="2517" name="组合 733"/>
                        <wpg:cNvGrpSpPr/>
                        <wpg:grpSpPr>
                          <a:xfrm>
                            <a:off x="2785" y="13163"/>
                            <a:ext cx="98" cy="401"/>
                            <a:chOff x="2426" y="13228"/>
                            <a:chExt cx="116" cy="435"/>
                          </a:xfrm>
                          <a:effectLst/>
                        </wpg:grpSpPr>
                        <wps:wsp>
                          <wps:cNvPr id="2515" name="直线 734"/>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16" name="直线 735"/>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20" name="组合 736"/>
                        <wpg:cNvGrpSpPr/>
                        <wpg:grpSpPr>
                          <a:xfrm>
                            <a:off x="3329" y="13163"/>
                            <a:ext cx="98" cy="401"/>
                            <a:chOff x="2426" y="13228"/>
                            <a:chExt cx="116" cy="435"/>
                          </a:xfrm>
                          <a:effectLst/>
                        </wpg:grpSpPr>
                        <wps:wsp>
                          <wps:cNvPr id="2518" name="直线 737"/>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19" name="直线 738"/>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23" name="组合 739"/>
                        <wpg:cNvGrpSpPr/>
                        <wpg:grpSpPr>
                          <a:xfrm>
                            <a:off x="3874" y="13163"/>
                            <a:ext cx="98" cy="401"/>
                            <a:chOff x="2426" y="13228"/>
                            <a:chExt cx="116" cy="435"/>
                          </a:xfrm>
                          <a:effectLst/>
                        </wpg:grpSpPr>
                        <wps:wsp>
                          <wps:cNvPr id="2521" name="直线 740"/>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22" name="直线 741"/>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26" name="组合 742"/>
                        <wpg:cNvGrpSpPr/>
                        <wpg:grpSpPr>
                          <a:xfrm>
                            <a:off x="4418" y="13163"/>
                            <a:ext cx="98" cy="401"/>
                            <a:chOff x="2426" y="13228"/>
                            <a:chExt cx="116" cy="435"/>
                          </a:xfrm>
                          <a:effectLst/>
                        </wpg:grpSpPr>
                        <wps:wsp>
                          <wps:cNvPr id="2524" name="直线 743"/>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25" name="直线 744"/>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29" name="组合 745"/>
                        <wpg:cNvGrpSpPr/>
                        <wpg:grpSpPr>
                          <a:xfrm>
                            <a:off x="4963" y="13163"/>
                            <a:ext cx="98" cy="401"/>
                            <a:chOff x="2426" y="13228"/>
                            <a:chExt cx="116" cy="435"/>
                          </a:xfrm>
                          <a:effectLst/>
                        </wpg:grpSpPr>
                        <wps:wsp>
                          <wps:cNvPr id="2527" name="直线 746"/>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28" name="直线 747"/>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32" name="组合 748"/>
                        <wpg:cNvGrpSpPr/>
                        <wpg:grpSpPr>
                          <a:xfrm>
                            <a:off x="5507" y="13163"/>
                            <a:ext cx="98" cy="401"/>
                            <a:chOff x="2426" y="13228"/>
                            <a:chExt cx="116" cy="435"/>
                          </a:xfrm>
                          <a:effectLst/>
                        </wpg:grpSpPr>
                        <wps:wsp>
                          <wps:cNvPr id="2530" name="直线 749"/>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31" name="直线 750"/>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35" name="组合 751"/>
                        <wpg:cNvGrpSpPr/>
                        <wpg:grpSpPr>
                          <a:xfrm>
                            <a:off x="6051" y="13163"/>
                            <a:ext cx="98" cy="401"/>
                            <a:chOff x="2426" y="13228"/>
                            <a:chExt cx="116" cy="435"/>
                          </a:xfrm>
                          <a:effectLst/>
                        </wpg:grpSpPr>
                        <wps:wsp>
                          <wps:cNvPr id="2533" name="直线 752"/>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34" name="直线 753"/>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38" name="组合 754"/>
                        <wpg:cNvGrpSpPr/>
                        <wpg:grpSpPr>
                          <a:xfrm>
                            <a:off x="6595" y="13163"/>
                            <a:ext cx="98" cy="401"/>
                            <a:chOff x="2426" y="13228"/>
                            <a:chExt cx="116" cy="435"/>
                          </a:xfrm>
                          <a:effectLst/>
                        </wpg:grpSpPr>
                        <wps:wsp>
                          <wps:cNvPr id="2536" name="直线 755"/>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37" name="直线 756"/>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41" name="组合 757"/>
                        <wpg:cNvGrpSpPr/>
                        <wpg:grpSpPr>
                          <a:xfrm>
                            <a:off x="7140" y="13163"/>
                            <a:ext cx="98" cy="401"/>
                            <a:chOff x="2426" y="13228"/>
                            <a:chExt cx="116" cy="435"/>
                          </a:xfrm>
                          <a:effectLst/>
                        </wpg:grpSpPr>
                        <wps:wsp>
                          <wps:cNvPr id="2539" name="直线 758"/>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40" name="直线 759"/>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44" name="组合 760"/>
                        <wpg:cNvGrpSpPr/>
                        <wpg:grpSpPr>
                          <a:xfrm>
                            <a:off x="7685" y="13163"/>
                            <a:ext cx="98" cy="401"/>
                            <a:chOff x="2426" y="13228"/>
                            <a:chExt cx="116" cy="435"/>
                          </a:xfrm>
                          <a:effectLst/>
                        </wpg:grpSpPr>
                        <wps:wsp>
                          <wps:cNvPr id="2542" name="直线 761"/>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43" name="直线 762"/>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47" name="组合 763"/>
                        <wpg:cNvGrpSpPr/>
                        <wpg:grpSpPr>
                          <a:xfrm>
                            <a:off x="8229" y="13163"/>
                            <a:ext cx="98" cy="401"/>
                            <a:chOff x="2426" y="13228"/>
                            <a:chExt cx="116" cy="435"/>
                          </a:xfrm>
                          <a:effectLst/>
                        </wpg:grpSpPr>
                        <wps:wsp>
                          <wps:cNvPr id="2545" name="直线 764"/>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46" name="直线 765"/>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g:grpSp>
                        <wpg:cNvPr id="2550" name="组合 766"/>
                        <wpg:cNvGrpSpPr/>
                        <wpg:grpSpPr>
                          <a:xfrm>
                            <a:off x="8774" y="13163"/>
                            <a:ext cx="98" cy="401"/>
                            <a:chOff x="2426" y="13228"/>
                            <a:chExt cx="116" cy="435"/>
                          </a:xfrm>
                          <a:effectLst/>
                        </wpg:grpSpPr>
                        <wps:wsp>
                          <wps:cNvPr id="2548" name="直线 767"/>
                          <wps:cNvCnPr/>
                          <wps:spPr>
                            <a:xfrm>
                              <a:off x="2426" y="13228"/>
                              <a:ext cx="0" cy="435"/>
                            </a:xfrm>
                            <a:prstGeom prst="line">
                              <a:avLst/>
                            </a:prstGeom>
                            <a:ln w="6350" cap="flat" cmpd="sng">
                              <a:solidFill>
                                <a:srgbClr val="000000"/>
                              </a:solidFill>
                              <a:prstDash val="solid"/>
                              <a:headEnd type="none" w="med" len="med"/>
                              <a:tailEnd type="none" w="med" len="med"/>
                            </a:ln>
                            <a:effectLst/>
                          </wps:spPr>
                          <wps:bodyPr upright="1"/>
                        </wps:wsp>
                        <wps:wsp>
                          <wps:cNvPr id="2549" name="直线 768"/>
                          <wps:cNvCnPr/>
                          <wps:spPr>
                            <a:xfrm>
                              <a:off x="2542" y="13228"/>
                              <a:ext cx="0" cy="285"/>
                            </a:xfrm>
                            <a:prstGeom prst="line">
                              <a:avLst/>
                            </a:prstGeom>
                            <a:ln w="6350" cap="flat" cmpd="sng">
                              <a:solidFill>
                                <a:srgbClr val="000000"/>
                              </a:solidFill>
                              <a:prstDash val="solid"/>
                              <a:headEnd type="none" w="med" len="med"/>
                              <a:tailEnd type="none" w="med" len="med"/>
                            </a:ln>
                            <a:effectLst/>
                          </wps:spPr>
                          <wps:bodyPr upright="1"/>
                        </wps:wsp>
                      </wpg:grpSp>
                      <wps:wsp>
                        <wps:cNvPr id="2551" name="直线 769"/>
                        <wps:cNvCnPr/>
                        <wps:spPr>
                          <a:xfrm>
                            <a:off x="3089" y="12546"/>
                            <a:ext cx="0" cy="617"/>
                          </a:xfrm>
                          <a:prstGeom prst="line">
                            <a:avLst/>
                          </a:prstGeom>
                          <a:ln w="6350" cap="flat" cmpd="sng">
                            <a:solidFill>
                              <a:srgbClr val="000000"/>
                            </a:solidFill>
                            <a:prstDash val="solid"/>
                            <a:headEnd type="none" w="med" len="med"/>
                            <a:tailEnd type="stealth" w="sm" len="lg"/>
                          </a:ln>
                          <a:effectLst/>
                        </wps:spPr>
                        <wps:bodyPr upright="1"/>
                      </wps:wsp>
                      <wps:wsp>
                        <wps:cNvPr id="2552" name="直线 770"/>
                        <wps:cNvCnPr/>
                        <wps:spPr>
                          <a:xfrm>
                            <a:off x="4487" y="12546"/>
                            <a:ext cx="0" cy="446"/>
                          </a:xfrm>
                          <a:prstGeom prst="line">
                            <a:avLst/>
                          </a:prstGeom>
                          <a:ln w="6350" cap="flat" cmpd="sng">
                            <a:solidFill>
                              <a:srgbClr val="000000"/>
                            </a:solidFill>
                            <a:prstDash val="solid"/>
                            <a:headEnd type="none" w="med" len="med"/>
                            <a:tailEnd type="none" w="med" len="med"/>
                          </a:ln>
                          <a:effectLst/>
                        </wps:spPr>
                        <wps:bodyPr upright="1"/>
                      </wps:wsp>
                      <wps:wsp>
                        <wps:cNvPr id="2553" name="直线 771"/>
                        <wps:cNvCnPr/>
                        <wps:spPr>
                          <a:xfrm>
                            <a:off x="5930" y="12546"/>
                            <a:ext cx="0" cy="446"/>
                          </a:xfrm>
                          <a:prstGeom prst="line">
                            <a:avLst/>
                          </a:prstGeom>
                          <a:ln w="6350" cap="flat" cmpd="sng">
                            <a:solidFill>
                              <a:srgbClr val="000000"/>
                            </a:solidFill>
                            <a:prstDash val="solid"/>
                            <a:headEnd type="none" w="med" len="med"/>
                            <a:tailEnd type="none" w="med" len="med"/>
                          </a:ln>
                          <a:effectLst/>
                        </wps:spPr>
                        <wps:bodyPr upright="1"/>
                      </wps:wsp>
                      <wps:wsp>
                        <wps:cNvPr id="2554" name="直线 772"/>
                        <wps:cNvCnPr/>
                        <wps:spPr>
                          <a:xfrm>
                            <a:off x="7362" y="12546"/>
                            <a:ext cx="0" cy="446"/>
                          </a:xfrm>
                          <a:prstGeom prst="line">
                            <a:avLst/>
                          </a:prstGeom>
                          <a:ln w="6350" cap="flat" cmpd="sng">
                            <a:solidFill>
                              <a:srgbClr val="000000"/>
                            </a:solidFill>
                            <a:prstDash val="solid"/>
                            <a:headEnd type="none" w="med" len="med"/>
                            <a:tailEnd type="none" w="med" len="med"/>
                          </a:ln>
                          <a:effectLst/>
                        </wps:spPr>
                        <wps:bodyPr upright="1"/>
                      </wps:wsp>
                      <wps:wsp>
                        <wps:cNvPr id="2555" name="直线 773"/>
                        <wps:cNvCnPr/>
                        <wps:spPr>
                          <a:xfrm>
                            <a:off x="4487" y="12841"/>
                            <a:ext cx="1443" cy="0"/>
                          </a:xfrm>
                          <a:prstGeom prst="line">
                            <a:avLst/>
                          </a:prstGeom>
                          <a:ln w="6350" cap="flat" cmpd="sng">
                            <a:solidFill>
                              <a:srgbClr val="000000"/>
                            </a:solidFill>
                            <a:prstDash val="solid"/>
                            <a:headEnd type="stealth" w="sm" len="lg"/>
                            <a:tailEnd type="stealth" w="sm" len="lg"/>
                          </a:ln>
                          <a:effectLst/>
                        </wps:spPr>
                        <wps:bodyPr upright="1"/>
                      </wps:wsp>
                      <wps:wsp>
                        <wps:cNvPr id="2556" name="直线 774"/>
                        <wps:cNvCnPr/>
                        <wps:spPr>
                          <a:xfrm>
                            <a:off x="5948" y="12841"/>
                            <a:ext cx="1443" cy="0"/>
                          </a:xfrm>
                          <a:prstGeom prst="line">
                            <a:avLst/>
                          </a:prstGeom>
                          <a:ln w="6350" cap="flat" cmpd="sng">
                            <a:solidFill>
                              <a:srgbClr val="000000"/>
                            </a:solidFill>
                            <a:prstDash val="solid"/>
                            <a:headEnd type="stealth" w="sm" len="lg"/>
                            <a:tailEnd type="stealth" w="sm" len="lg"/>
                          </a:ln>
                          <a:effectLst/>
                        </wps:spPr>
                        <wps:bodyPr upright="1"/>
                      </wps:wsp>
                      <wps:wsp>
                        <wps:cNvPr id="2557" name="直线 775"/>
                        <wps:cNvCnPr/>
                        <wps:spPr>
                          <a:xfrm>
                            <a:off x="5289" y="11774"/>
                            <a:ext cx="502" cy="0"/>
                          </a:xfrm>
                          <a:prstGeom prst="line">
                            <a:avLst/>
                          </a:prstGeom>
                          <a:ln w="6350" cap="flat" cmpd="sng">
                            <a:solidFill>
                              <a:srgbClr val="000000"/>
                            </a:solidFill>
                            <a:prstDash val="solid"/>
                            <a:headEnd type="none" w="med" len="med"/>
                            <a:tailEnd type="none" w="med" len="med"/>
                          </a:ln>
                          <a:effectLst/>
                        </wps:spPr>
                        <wps:bodyPr upright="1"/>
                      </wps:wsp>
                      <wps:wsp>
                        <wps:cNvPr id="2558" name="直线 776"/>
                        <wps:cNvCnPr/>
                        <wps:spPr>
                          <a:xfrm>
                            <a:off x="5303" y="12501"/>
                            <a:ext cx="502" cy="0"/>
                          </a:xfrm>
                          <a:prstGeom prst="line">
                            <a:avLst/>
                          </a:prstGeom>
                          <a:ln w="6350" cap="flat" cmpd="sng">
                            <a:solidFill>
                              <a:srgbClr val="000000"/>
                            </a:solidFill>
                            <a:prstDash val="solid"/>
                            <a:headEnd type="none" w="med" len="med"/>
                            <a:tailEnd type="none" w="med" len="med"/>
                          </a:ln>
                          <a:effectLst/>
                        </wps:spPr>
                        <wps:bodyPr upright="1"/>
                      </wps:wsp>
                      <wps:wsp>
                        <wps:cNvPr id="2559" name="直线 777"/>
                        <wps:cNvCnPr/>
                        <wps:spPr>
                          <a:xfrm>
                            <a:off x="6099" y="11774"/>
                            <a:ext cx="502" cy="0"/>
                          </a:xfrm>
                          <a:prstGeom prst="line">
                            <a:avLst/>
                          </a:prstGeom>
                          <a:ln w="6350" cap="flat" cmpd="sng">
                            <a:solidFill>
                              <a:srgbClr val="000000"/>
                            </a:solidFill>
                            <a:prstDash val="solid"/>
                            <a:headEnd type="none" w="med" len="med"/>
                            <a:tailEnd type="none" w="med" len="med"/>
                          </a:ln>
                          <a:effectLst/>
                        </wps:spPr>
                        <wps:bodyPr upright="1"/>
                      </wps:wsp>
                      <wps:wsp>
                        <wps:cNvPr id="2560" name="直线 778"/>
                        <wps:cNvCnPr/>
                        <wps:spPr>
                          <a:xfrm>
                            <a:off x="6085" y="12501"/>
                            <a:ext cx="502" cy="0"/>
                          </a:xfrm>
                          <a:prstGeom prst="line">
                            <a:avLst/>
                          </a:prstGeom>
                          <a:ln w="6350" cap="flat" cmpd="sng">
                            <a:solidFill>
                              <a:srgbClr val="000000"/>
                            </a:solidFill>
                            <a:prstDash val="solid"/>
                            <a:headEnd type="none" w="med" len="med"/>
                            <a:tailEnd type="none" w="med" len="med"/>
                          </a:ln>
                          <a:effectLst/>
                        </wps:spPr>
                        <wps:bodyPr upright="1"/>
                      </wps:wsp>
                      <wps:wsp>
                        <wps:cNvPr id="2561" name="直线 779"/>
                        <wps:cNvCnPr/>
                        <wps:spPr>
                          <a:xfrm>
                            <a:off x="5496" y="11774"/>
                            <a:ext cx="0" cy="727"/>
                          </a:xfrm>
                          <a:prstGeom prst="line">
                            <a:avLst/>
                          </a:prstGeom>
                          <a:ln w="6350" cap="flat" cmpd="sng">
                            <a:solidFill>
                              <a:srgbClr val="000000"/>
                            </a:solidFill>
                            <a:prstDash val="solid"/>
                            <a:headEnd type="stealth" w="sm" len="lg"/>
                            <a:tailEnd type="stealth" w="sm" len="lg"/>
                          </a:ln>
                          <a:effectLst/>
                        </wps:spPr>
                        <wps:bodyPr upright="1"/>
                      </wps:wsp>
                      <wps:wsp>
                        <wps:cNvPr id="2562" name="直线 780"/>
                        <wps:cNvCnPr/>
                        <wps:spPr>
                          <a:xfrm>
                            <a:off x="6396" y="11774"/>
                            <a:ext cx="0" cy="727"/>
                          </a:xfrm>
                          <a:prstGeom prst="line">
                            <a:avLst/>
                          </a:prstGeom>
                          <a:ln w="6350" cap="flat" cmpd="sng">
                            <a:solidFill>
                              <a:srgbClr val="000000"/>
                            </a:solidFill>
                            <a:prstDash val="solid"/>
                            <a:headEnd type="stealth" w="sm" len="lg"/>
                            <a:tailEnd type="stealth" w="sm" len="lg"/>
                          </a:ln>
                          <a:effectLst/>
                        </wps:spPr>
                        <wps:bodyPr upright="1"/>
                      </wps:wsp>
                      <wps:wsp>
                        <wps:cNvPr id="2563" name="直线 781"/>
                        <wps:cNvCnPr/>
                        <wps:spPr>
                          <a:xfrm>
                            <a:off x="7362" y="8905"/>
                            <a:ext cx="0" cy="345"/>
                          </a:xfrm>
                          <a:prstGeom prst="line">
                            <a:avLst/>
                          </a:prstGeom>
                          <a:ln w="6350" cap="flat" cmpd="sng">
                            <a:solidFill>
                              <a:srgbClr val="000000"/>
                            </a:solidFill>
                            <a:prstDash val="solid"/>
                            <a:headEnd type="none" w="med" len="med"/>
                            <a:tailEnd type="none" w="med" len="med"/>
                          </a:ln>
                          <a:effectLst/>
                        </wps:spPr>
                        <wps:bodyPr upright="1"/>
                      </wps:wsp>
                      <wps:wsp>
                        <wps:cNvPr id="2564" name="直线 782"/>
                        <wps:cNvCnPr/>
                        <wps:spPr>
                          <a:xfrm>
                            <a:off x="7615" y="8905"/>
                            <a:ext cx="0" cy="345"/>
                          </a:xfrm>
                          <a:prstGeom prst="line">
                            <a:avLst/>
                          </a:prstGeom>
                          <a:ln w="6350" cap="flat" cmpd="sng">
                            <a:solidFill>
                              <a:srgbClr val="000000"/>
                            </a:solidFill>
                            <a:prstDash val="solid"/>
                            <a:headEnd type="none" w="med" len="med"/>
                            <a:tailEnd type="none" w="med" len="med"/>
                          </a:ln>
                          <a:effectLst/>
                        </wps:spPr>
                        <wps:bodyPr upright="1"/>
                      </wps:wsp>
                      <wps:wsp>
                        <wps:cNvPr id="2565" name="直线 783"/>
                        <wps:cNvCnPr/>
                        <wps:spPr>
                          <a:xfrm>
                            <a:off x="7362" y="9090"/>
                            <a:ext cx="253" cy="0"/>
                          </a:xfrm>
                          <a:prstGeom prst="line">
                            <a:avLst/>
                          </a:prstGeom>
                          <a:ln w="6350" cap="flat" cmpd="sng">
                            <a:solidFill>
                              <a:srgbClr val="000000"/>
                            </a:solidFill>
                            <a:prstDash val="solid"/>
                            <a:headEnd type="stealth" w="sm" len="med"/>
                            <a:tailEnd type="stealth" w="sm" len="med"/>
                          </a:ln>
                          <a:effectLst/>
                        </wps:spPr>
                        <wps:bodyPr upright="1"/>
                      </wps:wsp>
                      <wps:wsp>
                        <wps:cNvPr id="2566" name="直线 784"/>
                        <wps:cNvCnPr/>
                        <wps:spPr>
                          <a:xfrm>
                            <a:off x="8229" y="9674"/>
                            <a:ext cx="1351" cy="0"/>
                          </a:xfrm>
                          <a:prstGeom prst="line">
                            <a:avLst/>
                          </a:prstGeom>
                          <a:ln w="6350" cap="flat" cmpd="sng">
                            <a:solidFill>
                              <a:srgbClr val="000000"/>
                            </a:solidFill>
                            <a:prstDash val="solid"/>
                            <a:headEnd type="none" w="med" len="med"/>
                            <a:tailEnd type="none" w="med" len="med"/>
                          </a:ln>
                          <a:effectLst/>
                        </wps:spPr>
                        <wps:bodyPr upright="1"/>
                      </wps:wsp>
                      <wps:wsp>
                        <wps:cNvPr id="2567" name="直线 785"/>
                        <wps:cNvCnPr/>
                        <wps:spPr>
                          <a:xfrm>
                            <a:off x="9437" y="9311"/>
                            <a:ext cx="0" cy="366"/>
                          </a:xfrm>
                          <a:prstGeom prst="line">
                            <a:avLst/>
                          </a:prstGeom>
                          <a:ln w="6350" cap="flat" cmpd="sng">
                            <a:solidFill>
                              <a:srgbClr val="000000"/>
                            </a:solidFill>
                            <a:prstDash val="solid"/>
                            <a:headEnd type="stealth" w="med" len="med"/>
                            <a:tailEnd type="stealth" w="med" len="med"/>
                          </a:ln>
                          <a:effectLst/>
                        </wps:spPr>
                        <wps:bodyPr upright="1"/>
                      </wps:wsp>
                    </wpg:wgp>
                  </a:graphicData>
                </a:graphic>
              </wp:anchor>
            </w:drawing>
          </mc:Choice>
          <mc:Fallback>
            <w:pict>
              <v:group id="组合 667" o:spid="_x0000_s1026" o:spt="203" style="position:absolute;left:0pt;margin-left:27.85pt;margin-top:0.3pt;height:184.3pt;width:357.25pt;z-index:251689984;mso-width-relative:page;mso-height-relative:page;" coordorigin="2370,8770" coordsize="7210,5010" o:gfxdata="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">
                <o:lock v:ext="edit" aspectratio="f"/>
                <v:shape id="文本框 668" o:spid="_x0000_s1026" o:spt="202" type="#_x0000_t202" style="position:absolute;left:6226;top:12533;height:417;width:941;" filled="f" stroked="f" coordsize="21600,21600" o:gfxdata="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LrtV&#10;wAAAAN0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6979B144">
                        <w:pPr>
                          <w:pStyle w:val="120"/>
                          <w:spacing w:line="300" w:lineRule="exact"/>
                          <w:rPr>
                            <w:rFonts w:ascii="仿宋_GB2312" w:hAnsi="Times New Roman" w:eastAsia="仿宋_GB2312"/>
                            <w:szCs w:val="24"/>
                          </w:rPr>
                        </w:pPr>
                        <w:r>
                          <w:rPr>
                            <w:rFonts w:ascii="仿宋_GB2312" w:hAnsi="Times New Roman" w:eastAsia="仿宋_GB2312"/>
                            <w:szCs w:val="24"/>
                          </w:rPr>
                          <w:t>a=3b</w:t>
                        </w:r>
                      </w:p>
                    </w:txbxContent>
                  </v:textbox>
                </v:shape>
                <v:shape id="文本框 669" o:spid="_x0000_s1026" o:spt="202" type="#_x0000_t202" style="position:absolute;left:4713;top:12533;height:417;width:941;" filled="f" stroked="f" coordsize="21600,21600" o:gfxdata="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zYQVvQAA&#10;AN0AAAAPAAAAAAAAAAEAIAAAACIAAABkcnMvZG93bnJldi54bWxQSwECFAAUAAAACACHTuJAMy8F&#10;njsAAAA5AAAAEAAAAAAAAAABACAAAAAMAQAAZHJzL3NoYXBleG1sLnhtbFBLBQYAAAAABgAGAFsB&#10;AAC2AwAAAAA=&#10;">
                  <v:fill on="f" focussize="0,0"/>
                  <v:stroke on="f" weight="0.5pt"/>
                  <v:imagedata o:title=""/>
                  <o:lock v:ext="edit" aspectratio="f"/>
                  <v:textbox inset="0mm,0mm,0mm,0mm">
                    <w:txbxContent>
                      <w:p w14:paraId="48125E8A">
                        <w:pPr>
                          <w:pStyle w:val="120"/>
                          <w:spacing w:line="300" w:lineRule="exact"/>
                          <w:rPr>
                            <w:rFonts w:ascii="仿宋_GB2312" w:hAnsi="Times New Roman" w:eastAsia="仿宋_GB2312"/>
                            <w:szCs w:val="24"/>
                          </w:rPr>
                        </w:pPr>
                        <w:r>
                          <w:rPr>
                            <w:rFonts w:ascii="仿宋_GB2312" w:hAnsi="Times New Roman" w:eastAsia="仿宋_GB2312"/>
                            <w:szCs w:val="24"/>
                          </w:rPr>
                          <w:t>a=3b</w:t>
                        </w:r>
                      </w:p>
                    </w:txbxContent>
                  </v:textbox>
                </v:shape>
                <v:shape id="文本框 670" o:spid="_x0000_s1026" o:spt="202" type="#_x0000_t202" style="position:absolute;left:8937;top:9326;height:417;width:596;" filled="f" stroked="f" coordsize="21600,21600" o:gfxdata="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oEh&#10;jsEAAADdAAAADwAAAAAAAAABACAAAAAiAAAAZHJzL2Rvd25yZXYueG1sUEsBAhQAFAAAAAgAh07i&#10;QDMvBZ47AAAAOQAAABAAAAAAAAAAAQAgAAAAEAEAAGRycy9zaGFwZXhtbC54bWxQSwUGAAAAAAYA&#10;BgBbAQAAugMAAAAA&#10;">
                  <v:fill on="f" focussize="0,0"/>
                  <v:stroke on="f" weight="0.5pt"/>
                  <v:imagedata o:title=""/>
                  <o:lock v:ext="edit" aspectratio="f"/>
                  <v:textbox inset="0mm,0mm,0mm,0mm">
                    <w:txbxContent>
                      <w:p w14:paraId="79706983">
                        <w:pPr>
                          <w:spacing w:line="280" w:lineRule="exact"/>
                          <w:jc w:val="center"/>
                        </w:pPr>
                        <w:r>
                          <w:rPr>
                            <w:rFonts w:ascii="仿宋_GB2312"/>
                          </w:rPr>
                          <w:t>1.2a</w:t>
                        </w:r>
                        <w:r>
                          <w:rPr>
                            <w:rFonts w:hint="eastAsia" w:hAnsi="宋体"/>
                          </w:rPr>
                          <w:t>′</w:t>
                        </w:r>
                      </w:p>
                    </w:txbxContent>
                  </v:textbox>
                </v:shape>
                <v:shape id="文本框 671" o:spid="_x0000_s1026" o:spt="202" type="#_x0000_t202" style="position:absolute;left:7376;top:8770;height:416;width:416;" filled="f" stroked="f" coordsize="21600,21600" o:gfxdata="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U7/5&#10;wAAAAN0AAAAPAAAAAAAAAAEAIAAAACIAAABkcnMvZG93bnJldi54bWxQSwECFAAUAAAACACHTuJA&#10;My8FnjsAAAA5AAAAEAAAAAAAAAABACAAAAAPAQAAZHJzL3NoYXBleG1sLnhtbFBLBQYAAAAABgAG&#10;AFsBAAC5AwAAAAA=&#10;">
                  <v:fill on="f" focussize="0,0"/>
                  <v:stroke on="f" weight="0.5pt"/>
                  <v:imagedata o:title=""/>
                  <o:lock v:ext="edit" aspectratio="f"/>
                  <v:textbox inset="0mm,0mm,0mm,0mm">
                    <w:txbxContent>
                      <w:p w14:paraId="702476B7">
                        <w:pPr>
                          <w:pStyle w:val="120"/>
                          <w:spacing w:line="240" w:lineRule="exact"/>
                          <w:jc w:val="both"/>
                          <w:rPr>
                            <w:rFonts w:ascii="仿宋_GB2312" w:hAnsi="Times New Roman" w:eastAsia="仿宋_GB2312"/>
                            <w:szCs w:val="24"/>
                          </w:rPr>
                        </w:pPr>
                        <w:r>
                          <w:rPr>
                            <w:rFonts w:ascii="仿宋_GB2312" w:hAnsi="Times New Roman" w:eastAsia="仿宋_GB2312"/>
                            <w:szCs w:val="24"/>
                          </w:rPr>
                          <w:t>a</w:t>
                        </w:r>
                      </w:p>
                    </w:txbxContent>
                  </v:textbox>
                </v:shape>
                <v:shape id="文本框 672" o:spid="_x0000_s1026" o:spt="202" type="#_x0000_t202" style="position:absolute;left:6064;top:11928;height:417;width:276;" filled="f" stroked="f" coordsize="21600,21600" o:gfxdata="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R8a&#10;YsEAAADdAAAADwAAAAAAAAABACAAAAAiAAAAZHJzL2Rvd25yZXYueG1sUEsBAhQAFAAAAAgAh07i&#10;QDMvBZ47AAAAOQAAABAAAAAAAAAAAQAgAAAAEAEAAGRycy9zaGFwZXhtbC54bWxQSwUGAAAAAAYA&#10;BgBbAQAAugMAAAAA&#10;">
                  <v:fill on="f" focussize="0,0"/>
                  <v:stroke on="f" weight="0.5pt"/>
                  <v:imagedata o:title=""/>
                  <o:lock v:ext="edit" aspectratio="f"/>
                  <v:textbox inset="0mm,0mm,0mm,0mm">
                    <w:txbxContent>
                      <w:p w14:paraId="265AE6D9">
                        <w:pPr>
                          <w:jc w:val="right"/>
                          <w:rPr>
                            <w:rFonts w:ascii="仿宋_GB2312"/>
                          </w:rPr>
                        </w:pPr>
                        <w:r>
                          <w:rPr>
                            <w:rFonts w:ascii="仿宋_GB2312"/>
                          </w:rPr>
                          <w:t>b</w:t>
                        </w:r>
                      </w:p>
                    </w:txbxContent>
                  </v:textbox>
                </v:shape>
                <v:shape id="文本框 673" o:spid="_x0000_s1026" o:spt="202" type="#_x0000_t202" style="position:absolute;left:5116;top:11928;height:417;width:276;" filled="f" stroked="f" coordsize="21600,21600" o:gfxdata="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vaC&#10;FsEAAADdAAAADwAAAAAAAAABACAAAAAiAAAAZHJzL2Rvd25yZXYueG1sUEsBAhQAFAAAAAgAh07i&#10;QDMvBZ47AAAAOQAAABAAAAAAAAAAAQAgAAAAEAEAAGRycy9zaGFwZXhtbC54bWxQSwUGAAAAAAYA&#10;BgBbAQAAugMAAAAA&#10;">
                  <v:fill on="f" focussize="0,0"/>
                  <v:stroke on="f" weight="0.5pt"/>
                  <v:imagedata o:title=""/>
                  <o:lock v:ext="edit" aspectratio="f"/>
                  <v:textbox inset="0mm,0mm,0mm,0mm">
                    <w:txbxContent>
                      <w:p w14:paraId="1CC005B4">
                        <w:pPr>
                          <w:jc w:val="right"/>
                          <w:rPr>
                            <w:rFonts w:ascii="仿宋_GB2312"/>
                          </w:rPr>
                        </w:pPr>
                        <w:r>
                          <w:rPr>
                            <w:rFonts w:ascii="仿宋_GB2312"/>
                          </w:rPr>
                          <w:t>b</w:t>
                        </w:r>
                      </w:p>
                    </w:txbxContent>
                  </v:textbox>
                </v:shape>
                <v:shape id="文本框 674" o:spid="_x0000_s1026" o:spt="202" type="#_x0000_t202" style="position:absolute;left:2822;top:12576;height:416;width:277;" filled="f" stroked="f" coordsize="21600,21600" o:gfxdata="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bon&#10;jcEAAADdAAAADwAAAAAAAAABACAAAAAiAAAAZHJzL2Rvd25yZXYueG1sUEsBAhQAFAAAAAgAh07i&#10;QDMvBZ47AAAAOQAAABAAAAAAAAAAAQAgAAAAEAEAAGRycy9zaGFwZXhtbC54bWxQSwUGAAAAAAYA&#10;BgBbAQAAugMAAAAA&#10;">
                  <v:fill on="f" focussize="0,0"/>
                  <v:stroke on="f" weight="0.5pt"/>
                  <v:imagedata o:title=""/>
                  <o:lock v:ext="edit" aspectratio="f"/>
                  <v:textbox inset="0mm,0mm,0mm,0mm">
                    <w:txbxContent>
                      <w:p w14:paraId="380F8E21">
                        <w:pPr>
                          <w:spacing w:line="240" w:lineRule="exact"/>
                          <w:jc w:val="center"/>
                          <w:rPr>
                            <w:rFonts w:ascii="仿宋_GB2312"/>
                          </w:rPr>
                        </w:pPr>
                        <w:r>
                          <w:rPr>
                            <w:rFonts w:ascii="仿宋_GB2312"/>
                          </w:rPr>
                          <w:t>w</w:t>
                        </w:r>
                        <w:r>
                          <w:rPr>
                            <w:rFonts w:ascii="仿宋_GB2312"/>
                            <w:vertAlign w:val="subscript"/>
                          </w:rPr>
                          <w:t>1</w:t>
                        </w:r>
                      </w:p>
                    </w:txbxContent>
                  </v:textbox>
                </v:shape>
                <v:shape id="椭圆 675" o:spid="_x0000_s1026" o:spt="3" type="#_x0000_t3" style="position:absolute;left:2785;top:9250;height:123;width:113;" filled="f" stroked="t" coordsize="21600,21600" o:gfxdata="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UlI5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76" o:spid="_x0000_s1026" o:spt="3" type="#_x0000_t3" style="position:absolute;left:3023;top:9250;height:123;width:113;" filled="f" stroked="t" coordsize="21600,21600" o:gfxdata="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73o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677" o:spid="_x0000_s1026" o:spt="3" type="#_x0000_t3" style="position:absolute;left:3498;top:9250;height:123;width:114;" filled="f" stroked="t" coordsize="21600,21600" o:gfxdata="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6BY9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678" o:spid="_x0000_s1026" o:spt="3" type="#_x0000_t3" style="position:absolute;left:3973;top:9250;height:123;width:114;" filled="f" stroked="t" coordsize="21600,21600" o:gfxdata="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Nxku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679" o:spid="_x0000_s1026" o:spt="3" type="#_x0000_t3" style="position:absolute;left:4449;top:9250;height:123;width:113;" filled="f" stroked="t" coordsize="21600,21600" o:gfxdata="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jxHKu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680" o:spid="_x0000_s1026" o:spt="3" type="#_x0000_t3" style="position:absolute;left:4925;top:9250;height:123;width:113;" filled="f" stroked="t" coordsize="21600,21600" o:gfxdata="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vbkw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1" o:spid="_x0000_s1026" o:spt="3" type="#_x0000_t3" style="position:absolute;left:5400;top:9250;height:123;width:113;" filled="f" stroked="t" coordsize="21600,21600" o:gfxdata="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bydH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2" o:spid="_x0000_s1026" o:spt="3" type="#_x0000_t3" style="position:absolute;left:5875;top:9250;height:123;width:114;" filled="f" stroked="t" coordsize="21600,21600" o:gfxdata="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4I4Lc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3" o:spid="_x0000_s1026" o:spt="3" type="#_x0000_t3" style="position:absolute;left:6351;top:9250;height:123;width:113;" filled="f" stroked="t" coordsize="21600,21600" o:gfxdata="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3yhqo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4" o:spid="_x0000_s1026" o:spt="3" type="#_x0000_t3" style="position:absolute;left:6826;top:9250;height:123;width:113;" filled="f" stroked="t" coordsize="21600,21600" o:gfxdata="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hr8z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5" o:spid="_x0000_s1026" o:spt="3" type="#_x0000_t3" style="position:absolute;left:7302;top:9250;height:123;width:113;" filled="f" stroked="t" coordsize="21600,21600" o:gfxdata="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VCFE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6" o:spid="_x0000_s1026" o:spt="3" type="#_x0000_t3" style="position:absolute;left:7539;top:9250;height:123;width:114;" filled="f" stroked="t" coordsize="21600,21600" o:gfxdata="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GITf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7" o:spid="_x0000_s1026" o:spt="3" type="#_x0000_t3" style="position:absolute;left:7778;top:9250;height:123;width:113;" filled="f" stroked="t" coordsize="21600,21600" o:gfxdata="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aHEK2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688" o:spid="_x0000_s1026" o:spt="3" type="#_x0000_t3" style="position:absolute;left:8015;top:9250;height:123;width:113;" filled="f" stroked="t" coordsize="21600,21600" o:gfxdata="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y7U2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89" o:spid="_x0000_s1026" o:spt="3" type="#_x0000_t3" style="position:absolute;left:8252;top:9250;height:123;width:114;" filled="f" stroked="t" coordsize="21600,21600" o:gfxdata="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0oina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690" o:spid="_x0000_s1026" o:spt="3" type="#_x0000_t3" style="position:absolute;left:8491;top:9250;height:123;width:113;" filled="f" stroked="t" coordsize="21600,21600" o:gfxdata="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mQv7bsAAADd&#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shape>
                <v:shape id="椭圆 691" o:spid="_x0000_s1026" o:spt="3" type="#_x0000_t3" style="position:absolute;left:8728;top:9250;height:123;width:113;" filled="f" stroked="t" coordsize="21600,21600" o:gfxdata="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raxm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692" o:spid="_x0000_s1026" o:spt="3" type="#_x0000_t3" style="position:absolute;left:8966;top:9250;height:123;width:113;" filled="f" stroked="t" coordsize="21600,21600" o:gfxdata="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oUAb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693" o:spid="_x0000_s1026" o:spt="3" type="#_x0000_t3" style="position:absolute;left:3260;top:9250;height:123;width:113;" filled="f" stroked="t" coordsize="21600,21600" o:gfxdata="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E4x1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94" o:spid="_x0000_s1026" o:spt="3" type="#_x0000_t3" style="position:absolute;left:3736;top:9250;height:123;width:113;" filled="f" stroked="t" coordsize="21600,21600" o:gfxdata="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Xynu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95" o:spid="_x0000_s1026" o:spt="3" type="#_x0000_t3" style="position:absolute;left:4212;top:9250;height:123;width:113;" filled="f" stroked="t" coordsize="21600,21600" o:gfxdata="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jbeZ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696" o:spid="_x0000_s1026" o:spt="3" type="#_x0000_t3" style="position:absolute;left:4687;top:9250;height:123;width:113;" filled="f" stroked="t" coordsize="21600,21600" o:gfxdata="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ESA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697" o:spid="_x0000_s1026" o:spt="3" type="#_x0000_t3" style="position:absolute;left:5162;top:9250;height:123;width:114;" filled="f" stroked="t" coordsize="21600,21600" o:gfxdata="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Nehn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698" o:spid="_x0000_s1026" o:spt="3" type="#_x0000_t3" style="position:absolute;left:5638;top:9250;height:123;width:113;" filled="f" stroked="t" coordsize="21600,21600" o:gfxdata="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SI+u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699" o:spid="_x0000_s1026" o:spt="3" type="#_x0000_t3" style="position:absolute;left:6113;top:9250;height:123;width:113;" filled="f" stroked="t" coordsize="21600,21600" o:gfxdata="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NEQMu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700" o:spid="_x0000_s1026" o:spt="3" type="#_x0000_t3" style="position:absolute;left:6589;top:9250;height:123;width:113;" filled="f" stroked="t" coordsize="21600,21600" o:gfxdata="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COVQ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01" o:spid="_x0000_s1026" o:spt="3" type="#_x0000_t3" style="position:absolute;left:7064;top:9250;height:123;width:114;" filled="f" stroked="t" coordsize="21600,21600" o:gfxdata="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2nsn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02" o:spid="_x0000_s1026" o:spt="3" type="#_x0000_t3" style="position:absolute;left:9204;top:9250;height:123;width:113;" filled="f" stroked="t" coordsize="21600,21600" o:gfxdata="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lt68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line id="直线 703" o:spid="_x0000_s1026" o:spt="20" style="position:absolute;left:2370;top:9309;height:0;width:7210;" filled="f" stroked="t" coordsize="21600,21600" o:gfxdata="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AglU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shape id="椭圆 704" o:spid="_x0000_s1026" o:spt="3" type="#_x0000_t3" style="position:absolute;left:3046;top:9813;height:123;width:114;" filled="f" stroked="t" coordsize="21600,21600" o:gfxdata="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dE5i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05" o:spid="_x0000_s1026" o:spt="3" type="#_x0000_t3" style="position:absolute;left:3738;top:9597;height:125;width:113;" filled="f" stroked="t" coordsize="21600,21600" o:gfxdata="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r2h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706" o:spid="_x0000_s1026" o:spt="3" type="#_x0000_t3" style="position:absolute;left:4441;top:9813;height:123;width:114;" filled="f" stroked="t" coordsize="21600,21600" o:gfxdata="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nf4u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07" o:spid="_x0000_s1026" o:spt="3" type="#_x0000_t3" style="position:absolute;left:5176;top:9597;height:125;width:113;" filled="f" stroked="t" coordsize="21600,21600" o:gfxdata="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Wnd2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08" o:spid="_x0000_s1026" o:spt="3" type="#_x0000_t3" style="position:absolute;left:5881;top:9813;height:123;width:114;" filled="f" stroked="t" coordsize="21600,21600" o:gfxdata="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o4Rr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709" o:spid="_x0000_s1026" o:spt="3" type="#_x0000_t3" style="position:absolute;left:6601;top:9597;height:125;width:114;" filled="f" stroked="t" coordsize="21600,21600" o:gfxdata="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yD6y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10" o:spid="_x0000_s1026" o:spt="3" type="#_x0000_t3" style="position:absolute;left:7321;top:9813;height:123;width:114;" filled="f" stroked="t" coordsize="21600,21600" o:gfxdata="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dlXe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11" o:spid="_x0000_s1026" o:spt="3" type="#_x0000_t3" style="position:absolute;left:8041;top:9597;height:125;width:113;" filled="f" stroked="t" coordsize="21600,21600" o:gfxdata="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kPCwC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12" o:spid="_x0000_s1026" o:spt="3" type="#_x0000_t3" style="position:absolute;left:8747;top:9813;height:123;width:113;" filled="f" stroked="t" coordsize="21600,21600" o:gfxdata="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ZDrpu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13" o:spid="_x0000_s1026" o:spt="3" type="#_x0000_t3" style="position:absolute;left:3046;top:11068;height:123;width:114;" filled="f" stroked="t" coordsize="21600,21600" o:gfxdata="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qjbv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14" o:spid="_x0000_s1026" o:spt="3" type="#_x0000_t3" style="position:absolute;left:4429;top:11052;height:123;width:113;" filled="f" stroked="t" coordsize="21600,21600" o:gfxdata="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NA0D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15" o:spid="_x0000_s1026" o:spt="3" type="#_x0000_t3" style="position:absolute;left:5869;top:11052;height:123;width:113;" filled="f" stroked="t" coordsize="21600,21600" o:gfxdata="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4qJi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16" o:spid="_x0000_s1026" o:spt="3" type="#_x0000_t3" style="position:absolute;left:7309;top:11052;height:123;width:113;" filled="f" stroked="t" coordsize="21600,21600" o:gfxdata="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5zzq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17" o:spid="_x0000_s1026" o:spt="3" type="#_x0000_t3" style="position:absolute;left:8734;top:11052;height:123;width:113;" filled="f" stroked="t" coordsize="21600,21600" o:gfxdata="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q5lx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18" o:spid="_x0000_s1026" o:spt="3" type="#_x0000_t3" style="position:absolute;left:3735;top:10432;height:124;width:113;" filled="f" stroked="t" coordsize="21600,21600" o:gfxdata="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h6qva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719" o:spid="_x0000_s1026" o:spt="3" type="#_x0000_t3" style="position:absolute;left:5173;top:10432;height:124;width:113;" filled="f" stroked="t" coordsize="21600,21600" o:gfxdata="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2D22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20" o:spid="_x0000_s1026" o:spt="3" type="#_x0000_t3" style="position:absolute;left:6599;top:10432;height:124;width:113;" filled="f" stroked="t" coordsize="21600,21600" o:gfxdata="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kkRq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shape id="椭圆 721" o:spid="_x0000_s1026" o:spt="3" type="#_x0000_t3" style="position:absolute;left:8039;top:10432;height:124;width:113;" filled="f" stroked="t" coordsize="21600,21600" o:gfxdata="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qDSB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722" o:spid="_x0000_s1026" o:spt="3" type="#_x0000_t3" style="position:absolute;left:3738;top:11697;height:123;width:113;" filled="f" stroked="t" coordsize="21600,21600" o:gfxdata="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Qaz1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723" o:spid="_x0000_s1026" o:spt="3" type="#_x0000_t3" style="position:absolute;left:5176;top:11697;height:123;width:113;" filled="f" stroked="t" coordsize="21600,21600" o:gfxdata="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DQlu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724" o:spid="_x0000_s1026" o:spt="3" type="#_x0000_t3" style="position:absolute;left:6601;top:11697;height:123;width:114;" filled="f" stroked="t" coordsize="21600,21600" o:gfxdata="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35cZ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725" o:spid="_x0000_s1026" o:spt="3" type="#_x0000_t3" style="position:absolute;left:8041;top:11697;height:123;width:113;" filled="f" stroked="t" coordsize="21600,21600" o:gfxdata="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kzKC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shape>
                <v:shape id="椭圆 726" o:spid="_x0000_s1026" o:spt="3" type="#_x0000_t3" style="position:absolute;left:3034;top:12422;height:124;width:113;" filled="f" stroked="t" coordsize="21600,21600" o:gfxdata="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Mpv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727" o:spid="_x0000_s1026" o:spt="3" type="#_x0000_t3" style="position:absolute;left:4429;top:12422;height:124;width:113;" filled="f" stroked="t" coordsize="21600,21600" o:gfxdata="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ADa74A&#10;AADdAAAADwAAAAAAAAABACAAAAAiAAAAZHJzL2Rvd25yZXYueG1sUEsBAhQAFAAAAAgAh07iQDMv&#10;BZ47AAAAOQAAABAAAAAAAAAAAQAgAAAADQEAAGRycy9zaGFwZXhtbC54bWxQSwUGAAAAAAYABgBb&#10;AQAAtwMAAAAA&#10;">
                  <v:fill on="f" focussize="0,0"/>
                  <v:stroke weight="0.5pt" color="#000000" joinstyle="round"/>
                  <v:imagedata o:title=""/>
                  <o:lock v:ext="edit" aspectratio="f"/>
                </v:shape>
                <v:shape id="椭圆 728" o:spid="_x0000_s1026" o:spt="3" type="#_x0000_t3" style="position:absolute;left:5869;top:12422;height:124;width:113;" filled="f" stroked="t" coordsize="21600,21600" o:gfxdata="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ozwr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shape>
                <v:shape id="椭圆 729" o:spid="_x0000_s1026" o:spt="3" type="#_x0000_t3" style="position:absolute;left:7309;top:12422;height:124;width:113;" filled="f" stroked="t" coordsize="21600,21600" o:gfxdata="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LvmbC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shape>
                <v:shape id="椭圆 730" o:spid="_x0000_s1026" o:spt="3" type="#_x0000_t3" style="position:absolute;left:8734;top:12422;height:124;width:113;" filled="f" stroked="t" coordsize="21600,21600" o:gfxdata="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9B8e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line id="直线 731" o:spid="_x0000_s1026" o:spt="20" style="position:absolute;left:2370;top:13163;height:0;width:7210;" filled="f" stroked="t" coordsize="21600,21600" o:gfxdata="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7n0e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32" o:spid="_x0000_s1026" o:spt="20" style="position:absolute;left:2370;top:13780;height:0;width:7210;" filled="f" stroked="t" coordsize="21600,21600" o:gfxdata="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B+Vq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id="组合 733" o:spid="_x0000_s1026" o:spt="203" style="position:absolute;left:2785;top:13163;height:401;width:98;" coordorigin="2426,13228" coordsize="116,435" o:gfxdata="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qs4zLcAAAADdAAAADwAAAAAAAAABACAAAAAiAAAAZHJzL2Rvd25yZXYu&#10;eG1sUEsBAhQAFAAAAAgAh07iQDMvBZ47AAAAOQAAABUAAAAAAAAAAQAgAAAADwEAAGRycy9ncm91&#10;cHNoYXBleG1sLnhtbFBLBQYAAAAABgAGAGABAADMAwAAAAA=&#10;">
                  <o:lock v:ext="edit" aspectratio="f"/>
                  <v:line id="直线 734" o:spid="_x0000_s1026" o:spt="20" style="position:absolute;left:2426;top:13228;height:435;width:0;" filled="f" stroked="t" coordsize="21600,21600" o:gfxdata="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LQPG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735" o:spid="_x0000_s1026" o:spt="20" style="position:absolute;left:2542;top:13228;height:285;width:0;" filled="f" stroked="t" coordsize="21600,21600" o:gfxdata="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md6G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36" o:spid="_x0000_s1026" o:spt="203" style="position:absolute;left:3329;top:13163;height:401;width:98;" coordorigin="2426,13228" coordsize="116,435" o:gfxdata="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0th5L0AAADdAAAADwAAAAAAAAABACAAAAAiAAAAZHJzL2Rvd25yZXYueG1s&#10;UEsBAhQAFAAAAAgAh07iQDMvBZ47AAAAOQAAABUAAAAAAAAAAQAgAAAADAEAAGRycy9ncm91cHNo&#10;YXBleG1sLnhtbFBLBQYAAAAABgAGAGABAADJAwAAAAA=&#10;">
                  <o:lock v:ext="edit" aspectratio="f"/>
                  <v:line id="直线 737" o:spid="_x0000_s1026" o:spt="20" style="position:absolute;left:2426;top:13228;height:435;width:0;" filled="f" stroked="t" coordsize="21600,21600" o:gfxdata="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1K72+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738" o:spid="_x0000_s1026" o:spt="20" style="position:absolute;left:2542;top:13228;height:285;width:0;" filled="f" stroked="t" coordsize="21600,21600" o:gfxdata="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Bkr0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39" o:spid="_x0000_s1026" o:spt="203" style="position:absolute;left:3874;top:13163;height:401;width:98;" coordorigin="2426,13228" coordsize="116,435" o:gfxdata="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G5n/k8AAAADdAAAADwAAAAAAAAABACAAAAAiAAAAZHJzL2Rvd25yZXYu&#10;eG1sUEsBAhQAFAAAAAgAh07iQDMvBZ47AAAAOQAAABUAAAAAAAAAAQAgAAAADwEAAGRycy9ncm91&#10;cHNoYXBleG1sLnhtbFBLBQYAAAAABgAGAGABAADMAwAAAAA=&#10;">
                  <o:lock v:ext="edit" aspectratio="f"/>
                  <v:line id="直线 740" o:spid="_x0000_s1026" o:spt="20" style="position:absolute;left:2426;top:13228;height:435;width:0;" filled="f" stroked="t" coordsize="21600,21600" o:gfxdata="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HIxP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41" o:spid="_x0000_s1026" o:spt="20" style="position:absolute;left:2542;top:13228;height:285;width:0;" filled="f" stroked="t" coordsize="21600,21600" o:gfxdata="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OEji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group>
                <v:group id="组合 742" o:spid="_x0000_s1026" o:spt="203" style="position:absolute;left:4418;top:13163;height:401;width:98;" coordorigin="2426,13228" coordsize="116,435" o:gfxdata="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7lwLvwAAAN0AAAAPAAAAAAAAAAEAIAAAACIAAABkcnMvZG93bnJldi54&#10;bWxQSwECFAAUAAAACACHTuJAMy8FnjsAAAA5AAAAFQAAAAAAAAABACAAAAAOAQAAZHJzL2dyb3Vw&#10;c2hhcGV4bWwueG1sUEsFBgAAAAAGAAYAYAEAAMsDAAAAAA==&#10;">
                  <o:lock v:ext="edit" aspectratio="f"/>
                  <v:line id="直线 743" o:spid="_x0000_s1026" o:spt="20" style="position:absolute;left:2426;top:13228;height:435;width:0;" filled="f" stroked="t" coordsize="21600,21600" o:gfxdata="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rL9e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744" o:spid="_x0000_s1026" o:spt="20" style="position:absolute;left:2542;top:13228;height:285;width:0;" filled="f" stroked="t" coordsize="21600,21600" o:gfxdata="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J4pM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45" o:spid="_x0000_s1026" o:spt="203" style="position:absolute;left:4963;top:13163;height:401;width:98;" coordorigin="2426,13228" coordsize="116,435" o:gfxdata="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6cch5vwAAAN0AAAAPAAAAAAAAAAEAIAAAACIAAABkcnMvZG93bnJldi54&#10;bWxQSwECFAAUAAAACACHTuJAMy8FnjsAAAA5AAAAFQAAAAAAAAABACAAAAAOAQAAZHJzL2dyb3Vw&#10;c2hhcGV4bWwueG1sUEsFBgAAAAAGAAYAYAEAAMsDAAAAAA==&#10;">
                  <o:lock v:ext="edit" aspectratio="f"/>
                  <v:line id="直线 746" o:spid="_x0000_s1026" o:spt="20" style="position:absolute;left:2426;top:13228;height:435;width:0;" filled="f" stroked="t" coordsize="21600,21600" o:gfxdata="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5saC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747" o:spid="_x0000_s1026" o:spt="20" style="position:absolute;left:2542;top:13228;height:285;width:0;" filled="f" stroked="t" coordsize="21600,21600" o:gfxdata="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JiXS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group>
                <v:group id="组合 748" o:spid="_x0000_s1026" o:spt="203" style="position:absolute;left:5507;top:13163;height:401;width:98;" coordorigin="2426,13228" coordsize="116,435" o:gfxdata="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8QzM1cAAAADdAAAADwAAAAAAAAABACAAAAAiAAAAZHJzL2Rvd25yZXYu&#10;eG1sUEsBAhQAFAAAAAgAh07iQDMvBZ47AAAAOQAAABUAAAAAAAAAAQAgAAAADwEAAGRycy9ncm91&#10;cHNoYXBleG1sLnhtbFBLBQYAAAAABgAGAGABAADMAwAAAAA=&#10;">
                  <o:lock v:ext="edit" aspectratio="f"/>
                  <v:line id="直线 749" o:spid="_x0000_s1026" o:spt="20" style="position:absolute;left:2426;top:13228;height:435;width:0;" filled="f" stroked="t" coordsize="21600,21600" o:gfxdata="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ib8J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750" o:spid="_x0000_s1026" o:spt="20" style="position:absolute;left:2542;top:13228;height:285;width:0;" filled="f" stroked="t" coordsize="21600,21600" o:gfxdata="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xRqS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51" o:spid="_x0000_s1026" o:spt="203" style="position:absolute;left:6051;top:13163;height:401;width:98;" coordorigin="2426,13228" coordsize="116,435" o:gfxdata="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5VShvwAAAN0AAAAPAAAAAAAAAAEAIAAAACIAAABkcnMvZG93bnJldi54&#10;bWxQSwECFAAUAAAACACHTuJAMy8FnjsAAAA5AAAAFQAAAAAAAAABACAAAAAOAQAAZHJzL2dyb3Vw&#10;c2hhcGV4bWwueG1sUEsFBgAAAAAGAAYAYAEAAMsDAAAAAA==&#10;">
                  <o:lock v:ext="edit" aspectratio="f"/>
                  <v:line id="直线 752" o:spid="_x0000_s1026" o:spt="20" style="position:absolute;left:2426;top:13228;height:435;width:0;" filled="f" stroked="t" coordsize="21600,21600" o:gfxdata="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WyF+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53" o:spid="_x0000_s1026" o:spt="20" style="position:absolute;left:2542;top:13228;height:285;width:0;" filled="f" stroked="t" coordsize="21600,21600" o:gfxdata="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srkK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54" o:spid="_x0000_s1026" o:spt="203" style="position:absolute;left:6595;top:13163;height:401;width:98;" coordorigin="2426,13228" coordsize="116,435" o:gfxdata="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OT7P70AAADdAAAADwAAAAAAAAABACAAAAAiAAAAZHJzL2Rvd25yZXYueG1s&#10;UEsBAhQAFAAAAAgAh07iQDMvBZ47AAAAOQAAABUAAAAAAAAAAQAgAAAADAEAAGRycy9ncm91cHNo&#10;YXBleG1sLnhtbFBLBQYAAAAABgAGAGABAADJAwAAAAA=&#10;">
                  <o:lock v:ext="edit" aspectratio="f"/>
                  <v:line id="直线 755" o:spid="_x0000_s1026" o:spt="20" style="position:absolute;left:2426;top:13228;height:435;width:0;" filled="f" stroked="t" coordsize="21600,21600" o:gfxdata="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LILm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56" o:spid="_x0000_s1026" o:spt="20" style="position:absolute;left:2542;top:13228;height:285;width:0;" filled="f" stroked="t" coordsize="21600,21600" o:gfxdata="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YCd9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57" o:spid="_x0000_s1026" o:spt="203" style="position:absolute;left:7140;top:13163;height:401;width:98;" coordorigin="2426,13228" coordsize="116,435" o:gfxdata="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Wdgh38AAAADdAAAADwAAAAAAAAABACAAAAAiAAAAZHJzL2Rvd25yZXYu&#10;eG1sUEsBAhQAFAAAAAgAh07iQDMvBZ47AAAAOQAAABUAAAAAAAAAAQAgAAAADwEAAGRycy9ncm91&#10;cHNoYXBleG1sLnhtbFBLBQYAAAAABgAGAGABAADMAwAAAAA=&#10;">
                  <o:lock v:ext="edit" aspectratio="f"/>
                  <v:line id="直线 758" o:spid="_x0000_s1026" o:spt="20" style="position:absolute;left:2426;top:13228;height:435;width:0;" filled="f" stroked="t" coordsize="21600,21600" o:gfxdata="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sxaU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59" o:spid="_x0000_s1026" o:spt="20" style="position:absolute;left:2542;top:13228;height:285;width:0;" filled="f" stroked="t" coordsize="21600,21600" o:gfxdata="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j8x0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group>
                <v:group id="组合 760" o:spid="_x0000_s1026" o:spt="203" style="position:absolute;left:7685;top:13163;height:401;width:98;" coordorigin="2426,13228" coordsize="116,435" o:gfxdata="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Sa+CR8AAAADdAAAADwAAAAAAAAABACAAAAAiAAAAZHJzL2Rvd25yZXYu&#10;eG1sUEsBAhQAFAAAAAgAh07iQDMvBZ47AAAAOQAAABUAAAAAAAAAAQAgAAAADwEAAGRycy9ncm91&#10;cHNoYXBleG1sLnhtbFBLBQYAAAAABgAGAGABAADMAwAAAAA=&#10;">
                  <o:lock v:ext="edit" aspectratio="f"/>
                  <v:line id="直线 761" o:spid="_x0000_s1026" o:spt="20" style="position:absolute;left:2426;top:13228;height:435;width:0;" filled="f" stroked="t" coordsize="21600,21600" o:gfxdata="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R95i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762" o:spid="_x0000_s1026" o:spt="20" style="position:absolute;left:2542;top:13228;height:285;width:0;" filled="f" stroked="t" coordsize="21600,21600" o:gfxdata="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XVID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63" o:spid="_x0000_s1026" o:spt="203" style="position:absolute;left:8229;top:13163;height:401;width:98;" coordorigin="2426,13228" coordsize="116,435" o:gfxdata="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5fRwwvwAAAN0AAAAPAAAAAAAAAAEAIAAAACIAAABkcnMvZG93bnJldi54&#10;bWxQSwECFAAUAAAACACHTuJAMy8FnjsAAAA5AAAAFQAAAAAAAAABACAAAAAOAQAAZHJzL2dyb3Vw&#10;c2hhcGV4bWwueG1sUEsFBgAAAAAGAAYAYAEAAMsDAAAAAA==&#10;">
                  <o:lock v:ext="edit" aspectratio="f"/>
                  <v:line id="直线 764" o:spid="_x0000_s1026" o:spt="20" style="position:absolute;left:2426;top:13228;height:435;width:0;" filled="f" stroked="t" coordsize="21600,21600" o:gfxdata="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G/s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65" o:spid="_x0000_s1026" o:spt="20" style="position:absolute;left:2542;top:13228;height:285;width:0;" filled="f" stroked="t" coordsize="21600,21600" o:gfxdata="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KvGb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group id="组合 766" o:spid="_x0000_s1026" o:spt="203" style="position:absolute;left:8774;top:13163;height:401;width:98;" coordorigin="2426,13228" coordsize="116,435" o:gfxdata="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s00Smb0AAADdAAAADwAAAAAAAAABACAAAAAiAAAAZHJzL2Rvd25yZXYueG1s&#10;UEsBAhQAFAAAAAgAh07iQDMvBZ47AAAAOQAAABUAAAAAAAAAAQAgAAAADAEAAGRycy9ncm91cHNo&#10;YXBleG1sLnhtbFBLBQYAAAAABgAGAGABAADJAwAAAAA=&#10;">
                  <o:lock v:ext="edit" aspectratio="f"/>
                  <v:line id="直线 767" o:spid="_x0000_s1026" o:spt="20" style="position:absolute;left:2426;top:13228;height:435;width:0;" filled="f" stroked="t" coordsize="21600,21600" o:gfxdata="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cBy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768" o:spid="_x0000_s1026" o:spt="20" style="position:absolute;left:2542;top:13228;height:285;width:0;" filled="f" stroked="t" coordsize="21600,21600" o:gfxdata="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tWXp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group>
                <v:line id="直线 769" o:spid="_x0000_s1026" o:spt="20" style="position:absolute;left:3089;top:12546;height:617;width:0;" filled="f" stroked="t" coordsize="21600,21600" o:gfxdata="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flI&#10;6MEAAADdAAAADwAAAAAAAAABACAAAAAiAAAAZHJzL2Rvd25yZXYueG1sUEsBAhQAFAAAAAgAh07i&#10;QDMvBZ47AAAAOQAAABAAAAAAAAAAAQAgAAAAEAEAAGRycy9zaGFwZXhtbC54bWxQSwUGAAAAAAYA&#10;BgBbAQAAugMAAAAA&#10;">
                  <v:fill on="f" focussize="0,0"/>
                  <v:stroke weight="0.5pt" color="#000000" joinstyle="round" endarrow="classic" endarrowwidth="narrow" endarrowlength="long"/>
                  <v:imagedata o:title=""/>
                  <o:lock v:ext="edit" aspectratio="f"/>
                </v:line>
                <v:line id="直线 770" o:spid="_x0000_s1026" o:spt="20" style="position:absolute;left:4487;top:12546;height:446;width:0;" filled="f" stroked="t" coordsize="21600,21600" o:gfxdata="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yGFF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71" o:spid="_x0000_s1026" o:spt="20" style="position:absolute;left:5930;top:12546;height:446;width:0;" filled="f" stroked="t" coordsize="21600,21600" o:gfxdata="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hMTe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72" o:spid="_x0000_s1026" o:spt="20" style="position:absolute;left:7362;top:12546;height:446;width:0;" filled="f" stroked="t" coordsize="21600,21600" o:gfxdata="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bVyq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73" o:spid="_x0000_s1026" o:spt="20" style="position:absolute;left:4487;top:12841;height:0;width:1443;" filled="f" stroked="t" coordsize="21600,21600" o:gfxdata="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pMEO/&#10;AAAA3QAAAA8AAAAAAAAAAQAgAAAAIgAAAGRycy9kb3ducmV2LnhtbFBLAQIUABQAAAAIAIdO4kAz&#10;LwWeOwAAADkAAAAQAAAAAAAAAAEAIAAAAA4BAABkcnMvc2hhcGV4bWwueG1sUEsFBgAAAAAGAAYA&#10;WwEAALgDAAAAAA==&#10;">
                  <v:fill on="f" focussize="0,0"/>
                  <v:stroke weight="0.5pt" color="#000000" joinstyle="round" startarrow="classic" startarrowwidth="narrow" startarrowlength="long" endarrow="classic" endarrowwidth="narrow" endarrowlength="long"/>
                  <v:imagedata o:title=""/>
                  <o:lock v:ext="edit" aspectratio="f"/>
                </v:line>
                <v:line id="直线 774" o:spid="_x0000_s1026" o:spt="20" style="position:absolute;left:5948;top:12841;height:0;width:1443;" filled="f" stroked="t" coordsize="21600,21600" o:gfxdata="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u640&#10;wAAAAN0AAAAPAAAAAAAAAAEAIAAAACIAAABkcnMvZG93bnJldi54bWxQSwECFAAUAAAACACHTuJA&#10;My8FnjsAAAA5AAAAEAAAAAAAAAABACAAAAAPAQAAZHJzL3NoYXBleG1sLnhtbFBLBQYAAAAABgAG&#10;AFsBAAC5AwAAAAA=&#10;">
                  <v:fill on="f" focussize="0,0"/>
                  <v:stroke weight="0.5pt" color="#000000" joinstyle="round" startarrow="classic" startarrowwidth="narrow" startarrowlength="long" endarrow="classic" endarrowwidth="narrow" endarrowlength="long"/>
                  <v:imagedata o:title=""/>
                  <o:lock v:ext="edit" aspectratio="f"/>
                </v:line>
                <v:line id="直线 775" o:spid="_x0000_s1026" o:spt="20" style="position:absolute;left:5289;top:11774;height:0;width:502;" filled="f" stroked="t" coordsize="21600,21600" o:gfxdata="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v8Ld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76" o:spid="_x0000_s1026" o:spt="20" style="position:absolute;left:5303;top:12501;height:0;width:502;" filled="f" stroked="t" coordsize="21600,21600" o:gfxdata="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sgVq+5AAAA3Q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line>
                <v:line id="直线 777" o:spid="_x0000_s1026" o:spt="20" style="position:absolute;left:6099;top:11774;height:0;width:502;" filled="f" stroked="t" coordsize="21600,21600" o:gfxdata="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bPM0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78" o:spid="_x0000_s1026" o:spt="20" style="position:absolute;left:6085;top:12501;height:0;width:502;" filled="f" stroked="t" coordsize="21600,21600" o:gfxdata="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OpAUugAAAN0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line>
                <v:line id="直线 779" o:spid="_x0000_s1026" o:spt="20" style="position:absolute;left:5496;top:11774;height:727;width:0;" filled="f" stroked="t" coordsize="21600,21600" o:gfxdata="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P2/&#10;AAAA3QAAAA8AAAAAAAAAAQAgAAAAIgAAAGRycy9kb3ducmV2LnhtbFBLAQIUABQAAAAIAIdO4kAz&#10;LwWeOwAAADkAAAAQAAAAAAAAAAEAIAAAAA4BAABkcnMvc2hhcGV4bWwueG1sUEsFBgAAAAAGAAYA&#10;WwEAALgDAAAAAA==&#10;">
                  <v:fill on="f" focussize="0,0"/>
                  <v:stroke weight="0.5pt" color="#000000" joinstyle="round" startarrow="classic" startarrowwidth="narrow" startarrowlength="long" endarrow="classic" endarrowwidth="narrow" endarrowlength="long"/>
                  <v:imagedata o:title=""/>
                  <o:lock v:ext="edit" aspectratio="f"/>
                </v:line>
                <v:line id="直线 780" o:spid="_x0000_s1026" o:spt="20" style="position:absolute;left:6396;top:11774;height:727;width:0;" filled="f" stroked="t" coordsize="21600,21600" o:gfxdata="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7GKK&#10;wAAAAN0AAAAPAAAAAAAAAAEAIAAAACIAAABkcnMvZG93bnJldi54bWxQSwECFAAUAAAACACHTuJA&#10;My8FnjsAAAA5AAAAEAAAAAAAAAABACAAAAAPAQAAZHJzL3NoYXBleG1sLnhtbFBLBQYAAAAABgAG&#10;AFsBAAC5AwAAAAA=&#10;">
                  <v:fill on="f" focussize="0,0"/>
                  <v:stroke weight="0.5pt" color="#000000" joinstyle="round" startarrow="classic" startarrowwidth="narrow" startarrowlength="long" endarrow="classic" endarrowwidth="narrow" endarrowlength="long"/>
                  <v:imagedata o:title=""/>
                  <o:lock v:ext="edit" aspectratio="f"/>
                </v:line>
                <v:line id="直线 781" o:spid="_x0000_s1026" o:spt="20" style="position:absolute;left:7362;top:8905;height:345;width:0;" filled="f" stroked="t" coordsize="21600,21600" o:gfxdata="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6A5j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82" o:spid="_x0000_s1026" o:spt="20" style="position:absolute;left:7615;top:8905;height:345;width:0;" filled="f" stroked="t" coordsize="21600,21600" o:gfxdata="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AZYXvQAA&#10;AN0AAAAPAAAAAAAAAAEAIAAAACIAAABkcnMvZG93bnJldi54bWxQSwECFAAUAAAACACHTuJAMy8F&#10;njsAAAA5AAAAEAAAAAAAAAABACAAAAAMAQAAZHJzL3NoYXBleG1sLnhtbFBLBQYAAAAABgAGAFsB&#10;AAC2AwAAAAA=&#10;">
                  <v:fill on="f" focussize="0,0"/>
                  <v:stroke weight="0.5pt" color="#000000" joinstyle="round"/>
                  <v:imagedata o:title=""/>
                  <o:lock v:ext="edit" aspectratio="f"/>
                </v:line>
                <v:line id="直线 783" o:spid="_x0000_s1026" o:spt="20" style="position:absolute;left:7362;top:9090;height:0;width:253;" filled="f" stroked="t" coordsize="21600,21600" o:gfxdata="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6+aNL4A&#10;AADdAAAADwAAAAAAAAABACAAAAAiAAAAZHJzL2Rvd25yZXYueG1sUEsBAhQAFAAAAAgAh07iQDMv&#10;BZ47AAAAOQAAABAAAAAAAAAAAQAgAAAADQEAAGRycy9zaGFwZXhtbC54bWxQSwUGAAAAAAYABgBb&#10;AQAAtwMAAAAA&#10;">
                  <v:fill on="f" focussize="0,0"/>
                  <v:stroke weight="0.5pt" color="#000000" joinstyle="round" startarrow="classic" startarrowwidth="narrow" endarrow="classic" endarrowwidth="narrow"/>
                  <v:imagedata o:title=""/>
                  <o:lock v:ext="edit" aspectratio="f"/>
                </v:line>
                <v:line id="直线 784" o:spid="_x0000_s1026" o:spt="20" style="position:absolute;left:8229;top:9674;height:0;width:1351;" filled="f" stroked="t" coordsize="21600,21600" o:gfxdata="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frfu8AAAA&#10;3Q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line>
                <v:line id="直线 785" o:spid="_x0000_s1026" o:spt="20" style="position:absolute;left:9437;top:9311;height:366;width:0;" filled="f" stroked="t" coordsize="21600,21600" o:gfxdata="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0Jxm&#10;wAAAAN0AAAAPAAAAAAAAAAEAIAAAACIAAABkcnMvZG93bnJldi54bWxQSwECFAAUAAAACACHTuJA&#10;My8FnjsAAAA5AAAAEAAAAAAAAAABACAAAAAPAQAAZHJzL3NoYXBleG1sLnhtbFBLBQYAAAAABgAG&#10;AFsBAAC5AwAAAAA=&#10;">
                  <v:fill on="f" focussize="0,0"/>
                  <v:stroke weight="0.5pt" color="#000000" joinstyle="round" startarrow="classic" endarrow="classic"/>
                  <v:imagedata o:title=""/>
                  <o:lock v:ext="edit" aspectratio="f"/>
                </v:line>
              </v:group>
            </w:pict>
          </mc:Fallback>
        </mc:AlternateContent>
      </w:r>
    </w:p>
    <w:p w14:paraId="599FE007">
      <w:pPr>
        <w:pStyle w:val="178"/>
        <w:ind w:left="0" w:leftChars="0" w:firstLine="0" w:firstLineChars="0"/>
        <w:rPr>
          <w:rFonts w:hint="default" w:cs="Times New Roman" w:asciiTheme="minorEastAsia" w:hAnsiTheme="minorEastAsia" w:eastAsiaTheme="minorEastAsia"/>
          <w:szCs w:val="24"/>
          <w:highlight w:val="none"/>
          <w:lang w:val="en-US" w:eastAsia="zh-CN"/>
        </w:rPr>
      </w:pPr>
    </w:p>
    <w:p w14:paraId="70B48503">
      <w:pPr>
        <w:pStyle w:val="178"/>
        <w:rPr>
          <w:rFonts w:hint="default" w:cs="Times New Roman" w:asciiTheme="minorEastAsia" w:hAnsiTheme="minorEastAsia" w:eastAsiaTheme="minorEastAsia"/>
          <w:szCs w:val="24"/>
          <w:highlight w:val="none"/>
          <w:lang w:val="en-US" w:eastAsia="zh-CN"/>
        </w:rPr>
      </w:pPr>
    </w:p>
    <w:p w14:paraId="0CAAA158">
      <w:pPr>
        <w:pStyle w:val="178"/>
        <w:rPr>
          <w:rFonts w:hint="default" w:cs="Times New Roman" w:asciiTheme="minorEastAsia" w:hAnsiTheme="minorEastAsia" w:eastAsiaTheme="minorEastAsia"/>
          <w:szCs w:val="24"/>
          <w:highlight w:val="none"/>
          <w:lang w:val="en-US" w:eastAsia="zh-CN"/>
        </w:rPr>
      </w:pPr>
    </w:p>
    <w:p w14:paraId="60EE3F30">
      <w:pPr>
        <w:pStyle w:val="178"/>
        <w:rPr>
          <w:rFonts w:hint="default" w:cs="Times New Roman" w:asciiTheme="minorEastAsia" w:hAnsiTheme="minorEastAsia" w:eastAsiaTheme="minorEastAsia"/>
          <w:szCs w:val="24"/>
          <w:highlight w:val="none"/>
          <w:lang w:val="en-US" w:eastAsia="zh-CN"/>
        </w:rPr>
      </w:pPr>
    </w:p>
    <w:p w14:paraId="046A566E">
      <w:pPr>
        <w:pStyle w:val="178"/>
        <w:rPr>
          <w:rFonts w:hint="default" w:cs="Times New Roman" w:asciiTheme="minorEastAsia" w:hAnsiTheme="minorEastAsia" w:eastAsiaTheme="minorEastAsia"/>
          <w:szCs w:val="24"/>
          <w:highlight w:val="none"/>
          <w:lang w:val="en-US" w:eastAsia="zh-CN"/>
        </w:rPr>
      </w:pPr>
    </w:p>
    <w:p w14:paraId="0F0B28E4">
      <w:pPr>
        <w:pStyle w:val="178"/>
        <w:rPr>
          <w:rFonts w:hint="default" w:cs="Times New Roman" w:asciiTheme="minorEastAsia" w:hAnsiTheme="minorEastAsia" w:eastAsiaTheme="minorEastAsia"/>
          <w:szCs w:val="24"/>
          <w:highlight w:val="none"/>
          <w:lang w:val="en-US" w:eastAsia="zh-CN"/>
        </w:rPr>
      </w:pPr>
    </w:p>
    <w:p w14:paraId="27A21F28">
      <w:pPr>
        <w:pStyle w:val="178"/>
        <w:rPr>
          <w:rFonts w:hint="default" w:cs="Times New Roman" w:asciiTheme="minorEastAsia" w:hAnsiTheme="minorEastAsia" w:eastAsiaTheme="minorEastAsia"/>
          <w:szCs w:val="24"/>
          <w:highlight w:val="none"/>
          <w:lang w:val="en-US" w:eastAsia="zh-CN"/>
        </w:rPr>
      </w:pPr>
    </w:p>
    <w:p w14:paraId="1AF313BA">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图8.14 宽孔距小排距·梅花形爆破炮孔平面布置图</w:t>
      </w:r>
    </w:p>
    <w:p w14:paraId="31388328">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1.3.1施工工序</w:t>
      </w:r>
    </w:p>
    <w:p w14:paraId="0146C19E">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施爆区管线调查→爆破设计与设计审批→配备专业施爆人员→爆区放样→用机械或人工清除施爆区覆盖层和强风化岩面→放样与布孔→钻孔→爆破器材检查与测验→炮孔检查与废渣清除→装药并安装引爆器材→布置安全岗和撤出施爆区及飞石、场地震波影响区内的人、畜→起爆→清除瞎炮→解除警戒→测定爆破效果（包括飞石、地震波对施爆区内外构成损伤及损失）→装、运石方与整修边坡→降底至设计高程</w:t>
      </w:r>
    </w:p>
    <w:p w14:paraId="27399A34">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1.3.2施工准备工作</w:t>
      </w:r>
    </w:p>
    <w:p w14:paraId="5F53163C">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（1）施工准备</w:t>
      </w:r>
    </w:p>
    <w:p w14:paraId="64808972">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爆破施工前，在全面熟悉设计文件和设计交底的基础上，进行现场核对和施工调查，发现问题时根据有关程序提出修改意见报请变更设计。</w:t>
      </w:r>
    </w:p>
    <w:p w14:paraId="3E76ED5A">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根据现场收集到的情况、核实的工程数量，按工期要求、施工难易程度和人员、设备、材料准备情况，编制实施性的施工组织设计，报现场监理工程师、业主以及公安部门批准，并及时提出开工报告。</w:t>
      </w:r>
    </w:p>
    <w:p w14:paraId="618179DE">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向爆破作业影响范围所涉及的部门通报爆破施工概况，并征询相关部门的意见，确保施工顺利进行。</w:t>
      </w:r>
    </w:p>
    <w:p w14:paraId="7EC55248">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（2）爆破环境复查</w:t>
      </w:r>
    </w:p>
    <w:p w14:paraId="7B8EE436">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详细调查与复查各石方爆破段空中、地面、地下构筑物类型、结构、完整程度及其距开挖界距离。重要地段施工前， 实测与地质、 地形有关的爆破震动参数（K、σ）。</w:t>
      </w:r>
    </w:p>
    <w:p w14:paraId="6C94562A">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（3）钻孔、装药与堵塞</w:t>
      </w:r>
    </w:p>
    <w:p w14:paraId="62F820CB">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①钻孔与检查</w:t>
      </w:r>
    </w:p>
    <w:p w14:paraId="21BA8FB9">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严格按照设计布孔、钻孔，装药前必须检查孔位、深度、倾角是否符合设计要求，孔内有无堵塞、孔壁是否有掉块以及孔内有无积水。如发现孔位和深度不符合设计要求时，及时处理，进行补孔或透孔，严禁少打眼，多装药。</w:t>
      </w:r>
    </w:p>
    <w:p w14:paraId="000B63AF">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孔口周围的碎石、杂物清除干净，对于孔口岩石破碎不稳固段，应进行维护，避免孔口形成喇叭状。钻孔结束后应封盖孔口或设立标志。</w:t>
      </w:r>
    </w:p>
    <w:p w14:paraId="772D404F">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②装药、堵塞</w:t>
      </w:r>
    </w:p>
    <w:p w14:paraId="44337F89">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严格按设计装药、堵塞炮孔。装药过程如发现堵塞时应停止装药并及时处理。在未装入雷管或起爆药柱等敏感的爆破器材以前，可用木制长杆处理，严禁用钻具处理装药堵塞的炮孔，堵塞应达到设计要求的长度，严禁不堵塞而进行爆破，禁止使用石块和易燃材料堵塞炮孔，在有水炮孔堵塞时，应防止堵塞悬空。</w:t>
      </w:r>
    </w:p>
    <w:p w14:paraId="1A1825E6">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（4）爆破网路敷设与起爆</w:t>
      </w:r>
    </w:p>
    <w:p w14:paraId="7CB4CF0E">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①网路敷设前应检验起爆器材的质量、数量、段别，并编号、分类，严格按设计敷设网路。</w:t>
      </w:r>
    </w:p>
    <w:p w14:paraId="18C14529">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②起爆30分钟后，待技术人员和安全员检查爆后情况，确认无瞎炮以及其它不安全隐患时，方可解除警戒。</w:t>
      </w:r>
    </w:p>
    <w:p w14:paraId="319505F9">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5）装运作业</w:t>
      </w:r>
    </w:p>
    <w:p w14:paraId="2A5746A3">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本标段石方爆破石方为利用方，石方的装运采用挖掘机装石，自卸汽车运输至填筑段。对于体积过大的石头，在装运前爆破解体；在填筑区配备专人对粒径超标的石块进行解体。</w:t>
      </w:r>
    </w:p>
    <w:p w14:paraId="1E67ABD6">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1.3.3控制爆破要求</w:t>
      </w:r>
    </w:p>
    <w:p w14:paraId="07D99FCF">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（1）严格控制爆破飞石范围、空气冲击波强度、地震波效应，确保周围建筑物、人畜、光缆、高压输电线及公路行车的安全。</w:t>
      </w:r>
    </w:p>
    <w:p w14:paraId="637977E1">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（2）维护边坡稳定，减少爆破对边坡的破坏以及诱发滑坡的可能性。</w:t>
      </w:r>
    </w:p>
    <w:p w14:paraId="1CDE8C18">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（3）控制爆破块度，尽量减少二次破碎工作量，提高装运效率，并最大限度地满足移挖作填需要。</w:t>
      </w:r>
    </w:p>
    <w:p w14:paraId="17D8C3F1">
      <w:pPr>
        <w:pStyle w:val="178"/>
        <w:rPr>
          <w:rFonts w:hint="default"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（4）控制爆破噪音和次数，以减轻村民对爆破的恐惧和惊慌，减少辅助工时，提高施工速度。</w:t>
      </w:r>
    </w:p>
    <w:p w14:paraId="0B6683C1">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1.4土石方挖运方案</w:t>
      </w:r>
    </w:p>
    <w:p w14:paraId="1C703EE3">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爆破施工与土石方挖运同步进行，即采取边挖运边爆破的配合方式进行，每一区段爆破后，将各路钻爆破工具、机械运至下一作业区区段的顶面上，开始钻孔作业，爆破完成的作业区采用挖掘机、自卸汽车挖运土石方至填方路段填筑。在爆破施工时，要确保高速公路双向四车道不间断运营，爆破石碴不能直接抛掷至路堑下，且爆破在靠近高速公路一侧要预留防护墙、靠近山体一侧预留光面爆破层，中间爆破宽度较窄，空运输车需要倒车进入爆破区装料，正向开出运走。</w:t>
      </w:r>
    </w:p>
    <w:p w14:paraId="4AC6E797">
      <w:pPr>
        <w:pStyle w:val="178"/>
        <w:ind w:left="0" w:leftChars="0" w:firstLine="0" w:firstLineChars="0"/>
        <w:rPr>
          <w:rFonts w:hint="eastAsia" w:cs="Times New Roman" w:asciiTheme="minorEastAsia" w:hAnsiTheme="minorEastAsia" w:eastAsiaTheme="minorEastAsia"/>
          <w:szCs w:val="24"/>
          <w:highlight w:val="none"/>
          <w:lang w:val="en-US" w:eastAsia="zh-CN"/>
        </w:rPr>
      </w:pPr>
      <w:r>
        <w:rPr>
          <w:rFonts w:hint="default" w:cs="Times New Roman" w:asciiTheme="minorEastAsia" w:hAnsiTheme="minorEastAsia" w:eastAsiaTheme="minorEastAsia"/>
          <w:szCs w:val="24"/>
          <w:highlight w:val="none"/>
          <w:lang w:val="en-US" w:eastAsia="zh-CN"/>
        </w:rPr>
        <w:drawing>
          <wp:inline distT="0" distB="0" distL="114300" distR="114300">
            <wp:extent cx="5268595" cy="2550795"/>
            <wp:effectExtent l="0" t="0" r="4445" b="9525"/>
            <wp:docPr id="15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33"/>
                    <pic:cNvPicPr>
                      <a:picLocks noChangeAspect="1"/>
                    </pic:cNvPicPr>
                  </pic:nvPicPr>
                  <pic:blipFill>
                    <a:blip r:embed="rId50"/>
                    <a:stretch>
                      <a:fillRect/>
                    </a:stretch>
                  </pic:blipFill>
                  <pic:spPr>
                    <a:xfrm>
                      <a:off x="0" y="0"/>
                      <a:ext cx="5268595" cy="2550795"/>
                    </a:xfrm>
                    <a:prstGeom prst="rect">
                      <a:avLst/>
                    </a:prstGeom>
                    <a:noFill/>
                    <a:ln>
                      <a:noFill/>
                    </a:ln>
                  </pic:spPr>
                </pic:pic>
              </a:graphicData>
            </a:graphic>
          </wp:inline>
        </w:drawing>
      </w:r>
    </w:p>
    <w:p w14:paraId="41907436">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图8.15高速公路拓宽爆破土石方挖运平面示意图</w:t>
      </w:r>
    </w:p>
    <w:p w14:paraId="62DDBC99">
      <w:pPr>
        <w:pStyle w:val="5"/>
        <w:rPr>
          <w:rFonts w:asciiTheme="minorEastAsia" w:hAnsiTheme="minorEastAsia" w:eastAsiaTheme="minorEastAsia"/>
          <w:color w:val="auto"/>
          <w:highlight w:val="none"/>
        </w:rPr>
      </w:pPr>
      <w:bookmarkStart w:id="792" w:name="_Toc17247"/>
      <w:bookmarkStart w:id="793" w:name="_Toc11898"/>
      <w:r>
        <w:rPr>
          <w:rFonts w:hint="eastAsia" w:asciiTheme="minorEastAsia" w:hAnsiTheme="minorEastAsia" w:eastAsiaTheme="minorEastAsia"/>
          <w:color w:val="auto"/>
          <w:highlight w:val="none"/>
          <w:lang w:val="en-US" w:eastAsia="zh-CN"/>
        </w:rPr>
        <w:t>8.1.2</w:t>
      </w:r>
      <w:r>
        <w:rPr>
          <w:rFonts w:hint="eastAsia" w:asciiTheme="minorEastAsia" w:hAnsiTheme="minorEastAsia" w:eastAsiaTheme="minorEastAsia"/>
          <w:color w:val="auto"/>
          <w:highlight w:val="none"/>
        </w:rPr>
        <w:t>填方路基</w:t>
      </w:r>
      <w:bookmarkEnd w:id="790"/>
      <w:bookmarkEnd w:id="791"/>
      <w:bookmarkEnd w:id="792"/>
      <w:bookmarkEnd w:id="793"/>
    </w:p>
    <w:p w14:paraId="61B5F7F4">
      <w:pPr>
        <w:keepNext w:val="0"/>
        <w:keepLines w:val="0"/>
        <w:widowControl/>
        <w:suppressLineNumbers w:val="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1、填土路基</w:t>
      </w:r>
    </w:p>
    <w:p w14:paraId="735F02FB">
      <w:pPr>
        <w:keepNext w:val="0"/>
        <w:keepLines w:val="0"/>
        <w:widowControl/>
        <w:suppressLineNumbers w:val="0"/>
        <w:jc w:val="left"/>
      </w:pPr>
      <w:r>
        <w:rPr>
          <w:rFonts w:hint="eastAsia" w:ascii="宋体" w:hAnsi="宋体" w:eastAsia="宋体" w:cs="宋体"/>
          <w:color w:val="000000"/>
          <w:kern w:val="0"/>
          <w:sz w:val="24"/>
          <w:szCs w:val="24"/>
          <w:lang w:val="en-US" w:eastAsia="zh-CN" w:bidi="ar"/>
        </w:rPr>
        <w:t>路堤宜选用级配较好的砾类土、砂类土等粗粒土作为填料，填料最大粒径应小于</w:t>
      </w:r>
      <w:r>
        <w:rPr>
          <w:rFonts w:hint="default" w:ascii="Times New Roman" w:hAnsi="Times New Roman" w:eastAsia="宋体" w:cs="Times New Roman"/>
          <w:color w:val="000000"/>
          <w:kern w:val="0"/>
          <w:sz w:val="24"/>
          <w:szCs w:val="24"/>
          <w:lang w:val="en-US" w:eastAsia="zh-CN" w:bidi="ar"/>
        </w:rPr>
        <w:t>150mm</w:t>
      </w:r>
      <w:r>
        <w:rPr>
          <w:rFonts w:hint="eastAsia" w:ascii="宋体" w:hAnsi="宋体" w:eastAsia="宋体" w:cs="宋体"/>
          <w:color w:val="000000"/>
          <w:kern w:val="0"/>
          <w:sz w:val="24"/>
          <w:szCs w:val="24"/>
          <w:lang w:val="en-US" w:eastAsia="zh-CN" w:bidi="ar"/>
        </w:rPr>
        <w:t xml:space="preserve">。 泥炭、淤泥、强膨胀土、有机土及易溶盐超过允许含量的土等，不得直接用于填筑路堤。浸水部分的路堤应采用透水性好的材料填筑（例如：硬质岩、砂砾、中粗砂等）。 </w:t>
      </w:r>
    </w:p>
    <w:p w14:paraId="4D3F667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路基压实要求采用重型击实标准，施工时检验填土压实是否达到设计要求，可根据不同 种类填土的最大干密度和最佳含水量检查控制填土密实度和含水量，正确选择和使用压实机械。路基压实度应符合表 </w:t>
      </w:r>
      <w:r>
        <w:rPr>
          <w:rFonts w:hint="eastAsia" w:ascii="Times New Roman" w:hAnsi="Times New Roman" w:eastAsia="宋体"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 xml:space="preserve">.2 </w:t>
      </w:r>
      <w:r>
        <w:rPr>
          <w:rFonts w:hint="eastAsia" w:ascii="宋体" w:hAnsi="宋体" w:eastAsia="宋体" w:cs="宋体"/>
          <w:color w:val="000000"/>
          <w:kern w:val="0"/>
          <w:sz w:val="24"/>
          <w:szCs w:val="24"/>
          <w:lang w:val="en-US" w:eastAsia="zh-CN" w:bidi="ar"/>
        </w:rPr>
        <w:t xml:space="preserve">规定。 </w:t>
      </w:r>
    </w:p>
    <w:p w14:paraId="2D9C4D5A">
      <w:pPr>
        <w:keepNext w:val="0"/>
        <w:keepLines w:val="0"/>
        <w:widowControl/>
        <w:suppressLineNumbers w:val="0"/>
        <w:jc w:val="left"/>
        <w:rPr>
          <w:rFonts w:hint="eastAsia" w:ascii="黑体" w:hAnsi="宋体" w:eastAsia="黑体" w:cs="黑体"/>
          <w:b/>
          <w:bCs/>
          <w:color w:val="000000"/>
          <w:kern w:val="0"/>
          <w:sz w:val="20"/>
          <w:szCs w:val="20"/>
          <w:lang w:val="en-US" w:eastAsia="zh-CN" w:bidi="ar"/>
        </w:rPr>
      </w:pPr>
      <w:r>
        <w:rPr>
          <w:rFonts w:ascii="黑体" w:hAnsi="宋体" w:eastAsia="黑体" w:cs="黑体"/>
          <w:b/>
          <w:bCs/>
          <w:color w:val="000000"/>
          <w:kern w:val="0"/>
          <w:sz w:val="20"/>
          <w:szCs w:val="20"/>
          <w:lang w:val="en-US" w:eastAsia="zh-CN" w:bidi="ar"/>
        </w:rPr>
        <w:t xml:space="preserve">表 </w:t>
      </w:r>
      <w:r>
        <w:rPr>
          <w:rFonts w:hint="eastAsia" w:ascii="TimesNewRomanPS-BoldMT" w:hAnsi="TimesNewRomanPS-BoldMT" w:eastAsia="TimesNewRomanPS-BoldMT" w:cs="TimesNewRomanPS-BoldMT"/>
          <w:b/>
          <w:bCs/>
          <w:color w:val="000000"/>
          <w:kern w:val="0"/>
          <w:sz w:val="20"/>
          <w:szCs w:val="20"/>
          <w:lang w:val="en-US" w:eastAsia="zh-CN" w:bidi="ar"/>
        </w:rPr>
        <w:t>8</w:t>
      </w:r>
      <w:r>
        <w:rPr>
          <w:rFonts w:ascii="TimesNewRomanPS-BoldMT" w:hAnsi="TimesNewRomanPS-BoldMT" w:eastAsia="TimesNewRomanPS-BoldMT" w:cs="TimesNewRomanPS-BoldMT"/>
          <w:b/>
          <w:bCs/>
          <w:color w:val="000000"/>
          <w:kern w:val="0"/>
          <w:sz w:val="20"/>
          <w:szCs w:val="20"/>
          <w:lang w:val="en-US" w:eastAsia="zh-CN" w:bidi="ar"/>
        </w:rPr>
        <w:t xml:space="preserve">.2 </w:t>
      </w:r>
      <w:r>
        <w:rPr>
          <w:rFonts w:hint="eastAsia" w:ascii="黑体" w:hAnsi="宋体" w:eastAsia="黑体" w:cs="黑体"/>
          <w:b/>
          <w:bCs/>
          <w:color w:val="000000"/>
          <w:kern w:val="0"/>
          <w:sz w:val="20"/>
          <w:szCs w:val="20"/>
          <w:lang w:val="en-US" w:eastAsia="zh-CN" w:bidi="ar"/>
        </w:rPr>
        <w:t>路床土最小强度和压实度要求</w:t>
      </w:r>
    </w:p>
    <w:p w14:paraId="32824125">
      <w:pPr>
        <w:keepNext w:val="0"/>
        <w:keepLines w:val="0"/>
        <w:widowControl/>
        <w:suppressLineNumbers w:val="0"/>
        <w:ind w:left="0" w:leftChars="0" w:firstLine="0" w:firstLineChars="0"/>
        <w:jc w:val="left"/>
      </w:pPr>
      <w:r>
        <w:drawing>
          <wp:inline distT="0" distB="0" distL="114300" distR="114300">
            <wp:extent cx="5277485" cy="1425575"/>
            <wp:effectExtent l="0" t="0" r="10795" b="6985"/>
            <wp:docPr id="222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图片 50"/>
                    <pic:cNvPicPr>
                      <a:picLocks noChangeAspect="1"/>
                    </pic:cNvPicPr>
                  </pic:nvPicPr>
                  <pic:blipFill>
                    <a:blip r:embed="rId51"/>
                    <a:stretch>
                      <a:fillRect/>
                    </a:stretch>
                  </pic:blipFill>
                  <pic:spPr>
                    <a:xfrm>
                      <a:off x="0" y="0"/>
                      <a:ext cx="5277485" cy="1425575"/>
                    </a:xfrm>
                    <a:prstGeom prst="rect">
                      <a:avLst/>
                    </a:prstGeom>
                    <a:noFill/>
                    <a:ln>
                      <a:noFill/>
                    </a:ln>
                  </pic:spPr>
                </pic:pic>
              </a:graphicData>
            </a:graphic>
          </wp:inline>
        </w:drawing>
      </w:r>
    </w:p>
    <w:p w14:paraId="1B58BF0C">
      <w:pPr>
        <w:keepNext w:val="0"/>
        <w:keepLines w:val="0"/>
        <w:widowControl/>
        <w:suppressLineNumbers w:val="0"/>
        <w:jc w:val="left"/>
      </w:pPr>
      <w:r>
        <w:rPr>
          <w:rFonts w:hint="eastAsia"/>
          <w:lang w:val="en-US" w:eastAsia="zh-CN"/>
        </w:rPr>
        <w:t>2、</w:t>
      </w:r>
      <w:r>
        <w:rPr>
          <w:rFonts w:hint="eastAsia" w:ascii="宋体" w:hAnsi="宋体" w:eastAsia="宋体" w:cs="宋体"/>
          <w:b/>
          <w:bCs/>
          <w:color w:val="000000"/>
          <w:kern w:val="0"/>
          <w:sz w:val="24"/>
          <w:szCs w:val="24"/>
          <w:lang w:val="en-US" w:eastAsia="zh-CN" w:bidi="ar"/>
        </w:rPr>
        <w:t xml:space="preserve">填石路堤 </w:t>
      </w:r>
    </w:p>
    <w:p w14:paraId="5DA8285B">
      <w:pPr>
        <w:keepNext w:val="0"/>
        <w:keepLines w:val="0"/>
        <w:widowControl/>
        <w:suppressLineNumbers w:val="0"/>
        <w:jc w:val="left"/>
      </w:pPr>
      <w:r>
        <w:rPr>
          <w:rFonts w:hint="eastAsia" w:ascii="宋体" w:hAnsi="宋体" w:eastAsia="宋体" w:cs="宋体"/>
          <w:color w:val="000000"/>
          <w:kern w:val="0"/>
          <w:sz w:val="24"/>
          <w:szCs w:val="24"/>
          <w:lang w:val="en-US" w:eastAsia="zh-CN" w:bidi="ar"/>
        </w:rPr>
        <w:t>利用挖方石料填筑路基时，应按填石路堤压实标准进行控制。 填石路堤按不同强度的石料，应分别采用不同的填筑层厚和压实控制标准。填石路堤的压实质量标准宜用孔隙率作为控制指标，并符合以下的技术要求：</w:t>
      </w:r>
    </w:p>
    <w:p w14:paraId="39BEF551">
      <w:pPr>
        <w:keepNext w:val="0"/>
        <w:keepLines w:val="0"/>
        <w:widowControl/>
        <w:suppressLineNumbers w:val="0"/>
        <w:ind w:left="0" w:leftChars="0" w:firstLine="240" w:firstLineChars="100"/>
        <w:jc w:val="left"/>
        <w:rPr>
          <w:rFonts w:hint="default"/>
          <w:lang w:val="en-US" w:eastAsia="zh-CN"/>
        </w:rPr>
      </w:pPr>
      <w:r>
        <w:drawing>
          <wp:inline distT="0" distB="0" distL="114300" distR="114300">
            <wp:extent cx="5077460" cy="2831465"/>
            <wp:effectExtent l="0" t="0" r="12700" b="3175"/>
            <wp:docPr id="222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图片 51"/>
                    <pic:cNvPicPr>
                      <a:picLocks noChangeAspect="1"/>
                    </pic:cNvPicPr>
                  </pic:nvPicPr>
                  <pic:blipFill>
                    <a:blip r:embed="rId52"/>
                    <a:stretch>
                      <a:fillRect/>
                    </a:stretch>
                  </pic:blipFill>
                  <pic:spPr>
                    <a:xfrm>
                      <a:off x="0" y="0"/>
                      <a:ext cx="5077460" cy="2831465"/>
                    </a:xfrm>
                    <a:prstGeom prst="rect">
                      <a:avLst/>
                    </a:prstGeom>
                    <a:noFill/>
                    <a:ln>
                      <a:noFill/>
                    </a:ln>
                  </pic:spPr>
                </pic:pic>
              </a:graphicData>
            </a:graphic>
          </wp:inline>
        </w:drawing>
      </w:r>
    </w:p>
    <w:p w14:paraId="309567D9">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当采用孔隙率作为压实质量的控制指标有困难时，填石路堤的压实质量也可以用压实沉降差进行控制。若采用压实沉降差进行控制，建议对压实沉降差检测采用如下标准：压实沉 降差为采用施工碾压时的重型振动压路机（</w:t>
      </w:r>
      <w:r>
        <w:rPr>
          <w:rFonts w:hint="default" w:ascii="Times New Roman" w:hAnsi="Times New Roman" w:eastAsia="宋体" w:cs="Times New Roman"/>
          <w:color w:val="000000"/>
          <w:kern w:val="0"/>
          <w:sz w:val="24"/>
          <w:szCs w:val="24"/>
          <w:lang w:val="en-US" w:eastAsia="zh-CN" w:bidi="ar"/>
        </w:rPr>
        <w:t xml:space="preserve">20t </w:t>
      </w:r>
      <w:r>
        <w:rPr>
          <w:rFonts w:hint="eastAsia" w:ascii="宋体" w:hAnsi="宋体" w:eastAsia="宋体" w:cs="宋体"/>
          <w:color w:val="000000"/>
          <w:kern w:val="0"/>
          <w:sz w:val="24"/>
          <w:szCs w:val="24"/>
          <w:lang w:val="en-US" w:eastAsia="zh-CN" w:bidi="ar"/>
        </w:rPr>
        <w:t>以上）按规定碾压参数（强振，</w:t>
      </w:r>
      <w:r>
        <w:rPr>
          <w:rFonts w:hint="default" w:ascii="Times New Roman" w:hAnsi="Times New Roman" w:eastAsia="宋体" w:cs="Times New Roman"/>
          <w:color w:val="000000"/>
          <w:kern w:val="0"/>
          <w:sz w:val="24"/>
          <w:szCs w:val="24"/>
          <w:lang w:val="en-US" w:eastAsia="zh-CN" w:bidi="ar"/>
        </w:rPr>
        <w:t xml:space="preserve">4km/h </w:t>
      </w:r>
      <w:r>
        <w:rPr>
          <w:rFonts w:hint="eastAsia" w:ascii="宋体" w:hAnsi="宋体" w:eastAsia="宋体" w:cs="宋体"/>
          <w:color w:val="000000"/>
          <w:kern w:val="0"/>
          <w:sz w:val="24"/>
          <w:szCs w:val="24"/>
          <w:lang w:val="en-US" w:eastAsia="zh-CN" w:bidi="ar"/>
        </w:rPr>
        <w:t xml:space="preserve">以下速度）碾压两遍后各测点的高程差。压实沉降差平均值应不大于 </w:t>
      </w:r>
      <w:r>
        <w:rPr>
          <w:rFonts w:hint="default" w:ascii="Times New Roman" w:hAnsi="Times New Roman" w:eastAsia="宋体" w:cs="Times New Roman"/>
          <w:color w:val="000000"/>
          <w:kern w:val="0"/>
          <w:sz w:val="24"/>
          <w:szCs w:val="24"/>
          <w:lang w:val="en-US" w:eastAsia="zh-CN" w:bidi="ar"/>
        </w:rPr>
        <w:t>5mm</w:t>
      </w:r>
      <w:r>
        <w:rPr>
          <w:rFonts w:hint="eastAsia" w:ascii="宋体" w:hAnsi="宋体" w:eastAsia="宋体" w:cs="宋体"/>
          <w:color w:val="000000"/>
          <w:kern w:val="0"/>
          <w:sz w:val="24"/>
          <w:szCs w:val="24"/>
          <w:lang w:val="en-US" w:eastAsia="zh-CN" w:bidi="ar"/>
        </w:rPr>
        <w:t xml:space="preserve">，标准差不大于 </w:t>
      </w:r>
      <w:r>
        <w:rPr>
          <w:rFonts w:hint="default" w:ascii="Times New Roman" w:hAnsi="Times New Roman" w:eastAsia="宋体" w:cs="Times New Roman"/>
          <w:color w:val="000000"/>
          <w:kern w:val="0"/>
          <w:sz w:val="24"/>
          <w:szCs w:val="24"/>
          <w:lang w:val="en-US" w:eastAsia="zh-CN" w:bidi="ar"/>
        </w:rPr>
        <w:t>3mm</w:t>
      </w:r>
      <w:r>
        <w:rPr>
          <w:rFonts w:hint="eastAsia" w:ascii="宋体" w:hAnsi="宋体" w:eastAsia="宋体" w:cs="宋体"/>
          <w:color w:val="000000"/>
          <w:kern w:val="0"/>
          <w:sz w:val="24"/>
          <w:szCs w:val="24"/>
          <w:lang w:val="en-US" w:eastAsia="zh-CN" w:bidi="ar"/>
        </w:rPr>
        <w:t>。</w:t>
      </w:r>
    </w:p>
    <w:p w14:paraId="3E92E878">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3、土石路堤 </w:t>
      </w:r>
    </w:p>
    <w:p w14:paraId="5584B7F1">
      <w:pPr>
        <w:keepNext w:val="0"/>
        <w:keepLines w:val="0"/>
        <w:widowControl/>
        <w:suppressLineNumbers w:val="0"/>
        <w:jc w:val="left"/>
      </w:pPr>
      <w:r>
        <w:rPr>
          <w:rFonts w:hint="eastAsia" w:ascii="宋体" w:hAnsi="宋体" w:eastAsia="宋体" w:cs="宋体"/>
          <w:color w:val="000000"/>
          <w:kern w:val="0"/>
          <w:sz w:val="24"/>
          <w:szCs w:val="24"/>
          <w:lang w:val="en-US" w:eastAsia="zh-CN" w:bidi="ar"/>
        </w:rPr>
        <w:t>利用土石混合料填筑路基时，应按土石路堤压实标准进行控制：</w:t>
      </w:r>
    </w:p>
    <w:p w14:paraId="64F5F690">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中硬、硬质石料土石路堤施工质量控制参照填石路堤要求处理：施工过程的每一压实层，可用试验路段确定的工艺流程和工艺参数，控制压实过程；用试验路段确定的沉降差指标，检测压实质量。 </w:t>
      </w:r>
    </w:p>
    <w:p w14:paraId="09E4EB7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软质石料填筑的土石路堤，压实标准及填料强度要求应符合填方路基（土质路堤）相关规定。 </w:t>
      </w:r>
    </w:p>
    <w:p w14:paraId="59E97BFC">
      <w:pPr>
        <w:keepNext w:val="0"/>
        <w:keepLines w:val="0"/>
        <w:widowControl/>
        <w:suppressLineNumbers w:val="0"/>
        <w:jc w:val="left"/>
      </w:pPr>
      <w:r>
        <w:rPr>
          <w:rFonts w:hint="eastAsia" w:ascii="TimesNewRomanPS-BoldMT" w:hAnsi="TimesNewRomanPS-BoldMT" w:eastAsia="TimesNewRomanPS-BoldMT" w:cs="TimesNewRomanPS-BoldMT"/>
          <w:b/>
          <w:bCs/>
          <w:color w:val="000000"/>
          <w:kern w:val="0"/>
          <w:sz w:val="28"/>
          <w:szCs w:val="28"/>
          <w:lang w:val="en-US" w:eastAsia="zh-CN" w:bidi="ar"/>
        </w:rPr>
        <w:t>4、</w:t>
      </w:r>
      <w:r>
        <w:rPr>
          <w:rFonts w:hint="eastAsia" w:ascii="宋体" w:hAnsi="宋体" w:eastAsia="宋体" w:cs="宋体"/>
          <w:b/>
          <w:bCs/>
          <w:color w:val="000000"/>
          <w:kern w:val="0"/>
          <w:sz w:val="28"/>
          <w:szCs w:val="28"/>
          <w:lang w:val="en-US" w:eastAsia="zh-CN" w:bidi="ar"/>
        </w:rPr>
        <w:t xml:space="preserve">路基补强压实 </w:t>
      </w:r>
    </w:p>
    <w:p w14:paraId="6E0298F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（1）对边坡高度超过 </w:t>
      </w:r>
      <w:r>
        <w:rPr>
          <w:rFonts w:hint="default" w:ascii="Times New Roman" w:hAnsi="Times New Roman" w:eastAsia="宋体" w:cs="Times New Roman"/>
          <w:color w:val="000000"/>
          <w:kern w:val="0"/>
          <w:sz w:val="24"/>
          <w:szCs w:val="24"/>
          <w:lang w:val="en-US" w:eastAsia="zh-CN" w:bidi="ar"/>
        </w:rPr>
        <w:t xml:space="preserve">20m </w:t>
      </w:r>
      <w:r>
        <w:rPr>
          <w:rFonts w:hint="eastAsia" w:ascii="宋体" w:hAnsi="宋体" w:eastAsia="宋体" w:cs="宋体"/>
          <w:color w:val="000000"/>
          <w:kern w:val="0"/>
          <w:sz w:val="24"/>
          <w:szCs w:val="24"/>
          <w:lang w:val="en-US" w:eastAsia="zh-CN" w:bidi="ar"/>
        </w:rPr>
        <w:t xml:space="preserve">的高路堤和半填半挖（或两侧拼宽路段）填方边坡高度大于 </w:t>
      </w:r>
      <w:r>
        <w:rPr>
          <w:rFonts w:hint="default" w:ascii="Times New Roman" w:hAnsi="Times New Roman" w:eastAsia="宋体" w:cs="Times New Roman"/>
          <w:color w:val="000000"/>
          <w:kern w:val="0"/>
          <w:sz w:val="24"/>
          <w:szCs w:val="24"/>
          <w:lang w:val="en-US" w:eastAsia="zh-CN" w:bidi="ar"/>
        </w:rPr>
        <w:t xml:space="preserve">8 m </w:t>
      </w:r>
      <w:r>
        <w:rPr>
          <w:rFonts w:hint="eastAsia" w:ascii="宋体" w:hAnsi="宋体" w:eastAsia="宋体" w:cs="宋体"/>
          <w:color w:val="000000"/>
          <w:kern w:val="0"/>
          <w:sz w:val="24"/>
          <w:szCs w:val="24"/>
          <w:lang w:val="en-US" w:eastAsia="zh-CN" w:bidi="ar"/>
        </w:rPr>
        <w:t xml:space="preserve">的路堤，应采用冲击碾压或加大吨位压路机碾压或强夯进行补强。 </w:t>
      </w:r>
    </w:p>
    <w:p w14:paraId="541124E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路堤补压原则上每填高约 </w:t>
      </w:r>
      <w:r>
        <w:rPr>
          <w:rFonts w:hint="default" w:ascii="Times New Roman" w:hAnsi="Times New Roman" w:eastAsia="宋体" w:cs="Times New Roman"/>
          <w:color w:val="000000"/>
          <w:kern w:val="0"/>
          <w:sz w:val="24"/>
          <w:szCs w:val="24"/>
          <w:lang w:val="en-US" w:eastAsia="zh-CN" w:bidi="ar"/>
        </w:rPr>
        <w:t xml:space="preserve">2 </w:t>
      </w:r>
      <w:r>
        <w:rPr>
          <w:rFonts w:hint="eastAsia" w:ascii="宋体" w:hAnsi="宋体" w:eastAsia="宋体" w:cs="宋体"/>
          <w:color w:val="000000"/>
          <w:kern w:val="0"/>
          <w:sz w:val="24"/>
          <w:szCs w:val="24"/>
          <w:lang w:val="en-US" w:eastAsia="zh-CN" w:bidi="ar"/>
        </w:rPr>
        <w:t xml:space="preserve">米，冲击碾压 </w:t>
      </w:r>
      <w:r>
        <w:rPr>
          <w:rFonts w:hint="default" w:ascii="Times New Roman" w:hAnsi="Times New Roman" w:eastAsia="宋体" w:cs="Times New Roman"/>
          <w:color w:val="000000"/>
          <w:kern w:val="0"/>
          <w:sz w:val="24"/>
          <w:szCs w:val="24"/>
          <w:lang w:val="en-US" w:eastAsia="zh-CN" w:bidi="ar"/>
        </w:rPr>
        <w:t xml:space="preserve">20 </w:t>
      </w:r>
      <w:r>
        <w:rPr>
          <w:rFonts w:hint="eastAsia" w:ascii="宋体" w:hAnsi="宋体" w:eastAsia="宋体" w:cs="宋体"/>
          <w:color w:val="000000"/>
          <w:kern w:val="0"/>
          <w:sz w:val="24"/>
          <w:szCs w:val="24"/>
          <w:lang w:val="en-US" w:eastAsia="zh-CN" w:bidi="ar"/>
        </w:rPr>
        <w:t xml:space="preserve">遍，直至路床顶面以下 </w:t>
      </w:r>
      <w:r>
        <w:rPr>
          <w:rFonts w:hint="default" w:ascii="Times New Roman" w:hAnsi="Times New Roman" w:eastAsia="宋体" w:cs="Times New Roman"/>
          <w:color w:val="000000"/>
          <w:kern w:val="0"/>
          <w:sz w:val="24"/>
          <w:szCs w:val="24"/>
          <w:lang w:val="en-US" w:eastAsia="zh-CN" w:bidi="ar"/>
        </w:rPr>
        <w:t>30cm</w:t>
      </w:r>
      <w:r>
        <w:rPr>
          <w:rFonts w:hint="eastAsia" w:ascii="宋体" w:hAnsi="宋体" w:eastAsia="宋体" w:cs="宋体"/>
          <w:color w:val="000000"/>
          <w:kern w:val="0"/>
          <w:sz w:val="24"/>
          <w:szCs w:val="24"/>
          <w:lang w:val="en-US" w:eastAsia="zh-CN" w:bidi="ar"/>
        </w:rPr>
        <w:t xml:space="preserve">，以有效增大 路床的整体强度和减少路床的弯沉值，延长路面使用寿命。 </w:t>
      </w:r>
    </w:p>
    <w:p w14:paraId="16C4542A">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冲击压路机要求：最大瞬间冲击力不小于 250T，轮重为 16T，动力不小于 400 马力，行驶速度不小于 12 公里/小时。 用冲击压路机冲碾路基时应大面积的进行，长度至少应大于 100m，以便于压路机冲击时提高行驶速度，增加激振效果。当填方段长度小于 100m 时采用，加大吨位的压路机碾压补强压实。 </w:t>
      </w:r>
    </w:p>
    <w:p w14:paraId="1571DBAB">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b/>
          <w:bCs/>
          <w:color w:val="000000"/>
          <w:kern w:val="0"/>
          <w:sz w:val="24"/>
          <w:szCs w:val="24"/>
          <w:lang w:val="en-US" w:eastAsia="zh-CN" w:bidi="ar"/>
        </w:rPr>
        <w:t xml:space="preserve">（2）加大吨位的压路机碾压法处理 </w:t>
      </w:r>
    </w:p>
    <w:p w14:paraId="513E6419">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普通压路机碾压完成后，采用加大吨位的压路机进行碾压整平处理。加大吨位的压路机主要技术指标如下：额定功率 220KW，激震力 590/450KN，最大总作用力 810KN。补压原则上层厚每 2.0 米一层，补碾压遍数应不小于 8 遍，直至路床顶面以下 30cm。  </w:t>
      </w:r>
    </w:p>
    <w:p w14:paraId="19368DE9">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b/>
          <w:bCs/>
          <w:color w:val="000000"/>
          <w:kern w:val="0"/>
          <w:sz w:val="24"/>
          <w:szCs w:val="24"/>
          <w:lang w:val="en-US" w:eastAsia="zh-CN" w:bidi="ar"/>
        </w:rPr>
        <w:t xml:space="preserve">（3）以下情况禁止采用冲击碾压 </w:t>
      </w:r>
    </w:p>
    <w:p w14:paraId="6557F789">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1) 当涵洞（或通道）顶填土高度≤5m 时，构造物台背外 6m 范围内； </w:t>
      </w:r>
    </w:p>
    <w:p w14:paraId="16C41069">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 xml:space="preserve">2) 桥梁构造物台背外 6m 范围内； </w:t>
      </w:r>
    </w:p>
    <w:p w14:paraId="7E562C67">
      <w:pPr>
        <w:keepNext w:val="0"/>
        <w:keepLines w:val="0"/>
        <w:widowControl/>
        <w:suppressLineNumbers w:val="0"/>
        <w:jc w:val="lef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000000"/>
          <w:kern w:val="0"/>
          <w:sz w:val="24"/>
          <w:szCs w:val="24"/>
          <w:lang w:val="en-US" w:eastAsia="zh-CN" w:bidi="ar"/>
        </w:rPr>
        <w:t>3) 当路堤为填筑三类泥岩、泥质粉砂岩和泥质砂砾岩时，应对填料解小处理后采用加大吨位的压路机碾压对路堤进行补强压实处理。</w:t>
      </w:r>
    </w:p>
    <w:p w14:paraId="127919A6">
      <w:pPr>
        <w:pStyle w:val="178"/>
        <w:rPr>
          <w:rFonts w:hint="eastAsia" w:asciiTheme="minorEastAsia" w:hAnsiTheme="minorEastAsia" w:eastAsiaTheme="minorEastAsia" w:cstheme="minorEastAsia"/>
          <w:b/>
          <w:bCs/>
          <w:szCs w:val="24"/>
          <w:highlight w:val="none"/>
        </w:rPr>
      </w:pPr>
      <w:r>
        <w:rPr>
          <w:rFonts w:hint="eastAsia" w:asciiTheme="minorEastAsia" w:hAnsiTheme="minorEastAsia" w:eastAsiaTheme="minorEastAsia" w:cstheme="minorEastAsia"/>
          <w:b/>
          <w:bCs/>
          <w:szCs w:val="24"/>
          <w:highlight w:val="none"/>
          <w:lang w:val="en-US" w:eastAsia="zh-CN"/>
        </w:rPr>
        <w:t>5、</w:t>
      </w:r>
      <w:r>
        <w:rPr>
          <w:rFonts w:hint="eastAsia" w:asciiTheme="minorEastAsia" w:hAnsiTheme="minorEastAsia" w:eastAsiaTheme="minorEastAsia" w:cstheme="minorEastAsia"/>
          <w:b/>
          <w:bCs/>
          <w:szCs w:val="24"/>
          <w:highlight w:val="none"/>
        </w:rPr>
        <w:t>路基填筑施工工艺见图</w:t>
      </w:r>
      <w:r>
        <w:rPr>
          <w:rFonts w:hint="eastAsia" w:asciiTheme="minorEastAsia" w:hAnsiTheme="minorEastAsia" w:eastAsiaTheme="minorEastAsia" w:cstheme="minorEastAsia"/>
          <w:b/>
          <w:bCs/>
          <w:szCs w:val="24"/>
          <w:highlight w:val="none"/>
          <w:lang w:val="en-US" w:eastAsia="zh-CN"/>
        </w:rPr>
        <w:t>8</w:t>
      </w:r>
      <w:r>
        <w:rPr>
          <w:rFonts w:hint="eastAsia" w:asciiTheme="minorEastAsia" w:hAnsiTheme="minorEastAsia" w:eastAsiaTheme="minorEastAsia" w:cstheme="minorEastAsia"/>
          <w:b/>
          <w:bCs/>
          <w:szCs w:val="24"/>
          <w:highlight w:val="none"/>
        </w:rPr>
        <w:t>.</w:t>
      </w:r>
      <w:r>
        <w:rPr>
          <w:rFonts w:hint="eastAsia" w:asciiTheme="minorEastAsia" w:hAnsiTheme="minorEastAsia" w:eastAsiaTheme="minorEastAsia" w:cstheme="minorEastAsia"/>
          <w:b/>
          <w:bCs/>
          <w:szCs w:val="24"/>
          <w:highlight w:val="none"/>
          <w:lang w:val="en-US" w:eastAsia="zh-CN"/>
        </w:rPr>
        <w:t>16</w:t>
      </w:r>
      <w:r>
        <w:rPr>
          <w:rFonts w:hint="eastAsia" w:asciiTheme="minorEastAsia" w:hAnsiTheme="minorEastAsia" w:eastAsiaTheme="minorEastAsia" w:cstheme="minorEastAsia"/>
          <w:b/>
          <w:bCs/>
          <w:szCs w:val="24"/>
          <w:highlight w:val="none"/>
        </w:rPr>
        <w:t>。</w:t>
      </w:r>
    </w:p>
    <w:p w14:paraId="771866E5">
      <w:pPr>
        <w:pStyle w:val="178"/>
        <w:ind w:firstLine="560"/>
        <w:jc w:val="center"/>
        <w:rPr>
          <w:rFonts w:asciiTheme="minorEastAsia" w:hAnsiTheme="minorEastAsia" w:eastAsiaTheme="minorEastAsia"/>
          <w:color w:val="FF0000"/>
          <w:sz w:val="28"/>
          <w:szCs w:val="28"/>
          <w:highlight w:val="none"/>
        </w:rPr>
      </w:pPr>
      <w:r>
        <w:drawing>
          <wp:inline distT="0" distB="0" distL="114300" distR="114300">
            <wp:extent cx="5274945" cy="3637915"/>
            <wp:effectExtent l="0" t="0" r="13335" b="4445"/>
            <wp:docPr id="21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图片 27"/>
                    <pic:cNvPicPr>
                      <a:picLocks noChangeAspect="1"/>
                    </pic:cNvPicPr>
                  </pic:nvPicPr>
                  <pic:blipFill>
                    <a:blip r:embed="rId53"/>
                    <a:stretch>
                      <a:fillRect/>
                    </a:stretch>
                  </pic:blipFill>
                  <pic:spPr>
                    <a:xfrm>
                      <a:off x="0" y="0"/>
                      <a:ext cx="5274945" cy="3637915"/>
                    </a:xfrm>
                    <a:prstGeom prst="rect">
                      <a:avLst/>
                    </a:prstGeom>
                    <a:noFill/>
                    <a:ln>
                      <a:noFill/>
                    </a:ln>
                  </pic:spPr>
                </pic:pic>
              </a:graphicData>
            </a:graphic>
          </wp:inline>
        </w:drawing>
      </w:r>
    </w:p>
    <w:p w14:paraId="673857A3">
      <w:pPr>
        <w:pStyle w:val="29"/>
        <w:spacing w:line="480" w:lineRule="exact"/>
        <w:jc w:val="center"/>
        <w:rPr>
          <w:rFonts w:hint="eastAsia" w:ascii="黑体" w:hAnsi="黑体" w:eastAsia="黑体" w:cs="黑体"/>
          <w:b/>
          <w:bCs/>
          <w:sz w:val="21"/>
          <w:szCs w:val="21"/>
          <w:highlight w:val="none"/>
          <w:lang w:val="en-US" w:eastAsia="zh-CN"/>
        </w:rPr>
      </w:pPr>
      <w:r>
        <w:rPr>
          <w:rFonts w:hint="eastAsia" w:ascii="黑体" w:hAnsi="黑体" w:eastAsia="黑体" w:cs="黑体"/>
          <w:b/>
          <w:bCs/>
          <w:sz w:val="21"/>
          <w:szCs w:val="21"/>
          <w:highlight w:val="none"/>
          <w:lang w:val="en-US" w:eastAsia="zh-CN"/>
        </w:rPr>
        <w:t>图8.16路基填筑施工工艺流程图</w:t>
      </w:r>
    </w:p>
    <w:p w14:paraId="2EB13B62">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填土路基边坡采用台阶式，每8m为一阶，边坡从上至下第一台阶1</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1.5、第二台阶及以下1</w:t>
      </w:r>
      <w:r>
        <w:rPr>
          <w:rFonts w:hint="eastAsia" w:asciiTheme="minorEastAsia" w:hAnsiTheme="minorEastAsia" w:eastAsiaTheme="minorEastAsia"/>
          <w:szCs w:val="24"/>
          <w:highlight w:val="none"/>
          <w:lang w:eastAsia="zh-CN"/>
        </w:rPr>
        <w:t>：</w:t>
      </w:r>
      <w:r>
        <w:rPr>
          <w:rFonts w:hint="eastAsia" w:asciiTheme="minorEastAsia" w:hAnsiTheme="minorEastAsia" w:eastAsiaTheme="minorEastAsia"/>
          <w:szCs w:val="24"/>
          <w:highlight w:val="none"/>
        </w:rPr>
        <w:t>1.75。每阶之间设置不小于2.0m宽的护坡道，护坡道向外倾斜4%，农田保护区路段底级坡脚护坡道按1.0m宽度设置，非农田保护区路段按2.0m宽度设置。填筑路基时，路基宽度在两侧各加宽填筑50cm，使其压实大于路堤设计宽度，以保证路堤边缘的压实度，削坡后有效的断面尺寸符合路基设计宽度。</w:t>
      </w:r>
    </w:p>
    <w:p w14:paraId="4C561145">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路堤按横断面全宽纵向水平分层填筑，推土机摊铺、平地机整平、振动压路机碾压。紧紧抓住“选料、整平、压实、检验”等关键环节，均衡组织施工。</w:t>
      </w:r>
    </w:p>
    <w:p w14:paraId="2784FF95">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路基填筑分几个作业段施工时，两个相邻段交接处不在同一时间填筑，则后填作业先挖除先填作业交接处未压实部分（顺线路方向不少于1.5m），然后按1∶1的坡度分层打台阶；如两段同时施工，则分层相互交叠搭接，其搭接长度不小于2m。</w:t>
      </w:r>
    </w:p>
    <w:p w14:paraId="1B387D37">
      <w:pPr>
        <w:pStyle w:val="5"/>
        <w:rPr>
          <w:rFonts w:asciiTheme="minorEastAsia" w:hAnsiTheme="minorEastAsia" w:eastAsiaTheme="minorEastAsia"/>
          <w:color w:val="auto"/>
          <w:highlight w:val="none"/>
        </w:rPr>
      </w:pPr>
      <w:bookmarkStart w:id="794" w:name="_Toc6843"/>
      <w:bookmarkStart w:id="795" w:name="_Toc25106"/>
      <w:r>
        <w:rPr>
          <w:rFonts w:hint="eastAsia" w:asciiTheme="minorEastAsia" w:hAnsiTheme="minorEastAsia" w:eastAsiaTheme="minorEastAsia"/>
          <w:color w:val="auto"/>
          <w:highlight w:val="none"/>
          <w:lang w:val="en-US" w:eastAsia="zh-CN"/>
        </w:rPr>
        <w:t>8.1.</w:t>
      </w:r>
      <w:r>
        <w:rPr>
          <w:rFonts w:hint="eastAsia" w:asciiTheme="minorEastAsia" w:hAnsiTheme="minorEastAsia" w:eastAsiaTheme="minorEastAsia"/>
          <w:color w:val="auto"/>
          <w:highlight w:val="none"/>
        </w:rPr>
        <w:t>3结构物台背处的回填</w:t>
      </w:r>
      <w:bookmarkEnd w:id="794"/>
      <w:bookmarkEnd w:id="795"/>
    </w:p>
    <w:p w14:paraId="15A39C81">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填料及填筑范围符合设计和规范要求。台背填料应采用渗水性强的砂性土等材料或设计规定的填料，不应采用粘土作为填料，严禁采用膨胀土、高液限粘土、腐殖土、淤泥和冻土块等不良填料，填料中不应含有机物、冰块、草皮、树根等杂物或生活垃圾。施工前，台背填料应先进行土质试验，确保填料的物理力学指标满足设计要求。</w:t>
      </w:r>
    </w:p>
    <w:p w14:paraId="44A95DAE">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结构物背后的回填与锥坡的填土、压实对称均匀分层进行。对于大型机具难以压实的地方，采用小型夯实机具压实至规定压实度。台后搭板的施工应在路基填筑预压期完成并基本稳定后，经工程师批准方可进行。搭板下垫层基面应平整、密实，垫层的材料及密实度应符合设计要求。</w:t>
      </w:r>
    </w:p>
    <w:p w14:paraId="5EEC5B56">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涵两侧缺口、不同填料结合部及填挖结合部的填筑质量极为重要，在施工中应建立完善的质量责任制，以保证施工质量。</w:t>
      </w:r>
    </w:p>
    <w:p w14:paraId="7D9C3883">
      <w:pPr>
        <w:pStyle w:val="178"/>
        <w:rPr>
          <w:rFonts w:asciiTheme="minorEastAsia" w:hAnsiTheme="minorEastAsia" w:eastAsiaTheme="minorEastAsia"/>
          <w:szCs w:val="24"/>
          <w:highlight w:val="none"/>
        </w:rPr>
      </w:pPr>
      <w:r>
        <w:rPr>
          <w:rFonts w:hint="eastAsia" w:asciiTheme="minorEastAsia" w:hAnsiTheme="minorEastAsia" w:eastAsiaTheme="minorEastAsia"/>
          <w:szCs w:val="24"/>
          <w:highlight w:val="none"/>
        </w:rPr>
        <w:t>涵洞背强度达到设计强度的100%方可进行回填。对挡墙背、涵台背、桥台背，回填前必须将松土、杂物认真清理干净，经监理工程师检验合格后方能进行回填。回填必须使用透水材料分层填筑。涵背填土采用分层填筑，每层松铺厚度不宜超过150</w:t>
      </w:r>
      <w:r>
        <w:rPr>
          <w:rFonts w:hint="eastAsia" w:asciiTheme="minorEastAsia" w:hAnsiTheme="minorEastAsia" w:eastAsiaTheme="minorEastAsia"/>
          <w:szCs w:val="24"/>
          <w:highlight w:val="none"/>
          <w:lang w:eastAsia="zh-CN"/>
        </w:rPr>
        <w:t>mm</w:t>
      </w:r>
      <w:r>
        <w:rPr>
          <w:rFonts w:hint="eastAsia" w:asciiTheme="minorEastAsia" w:hAnsiTheme="minorEastAsia" w:eastAsiaTheme="minorEastAsia"/>
          <w:szCs w:val="24"/>
          <w:highlight w:val="none"/>
        </w:rPr>
        <w:t>，填料粒径不大于50</w:t>
      </w:r>
      <w:r>
        <w:rPr>
          <w:rFonts w:hint="eastAsia" w:asciiTheme="minorEastAsia" w:hAnsiTheme="minorEastAsia" w:eastAsiaTheme="minorEastAsia"/>
          <w:szCs w:val="24"/>
          <w:highlight w:val="none"/>
          <w:lang w:eastAsia="zh-CN"/>
        </w:rPr>
        <w:t>mm</w:t>
      </w:r>
      <w:r>
        <w:rPr>
          <w:rFonts w:hint="eastAsia" w:asciiTheme="minorEastAsia" w:hAnsiTheme="minorEastAsia" w:eastAsiaTheme="minorEastAsia"/>
          <w:szCs w:val="24"/>
          <w:highlight w:val="none"/>
        </w:rPr>
        <w:t>。结构物处的压实度要求从填方基底或涵洞顶部至路床顶面均为96%。涵洞两侧要同时分层、对称、水平填筑夯实。挡墙背填筑应随挡墙施工同时进行。距涵洞边缘</w:t>
      </w:r>
      <w:r>
        <w:rPr>
          <w:rFonts w:asciiTheme="minorEastAsia" w:hAnsiTheme="minorEastAsia" w:eastAsiaTheme="minorEastAsia"/>
          <w:szCs w:val="24"/>
          <w:highlight w:val="none"/>
        </w:rPr>
        <w:t>1.0m范围内大型机械不准涉入，采用人工配合机械整平，手扶式振动压路机静压，电动式冲击夯均匀夯击3～4遍后，手扶式振动压路机静压收光，每层检测相对密度。涵洞顶上填方厚度大于</w:t>
      </w:r>
      <w:r>
        <w:rPr>
          <w:rFonts w:hint="eastAsia" w:asciiTheme="minorEastAsia" w:hAnsiTheme="minorEastAsia" w:eastAsiaTheme="minorEastAsia"/>
          <w:szCs w:val="24"/>
          <w:highlight w:val="none"/>
        </w:rPr>
        <w:t>0.5</w:t>
      </w:r>
      <w:r>
        <w:rPr>
          <w:rFonts w:asciiTheme="minorEastAsia" w:hAnsiTheme="minorEastAsia" w:eastAsiaTheme="minorEastAsia"/>
          <w:szCs w:val="24"/>
          <w:highlight w:val="none"/>
        </w:rPr>
        <w:t>m后大型机械才可通过。</w:t>
      </w:r>
    </w:p>
    <w:p w14:paraId="1AB38FFD">
      <w:pPr>
        <w:pStyle w:val="5"/>
        <w:rPr>
          <w:rFonts w:asciiTheme="minorEastAsia" w:hAnsiTheme="minorEastAsia" w:eastAsiaTheme="minorEastAsia"/>
          <w:color w:val="auto"/>
          <w:highlight w:val="none"/>
        </w:rPr>
      </w:pPr>
      <w:bookmarkStart w:id="796" w:name="_Toc23404"/>
      <w:bookmarkStart w:id="797" w:name="_Toc31007"/>
      <w:r>
        <w:rPr>
          <w:rFonts w:hint="eastAsia" w:asciiTheme="minorEastAsia" w:hAnsiTheme="minorEastAsia" w:eastAsiaTheme="minorEastAsia"/>
          <w:color w:val="auto"/>
          <w:highlight w:val="none"/>
          <w:lang w:val="en-US" w:eastAsia="zh-CN"/>
        </w:rPr>
        <w:t>8.1.</w:t>
      </w:r>
      <w:r>
        <w:rPr>
          <w:rFonts w:hint="eastAsia" w:asciiTheme="minorEastAsia" w:hAnsiTheme="minorEastAsia" w:eastAsiaTheme="minorEastAsia"/>
          <w:color w:val="auto"/>
          <w:highlight w:val="none"/>
        </w:rPr>
        <w:t>4</w:t>
      </w:r>
      <w:r>
        <w:rPr>
          <w:rFonts w:hint="eastAsia" w:asciiTheme="minorEastAsia" w:hAnsiTheme="minorEastAsia" w:eastAsiaTheme="minorEastAsia"/>
          <w:color w:val="auto"/>
          <w:highlight w:val="none"/>
          <w:lang w:val="en-US" w:eastAsia="zh-CN"/>
        </w:rPr>
        <w:t xml:space="preserve"> </w:t>
      </w:r>
      <w:r>
        <w:rPr>
          <w:rFonts w:hint="eastAsia" w:asciiTheme="minorEastAsia" w:hAnsiTheme="minorEastAsia" w:eastAsiaTheme="minorEastAsia"/>
          <w:color w:val="auto"/>
          <w:highlight w:val="none"/>
        </w:rPr>
        <w:t>路基监控</w:t>
      </w:r>
      <w:bookmarkEnd w:id="796"/>
      <w:bookmarkEnd w:id="797"/>
    </w:p>
    <w:p w14:paraId="5A0E4E57">
      <w:pPr>
        <w:pStyle w:val="178"/>
        <w:rPr>
          <w:rFonts w:hint="eastAsia" w:asciiTheme="minorEastAsia" w:hAnsiTheme="minorEastAsia" w:eastAsiaTheme="minorEastAsia"/>
          <w:color w:val="auto"/>
          <w:szCs w:val="24"/>
          <w:highlight w:val="none"/>
        </w:rPr>
      </w:pPr>
      <w:r>
        <w:rPr>
          <w:rFonts w:hint="eastAsia" w:asciiTheme="minorEastAsia" w:hAnsiTheme="minorEastAsia" w:eastAsiaTheme="minorEastAsia"/>
          <w:color w:val="auto"/>
          <w:szCs w:val="24"/>
          <w:highlight w:val="none"/>
        </w:rPr>
        <w:t>深挖路堑边坡施工时，边坡应分级从上往下开挖，根据施工图横断面，在边坡坡面上布置平面位移观测点，用全站仪和水准仪定期测量坡面水平方向和铅直向位移；在边坡的典型剖面上（布置有锚杆的断面）布置钻孔测斜仪，量测边坡深部位移、变形及地下水位位置；同时采用钢筋计对锚杆受力状态进行观测。另外在边坡开挖过程中，由专人记录边坡开挖时的节理、裂隙等信息。并将通过以上获取的信息绘制成曲线、图表上报设计单位。施工过程中，已做好的上部边坡在原有的基础上做好监控，下部边坡施工时对上部边坡造成的影响能及时体现，并采取主动有利的防治措施。施工过程中，已做好上部边坡在原有的基础上要继续做好监控，以免下部边坡施工时对上部边坡造成影响，出现失稳时能及时采取补救措施。</w:t>
      </w:r>
    </w:p>
    <w:p w14:paraId="4004AAD0">
      <w:pPr>
        <w:pStyle w:val="178"/>
        <w:rPr>
          <w:rFonts w:hint="eastAsia" w:asciiTheme="minorEastAsia" w:hAnsiTheme="minorEastAsia" w:eastAsiaTheme="minorEastAsia"/>
          <w:color w:val="auto"/>
          <w:szCs w:val="24"/>
          <w:highlight w:val="none"/>
          <w:lang w:eastAsia="zh-CN"/>
        </w:rPr>
      </w:pPr>
      <w:r>
        <w:rPr>
          <w:rFonts w:hint="eastAsia" w:asciiTheme="minorEastAsia" w:hAnsiTheme="minorEastAsia" w:eastAsiaTheme="minorEastAsia"/>
          <w:color w:val="auto"/>
          <w:szCs w:val="24"/>
          <w:highlight w:val="none"/>
        </w:rPr>
        <w:t>以下为本标段深挖路堑一览表</w:t>
      </w:r>
      <w:r>
        <w:rPr>
          <w:rFonts w:hint="eastAsia" w:asciiTheme="minorEastAsia" w:hAnsiTheme="minorEastAsia" w:eastAsiaTheme="minorEastAsia"/>
          <w:color w:val="auto"/>
          <w:szCs w:val="24"/>
          <w:highlight w:val="none"/>
          <w:lang w:eastAsia="zh-CN"/>
        </w:rPr>
        <w:t>：</w:t>
      </w:r>
    </w:p>
    <w:p w14:paraId="07F4FAFA">
      <w:pPr>
        <w:pStyle w:val="29"/>
        <w:spacing w:line="480" w:lineRule="exact"/>
        <w:ind w:left="0" w:leftChars="0" w:firstLine="0" w:firstLineChars="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w:t>
      </w:r>
      <w:r>
        <w:rPr>
          <w:rFonts w:hint="eastAsia" w:ascii="黑体" w:hAnsi="黑体" w:eastAsia="黑体" w:cs="黑体"/>
          <w:b/>
          <w:bCs/>
          <w:sz w:val="21"/>
          <w:szCs w:val="21"/>
          <w:highlight w:val="none"/>
          <w:lang w:val="en-US" w:eastAsia="zh-CN"/>
        </w:rPr>
        <w:t>11</w:t>
      </w:r>
      <w:r>
        <w:rPr>
          <w:rFonts w:hint="eastAsia" w:ascii="黑体" w:hAnsi="黑体" w:eastAsia="黑体" w:cs="黑体"/>
          <w:b/>
          <w:bCs/>
          <w:sz w:val="21"/>
          <w:szCs w:val="21"/>
          <w:highlight w:val="none"/>
        </w:rPr>
        <w:t xml:space="preserve"> </w:t>
      </w:r>
      <w:r>
        <w:rPr>
          <w:rFonts w:hint="eastAsia" w:ascii="黑体" w:hAnsi="黑体" w:eastAsia="黑体" w:cs="黑体"/>
          <w:b/>
          <w:bCs/>
          <w:sz w:val="21"/>
          <w:szCs w:val="21"/>
          <w:highlight w:val="none"/>
          <w:lang w:val="en-US" w:eastAsia="zh-CN"/>
        </w:rPr>
        <w:t>深挖路堑一览表</w:t>
      </w:r>
    </w:p>
    <w:tbl>
      <w:tblPr>
        <w:tblStyle w:val="47"/>
        <w:tblW w:w="8240"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75"/>
        <w:gridCol w:w="1756"/>
        <w:gridCol w:w="983"/>
        <w:gridCol w:w="997"/>
        <w:gridCol w:w="1099"/>
        <w:gridCol w:w="1345"/>
        <w:gridCol w:w="1185"/>
      </w:tblGrid>
      <w:tr w14:paraId="177EC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875"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03E3C9D">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序号</w:t>
            </w:r>
          </w:p>
        </w:tc>
        <w:tc>
          <w:tcPr>
            <w:tcW w:w="17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9F0D7BB">
            <w:pPr>
              <w:keepNext w:val="0"/>
              <w:keepLines w:val="0"/>
              <w:widowControl/>
              <w:suppressLineNumbers w:val="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起止里程</w:t>
            </w:r>
          </w:p>
        </w:tc>
        <w:tc>
          <w:tcPr>
            <w:tcW w:w="983"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F6948C2">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长度（m）</w:t>
            </w:r>
          </w:p>
        </w:tc>
        <w:tc>
          <w:tcPr>
            <w:tcW w:w="997"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F96C58C">
            <w:pPr>
              <w:keepNext w:val="0"/>
              <w:keepLines w:val="0"/>
              <w:widowControl/>
              <w:suppressLineNumbers w:val="0"/>
              <w:jc w:val="center"/>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左、右侧</w:t>
            </w:r>
          </w:p>
        </w:tc>
        <w:tc>
          <w:tcPr>
            <w:tcW w:w="1099"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03B5FEF">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中心最大挖深（m）</w:t>
            </w:r>
          </w:p>
        </w:tc>
        <w:tc>
          <w:tcPr>
            <w:tcW w:w="1345" w:type="dxa"/>
            <w:tcBorders>
              <w:top w:val="single" w:color="000000" w:sz="4" w:space="0"/>
              <w:left w:val="single" w:color="000000" w:sz="4" w:space="0"/>
              <w:bottom w:val="single" w:color="000000" w:sz="4" w:space="0"/>
              <w:right w:val="single" w:color="000000" w:sz="4" w:space="0"/>
            </w:tcBorders>
            <w:shd w:val="clear" w:color="auto" w:fill="auto"/>
            <w:vAlign w:val="bottom"/>
          </w:tcPr>
          <w:p w14:paraId="6BC08C74">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上边坡最大高度（m）</w:t>
            </w:r>
          </w:p>
        </w:tc>
        <w:tc>
          <w:tcPr>
            <w:tcW w:w="1185" w:type="dxa"/>
            <w:tcBorders>
              <w:top w:val="single" w:color="000000" w:sz="4" w:space="0"/>
              <w:left w:val="single" w:color="000000" w:sz="4" w:space="0"/>
              <w:bottom w:val="single" w:color="000000" w:sz="4" w:space="0"/>
              <w:right w:val="single" w:color="000000" w:sz="4" w:space="0"/>
            </w:tcBorders>
            <w:shd w:val="clear" w:color="auto" w:fill="auto"/>
            <w:vAlign w:val="bottom"/>
          </w:tcPr>
          <w:p w14:paraId="21D2CF18">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典型桩号</w:t>
            </w:r>
          </w:p>
        </w:tc>
      </w:tr>
      <w:tr w14:paraId="173E3F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833E8CD">
            <w:pPr>
              <w:keepNext w:val="0"/>
              <w:keepLines w:val="0"/>
              <w:widowControl/>
              <w:suppressLineNumbers w:val="0"/>
              <w:ind w:left="0" w:leftChars="0" w:firstLine="0" w:firstLineChars="0"/>
              <w:jc w:val="center"/>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w:t>
            </w:r>
          </w:p>
        </w:tc>
        <w:tc>
          <w:tcPr>
            <w:tcW w:w="1756" w:type="dxa"/>
            <w:tcBorders>
              <w:top w:val="single" w:color="000000" w:sz="4" w:space="0"/>
              <w:left w:val="single" w:color="000000" w:sz="4" w:space="0"/>
              <w:bottom w:val="single" w:color="000000" w:sz="4" w:space="0"/>
              <w:right w:val="single" w:color="000000" w:sz="4" w:space="0"/>
            </w:tcBorders>
            <w:shd w:val="clear" w:color="auto" w:fill="auto"/>
            <w:vAlign w:val="bottom"/>
          </w:tcPr>
          <w:p w14:paraId="4C04B5DA">
            <w:pPr>
              <w:keepNext w:val="0"/>
              <w:keepLines w:val="0"/>
              <w:widowControl/>
              <w:suppressLineNumbers w:val="0"/>
              <w:ind w:left="0" w:leftChars="0" w:firstLine="0" w:firstLineChars="0"/>
              <w:jc w:val="both"/>
              <w:textAlignment w:val="bottom"/>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+100～K1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280</w:t>
            </w:r>
          </w:p>
        </w:tc>
        <w:tc>
          <w:tcPr>
            <w:tcW w:w="98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A8CE759">
            <w:pPr>
              <w:keepNext w:val="0"/>
              <w:keepLines w:val="0"/>
              <w:widowControl/>
              <w:suppressLineNumbers w:val="0"/>
              <w:jc w:val="center"/>
              <w:textAlignment w:val="bottom"/>
              <w:rPr>
                <w:rFonts w:hint="eastAsia" w:ascii="宋体" w:hAnsi="宋体" w:eastAsia="宋体" w:cs="宋体"/>
                <w:i w:val="0"/>
                <w:iCs w:val="0"/>
                <w:color w:val="000000"/>
                <w:sz w:val="21"/>
                <w:szCs w:val="21"/>
                <w:u w:val="none"/>
              </w:rPr>
            </w:pPr>
            <w:r>
              <w:rPr>
                <w:rFonts w:hint="eastAsia" w:ascii="宋体" w:hAnsi="宋体" w:cs="宋体"/>
                <w:i w:val="0"/>
                <w:iCs w:val="0"/>
                <w:color w:val="000000"/>
                <w:kern w:val="0"/>
                <w:sz w:val="21"/>
                <w:szCs w:val="21"/>
                <w:u w:val="none"/>
                <w:lang w:val="en-US" w:eastAsia="zh-CN" w:bidi="ar"/>
              </w:rPr>
              <w:t>18</w:t>
            </w:r>
            <w:r>
              <w:rPr>
                <w:rFonts w:hint="eastAsia" w:ascii="宋体" w:hAnsi="宋体" w:eastAsia="宋体" w:cs="宋体"/>
                <w:i w:val="0"/>
                <w:iCs w:val="0"/>
                <w:color w:val="000000"/>
                <w:kern w:val="0"/>
                <w:sz w:val="21"/>
                <w:szCs w:val="21"/>
                <w:u w:val="none"/>
                <w:lang w:val="en-US" w:eastAsia="zh-CN" w:bidi="ar"/>
              </w:rPr>
              <w:t>0</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27A21D">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右侧</w:t>
            </w:r>
          </w:p>
        </w:tc>
        <w:tc>
          <w:tcPr>
            <w:tcW w:w="109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0504A333">
            <w:pPr>
              <w:keepNext w:val="0"/>
              <w:keepLines w:val="0"/>
              <w:widowControl/>
              <w:suppressLineNumbers w:val="0"/>
              <w:jc w:val="center"/>
              <w:textAlignment w:val="bottom"/>
              <w:rPr>
                <w:rFonts w:hint="default" w:ascii="宋体" w:hAnsi="宋体" w:eastAsia="宋体" w:cs="宋体"/>
                <w:i w:val="0"/>
                <w:iCs w:val="0"/>
                <w:color w:val="000000"/>
                <w:sz w:val="21"/>
                <w:szCs w:val="21"/>
                <w:u w:val="none"/>
                <w:lang w:val="en-US"/>
              </w:rPr>
            </w:pPr>
            <w:r>
              <w:rPr>
                <w:rFonts w:hint="eastAsia" w:ascii="宋体" w:hAnsi="宋体" w:cs="宋体"/>
                <w:i w:val="0"/>
                <w:iCs w:val="0"/>
                <w:color w:val="000000"/>
                <w:kern w:val="0"/>
                <w:sz w:val="21"/>
                <w:szCs w:val="21"/>
                <w:u w:val="none"/>
                <w:lang w:val="en-US" w:eastAsia="zh-CN" w:bidi="ar"/>
              </w:rPr>
              <w:t>5.8</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301A468">
            <w:pPr>
              <w:keepNext w:val="0"/>
              <w:keepLines w:val="0"/>
              <w:widowControl/>
              <w:suppressLineNumbers w:val="0"/>
              <w:jc w:val="center"/>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38.</w:t>
            </w:r>
            <w:r>
              <w:rPr>
                <w:rFonts w:hint="eastAsia" w:ascii="宋体" w:hAnsi="宋体" w:cs="宋体"/>
                <w:i w:val="0"/>
                <w:iCs w:val="0"/>
                <w:color w:val="000000"/>
                <w:kern w:val="0"/>
                <w:sz w:val="21"/>
                <w:szCs w:val="21"/>
                <w:u w:val="none"/>
                <w:lang w:val="en-US" w:eastAsia="zh-CN" w:bidi="ar"/>
              </w:rPr>
              <w:t>9</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39F183E5">
            <w:pPr>
              <w:keepNext w:val="0"/>
              <w:keepLines w:val="0"/>
              <w:widowControl/>
              <w:suppressLineNumbers w:val="0"/>
              <w:ind w:left="0" w:leftChars="0" w:firstLine="0" w:firstLineChars="0"/>
              <w:jc w:val="both"/>
              <w:textAlignment w:val="bottom"/>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240</w:t>
            </w:r>
          </w:p>
        </w:tc>
      </w:tr>
      <w:tr w14:paraId="5E84F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87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DCDBD57">
            <w:pPr>
              <w:keepNext w:val="0"/>
              <w:keepLines w:val="0"/>
              <w:widowControl/>
              <w:suppressLineNumbers w:val="0"/>
              <w:ind w:left="0" w:leftChars="0" w:firstLine="0" w:firstLineChars="0"/>
              <w:jc w:val="center"/>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175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9599CA1">
            <w:pPr>
              <w:keepNext w:val="0"/>
              <w:keepLines w:val="0"/>
              <w:widowControl/>
              <w:suppressLineNumbers w:val="0"/>
              <w:ind w:left="0" w:leftChars="0" w:firstLine="0" w:firstLineChars="0"/>
              <w:jc w:val="both"/>
              <w:textAlignment w:val="bottom"/>
              <w:rPr>
                <w:rFonts w:hint="default" w:ascii="宋体" w:hAnsi="宋体" w:eastAsia="宋体" w:cs="宋体"/>
                <w:i w:val="0"/>
                <w:iCs w:val="0"/>
                <w:color w:val="000000"/>
                <w:sz w:val="21"/>
                <w:szCs w:val="21"/>
                <w:u w:val="none"/>
                <w:lang w:val="en-US"/>
              </w:rPr>
            </w:pPr>
            <w:r>
              <w:rPr>
                <w:rFonts w:hint="eastAsia" w:ascii="宋体" w:hAnsi="宋体" w:cs="宋体"/>
                <w:i w:val="0"/>
                <w:iCs w:val="0"/>
                <w:color w:val="000000"/>
                <w:kern w:val="0"/>
                <w:sz w:val="21"/>
                <w:szCs w:val="21"/>
                <w:u w:val="none"/>
                <w:lang w:val="en-US" w:eastAsia="zh-CN" w:bidi="ar"/>
              </w:rPr>
              <w:t>Y</w:t>
            </w: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288</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Y</w:t>
            </w: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439</w:t>
            </w:r>
          </w:p>
        </w:tc>
        <w:tc>
          <w:tcPr>
            <w:tcW w:w="98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2B0BAA1">
            <w:pPr>
              <w:keepNext w:val="0"/>
              <w:keepLines w:val="0"/>
              <w:widowControl/>
              <w:suppressLineNumbers w:val="0"/>
              <w:jc w:val="center"/>
              <w:textAlignment w:val="bottom"/>
              <w:rPr>
                <w:rFonts w:hint="eastAsia" w:ascii="宋体" w:hAnsi="宋体" w:eastAsia="宋体" w:cs="宋体"/>
                <w:i w:val="0"/>
                <w:iCs w:val="0"/>
                <w:color w:val="000000"/>
                <w:sz w:val="21"/>
                <w:szCs w:val="21"/>
                <w:u w:val="none"/>
              </w:rPr>
            </w:pPr>
            <w:r>
              <w:rPr>
                <w:rFonts w:hint="eastAsia" w:ascii="宋体" w:hAnsi="宋体" w:cs="宋体"/>
                <w:i w:val="0"/>
                <w:iCs w:val="0"/>
                <w:color w:val="000000"/>
                <w:kern w:val="0"/>
                <w:sz w:val="21"/>
                <w:szCs w:val="21"/>
                <w:u w:val="none"/>
                <w:lang w:val="en-US" w:eastAsia="zh-CN" w:bidi="ar"/>
              </w:rPr>
              <w:t>151</w:t>
            </w:r>
          </w:p>
        </w:tc>
        <w:tc>
          <w:tcPr>
            <w:tcW w:w="997"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D2A5496">
            <w:pPr>
              <w:keepNext w:val="0"/>
              <w:keepLines w:val="0"/>
              <w:widowControl/>
              <w:suppressLineNumbers w:val="0"/>
              <w:ind w:left="0" w:leftChars="0" w:firstLine="0" w:firstLineChars="0"/>
              <w:jc w:val="both"/>
              <w:textAlignment w:val="bottom"/>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左侧</w:t>
            </w:r>
          </w:p>
        </w:tc>
        <w:tc>
          <w:tcPr>
            <w:tcW w:w="109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C48116F">
            <w:pPr>
              <w:keepNext w:val="0"/>
              <w:keepLines w:val="0"/>
              <w:widowControl/>
              <w:suppressLineNumbers w:val="0"/>
              <w:jc w:val="center"/>
              <w:textAlignment w:val="bottom"/>
              <w:rPr>
                <w:rFonts w:hint="default" w:ascii="宋体" w:hAnsi="宋体" w:eastAsia="宋体" w:cs="宋体"/>
                <w:i w:val="0"/>
                <w:iCs w:val="0"/>
                <w:color w:val="000000"/>
                <w:sz w:val="21"/>
                <w:szCs w:val="21"/>
                <w:u w:val="none"/>
                <w:lang w:val="en-US"/>
              </w:rPr>
            </w:pPr>
            <w:r>
              <w:rPr>
                <w:rFonts w:hint="eastAsia" w:ascii="宋体" w:hAnsi="宋体" w:cs="宋体"/>
                <w:i w:val="0"/>
                <w:iCs w:val="0"/>
                <w:color w:val="000000"/>
                <w:kern w:val="0"/>
                <w:sz w:val="21"/>
                <w:szCs w:val="21"/>
                <w:u w:val="none"/>
                <w:lang w:val="en-US" w:eastAsia="zh-CN" w:bidi="ar"/>
              </w:rPr>
              <w:t>4.8</w:t>
            </w:r>
          </w:p>
        </w:tc>
        <w:tc>
          <w:tcPr>
            <w:tcW w:w="134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00FFFF0">
            <w:pPr>
              <w:keepNext w:val="0"/>
              <w:keepLines w:val="0"/>
              <w:widowControl/>
              <w:suppressLineNumbers w:val="0"/>
              <w:jc w:val="center"/>
              <w:textAlignment w:val="bottom"/>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4</w:t>
            </w:r>
            <w:r>
              <w:rPr>
                <w:rFonts w:hint="eastAsia" w:ascii="宋体" w:hAnsi="宋体" w:cs="宋体"/>
                <w:i w:val="0"/>
                <w:iCs w:val="0"/>
                <w:color w:val="000000"/>
                <w:kern w:val="0"/>
                <w:sz w:val="21"/>
                <w:szCs w:val="21"/>
                <w:u w:val="none"/>
                <w:lang w:val="en-US" w:eastAsia="zh-CN" w:bidi="ar"/>
              </w:rPr>
              <w:t>5.5</w:t>
            </w:r>
          </w:p>
        </w:tc>
        <w:tc>
          <w:tcPr>
            <w:tcW w:w="118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692E673C">
            <w:pPr>
              <w:keepNext w:val="0"/>
              <w:keepLines w:val="0"/>
              <w:widowControl/>
              <w:suppressLineNumbers w:val="0"/>
              <w:ind w:left="0" w:leftChars="0" w:firstLine="0" w:firstLineChars="0"/>
              <w:jc w:val="both"/>
              <w:textAlignment w:val="bottom"/>
              <w:rPr>
                <w:rFonts w:hint="default" w:ascii="宋体" w:hAnsi="宋体" w:eastAsia="宋体" w:cs="宋体"/>
                <w:i w:val="0"/>
                <w:iCs w:val="0"/>
                <w:color w:val="000000"/>
                <w:sz w:val="21"/>
                <w:szCs w:val="21"/>
                <w:u w:val="none"/>
                <w:lang w:val="en-US"/>
              </w:rPr>
            </w:pPr>
            <w:r>
              <w:rPr>
                <w:rFonts w:hint="eastAsia" w:ascii="宋体" w:hAnsi="宋体" w:cs="宋体"/>
                <w:i w:val="0"/>
                <w:iCs w:val="0"/>
                <w:color w:val="000000"/>
                <w:kern w:val="0"/>
                <w:sz w:val="21"/>
                <w:szCs w:val="21"/>
                <w:u w:val="none"/>
                <w:lang w:val="en-US" w:eastAsia="zh-CN" w:bidi="ar"/>
              </w:rPr>
              <w:t>Y</w:t>
            </w: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+3</w:t>
            </w:r>
            <w:r>
              <w:rPr>
                <w:rFonts w:hint="eastAsia" w:ascii="宋体" w:hAnsi="宋体" w:cs="宋体"/>
                <w:i w:val="0"/>
                <w:iCs w:val="0"/>
                <w:color w:val="000000"/>
                <w:kern w:val="0"/>
                <w:sz w:val="21"/>
                <w:szCs w:val="21"/>
                <w:u w:val="none"/>
                <w:lang w:val="en-US" w:eastAsia="zh-CN" w:bidi="ar"/>
              </w:rPr>
              <w:t>59</w:t>
            </w:r>
          </w:p>
        </w:tc>
      </w:tr>
    </w:tbl>
    <w:p w14:paraId="486E084C">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1 、K125+100～K103+540 右侧边坡</w:t>
      </w:r>
    </w:p>
    <w:p w14:paraId="0DFD1C51">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该边坡最高约 38.9 米，根据钻孔揭示和测绘资料表明，该边坡为二元结构边坡：上部为坡积粉质粘土，厚度约为 4.2m，残积砂质粘性土，厚度约 2.7m；下伏花岗岩风化层。</w:t>
      </w:r>
    </w:p>
    <w:p w14:paraId="39028FED">
      <w:pPr>
        <w:pStyle w:val="178"/>
        <w:rPr>
          <w:rFonts w:hint="eastAsia" w:asciiTheme="minorEastAsia" w:hAnsiTheme="minorEastAsia" w:eastAsiaTheme="minorEastAsia"/>
          <w:color w:val="auto"/>
          <w:szCs w:val="24"/>
          <w:highlight w:val="none"/>
          <w:lang w:val="en-US" w:eastAsia="zh-CN"/>
        </w:rPr>
      </w:pPr>
      <w:bookmarkStart w:id="798" w:name="_Toc325963379"/>
      <w:bookmarkStart w:id="799" w:name="_Toc325962395"/>
      <w:bookmarkStart w:id="800" w:name="_Toc325961896"/>
      <w:r>
        <w:rPr>
          <w:rFonts w:hint="eastAsia" w:asciiTheme="minorEastAsia" w:hAnsiTheme="minorEastAsia" w:eastAsiaTheme="minorEastAsia"/>
          <w:color w:val="auto"/>
          <w:szCs w:val="24"/>
          <w:highlight w:val="none"/>
          <w:lang w:val="en-US" w:eastAsia="zh-CN"/>
        </w:rPr>
        <w:t>边坡设计最高为 5 级，各级边坡设计坡率及防护加固工程措施为：第一级 1:1.0，系统锚杆+TBS 镀锌网植草（灌）；第二级 1:1.25，系统锚杆+TBS 镀锌网植草（灌）；第三级 1:1.25，预应力锚索框架（交错分布）+TBS 镀锌网植草（灌）；第四~五级 1:1.25，拱形骨架植草灌。具体锚固参数见设计图；两侧坡率据其坡高及地形地质条件适当调整，坡面视坡率及地质条件采用 TBS 镀锌网植草（灌）及拱形骨架植草灌进行防护。</w:t>
      </w:r>
    </w:p>
    <w:p w14:paraId="6B48603A">
      <w:pPr>
        <w:pStyle w:val="178"/>
        <w:ind w:left="0" w:leftChars="0" w:firstLine="0" w:firstLineChars="0"/>
      </w:pPr>
      <w:r>
        <w:drawing>
          <wp:inline distT="0" distB="0" distL="114300" distR="114300">
            <wp:extent cx="5271135" cy="2432685"/>
            <wp:effectExtent l="0" t="0" r="1905" b="5715"/>
            <wp:docPr id="214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 name="图片 28"/>
                    <pic:cNvPicPr>
                      <a:picLocks noChangeAspect="1"/>
                    </pic:cNvPicPr>
                  </pic:nvPicPr>
                  <pic:blipFill>
                    <a:blip r:embed="rId54"/>
                    <a:stretch>
                      <a:fillRect/>
                    </a:stretch>
                  </pic:blipFill>
                  <pic:spPr>
                    <a:xfrm>
                      <a:off x="0" y="0"/>
                      <a:ext cx="5271135" cy="2432685"/>
                    </a:xfrm>
                    <a:prstGeom prst="rect">
                      <a:avLst/>
                    </a:prstGeom>
                    <a:noFill/>
                    <a:ln>
                      <a:noFill/>
                    </a:ln>
                  </pic:spPr>
                </pic:pic>
              </a:graphicData>
            </a:graphic>
          </wp:inline>
        </w:drawing>
      </w:r>
    </w:p>
    <w:p w14:paraId="0F966703">
      <w:pPr>
        <w:pStyle w:val="178"/>
        <w:ind w:left="0" w:leftChars="0" w:firstLine="0" w:firstLineChars="0"/>
        <w:rPr>
          <w:rFonts w:hint="eastAsia"/>
          <w:lang w:val="en-US" w:eastAsia="zh-CN"/>
        </w:rPr>
      </w:pPr>
    </w:p>
    <w:p w14:paraId="18E42B60">
      <w:pPr>
        <w:pStyle w:val="178"/>
        <w:rPr>
          <w:rFonts w:hint="eastAsia" w:asciiTheme="minorEastAsia" w:hAnsiTheme="minorEastAsia" w:eastAsiaTheme="minorEastAsia"/>
          <w:color w:val="auto"/>
          <w:szCs w:val="24"/>
          <w:highlight w:val="none"/>
          <w:lang w:val="en-US" w:eastAsia="zh-CN"/>
        </w:rPr>
      </w:pPr>
      <w:r>
        <w:drawing>
          <wp:inline distT="0" distB="0" distL="114300" distR="114300">
            <wp:extent cx="5268595" cy="2613660"/>
            <wp:effectExtent l="0" t="0" r="4445" b="7620"/>
            <wp:docPr id="21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 name="图片 29"/>
                    <pic:cNvPicPr>
                      <a:picLocks noChangeAspect="1"/>
                    </pic:cNvPicPr>
                  </pic:nvPicPr>
                  <pic:blipFill>
                    <a:blip r:embed="rId55"/>
                    <a:stretch>
                      <a:fillRect/>
                    </a:stretch>
                  </pic:blipFill>
                  <pic:spPr>
                    <a:xfrm>
                      <a:off x="0" y="0"/>
                      <a:ext cx="5268595" cy="2613660"/>
                    </a:xfrm>
                    <a:prstGeom prst="rect">
                      <a:avLst/>
                    </a:prstGeom>
                    <a:noFill/>
                    <a:ln>
                      <a:noFill/>
                    </a:ln>
                  </pic:spPr>
                </pic:pic>
              </a:graphicData>
            </a:graphic>
          </wp:inline>
        </w:drawing>
      </w:r>
    </w:p>
    <w:p w14:paraId="620FC5B1">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 xml:space="preserve">2、 </w:t>
      </w:r>
      <w:r>
        <w:rPr>
          <w:rFonts w:hint="eastAsia" w:ascii="宋体" w:hAnsi="宋体" w:cs="宋体"/>
          <w:i w:val="0"/>
          <w:iCs w:val="0"/>
          <w:color w:val="000000"/>
          <w:kern w:val="0"/>
          <w:sz w:val="24"/>
          <w:szCs w:val="24"/>
          <w:u w:val="none"/>
          <w:lang w:val="en-US" w:eastAsia="zh-CN" w:bidi="ar"/>
        </w:rPr>
        <w:t>Y</w:t>
      </w:r>
      <w:r>
        <w:rPr>
          <w:rFonts w:hint="eastAsia" w:ascii="宋体" w:hAnsi="宋体" w:eastAsia="宋体" w:cs="宋体"/>
          <w:i w:val="0"/>
          <w:iCs w:val="0"/>
          <w:color w:val="000000"/>
          <w:kern w:val="0"/>
          <w:sz w:val="24"/>
          <w:szCs w:val="24"/>
          <w:u w:val="none"/>
          <w:lang w:val="en-US" w:eastAsia="zh-CN" w:bidi="ar"/>
        </w:rPr>
        <w:t>K1</w:t>
      </w:r>
      <w:r>
        <w:rPr>
          <w:rFonts w:hint="eastAsia" w:ascii="宋体" w:hAnsi="宋体" w:cs="宋体"/>
          <w:i w:val="0"/>
          <w:iCs w:val="0"/>
          <w:color w:val="000000"/>
          <w:kern w:val="0"/>
          <w:sz w:val="24"/>
          <w:szCs w:val="24"/>
          <w:u w:val="none"/>
          <w:lang w:val="en-US" w:eastAsia="zh-CN" w:bidi="ar"/>
        </w:rPr>
        <w:t>25</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cs="宋体"/>
          <w:i w:val="0"/>
          <w:iCs w:val="0"/>
          <w:color w:val="000000"/>
          <w:kern w:val="0"/>
          <w:sz w:val="24"/>
          <w:szCs w:val="24"/>
          <w:u w:val="none"/>
          <w:lang w:val="en-US" w:eastAsia="zh-CN" w:bidi="ar"/>
        </w:rPr>
        <w:t>288</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cs="宋体"/>
          <w:i w:val="0"/>
          <w:iCs w:val="0"/>
          <w:color w:val="000000"/>
          <w:kern w:val="0"/>
          <w:sz w:val="24"/>
          <w:szCs w:val="24"/>
          <w:u w:val="none"/>
          <w:lang w:val="en-US" w:eastAsia="zh-CN" w:bidi="ar"/>
        </w:rPr>
        <w:t>Y</w:t>
      </w:r>
      <w:r>
        <w:rPr>
          <w:rFonts w:hint="eastAsia" w:ascii="宋体" w:hAnsi="宋体" w:eastAsia="宋体" w:cs="宋体"/>
          <w:i w:val="0"/>
          <w:iCs w:val="0"/>
          <w:color w:val="000000"/>
          <w:kern w:val="0"/>
          <w:sz w:val="24"/>
          <w:szCs w:val="24"/>
          <w:u w:val="none"/>
          <w:lang w:val="en-US" w:eastAsia="zh-CN" w:bidi="ar"/>
        </w:rPr>
        <w:t>K1</w:t>
      </w:r>
      <w:r>
        <w:rPr>
          <w:rFonts w:hint="eastAsia" w:ascii="宋体" w:hAnsi="宋体" w:cs="宋体"/>
          <w:i w:val="0"/>
          <w:iCs w:val="0"/>
          <w:color w:val="000000"/>
          <w:kern w:val="0"/>
          <w:sz w:val="24"/>
          <w:szCs w:val="24"/>
          <w:u w:val="none"/>
          <w:lang w:val="en-US" w:eastAsia="zh-CN" w:bidi="ar"/>
        </w:rPr>
        <w:t>25</w:t>
      </w:r>
      <w:r>
        <w:rPr>
          <w:rFonts w:hint="eastAsia" w:ascii="宋体" w:hAnsi="宋体" w:eastAsia="宋体" w:cs="宋体"/>
          <w:i w:val="0"/>
          <w:iCs w:val="0"/>
          <w:color w:val="000000"/>
          <w:kern w:val="0"/>
          <w:sz w:val="24"/>
          <w:szCs w:val="24"/>
          <w:u w:val="none"/>
          <w:lang w:val="en-US" w:eastAsia="zh-CN" w:bidi="ar"/>
        </w:rPr>
        <w:t>+</w:t>
      </w:r>
      <w:r>
        <w:rPr>
          <w:rFonts w:hint="eastAsia" w:ascii="宋体" w:hAnsi="宋体" w:cs="宋体"/>
          <w:i w:val="0"/>
          <w:iCs w:val="0"/>
          <w:color w:val="000000"/>
          <w:kern w:val="0"/>
          <w:sz w:val="24"/>
          <w:szCs w:val="24"/>
          <w:u w:val="none"/>
          <w:lang w:val="en-US" w:eastAsia="zh-CN" w:bidi="ar"/>
        </w:rPr>
        <w:t>439</w:t>
      </w:r>
      <w:r>
        <w:rPr>
          <w:rFonts w:hint="eastAsia" w:asciiTheme="minorEastAsia" w:hAnsiTheme="minorEastAsia" w:eastAsiaTheme="minorEastAsia"/>
          <w:color w:val="auto"/>
          <w:szCs w:val="24"/>
          <w:highlight w:val="none"/>
          <w:lang w:val="en-US" w:eastAsia="zh-CN"/>
        </w:rPr>
        <w:t>左侧高边坡（诏安东互通）</w:t>
      </w:r>
    </w:p>
    <w:p w14:paraId="57851E4F">
      <w:pPr>
        <w:pStyle w:val="178"/>
        <w:jc w:val="both"/>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该边坡最高约 45.5 米，根据钻孔揭示和测绘资料表明，该边坡为二元结构边坡：上部为残积粘性土，厚度约为 8.3m；残积砂质粘性土，厚度约 2.2m；厚度约下伏花岗岩风化层；由于边坡高陡，边坡稳定性较差，为保证边坡稳定，需要进行加固处理。</w:t>
      </w:r>
    </w:p>
    <w:p w14:paraId="5880682E">
      <w:pPr>
        <w:pStyle w:val="178"/>
        <w:jc w:val="both"/>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边坡设计最高为 6 级，各级边坡设计坡率及防护加固工程措施为：第一级 1：0.5，系统锚杆+TBS 镀锌网植草（灌）；第二级 1：0.75，系统锚杆+TBS 镀锌网植草（灌）；第三级 1:1.0，TBS 镀锌网植草（灌）；第四 1:1.25，（交错）预应力锚索框架（预留）+液压客土喷播植草灌；第五级 1:1.25，拱形骨架植草灌。具体锚固参数见设计图；两侧坡率据其坡高及地形地质条件适当调整，坡面视坡率及地质条件采用 TBS 镀锌网植草（灌）进行防护。</w:t>
      </w:r>
    </w:p>
    <w:p w14:paraId="2933BBE7">
      <w:pPr>
        <w:pStyle w:val="178"/>
        <w:jc w:val="both"/>
      </w:pPr>
      <w:r>
        <w:drawing>
          <wp:inline distT="0" distB="0" distL="114300" distR="114300">
            <wp:extent cx="5276850" cy="2576830"/>
            <wp:effectExtent l="0" t="0" r="11430" b="13970"/>
            <wp:docPr id="21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图片 30"/>
                    <pic:cNvPicPr>
                      <a:picLocks noChangeAspect="1"/>
                    </pic:cNvPicPr>
                  </pic:nvPicPr>
                  <pic:blipFill>
                    <a:blip r:embed="rId56"/>
                    <a:stretch>
                      <a:fillRect/>
                    </a:stretch>
                  </pic:blipFill>
                  <pic:spPr>
                    <a:xfrm>
                      <a:off x="0" y="0"/>
                      <a:ext cx="5276850" cy="2576830"/>
                    </a:xfrm>
                    <a:prstGeom prst="rect">
                      <a:avLst/>
                    </a:prstGeom>
                    <a:noFill/>
                    <a:ln>
                      <a:noFill/>
                    </a:ln>
                  </pic:spPr>
                </pic:pic>
              </a:graphicData>
            </a:graphic>
          </wp:inline>
        </w:drawing>
      </w:r>
    </w:p>
    <w:p w14:paraId="224069B8">
      <w:pPr>
        <w:pStyle w:val="178"/>
        <w:jc w:val="both"/>
        <w:rPr>
          <w:rFonts w:hint="eastAsia"/>
          <w:lang w:val="en-US" w:eastAsia="zh-CN"/>
        </w:rPr>
      </w:pPr>
      <w:r>
        <w:drawing>
          <wp:inline distT="0" distB="0" distL="114300" distR="114300">
            <wp:extent cx="5266690" cy="2641600"/>
            <wp:effectExtent l="0" t="0" r="6350" b="10160"/>
            <wp:docPr id="214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图片 31"/>
                    <pic:cNvPicPr>
                      <a:picLocks noChangeAspect="1"/>
                    </pic:cNvPicPr>
                  </pic:nvPicPr>
                  <pic:blipFill>
                    <a:blip r:embed="rId57"/>
                    <a:stretch>
                      <a:fillRect/>
                    </a:stretch>
                  </pic:blipFill>
                  <pic:spPr>
                    <a:xfrm>
                      <a:off x="0" y="0"/>
                      <a:ext cx="5266690" cy="2641600"/>
                    </a:xfrm>
                    <a:prstGeom prst="rect">
                      <a:avLst/>
                    </a:prstGeom>
                    <a:noFill/>
                    <a:ln>
                      <a:noFill/>
                    </a:ln>
                  </pic:spPr>
                </pic:pic>
              </a:graphicData>
            </a:graphic>
          </wp:inline>
        </w:drawing>
      </w:r>
    </w:p>
    <w:p w14:paraId="19600786">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3、边坡、滑坡监测及预应力锚杆（索）应力监测路堑边坡施工期监测主要采取地表位移监测，必要时采用深孔位移监测，以坡体变形数据来修正设计，指导施工，以确保施工安全，并且检验工程效果。运营期的监测有地表位移监测、地下位移监测、地下水位监测及锚杆（索）预应力监测等，监测周期为坡体开挖至建成营运后不少于两年,对于重点复杂边坡或滑坡视坡体变形情况予以延长,监测的频率如下：施工期间：（1）地表位移监测 2～3 次/周，变形时1次/天，变形剧烈时每天数次：（2）地下位移监测 1～2 次/月，变形时 1～2次/周，变形剧烈时1次/天：（3）锚杆（索）应力监测在张拉锁定后头两个月内1次/周，其后2一3次/月。运营期间： 原则上1次/月，变形（或应力）异常、连续降雨、强降雨或台风后等加密监测：根据坡体地质情况及稳定程度，由业主会同监理和设计代表根据具体情况制定相关边坡、滑坡监测和锚固工程应力监测方案并组织安排专业单位实施，监测内容及项目等详见表 4.12及表4.13项目应尽量可能采用自动化监测及智能化管理，自动化监测系统能够系统实时监测公路边坡的变形、地下水位等，进而判别、诊断边坡稳定性状态，对可能发生的边坡灾害进行及时有效的判别、预警。</w:t>
      </w:r>
    </w:p>
    <w:p w14:paraId="39C3B01E">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①做好边坡监测数据动态管理，结合预警管理机制，定期检查边坡监测数据，分析边坡变形趋势与发展规律，提前制定方案，做好过程管控：</w:t>
      </w:r>
    </w:p>
    <w:p w14:paraId="48C7484A">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②）对不同边坡的监测数据反馈的变形过程进行整理统计,作为勘察设计期间判断边坡破坏规模的印证手段，提升边坡处治加固技术。</w:t>
      </w:r>
    </w:p>
    <w:p w14:paraId="58CA7BC0">
      <w:pPr>
        <w:pStyle w:val="178"/>
        <w:rPr>
          <w:rFonts w:hint="eastAsia" w:asciiTheme="minorEastAsia" w:hAnsiTheme="minorEastAsia" w:eastAsiaTheme="minorEastAsia"/>
          <w:color w:val="auto"/>
          <w:szCs w:val="24"/>
          <w:highlight w:val="none"/>
          <w:lang w:val="en-US" w:eastAsia="zh-CN"/>
        </w:rPr>
      </w:pPr>
      <w:r>
        <w:rPr>
          <w:rFonts w:hint="eastAsia" w:asciiTheme="minorEastAsia" w:hAnsiTheme="minorEastAsia" w:eastAsiaTheme="minorEastAsia"/>
          <w:color w:val="auto"/>
          <w:szCs w:val="24"/>
          <w:highlight w:val="none"/>
          <w:lang w:val="en-US" w:eastAsia="zh-CN"/>
        </w:rPr>
        <w:t>③建设可以预警、示警的共享互联的自动化、智能化监测技术平台，保障人、车、路管理协同，起到及时预警、示警，达到防灾减灾的作用。</w:t>
      </w:r>
    </w:p>
    <w:p w14:paraId="05CBF228">
      <w:pPr>
        <w:pStyle w:val="22"/>
        <w:spacing w:before="98" w:line="221" w:lineRule="auto"/>
        <w:jc w:val="center"/>
        <w:rPr>
          <w:sz w:val="21"/>
          <w:szCs w:val="21"/>
        </w:rPr>
      </w:pPr>
      <w:r>
        <w:rPr>
          <w:rFonts w:hint="eastAsia" w:ascii="黑体" w:hAnsi="黑体" w:eastAsia="黑体" w:cs="黑体"/>
          <w:b/>
          <w:bCs/>
          <w:sz w:val="21"/>
          <w:szCs w:val="21"/>
          <w:highlight w:val="none"/>
        </w:rPr>
        <w:t>表</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w:t>
      </w:r>
      <w:r>
        <w:rPr>
          <w:rFonts w:hint="eastAsia" w:ascii="黑体" w:hAnsi="黑体" w:eastAsia="黑体" w:cs="黑体"/>
          <w:b/>
          <w:bCs/>
          <w:sz w:val="21"/>
          <w:szCs w:val="21"/>
          <w:highlight w:val="none"/>
          <w:lang w:val="en-US" w:eastAsia="zh-CN"/>
        </w:rPr>
        <w:t>12</w:t>
      </w:r>
      <w:r>
        <w:rPr>
          <w:spacing w:val="-3"/>
          <w:sz w:val="21"/>
          <w:szCs w:val="21"/>
        </w:rPr>
        <w:t xml:space="preserve"> </w:t>
      </w:r>
      <w:r>
        <w:rPr>
          <w:b/>
          <w:bCs/>
          <w:spacing w:val="-3"/>
          <w:sz w:val="21"/>
          <w:szCs w:val="21"/>
        </w:rPr>
        <w:t>路堑边坡或滑坡监测内容</w:t>
      </w:r>
    </w:p>
    <w:tbl>
      <w:tblPr>
        <w:tblStyle w:val="176"/>
        <w:tblW w:w="850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73"/>
        <w:gridCol w:w="1211"/>
        <w:gridCol w:w="1569"/>
        <w:gridCol w:w="1866"/>
        <w:gridCol w:w="3383"/>
      </w:tblGrid>
      <w:tr w14:paraId="401DAD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8" w:hRule="atLeast"/>
          <w:jc w:val="center"/>
        </w:trPr>
        <w:tc>
          <w:tcPr>
            <w:tcW w:w="1684" w:type="dxa"/>
            <w:gridSpan w:val="2"/>
            <w:vAlign w:val="center"/>
          </w:tcPr>
          <w:p w14:paraId="060C3470">
            <w:pPr>
              <w:pStyle w:val="175"/>
              <w:spacing w:before="185" w:line="221" w:lineRule="auto"/>
              <w:jc w:val="both"/>
              <w:rPr>
                <w:sz w:val="24"/>
                <w:szCs w:val="24"/>
              </w:rPr>
            </w:pPr>
            <w:r>
              <w:rPr>
                <w:spacing w:val="-2"/>
                <w:sz w:val="24"/>
                <w:szCs w:val="24"/>
              </w:rPr>
              <w:t>监测内容</w:t>
            </w:r>
          </w:p>
        </w:tc>
        <w:tc>
          <w:tcPr>
            <w:tcW w:w="1569" w:type="dxa"/>
            <w:vAlign w:val="center"/>
          </w:tcPr>
          <w:p w14:paraId="5D0879A8">
            <w:pPr>
              <w:pStyle w:val="175"/>
              <w:spacing w:before="185" w:line="222" w:lineRule="auto"/>
              <w:jc w:val="both"/>
              <w:rPr>
                <w:sz w:val="24"/>
                <w:szCs w:val="24"/>
              </w:rPr>
            </w:pPr>
            <w:r>
              <w:rPr>
                <w:spacing w:val="-2"/>
                <w:sz w:val="24"/>
                <w:szCs w:val="24"/>
              </w:rPr>
              <w:t>监测设备</w:t>
            </w:r>
          </w:p>
        </w:tc>
        <w:tc>
          <w:tcPr>
            <w:tcW w:w="1866" w:type="dxa"/>
            <w:vAlign w:val="center"/>
          </w:tcPr>
          <w:p w14:paraId="293E976E">
            <w:pPr>
              <w:pStyle w:val="175"/>
              <w:spacing w:before="185" w:line="221" w:lineRule="auto"/>
              <w:ind w:left="0" w:leftChars="0" w:firstLine="0" w:firstLineChars="0"/>
              <w:jc w:val="both"/>
              <w:rPr>
                <w:sz w:val="24"/>
                <w:szCs w:val="24"/>
              </w:rPr>
            </w:pPr>
            <w:r>
              <w:rPr>
                <w:spacing w:val="-6"/>
                <w:sz w:val="24"/>
                <w:szCs w:val="24"/>
              </w:rPr>
              <w:t>自动化监测设备</w:t>
            </w:r>
          </w:p>
        </w:tc>
        <w:tc>
          <w:tcPr>
            <w:tcW w:w="3383" w:type="dxa"/>
            <w:vAlign w:val="center"/>
          </w:tcPr>
          <w:p w14:paraId="5FB22DB0">
            <w:pPr>
              <w:pStyle w:val="175"/>
              <w:spacing w:before="185" w:line="222" w:lineRule="auto"/>
              <w:ind w:left="1276"/>
              <w:jc w:val="center"/>
              <w:rPr>
                <w:sz w:val="24"/>
                <w:szCs w:val="24"/>
              </w:rPr>
            </w:pPr>
            <w:r>
              <w:rPr>
                <w:spacing w:val="-2"/>
                <w:sz w:val="24"/>
                <w:szCs w:val="24"/>
              </w:rPr>
              <w:t>监测目的</w:t>
            </w:r>
          </w:p>
        </w:tc>
      </w:tr>
      <w:tr w14:paraId="121DC4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473" w:type="dxa"/>
            <w:vMerge w:val="restart"/>
            <w:tcBorders>
              <w:bottom w:val="nil"/>
            </w:tcBorders>
            <w:textDirection w:val="tbRlV"/>
            <w:vAlign w:val="center"/>
          </w:tcPr>
          <w:p w14:paraId="5F70D55F">
            <w:pPr>
              <w:pStyle w:val="175"/>
              <w:spacing w:before="148" w:line="211" w:lineRule="auto"/>
              <w:ind w:left="346"/>
              <w:jc w:val="center"/>
              <w:rPr>
                <w:sz w:val="24"/>
                <w:szCs w:val="24"/>
              </w:rPr>
            </w:pPr>
            <w:r>
              <w:rPr>
                <w:spacing w:val="1"/>
                <w:sz w:val="24"/>
                <w:szCs w:val="24"/>
              </w:rPr>
              <w:t>地</w:t>
            </w:r>
            <w:r>
              <w:rPr>
                <w:spacing w:val="-43"/>
                <w:sz w:val="24"/>
                <w:szCs w:val="24"/>
              </w:rPr>
              <w:t xml:space="preserve"> </w:t>
            </w:r>
            <w:r>
              <w:rPr>
                <w:spacing w:val="1"/>
                <w:sz w:val="24"/>
                <w:szCs w:val="24"/>
              </w:rPr>
              <w:t>表</w:t>
            </w:r>
            <w:r>
              <w:rPr>
                <w:spacing w:val="-45"/>
                <w:sz w:val="24"/>
                <w:szCs w:val="24"/>
              </w:rPr>
              <w:t xml:space="preserve"> </w:t>
            </w:r>
            <w:r>
              <w:rPr>
                <w:spacing w:val="1"/>
                <w:sz w:val="24"/>
                <w:szCs w:val="24"/>
              </w:rPr>
              <w:t>监</w:t>
            </w:r>
            <w:r>
              <w:rPr>
                <w:spacing w:val="-43"/>
                <w:sz w:val="24"/>
                <w:szCs w:val="24"/>
              </w:rPr>
              <w:t xml:space="preserve"> </w:t>
            </w:r>
            <w:r>
              <w:rPr>
                <w:spacing w:val="1"/>
                <w:sz w:val="24"/>
                <w:szCs w:val="24"/>
              </w:rPr>
              <w:t>测</w:t>
            </w:r>
          </w:p>
        </w:tc>
        <w:tc>
          <w:tcPr>
            <w:tcW w:w="1211" w:type="dxa"/>
            <w:vAlign w:val="center"/>
          </w:tcPr>
          <w:p w14:paraId="50121885">
            <w:pPr>
              <w:pStyle w:val="175"/>
              <w:spacing w:before="41" w:line="221" w:lineRule="auto"/>
              <w:ind w:left="0" w:leftChars="0" w:firstLine="0" w:firstLineChars="0"/>
              <w:jc w:val="both"/>
              <w:rPr>
                <w:sz w:val="24"/>
                <w:szCs w:val="24"/>
              </w:rPr>
            </w:pPr>
            <w:r>
              <w:rPr>
                <w:spacing w:val="-2"/>
                <w:sz w:val="24"/>
                <w:szCs w:val="24"/>
              </w:rPr>
              <w:t>水平位移</w:t>
            </w:r>
            <w:r>
              <w:rPr>
                <w:spacing w:val="-4"/>
                <w:sz w:val="24"/>
                <w:szCs w:val="24"/>
              </w:rPr>
              <w:t>监测</w:t>
            </w:r>
          </w:p>
        </w:tc>
        <w:tc>
          <w:tcPr>
            <w:tcW w:w="1569" w:type="dxa"/>
            <w:vAlign w:val="center"/>
          </w:tcPr>
          <w:p w14:paraId="469D44EF">
            <w:pPr>
              <w:pStyle w:val="175"/>
              <w:spacing w:before="178" w:line="221" w:lineRule="auto"/>
              <w:ind w:left="0" w:leftChars="0" w:firstLine="0" w:firstLineChars="0"/>
              <w:jc w:val="both"/>
              <w:rPr>
                <w:sz w:val="24"/>
                <w:szCs w:val="24"/>
              </w:rPr>
            </w:pPr>
            <w:r>
              <w:rPr>
                <w:spacing w:val="-1"/>
                <w:sz w:val="24"/>
                <w:szCs w:val="24"/>
              </w:rPr>
              <w:t>全站仪、光电测距仪</w:t>
            </w:r>
          </w:p>
        </w:tc>
        <w:tc>
          <w:tcPr>
            <w:tcW w:w="1866" w:type="dxa"/>
            <w:vMerge w:val="restart"/>
            <w:tcBorders>
              <w:bottom w:val="nil"/>
            </w:tcBorders>
            <w:vAlign w:val="center"/>
          </w:tcPr>
          <w:p w14:paraId="276AEC41">
            <w:pPr>
              <w:pStyle w:val="175"/>
              <w:spacing w:before="69" w:line="243" w:lineRule="auto"/>
              <w:ind w:left="0" w:leftChars="0" w:right="104" w:firstLine="0" w:firstLineChars="0"/>
              <w:jc w:val="both"/>
              <w:rPr>
                <w:sz w:val="24"/>
                <w:szCs w:val="24"/>
              </w:rPr>
            </w:pPr>
            <w:r>
              <w:rPr>
                <w:spacing w:val="-3"/>
                <w:sz w:val="24"/>
                <w:szCs w:val="24"/>
              </w:rPr>
              <w:t>GNSS、光纤光栅</w:t>
            </w:r>
            <w:r>
              <w:rPr>
                <w:rFonts w:hint="eastAsia"/>
                <w:spacing w:val="-3"/>
                <w:sz w:val="24"/>
                <w:szCs w:val="24"/>
                <w:lang w:eastAsia="zh-CN"/>
              </w:rPr>
              <w:t>、</w:t>
            </w:r>
            <w:r>
              <w:rPr>
                <w:spacing w:val="-3"/>
                <w:sz w:val="24"/>
                <w:szCs w:val="24"/>
              </w:rPr>
              <w:t>红外视觉 AI 监测仪等</w:t>
            </w:r>
          </w:p>
        </w:tc>
        <w:tc>
          <w:tcPr>
            <w:tcW w:w="3383" w:type="dxa"/>
            <w:vMerge w:val="restart"/>
            <w:tcBorders>
              <w:bottom w:val="nil"/>
            </w:tcBorders>
            <w:vAlign w:val="center"/>
          </w:tcPr>
          <w:p w14:paraId="73D676A7">
            <w:pPr>
              <w:pStyle w:val="175"/>
              <w:spacing w:before="68" w:line="221" w:lineRule="auto"/>
              <w:ind w:left="0" w:leftChars="0" w:firstLine="0" w:firstLineChars="0"/>
              <w:jc w:val="both"/>
              <w:rPr>
                <w:sz w:val="24"/>
                <w:szCs w:val="24"/>
              </w:rPr>
            </w:pPr>
            <w:r>
              <w:rPr>
                <w:spacing w:val="-1"/>
                <w:sz w:val="24"/>
                <w:szCs w:val="24"/>
              </w:rPr>
              <w:t>观测地表位移、变形发展情况</w:t>
            </w:r>
          </w:p>
        </w:tc>
      </w:tr>
      <w:tr w14:paraId="133002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3" w:hRule="atLeast"/>
          <w:jc w:val="center"/>
        </w:trPr>
        <w:tc>
          <w:tcPr>
            <w:tcW w:w="473" w:type="dxa"/>
            <w:vMerge w:val="continue"/>
            <w:tcBorders>
              <w:top w:val="nil"/>
              <w:bottom w:val="nil"/>
            </w:tcBorders>
            <w:textDirection w:val="tbRlV"/>
            <w:vAlign w:val="center"/>
          </w:tcPr>
          <w:p w14:paraId="6019AA4E">
            <w:pPr>
              <w:jc w:val="center"/>
              <w:rPr>
                <w:rFonts w:ascii="Arial"/>
                <w:sz w:val="24"/>
                <w:szCs w:val="24"/>
              </w:rPr>
            </w:pPr>
          </w:p>
        </w:tc>
        <w:tc>
          <w:tcPr>
            <w:tcW w:w="1211" w:type="dxa"/>
            <w:vAlign w:val="center"/>
          </w:tcPr>
          <w:p w14:paraId="49D053B3">
            <w:pPr>
              <w:pStyle w:val="175"/>
              <w:spacing w:before="44" w:line="228" w:lineRule="auto"/>
              <w:ind w:left="0" w:leftChars="0" w:right="184" w:firstLine="0" w:firstLineChars="0"/>
              <w:jc w:val="both"/>
              <w:rPr>
                <w:sz w:val="24"/>
                <w:szCs w:val="24"/>
              </w:rPr>
            </w:pPr>
            <w:r>
              <w:rPr>
                <w:spacing w:val="-2"/>
                <w:sz w:val="24"/>
                <w:szCs w:val="24"/>
              </w:rPr>
              <w:t>垂直位移</w:t>
            </w:r>
            <w:r>
              <w:rPr>
                <w:sz w:val="24"/>
                <w:szCs w:val="24"/>
              </w:rPr>
              <w:t xml:space="preserve"> </w:t>
            </w:r>
            <w:r>
              <w:rPr>
                <w:spacing w:val="-4"/>
                <w:sz w:val="24"/>
                <w:szCs w:val="24"/>
              </w:rPr>
              <w:t>监测</w:t>
            </w:r>
          </w:p>
        </w:tc>
        <w:tc>
          <w:tcPr>
            <w:tcW w:w="1569" w:type="dxa"/>
            <w:vAlign w:val="center"/>
          </w:tcPr>
          <w:p w14:paraId="6BC17227">
            <w:pPr>
              <w:pStyle w:val="175"/>
              <w:spacing w:before="181" w:line="221" w:lineRule="auto"/>
              <w:ind w:left="0" w:leftChars="0" w:firstLine="0" w:firstLineChars="0"/>
              <w:jc w:val="both"/>
              <w:rPr>
                <w:sz w:val="24"/>
                <w:szCs w:val="24"/>
              </w:rPr>
            </w:pPr>
            <w:r>
              <w:rPr>
                <w:spacing w:val="-3"/>
                <w:sz w:val="24"/>
                <w:szCs w:val="24"/>
              </w:rPr>
              <w:t>水准仪</w:t>
            </w:r>
          </w:p>
        </w:tc>
        <w:tc>
          <w:tcPr>
            <w:tcW w:w="1866" w:type="dxa"/>
            <w:vMerge w:val="continue"/>
            <w:tcBorders>
              <w:top w:val="nil"/>
            </w:tcBorders>
            <w:vAlign w:val="center"/>
          </w:tcPr>
          <w:p w14:paraId="5BEFBF98">
            <w:pPr>
              <w:jc w:val="center"/>
              <w:rPr>
                <w:rFonts w:ascii="Arial"/>
                <w:sz w:val="24"/>
                <w:szCs w:val="24"/>
              </w:rPr>
            </w:pPr>
          </w:p>
        </w:tc>
        <w:tc>
          <w:tcPr>
            <w:tcW w:w="3383" w:type="dxa"/>
            <w:vMerge w:val="continue"/>
            <w:tcBorders>
              <w:top w:val="nil"/>
            </w:tcBorders>
            <w:vAlign w:val="center"/>
          </w:tcPr>
          <w:p w14:paraId="7B983995">
            <w:pPr>
              <w:jc w:val="center"/>
              <w:rPr>
                <w:rFonts w:ascii="Arial"/>
                <w:sz w:val="24"/>
                <w:szCs w:val="24"/>
              </w:rPr>
            </w:pPr>
          </w:p>
        </w:tc>
      </w:tr>
      <w:tr w14:paraId="0C8BF8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0" w:hRule="atLeast"/>
          <w:jc w:val="center"/>
        </w:trPr>
        <w:tc>
          <w:tcPr>
            <w:tcW w:w="473" w:type="dxa"/>
            <w:vMerge w:val="continue"/>
            <w:tcBorders>
              <w:top w:val="nil"/>
            </w:tcBorders>
            <w:textDirection w:val="tbRlV"/>
            <w:vAlign w:val="center"/>
          </w:tcPr>
          <w:p w14:paraId="6499E274">
            <w:pPr>
              <w:jc w:val="center"/>
              <w:rPr>
                <w:rFonts w:ascii="Arial"/>
                <w:sz w:val="24"/>
                <w:szCs w:val="24"/>
              </w:rPr>
            </w:pPr>
          </w:p>
        </w:tc>
        <w:tc>
          <w:tcPr>
            <w:tcW w:w="1211" w:type="dxa"/>
            <w:vAlign w:val="center"/>
          </w:tcPr>
          <w:p w14:paraId="2B4804DF">
            <w:pPr>
              <w:pStyle w:val="175"/>
              <w:spacing w:before="179" w:line="222" w:lineRule="auto"/>
              <w:ind w:left="0" w:leftChars="0" w:firstLine="0" w:firstLineChars="0"/>
              <w:jc w:val="both"/>
              <w:rPr>
                <w:sz w:val="24"/>
                <w:szCs w:val="24"/>
              </w:rPr>
            </w:pPr>
            <w:r>
              <w:rPr>
                <w:spacing w:val="-2"/>
                <w:sz w:val="24"/>
                <w:szCs w:val="24"/>
              </w:rPr>
              <w:t>裂缝监测</w:t>
            </w:r>
          </w:p>
        </w:tc>
        <w:tc>
          <w:tcPr>
            <w:tcW w:w="1569" w:type="dxa"/>
            <w:vAlign w:val="center"/>
          </w:tcPr>
          <w:p w14:paraId="31FE9CB2">
            <w:pPr>
              <w:pStyle w:val="175"/>
              <w:spacing w:before="179" w:line="220" w:lineRule="auto"/>
              <w:ind w:left="0" w:leftChars="0" w:firstLine="0" w:firstLineChars="0"/>
              <w:jc w:val="both"/>
              <w:rPr>
                <w:sz w:val="24"/>
                <w:szCs w:val="24"/>
              </w:rPr>
            </w:pPr>
            <w:r>
              <w:rPr>
                <w:spacing w:val="-1"/>
                <w:sz w:val="24"/>
                <w:szCs w:val="24"/>
              </w:rPr>
              <w:t>标桩、直尺或裂缝计</w:t>
            </w:r>
          </w:p>
        </w:tc>
        <w:tc>
          <w:tcPr>
            <w:tcW w:w="1866" w:type="dxa"/>
            <w:vAlign w:val="center"/>
          </w:tcPr>
          <w:p w14:paraId="13F127D0">
            <w:pPr>
              <w:pStyle w:val="175"/>
              <w:spacing w:before="179" w:line="221" w:lineRule="auto"/>
              <w:jc w:val="both"/>
              <w:rPr>
                <w:sz w:val="24"/>
                <w:szCs w:val="24"/>
              </w:rPr>
            </w:pPr>
            <w:r>
              <w:rPr>
                <w:spacing w:val="-2"/>
                <w:sz w:val="24"/>
                <w:szCs w:val="24"/>
              </w:rPr>
              <w:t>裂缝计等</w:t>
            </w:r>
          </w:p>
        </w:tc>
        <w:tc>
          <w:tcPr>
            <w:tcW w:w="3383" w:type="dxa"/>
            <w:vAlign w:val="center"/>
          </w:tcPr>
          <w:p w14:paraId="4324DC0E">
            <w:pPr>
              <w:pStyle w:val="175"/>
              <w:spacing w:before="180" w:line="221" w:lineRule="auto"/>
              <w:jc w:val="both"/>
              <w:rPr>
                <w:sz w:val="24"/>
                <w:szCs w:val="24"/>
              </w:rPr>
            </w:pPr>
            <w:r>
              <w:rPr>
                <w:spacing w:val="-1"/>
                <w:sz w:val="24"/>
                <w:szCs w:val="24"/>
              </w:rPr>
              <w:t>观测裂缝发展情况</w:t>
            </w:r>
          </w:p>
        </w:tc>
      </w:tr>
      <w:tr w14:paraId="58EC65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42" w:hRule="atLeast"/>
          <w:jc w:val="center"/>
        </w:trPr>
        <w:tc>
          <w:tcPr>
            <w:tcW w:w="1684" w:type="dxa"/>
            <w:gridSpan w:val="2"/>
            <w:vAlign w:val="center"/>
          </w:tcPr>
          <w:p w14:paraId="2357977F">
            <w:pPr>
              <w:spacing w:line="321" w:lineRule="auto"/>
              <w:jc w:val="center"/>
              <w:rPr>
                <w:rFonts w:ascii="Arial"/>
                <w:sz w:val="24"/>
                <w:szCs w:val="24"/>
              </w:rPr>
            </w:pPr>
          </w:p>
          <w:p w14:paraId="63F6C5D8">
            <w:pPr>
              <w:spacing w:line="322" w:lineRule="auto"/>
              <w:jc w:val="center"/>
              <w:rPr>
                <w:rFonts w:ascii="Arial"/>
                <w:sz w:val="24"/>
                <w:szCs w:val="24"/>
              </w:rPr>
            </w:pPr>
          </w:p>
          <w:p w14:paraId="73C8F7F8">
            <w:pPr>
              <w:pStyle w:val="175"/>
              <w:spacing w:before="69" w:line="222" w:lineRule="auto"/>
              <w:ind w:left="0" w:leftChars="0" w:firstLine="0" w:firstLineChars="0"/>
              <w:jc w:val="both"/>
              <w:rPr>
                <w:sz w:val="24"/>
                <w:szCs w:val="24"/>
              </w:rPr>
            </w:pPr>
            <w:r>
              <w:rPr>
                <w:spacing w:val="-1"/>
                <w:sz w:val="24"/>
                <w:szCs w:val="24"/>
              </w:rPr>
              <w:t>地下位移监测</w:t>
            </w:r>
          </w:p>
        </w:tc>
        <w:tc>
          <w:tcPr>
            <w:tcW w:w="1569" w:type="dxa"/>
            <w:vAlign w:val="center"/>
          </w:tcPr>
          <w:p w14:paraId="27069504">
            <w:pPr>
              <w:spacing w:line="321" w:lineRule="auto"/>
              <w:jc w:val="center"/>
              <w:rPr>
                <w:rFonts w:ascii="Arial"/>
                <w:sz w:val="24"/>
                <w:szCs w:val="24"/>
              </w:rPr>
            </w:pPr>
          </w:p>
          <w:p w14:paraId="2D303C75">
            <w:pPr>
              <w:spacing w:line="322" w:lineRule="auto"/>
              <w:jc w:val="center"/>
              <w:rPr>
                <w:rFonts w:ascii="Arial"/>
                <w:sz w:val="24"/>
                <w:szCs w:val="24"/>
              </w:rPr>
            </w:pPr>
          </w:p>
          <w:p w14:paraId="3C60CC6C">
            <w:pPr>
              <w:pStyle w:val="175"/>
              <w:spacing w:before="68" w:line="221" w:lineRule="auto"/>
              <w:jc w:val="both"/>
              <w:rPr>
                <w:sz w:val="24"/>
                <w:szCs w:val="24"/>
              </w:rPr>
            </w:pPr>
            <w:r>
              <w:rPr>
                <w:spacing w:val="-2"/>
                <w:sz w:val="24"/>
                <w:szCs w:val="24"/>
              </w:rPr>
              <w:t>测斜仪</w:t>
            </w:r>
          </w:p>
        </w:tc>
        <w:tc>
          <w:tcPr>
            <w:tcW w:w="1866" w:type="dxa"/>
            <w:vAlign w:val="center"/>
          </w:tcPr>
          <w:p w14:paraId="1926DC63">
            <w:pPr>
              <w:spacing w:line="255" w:lineRule="auto"/>
              <w:jc w:val="center"/>
              <w:rPr>
                <w:rFonts w:ascii="Arial"/>
                <w:sz w:val="24"/>
                <w:szCs w:val="24"/>
              </w:rPr>
            </w:pPr>
          </w:p>
          <w:p w14:paraId="065526E7">
            <w:pPr>
              <w:spacing w:line="256" w:lineRule="auto"/>
              <w:jc w:val="center"/>
              <w:rPr>
                <w:rFonts w:ascii="Arial"/>
                <w:sz w:val="24"/>
                <w:szCs w:val="24"/>
              </w:rPr>
            </w:pPr>
          </w:p>
          <w:p w14:paraId="00922FF0">
            <w:pPr>
              <w:pStyle w:val="175"/>
              <w:spacing w:before="68"/>
              <w:ind w:right="104"/>
              <w:jc w:val="both"/>
              <w:rPr>
                <w:sz w:val="24"/>
                <w:szCs w:val="24"/>
              </w:rPr>
            </w:pPr>
            <w:r>
              <w:rPr>
                <w:spacing w:val="-1"/>
                <w:sz w:val="24"/>
                <w:szCs w:val="24"/>
              </w:rPr>
              <w:t>柔性测斜仪、智能型</w:t>
            </w:r>
            <w:r>
              <w:rPr>
                <w:spacing w:val="2"/>
                <w:sz w:val="24"/>
                <w:szCs w:val="24"/>
              </w:rPr>
              <w:t xml:space="preserve"> </w:t>
            </w:r>
            <w:r>
              <w:rPr>
                <w:spacing w:val="-2"/>
                <w:sz w:val="24"/>
                <w:szCs w:val="24"/>
              </w:rPr>
              <w:t>测斜仪等</w:t>
            </w:r>
          </w:p>
        </w:tc>
        <w:tc>
          <w:tcPr>
            <w:tcW w:w="3383" w:type="dxa"/>
            <w:vAlign w:val="center"/>
          </w:tcPr>
          <w:p w14:paraId="137985C9">
            <w:pPr>
              <w:pStyle w:val="175"/>
              <w:spacing w:before="34" w:line="221" w:lineRule="auto"/>
              <w:jc w:val="center"/>
              <w:rPr>
                <w:sz w:val="24"/>
                <w:szCs w:val="24"/>
              </w:rPr>
            </w:pPr>
            <w:r>
              <w:rPr>
                <w:spacing w:val="-1"/>
                <w:sz w:val="24"/>
                <w:szCs w:val="24"/>
              </w:rPr>
              <w:t>探测相对于稳定地层的地下岩体位移、证实和确定正在发生位移的构</w:t>
            </w:r>
            <w:r>
              <w:rPr>
                <w:sz w:val="24"/>
                <w:szCs w:val="24"/>
              </w:rPr>
              <w:t>造特征，确定潜在滑动面深度，判</w:t>
            </w:r>
            <w:r>
              <w:rPr>
                <w:spacing w:val="-7"/>
                <w:sz w:val="24"/>
                <w:szCs w:val="24"/>
              </w:rPr>
              <w:t>断主滑方向，定量分析评价边（滑）</w:t>
            </w:r>
            <w:r>
              <w:rPr>
                <w:spacing w:val="-1"/>
                <w:sz w:val="24"/>
                <w:szCs w:val="24"/>
              </w:rPr>
              <w:t>坡的稳定状况，评判边（滑）坡加</w:t>
            </w:r>
            <w:r>
              <w:rPr>
                <w:spacing w:val="-4"/>
                <w:sz w:val="24"/>
                <w:szCs w:val="24"/>
              </w:rPr>
              <w:t>固工程效果。</w:t>
            </w:r>
          </w:p>
        </w:tc>
      </w:tr>
      <w:tr w14:paraId="3E3A46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1684" w:type="dxa"/>
            <w:gridSpan w:val="2"/>
            <w:vAlign w:val="center"/>
          </w:tcPr>
          <w:p w14:paraId="724C037C">
            <w:pPr>
              <w:pStyle w:val="175"/>
              <w:spacing w:before="182" w:line="221" w:lineRule="auto"/>
              <w:ind w:left="0" w:leftChars="0" w:firstLine="0" w:firstLineChars="0"/>
              <w:jc w:val="both"/>
              <w:rPr>
                <w:sz w:val="24"/>
                <w:szCs w:val="24"/>
              </w:rPr>
            </w:pPr>
            <w:r>
              <w:rPr>
                <w:spacing w:val="-1"/>
                <w:sz w:val="24"/>
                <w:szCs w:val="24"/>
              </w:rPr>
              <w:t>地下水位监测</w:t>
            </w:r>
          </w:p>
        </w:tc>
        <w:tc>
          <w:tcPr>
            <w:tcW w:w="1569" w:type="dxa"/>
            <w:vAlign w:val="center"/>
          </w:tcPr>
          <w:p w14:paraId="608048B0">
            <w:pPr>
              <w:pStyle w:val="175"/>
              <w:spacing w:before="182" w:line="222" w:lineRule="auto"/>
              <w:jc w:val="both"/>
              <w:rPr>
                <w:sz w:val="24"/>
                <w:szCs w:val="24"/>
              </w:rPr>
            </w:pPr>
            <w:r>
              <w:rPr>
                <w:spacing w:val="-2"/>
                <w:sz w:val="24"/>
                <w:szCs w:val="24"/>
              </w:rPr>
              <w:t>人工测量</w:t>
            </w:r>
          </w:p>
        </w:tc>
        <w:tc>
          <w:tcPr>
            <w:tcW w:w="1866" w:type="dxa"/>
            <w:vAlign w:val="center"/>
          </w:tcPr>
          <w:p w14:paraId="3F0924C1">
            <w:pPr>
              <w:pStyle w:val="175"/>
              <w:spacing w:before="182" w:line="221" w:lineRule="auto"/>
              <w:ind w:left="0" w:leftChars="0" w:firstLine="0" w:firstLineChars="0"/>
              <w:jc w:val="both"/>
              <w:rPr>
                <w:sz w:val="24"/>
                <w:szCs w:val="24"/>
              </w:rPr>
            </w:pPr>
            <w:r>
              <w:rPr>
                <w:spacing w:val="-1"/>
                <w:sz w:val="24"/>
                <w:szCs w:val="24"/>
              </w:rPr>
              <w:t>渗压计、水位计等</w:t>
            </w:r>
          </w:p>
        </w:tc>
        <w:tc>
          <w:tcPr>
            <w:tcW w:w="3383" w:type="dxa"/>
            <w:vAlign w:val="center"/>
          </w:tcPr>
          <w:p w14:paraId="0E8E5DE2">
            <w:pPr>
              <w:pStyle w:val="175"/>
              <w:spacing w:before="46" w:line="226" w:lineRule="auto"/>
              <w:ind w:right="112"/>
              <w:jc w:val="center"/>
              <w:rPr>
                <w:sz w:val="24"/>
                <w:szCs w:val="24"/>
              </w:rPr>
            </w:pPr>
            <w:r>
              <w:rPr>
                <w:spacing w:val="-1"/>
                <w:sz w:val="24"/>
                <w:szCs w:val="24"/>
              </w:rPr>
              <w:t>观测地下水位变化与降雨关系，评</w:t>
            </w:r>
            <w:r>
              <w:rPr>
                <w:spacing w:val="9"/>
                <w:sz w:val="24"/>
                <w:szCs w:val="24"/>
              </w:rPr>
              <w:t xml:space="preserve"> </w:t>
            </w:r>
            <w:r>
              <w:rPr>
                <w:spacing w:val="-1"/>
                <w:sz w:val="24"/>
                <w:szCs w:val="24"/>
              </w:rPr>
              <w:t>判边坡排水措施的有效性</w:t>
            </w:r>
          </w:p>
        </w:tc>
      </w:tr>
      <w:tr w14:paraId="6CEB11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1684" w:type="dxa"/>
            <w:gridSpan w:val="2"/>
            <w:vAlign w:val="center"/>
          </w:tcPr>
          <w:p w14:paraId="466742E7">
            <w:pPr>
              <w:pStyle w:val="175"/>
              <w:spacing w:before="172" w:line="221" w:lineRule="auto"/>
              <w:jc w:val="center"/>
              <w:rPr>
                <w:sz w:val="24"/>
                <w:szCs w:val="24"/>
              </w:rPr>
            </w:pPr>
            <w:r>
              <w:rPr>
                <w:spacing w:val="-1"/>
                <w:sz w:val="24"/>
                <w:szCs w:val="24"/>
              </w:rPr>
              <w:t>支挡结构变形、</w:t>
            </w:r>
          </w:p>
          <w:p w14:paraId="0A523BC6">
            <w:pPr>
              <w:pStyle w:val="175"/>
              <w:spacing w:before="22" w:line="221" w:lineRule="auto"/>
              <w:ind w:left="636"/>
              <w:jc w:val="center"/>
              <w:rPr>
                <w:sz w:val="24"/>
                <w:szCs w:val="24"/>
              </w:rPr>
            </w:pPr>
            <w:r>
              <w:rPr>
                <w:spacing w:val="-3"/>
                <w:sz w:val="24"/>
                <w:szCs w:val="24"/>
              </w:rPr>
              <w:t>应力</w:t>
            </w:r>
          </w:p>
        </w:tc>
        <w:tc>
          <w:tcPr>
            <w:tcW w:w="1569" w:type="dxa"/>
            <w:vAlign w:val="center"/>
          </w:tcPr>
          <w:p w14:paraId="6FD4BB0A">
            <w:pPr>
              <w:pStyle w:val="175"/>
              <w:spacing w:before="172" w:line="243" w:lineRule="auto"/>
              <w:ind w:right="92"/>
              <w:jc w:val="both"/>
              <w:rPr>
                <w:sz w:val="24"/>
                <w:szCs w:val="24"/>
              </w:rPr>
            </w:pPr>
            <w:r>
              <w:rPr>
                <w:spacing w:val="-4"/>
                <w:sz w:val="24"/>
                <w:szCs w:val="24"/>
              </w:rPr>
              <w:t>斜仪、分层沉降仪、</w:t>
            </w:r>
            <w:r>
              <w:rPr>
                <w:spacing w:val="1"/>
                <w:sz w:val="24"/>
                <w:szCs w:val="24"/>
              </w:rPr>
              <w:t xml:space="preserve"> </w:t>
            </w:r>
            <w:r>
              <w:rPr>
                <w:spacing w:val="-1"/>
                <w:sz w:val="24"/>
                <w:szCs w:val="24"/>
              </w:rPr>
              <w:t>压力盒、钢筋应力计</w:t>
            </w:r>
          </w:p>
        </w:tc>
        <w:tc>
          <w:tcPr>
            <w:tcW w:w="1866" w:type="dxa"/>
            <w:vAlign w:val="center"/>
          </w:tcPr>
          <w:p w14:paraId="54390A0A">
            <w:pPr>
              <w:pStyle w:val="175"/>
              <w:tabs>
                <w:tab w:val="left" w:pos="330"/>
              </w:tabs>
              <w:spacing w:before="37" w:line="229" w:lineRule="auto"/>
              <w:ind w:left="111" w:right="104" w:firstLine="5"/>
              <w:jc w:val="both"/>
              <w:rPr>
                <w:sz w:val="24"/>
                <w:szCs w:val="24"/>
              </w:rPr>
            </w:pPr>
            <w:r>
              <w:rPr>
                <w:spacing w:val="-2"/>
                <w:sz w:val="24"/>
                <w:szCs w:val="24"/>
              </w:rPr>
              <w:t>结构物倾斜（地表倾</w:t>
            </w:r>
            <w:r>
              <w:rPr>
                <w:spacing w:val="7"/>
                <w:sz w:val="24"/>
                <w:szCs w:val="24"/>
              </w:rPr>
              <w:t xml:space="preserve"> </w:t>
            </w:r>
            <w:r>
              <w:rPr>
                <w:spacing w:val="-1"/>
                <w:sz w:val="24"/>
                <w:szCs w:val="24"/>
              </w:rPr>
              <w:t>斜）状态监测、锚索</w:t>
            </w:r>
            <w:r>
              <w:rPr>
                <w:spacing w:val="4"/>
                <w:sz w:val="24"/>
                <w:szCs w:val="24"/>
              </w:rPr>
              <w:t xml:space="preserve"> </w:t>
            </w:r>
            <w:r>
              <w:rPr>
                <w:sz w:val="24"/>
                <w:szCs w:val="24"/>
              </w:rPr>
              <w:tab/>
            </w:r>
            <w:r>
              <w:rPr>
                <w:spacing w:val="-2"/>
                <w:sz w:val="24"/>
                <w:szCs w:val="24"/>
              </w:rPr>
              <w:t>（杆）应力监测</w:t>
            </w:r>
          </w:p>
        </w:tc>
        <w:tc>
          <w:tcPr>
            <w:tcW w:w="3383" w:type="dxa"/>
            <w:vAlign w:val="center"/>
          </w:tcPr>
          <w:p w14:paraId="27F14870">
            <w:pPr>
              <w:pStyle w:val="175"/>
              <w:spacing w:before="172" w:line="243" w:lineRule="auto"/>
              <w:ind w:right="112"/>
              <w:jc w:val="center"/>
              <w:rPr>
                <w:sz w:val="24"/>
                <w:szCs w:val="24"/>
              </w:rPr>
            </w:pPr>
            <w:r>
              <w:rPr>
                <w:spacing w:val="-1"/>
                <w:sz w:val="24"/>
                <w:szCs w:val="24"/>
              </w:rPr>
              <w:t>支挡构造物岩土体的变形观测，支</w:t>
            </w:r>
            <w:r>
              <w:rPr>
                <w:spacing w:val="8"/>
                <w:sz w:val="24"/>
                <w:szCs w:val="24"/>
              </w:rPr>
              <w:t xml:space="preserve"> </w:t>
            </w:r>
            <w:r>
              <w:rPr>
                <w:spacing w:val="-1"/>
                <w:sz w:val="24"/>
                <w:szCs w:val="24"/>
              </w:rPr>
              <w:t>挡构造物与岩土体间接触压力观测</w:t>
            </w:r>
          </w:p>
        </w:tc>
      </w:tr>
    </w:tbl>
    <w:p w14:paraId="17716778">
      <w:pPr>
        <w:pStyle w:val="178"/>
        <w:jc w:val="center"/>
        <w:rPr>
          <w:b/>
          <w:bCs/>
          <w:spacing w:val="-3"/>
          <w:sz w:val="21"/>
          <w:szCs w:val="21"/>
        </w:rPr>
      </w:pPr>
    </w:p>
    <w:p w14:paraId="12C89B6B">
      <w:pPr>
        <w:pStyle w:val="178"/>
        <w:jc w:val="center"/>
        <w:rPr>
          <w:rFonts w:hint="eastAsia" w:asciiTheme="minorEastAsia" w:hAnsiTheme="minorEastAsia" w:eastAsiaTheme="minorEastAsia"/>
          <w:color w:val="auto"/>
          <w:szCs w:val="24"/>
          <w:highlight w:val="none"/>
          <w:lang w:val="en-US" w:eastAsia="zh-CN"/>
        </w:rPr>
      </w:pPr>
      <w:r>
        <w:rPr>
          <w:b/>
          <w:bCs/>
          <w:spacing w:val="-3"/>
          <w:sz w:val="21"/>
          <w:szCs w:val="21"/>
        </w:rPr>
        <w:t>表</w:t>
      </w:r>
      <w:r>
        <w:rPr>
          <w:spacing w:val="-32"/>
          <w:sz w:val="21"/>
          <w:szCs w:val="21"/>
        </w:rPr>
        <w:t xml:space="preserve"> </w:t>
      </w:r>
      <w:r>
        <w:rPr>
          <w:rFonts w:hint="eastAsia"/>
          <w:b/>
          <w:bCs/>
          <w:spacing w:val="-3"/>
          <w:sz w:val="21"/>
          <w:szCs w:val="21"/>
          <w:lang w:val="en-US" w:eastAsia="zh-CN"/>
        </w:rPr>
        <w:t>8.13</w:t>
      </w:r>
      <w:r>
        <w:rPr>
          <w:b/>
          <w:bCs/>
          <w:spacing w:val="-3"/>
          <w:sz w:val="21"/>
          <w:szCs w:val="21"/>
        </w:rPr>
        <w:t>预应力锚固工程原位监测内容和项目</w:t>
      </w:r>
    </w:p>
    <w:tbl>
      <w:tblPr>
        <w:tblStyle w:val="176"/>
        <w:tblW w:w="847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70"/>
        <w:gridCol w:w="1428"/>
        <w:gridCol w:w="2313"/>
        <w:gridCol w:w="2762"/>
      </w:tblGrid>
      <w:tr w14:paraId="6FCBD8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2" w:hRule="atLeast"/>
          <w:jc w:val="center"/>
        </w:trPr>
        <w:tc>
          <w:tcPr>
            <w:tcW w:w="1970" w:type="dxa"/>
            <w:tcBorders>
              <w:top w:val="single" w:color="000000" w:sz="6" w:space="0"/>
              <w:left w:val="single" w:color="000000" w:sz="6" w:space="0"/>
            </w:tcBorders>
            <w:vAlign w:val="top"/>
          </w:tcPr>
          <w:p w14:paraId="2BC7B86F">
            <w:pPr>
              <w:pStyle w:val="175"/>
              <w:spacing w:before="151" w:line="243" w:lineRule="auto"/>
              <w:ind w:left="0" w:leftChars="0" w:right="363" w:firstLine="0" w:firstLineChars="0"/>
              <w:jc w:val="both"/>
              <w:rPr>
                <w:sz w:val="24"/>
                <w:szCs w:val="24"/>
              </w:rPr>
            </w:pPr>
            <w:r>
              <w:rPr>
                <w:spacing w:val="-3"/>
                <w:sz w:val="24"/>
                <w:szCs w:val="24"/>
              </w:rPr>
              <w:t>预应力锚杆（索）</w:t>
            </w:r>
            <w:r>
              <w:rPr>
                <w:sz w:val="24"/>
                <w:szCs w:val="24"/>
              </w:rPr>
              <w:t xml:space="preserve"> </w:t>
            </w:r>
            <w:r>
              <w:rPr>
                <w:spacing w:val="-2"/>
                <w:sz w:val="24"/>
                <w:szCs w:val="24"/>
              </w:rPr>
              <w:t>工作阶段</w:t>
            </w:r>
          </w:p>
        </w:tc>
        <w:tc>
          <w:tcPr>
            <w:tcW w:w="3741" w:type="dxa"/>
            <w:gridSpan w:val="2"/>
            <w:tcBorders>
              <w:top w:val="single" w:color="000000" w:sz="6" w:space="0"/>
            </w:tcBorders>
            <w:vAlign w:val="top"/>
          </w:tcPr>
          <w:p w14:paraId="34C91B44">
            <w:pPr>
              <w:pStyle w:val="175"/>
              <w:spacing w:before="287" w:line="221" w:lineRule="auto"/>
              <w:jc w:val="center"/>
              <w:rPr>
                <w:sz w:val="24"/>
                <w:szCs w:val="24"/>
              </w:rPr>
            </w:pPr>
            <w:r>
              <w:rPr>
                <w:spacing w:val="-2"/>
                <w:sz w:val="24"/>
                <w:szCs w:val="24"/>
              </w:rPr>
              <w:t>监测内容</w:t>
            </w:r>
          </w:p>
        </w:tc>
        <w:tc>
          <w:tcPr>
            <w:tcW w:w="2762" w:type="dxa"/>
            <w:tcBorders>
              <w:top w:val="single" w:color="000000" w:sz="6" w:space="0"/>
              <w:right w:val="single" w:color="000000" w:sz="6" w:space="0"/>
            </w:tcBorders>
            <w:vAlign w:val="top"/>
          </w:tcPr>
          <w:p w14:paraId="788E9EB5">
            <w:pPr>
              <w:pStyle w:val="175"/>
              <w:spacing w:before="288" w:line="221" w:lineRule="auto"/>
              <w:jc w:val="center"/>
              <w:rPr>
                <w:sz w:val="24"/>
                <w:szCs w:val="24"/>
              </w:rPr>
            </w:pPr>
            <w:r>
              <w:rPr>
                <w:spacing w:val="-2"/>
                <w:sz w:val="24"/>
                <w:szCs w:val="24"/>
              </w:rPr>
              <w:t>监测项目</w:t>
            </w:r>
          </w:p>
        </w:tc>
      </w:tr>
      <w:tr w14:paraId="1857B4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1" w:hRule="atLeast"/>
          <w:jc w:val="center"/>
        </w:trPr>
        <w:tc>
          <w:tcPr>
            <w:tcW w:w="1970" w:type="dxa"/>
            <w:vMerge w:val="restart"/>
            <w:tcBorders>
              <w:left w:val="single" w:color="000000" w:sz="6" w:space="0"/>
              <w:bottom w:val="nil"/>
            </w:tcBorders>
            <w:vAlign w:val="center"/>
          </w:tcPr>
          <w:p w14:paraId="09445DCF">
            <w:pPr>
              <w:spacing w:line="287" w:lineRule="auto"/>
              <w:jc w:val="center"/>
              <w:rPr>
                <w:rFonts w:ascii="Arial"/>
                <w:sz w:val="24"/>
                <w:szCs w:val="24"/>
              </w:rPr>
            </w:pPr>
          </w:p>
          <w:p w14:paraId="125E8F35">
            <w:pPr>
              <w:pStyle w:val="175"/>
              <w:spacing w:before="68" w:line="222" w:lineRule="auto"/>
              <w:ind w:left="0" w:leftChars="0" w:firstLine="0" w:firstLineChars="0"/>
              <w:jc w:val="center"/>
              <w:rPr>
                <w:sz w:val="24"/>
                <w:szCs w:val="24"/>
              </w:rPr>
            </w:pPr>
            <w:r>
              <w:rPr>
                <w:spacing w:val="-1"/>
                <w:sz w:val="24"/>
                <w:szCs w:val="24"/>
              </w:rPr>
              <w:t>施工阶段</w:t>
            </w:r>
          </w:p>
        </w:tc>
        <w:tc>
          <w:tcPr>
            <w:tcW w:w="1428" w:type="dxa"/>
            <w:vAlign w:val="center"/>
          </w:tcPr>
          <w:p w14:paraId="40139045">
            <w:pPr>
              <w:spacing w:line="386" w:lineRule="auto"/>
              <w:jc w:val="center"/>
              <w:rPr>
                <w:rFonts w:ascii="Arial"/>
                <w:sz w:val="24"/>
                <w:szCs w:val="24"/>
              </w:rPr>
            </w:pPr>
          </w:p>
          <w:p w14:paraId="254FB351">
            <w:pPr>
              <w:pStyle w:val="175"/>
              <w:spacing w:before="68" w:line="221" w:lineRule="auto"/>
              <w:ind w:left="0" w:leftChars="0" w:firstLine="0" w:firstLineChars="0"/>
              <w:jc w:val="center"/>
              <w:rPr>
                <w:sz w:val="24"/>
                <w:szCs w:val="24"/>
              </w:rPr>
            </w:pPr>
            <w:r>
              <w:rPr>
                <w:spacing w:val="-2"/>
                <w:sz w:val="24"/>
                <w:szCs w:val="24"/>
              </w:rPr>
              <w:t>锚杆体</w:t>
            </w:r>
          </w:p>
        </w:tc>
        <w:tc>
          <w:tcPr>
            <w:tcW w:w="2313" w:type="dxa"/>
            <w:vAlign w:val="top"/>
          </w:tcPr>
          <w:p w14:paraId="6DF9FEFA">
            <w:pPr>
              <w:spacing w:line="250" w:lineRule="auto"/>
              <w:jc w:val="center"/>
              <w:rPr>
                <w:rFonts w:ascii="Arial"/>
                <w:sz w:val="24"/>
                <w:szCs w:val="24"/>
              </w:rPr>
            </w:pPr>
          </w:p>
          <w:p w14:paraId="4B1B2856">
            <w:pPr>
              <w:pStyle w:val="175"/>
              <w:spacing w:before="68" w:line="243" w:lineRule="auto"/>
              <w:ind w:left="0" w:leftChars="0" w:right="567" w:firstLine="0" w:firstLineChars="0"/>
              <w:jc w:val="both"/>
              <w:rPr>
                <w:sz w:val="24"/>
                <w:szCs w:val="24"/>
              </w:rPr>
            </w:pPr>
            <w:r>
              <w:rPr>
                <w:spacing w:val="-1"/>
                <w:sz w:val="24"/>
                <w:szCs w:val="24"/>
              </w:rPr>
              <w:t>锚杆的工作状态</w:t>
            </w:r>
            <w:r>
              <w:rPr>
                <w:spacing w:val="1"/>
                <w:sz w:val="24"/>
                <w:szCs w:val="24"/>
              </w:rPr>
              <w:t xml:space="preserve"> </w:t>
            </w:r>
            <w:r>
              <w:rPr>
                <w:spacing w:val="-1"/>
                <w:sz w:val="24"/>
                <w:szCs w:val="24"/>
              </w:rPr>
              <w:t>锚杆的施工质量</w:t>
            </w:r>
          </w:p>
        </w:tc>
        <w:tc>
          <w:tcPr>
            <w:tcW w:w="2762" w:type="dxa"/>
            <w:tcBorders>
              <w:right w:val="single" w:color="000000" w:sz="6" w:space="0"/>
            </w:tcBorders>
            <w:vAlign w:val="top"/>
          </w:tcPr>
          <w:p w14:paraId="344465BA">
            <w:pPr>
              <w:pStyle w:val="175"/>
              <w:spacing w:before="186" w:line="221" w:lineRule="auto"/>
              <w:jc w:val="center"/>
              <w:rPr>
                <w:spacing w:val="-1"/>
                <w:sz w:val="24"/>
                <w:szCs w:val="24"/>
              </w:rPr>
            </w:pPr>
            <w:r>
              <w:rPr>
                <w:spacing w:val="-1"/>
                <w:sz w:val="24"/>
                <w:szCs w:val="24"/>
              </w:rPr>
              <w:t>锚杆张拉力</w:t>
            </w:r>
          </w:p>
          <w:p w14:paraId="4C7BE8A2">
            <w:pPr>
              <w:pStyle w:val="175"/>
              <w:spacing w:before="186" w:line="221" w:lineRule="auto"/>
              <w:jc w:val="center"/>
              <w:rPr>
                <w:spacing w:val="-1"/>
                <w:sz w:val="24"/>
                <w:szCs w:val="24"/>
              </w:rPr>
            </w:pPr>
            <w:r>
              <w:rPr>
                <w:spacing w:val="-1"/>
                <w:sz w:val="24"/>
                <w:szCs w:val="24"/>
              </w:rPr>
              <w:t>锚杆伸长值</w:t>
            </w:r>
          </w:p>
          <w:p w14:paraId="1A125569">
            <w:pPr>
              <w:pStyle w:val="175"/>
              <w:spacing w:before="186" w:line="221" w:lineRule="auto"/>
              <w:jc w:val="center"/>
              <w:rPr>
                <w:sz w:val="24"/>
                <w:szCs w:val="24"/>
              </w:rPr>
            </w:pPr>
            <w:r>
              <w:rPr>
                <w:spacing w:val="-2"/>
                <w:sz w:val="24"/>
                <w:szCs w:val="24"/>
              </w:rPr>
              <w:t>预应力损失</w:t>
            </w:r>
          </w:p>
        </w:tc>
      </w:tr>
      <w:tr w14:paraId="61DD4E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jc w:val="center"/>
        </w:trPr>
        <w:tc>
          <w:tcPr>
            <w:tcW w:w="1970" w:type="dxa"/>
            <w:vMerge w:val="continue"/>
            <w:tcBorders>
              <w:top w:val="nil"/>
              <w:left w:val="single" w:color="000000" w:sz="6" w:space="0"/>
            </w:tcBorders>
            <w:vAlign w:val="center"/>
          </w:tcPr>
          <w:p w14:paraId="311CE508">
            <w:pPr>
              <w:jc w:val="center"/>
              <w:rPr>
                <w:rFonts w:ascii="Arial"/>
                <w:sz w:val="24"/>
                <w:szCs w:val="24"/>
              </w:rPr>
            </w:pPr>
          </w:p>
        </w:tc>
        <w:tc>
          <w:tcPr>
            <w:tcW w:w="1428" w:type="dxa"/>
            <w:vAlign w:val="center"/>
          </w:tcPr>
          <w:p w14:paraId="61C55DD4">
            <w:pPr>
              <w:pStyle w:val="175"/>
              <w:spacing w:before="91" w:line="221" w:lineRule="auto"/>
              <w:ind w:left="0" w:leftChars="0" w:firstLine="0" w:firstLineChars="0"/>
              <w:jc w:val="center"/>
              <w:rPr>
                <w:sz w:val="24"/>
                <w:szCs w:val="24"/>
              </w:rPr>
            </w:pPr>
            <w:r>
              <w:rPr>
                <w:spacing w:val="-2"/>
                <w:sz w:val="24"/>
                <w:szCs w:val="24"/>
              </w:rPr>
              <w:t>锚固对象</w:t>
            </w:r>
          </w:p>
        </w:tc>
        <w:tc>
          <w:tcPr>
            <w:tcW w:w="2313" w:type="dxa"/>
            <w:vAlign w:val="top"/>
          </w:tcPr>
          <w:p w14:paraId="0F994C5F">
            <w:pPr>
              <w:pStyle w:val="175"/>
              <w:spacing w:before="91" w:line="221" w:lineRule="auto"/>
              <w:jc w:val="both"/>
              <w:rPr>
                <w:sz w:val="24"/>
                <w:szCs w:val="24"/>
              </w:rPr>
            </w:pPr>
            <w:r>
              <w:rPr>
                <w:spacing w:val="-2"/>
                <w:sz w:val="24"/>
                <w:szCs w:val="24"/>
              </w:rPr>
              <w:t>加固效果</w:t>
            </w:r>
          </w:p>
        </w:tc>
        <w:tc>
          <w:tcPr>
            <w:tcW w:w="2762" w:type="dxa"/>
            <w:tcBorders>
              <w:right w:val="single" w:color="000000" w:sz="6" w:space="0"/>
            </w:tcBorders>
            <w:vAlign w:val="top"/>
          </w:tcPr>
          <w:p w14:paraId="1D88FAC9">
            <w:pPr>
              <w:pStyle w:val="175"/>
              <w:spacing w:before="91" w:line="221" w:lineRule="auto"/>
              <w:ind w:left="0" w:leftChars="0" w:firstLine="0" w:firstLineChars="0"/>
              <w:jc w:val="both"/>
              <w:rPr>
                <w:sz w:val="24"/>
                <w:szCs w:val="24"/>
              </w:rPr>
            </w:pPr>
            <w:r>
              <w:rPr>
                <w:spacing w:val="-1"/>
                <w:sz w:val="24"/>
                <w:szCs w:val="24"/>
              </w:rPr>
              <w:t>被锚固体的位移和变形</w:t>
            </w:r>
          </w:p>
        </w:tc>
      </w:tr>
      <w:tr w14:paraId="0C8736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jc w:val="center"/>
        </w:trPr>
        <w:tc>
          <w:tcPr>
            <w:tcW w:w="1970" w:type="dxa"/>
            <w:vMerge w:val="restart"/>
            <w:tcBorders>
              <w:left w:val="single" w:color="000000" w:sz="6" w:space="0"/>
              <w:bottom w:val="nil"/>
            </w:tcBorders>
            <w:vAlign w:val="top"/>
          </w:tcPr>
          <w:p w14:paraId="18137A6A">
            <w:pPr>
              <w:pStyle w:val="175"/>
              <w:spacing w:before="286" w:line="221" w:lineRule="auto"/>
              <w:jc w:val="center"/>
              <w:rPr>
                <w:sz w:val="24"/>
                <w:szCs w:val="24"/>
              </w:rPr>
            </w:pPr>
            <w:r>
              <w:rPr>
                <w:spacing w:val="-2"/>
                <w:sz w:val="24"/>
                <w:szCs w:val="24"/>
              </w:rPr>
              <w:t>工程运营阶段</w:t>
            </w:r>
          </w:p>
        </w:tc>
        <w:tc>
          <w:tcPr>
            <w:tcW w:w="1428" w:type="dxa"/>
            <w:vAlign w:val="top"/>
          </w:tcPr>
          <w:p w14:paraId="0F0CE719">
            <w:pPr>
              <w:pStyle w:val="175"/>
              <w:spacing w:before="93" w:line="221" w:lineRule="auto"/>
              <w:jc w:val="center"/>
              <w:rPr>
                <w:sz w:val="24"/>
                <w:szCs w:val="24"/>
              </w:rPr>
            </w:pPr>
            <w:r>
              <w:rPr>
                <w:spacing w:val="-2"/>
                <w:sz w:val="24"/>
                <w:szCs w:val="24"/>
              </w:rPr>
              <w:t>锚杆体</w:t>
            </w:r>
          </w:p>
        </w:tc>
        <w:tc>
          <w:tcPr>
            <w:tcW w:w="2313" w:type="dxa"/>
            <w:vAlign w:val="top"/>
          </w:tcPr>
          <w:p w14:paraId="637F8B7B">
            <w:pPr>
              <w:pStyle w:val="175"/>
              <w:spacing w:before="93" w:line="221" w:lineRule="auto"/>
              <w:jc w:val="both"/>
              <w:rPr>
                <w:sz w:val="24"/>
                <w:szCs w:val="24"/>
              </w:rPr>
            </w:pPr>
            <w:r>
              <w:rPr>
                <w:spacing w:val="-1"/>
                <w:sz w:val="24"/>
                <w:szCs w:val="24"/>
              </w:rPr>
              <w:t>锚杆的工作状态</w:t>
            </w:r>
          </w:p>
        </w:tc>
        <w:tc>
          <w:tcPr>
            <w:tcW w:w="2762" w:type="dxa"/>
            <w:tcBorders>
              <w:right w:val="single" w:color="000000" w:sz="6" w:space="0"/>
            </w:tcBorders>
            <w:vAlign w:val="top"/>
          </w:tcPr>
          <w:p w14:paraId="2828DC25">
            <w:pPr>
              <w:pStyle w:val="175"/>
              <w:spacing w:before="93" w:line="221" w:lineRule="auto"/>
              <w:jc w:val="both"/>
              <w:rPr>
                <w:sz w:val="24"/>
                <w:szCs w:val="24"/>
              </w:rPr>
            </w:pPr>
            <w:r>
              <w:rPr>
                <w:spacing w:val="-2"/>
                <w:sz w:val="24"/>
                <w:szCs w:val="24"/>
              </w:rPr>
              <w:t>预应力值变化</w:t>
            </w:r>
          </w:p>
        </w:tc>
      </w:tr>
      <w:tr w14:paraId="531B07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jc w:val="center"/>
        </w:trPr>
        <w:tc>
          <w:tcPr>
            <w:tcW w:w="1970" w:type="dxa"/>
            <w:vMerge w:val="continue"/>
            <w:tcBorders>
              <w:top w:val="nil"/>
              <w:left w:val="single" w:color="000000" w:sz="6" w:space="0"/>
              <w:bottom w:val="single" w:color="000000" w:sz="6" w:space="0"/>
            </w:tcBorders>
            <w:vAlign w:val="top"/>
          </w:tcPr>
          <w:p w14:paraId="5B39925C">
            <w:pPr>
              <w:jc w:val="center"/>
              <w:rPr>
                <w:rFonts w:ascii="Arial"/>
                <w:sz w:val="24"/>
                <w:szCs w:val="24"/>
              </w:rPr>
            </w:pPr>
          </w:p>
        </w:tc>
        <w:tc>
          <w:tcPr>
            <w:tcW w:w="1428" w:type="dxa"/>
            <w:tcBorders>
              <w:bottom w:val="single" w:color="000000" w:sz="6" w:space="0"/>
            </w:tcBorders>
            <w:vAlign w:val="top"/>
          </w:tcPr>
          <w:p w14:paraId="7089FBF9">
            <w:pPr>
              <w:pStyle w:val="175"/>
              <w:spacing w:before="99" w:line="221" w:lineRule="auto"/>
              <w:jc w:val="center"/>
              <w:rPr>
                <w:sz w:val="24"/>
                <w:szCs w:val="24"/>
              </w:rPr>
            </w:pPr>
            <w:r>
              <w:rPr>
                <w:spacing w:val="-2"/>
                <w:sz w:val="24"/>
                <w:szCs w:val="24"/>
              </w:rPr>
              <w:t>锚固对象</w:t>
            </w:r>
          </w:p>
        </w:tc>
        <w:tc>
          <w:tcPr>
            <w:tcW w:w="2313" w:type="dxa"/>
            <w:tcBorders>
              <w:bottom w:val="single" w:color="000000" w:sz="6" w:space="0"/>
            </w:tcBorders>
            <w:vAlign w:val="top"/>
          </w:tcPr>
          <w:p w14:paraId="5A3A1593">
            <w:pPr>
              <w:pStyle w:val="175"/>
              <w:spacing w:before="99" w:line="221" w:lineRule="auto"/>
              <w:ind w:left="0" w:leftChars="0" w:firstLine="0" w:firstLineChars="0"/>
              <w:jc w:val="both"/>
              <w:rPr>
                <w:sz w:val="24"/>
                <w:szCs w:val="24"/>
              </w:rPr>
            </w:pPr>
            <w:r>
              <w:rPr>
                <w:spacing w:val="-1"/>
                <w:sz w:val="24"/>
                <w:szCs w:val="24"/>
              </w:rPr>
              <w:t>锚杆工程安全状况</w:t>
            </w:r>
          </w:p>
        </w:tc>
        <w:tc>
          <w:tcPr>
            <w:tcW w:w="2762" w:type="dxa"/>
            <w:tcBorders>
              <w:bottom w:val="single" w:color="000000" w:sz="6" w:space="0"/>
              <w:right w:val="single" w:color="000000" w:sz="6" w:space="0"/>
            </w:tcBorders>
            <w:vAlign w:val="top"/>
          </w:tcPr>
          <w:p w14:paraId="10AB9CCC">
            <w:pPr>
              <w:pStyle w:val="175"/>
              <w:spacing w:before="99" w:line="221" w:lineRule="auto"/>
              <w:jc w:val="both"/>
              <w:rPr>
                <w:sz w:val="24"/>
                <w:szCs w:val="24"/>
              </w:rPr>
            </w:pPr>
            <w:r>
              <w:rPr>
                <w:spacing w:val="-1"/>
                <w:sz w:val="24"/>
                <w:szCs w:val="24"/>
              </w:rPr>
              <w:t>被锚固体的位移与地下水状态</w:t>
            </w:r>
          </w:p>
        </w:tc>
      </w:tr>
    </w:tbl>
    <w:p w14:paraId="69BF46E9">
      <w:pPr>
        <w:pStyle w:val="5"/>
        <w:rPr>
          <w:color w:val="auto"/>
          <w:highlight w:val="none"/>
        </w:rPr>
      </w:pPr>
      <w:bookmarkStart w:id="801" w:name="_Toc17086"/>
      <w:bookmarkStart w:id="802" w:name="_Toc9578"/>
      <w:r>
        <w:rPr>
          <w:rFonts w:hint="eastAsia"/>
          <w:color w:val="auto"/>
          <w:highlight w:val="none"/>
          <w:lang w:val="en-US" w:eastAsia="zh-CN"/>
        </w:rPr>
        <w:t>8.1.</w:t>
      </w:r>
      <w:r>
        <w:rPr>
          <w:rFonts w:hint="eastAsia"/>
          <w:color w:val="auto"/>
          <w:highlight w:val="none"/>
        </w:rPr>
        <w:t>5路基附属工程</w:t>
      </w:r>
      <w:bookmarkEnd w:id="798"/>
      <w:bookmarkEnd w:id="799"/>
      <w:bookmarkEnd w:id="800"/>
      <w:bookmarkEnd w:id="801"/>
      <w:bookmarkEnd w:id="802"/>
    </w:p>
    <w:p w14:paraId="3E846A2E">
      <w:pPr>
        <w:pStyle w:val="58"/>
        <w:spacing w:line="360" w:lineRule="auto"/>
        <w:ind w:firstLine="480"/>
        <w:rPr>
          <w:rFonts w:hint="eastAsia" w:asciiTheme="minorEastAsia" w:hAnsiTheme="minorEastAsia" w:eastAsiaTheme="minorEastAsia" w:cstheme="minorEastAsia"/>
          <w:bCs w:val="0"/>
          <w:kern w:val="2"/>
          <w:sz w:val="24"/>
          <w:szCs w:val="24"/>
          <w:highlight w:val="none"/>
        </w:rPr>
      </w:pPr>
      <w:r>
        <w:rPr>
          <w:rFonts w:hint="eastAsia" w:asciiTheme="minorEastAsia" w:hAnsiTheme="minorEastAsia" w:eastAsiaTheme="minorEastAsia" w:cstheme="minorEastAsia"/>
          <w:bCs w:val="0"/>
          <w:kern w:val="2"/>
          <w:sz w:val="24"/>
          <w:szCs w:val="24"/>
          <w:highlight w:val="none"/>
        </w:rPr>
        <w:t>路基附属工程有坡面铺砌、撒播草（植灌）防护、TBS镀锌网（锚杆）植草（乔）防护；路基排水有预制砼路堤边沟、现浇砼路堑边沟、预制砼急流槽踏步、预制砼截水沟、现浇砼急流槽；路基地下排水有盲沟、渗沟等地下排水设施。</w:t>
      </w:r>
    </w:p>
    <w:p w14:paraId="175E2D3B">
      <w:pPr>
        <w:pStyle w:val="14"/>
        <w:bidi w:val="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路基护坡</w:t>
      </w:r>
    </w:p>
    <w:p w14:paraId="317DAAE9">
      <w:pPr>
        <w:pStyle w:val="178"/>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拱形骨架采用C25混凝土预制块拼接，坡面为一完整的排水系统，接缝采用M10水泥砂浆勾缝。预制块拼接前底部设5cm厚M10水泥砂浆垫层。拱形骨架内采用撒播草（植乔）防护，撒播草（植乔）防护方法如下</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a.坡面平整及清理；b.人工撒播草种，不遗漏、不重复；c.覆盖无纺布，坡顶延伸30cm用土压住，两幅相接叠加10cm，然后用竹筷或U型钢钉进行固定；d.撒播草种1～2天之后开始进行养护；e.边坡草皮覆盖达到80%时，移植容器苗。</w:t>
      </w:r>
    </w:p>
    <w:p w14:paraId="16FD86D9">
      <w:pPr>
        <w:pStyle w:val="178"/>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草种选择对土质适应性强，耐酸耐碱；对环境适应性强，耐旱耐涝和耐寒；出芽迅速、生长快、根系长而发育，价格适宜。具有稳定边坡、抵抗病虫害的能力，且易于管理，能与附近的植被和景观相协调。</w:t>
      </w:r>
    </w:p>
    <w:p w14:paraId="38AC1828">
      <w:pPr>
        <w:pStyle w:val="178"/>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每阶边坡的上边缘采用C25预制块压顶，边坡顶上设三角形路肩排水沟，三角形排水沟出水口设置流水槽，其间距一般情况下双向4车道间距50m设置，超高段路及外侧不设三角形排水沟及流水槽。下护坡道为撒播草籽防护，流水槽铺砌应引至排水沟。</w:t>
      </w:r>
    </w:p>
    <w:p w14:paraId="6026B609">
      <w:pPr>
        <w:pStyle w:val="178"/>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桥梁、挡土墙两端设置检修踏步（兼流水槽），通道、涵洞位置在其一侧设置检修踏步。构造物间距大于100m时，增设间距不大于100m的检修踏步。填方检修踏步对应排水沟位置错开1m设置跨沟搭板。路堑起讫处（填挖交界）设置检修踏步（兼流水槽）。</w:t>
      </w:r>
    </w:p>
    <w:p w14:paraId="1DD340D3">
      <w:pPr>
        <w:pStyle w:val="14"/>
        <w:bidi w:val="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 xml:space="preserve">2 </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边沟、排水沟、截水沟</w:t>
      </w:r>
    </w:p>
    <w:p w14:paraId="1FEE442F">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在测量放线后，根据技术交底的要求开挖或处理沟槽，要求做到各种水沟的沟壁平整坚实，沟内不留有松土、石块。沟底平顺，排水畅通，无阻水现象，并将水引入排水系统并及时进行沟身砌筑。</w:t>
      </w:r>
    </w:p>
    <w:p w14:paraId="4A55458F">
      <w:pPr>
        <w:pStyle w:val="14"/>
        <w:bidi w:val="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急流槽</w:t>
      </w:r>
    </w:p>
    <w:p w14:paraId="44149DB8">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进、出口采用设消力池等消力措施以防止冲刷。急流槽纵坡不宜陡于1∶1.5。急流槽出水口接排水沟或自然山沟，急流槽采用C20混凝土进行现浇。</w:t>
      </w:r>
    </w:p>
    <w:p w14:paraId="58876F53">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急流槽每隔3m设一道防滑平台，每隔20～30m设一道沉降缝，缝内填沥青麻絮。</w:t>
      </w:r>
    </w:p>
    <w:p w14:paraId="73AB0269">
      <w:pPr>
        <w:pStyle w:val="14"/>
        <w:bidi w:val="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绿化及环境保护</w:t>
      </w:r>
    </w:p>
    <w:p w14:paraId="16B7B3D2">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对一般路堤路堑地段的绿化类型有撒播植草（植乔）、喷草（植乔）、机械液压客土喷草（植乔）防护；对岩质坡面的绿化类型为喷草（植乔）+TBS镀锌网植草。</w:t>
      </w:r>
    </w:p>
    <w:p w14:paraId="2282B158">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撒播植草</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植乔）</w:t>
      </w:r>
    </w:p>
    <w:p w14:paraId="5D3DAFB7">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将种子、纤维、粘合剂、肥料、保水剂和水等制成有一定粘稠度的悬浊液，撒播到需要绿化的路堤边坡表面上，在坡面草坪成型后，再人工将容器乔木苗移植到路堤边坡坡面上。具体施工工序</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a.坡面平整及清理；b.人工撒播草种，不遗漏、不重复；c.覆盖无纺布，坡顶延伸30cm用土压住，两幅相接叠加10cm，然后用竹筷或U型钢钉进行固定；d.撒播草种1～2天之后开始进行养护；e.边坡草皮覆盖达到80%时，移植容器苗。</w:t>
      </w:r>
    </w:p>
    <w:p w14:paraId="412613F6">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喷草（植乔）</w:t>
      </w:r>
    </w:p>
    <w:p w14:paraId="0659C220">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采用高压泵将混合液高速均匀喷射到坡面上。喷射时自上而下对坡面进行喷射，并尽可能保证喷出口与坡面垂直，喷射基材厚度为3～6cm，并保持喷附面薄厚均匀，并做到经常对基材进行有效管理。具体施工工序</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坡面清理→施喷杀虫杀菌剂→机械液压喷播草灌籽→覆盖无纺布→揭无纺布→养护→边坡草皮覆盖达到80%时，移植容器苗。</w:t>
      </w:r>
    </w:p>
    <w:p w14:paraId="78FABFA2">
      <w:pPr>
        <w:spacing w:line="360" w:lineRule="auto"/>
        <w:ind w:firstLine="480" w:firstLineChars="200"/>
        <w:rPr>
          <w:rFonts w:hint="eastAsia" w:asciiTheme="minorEastAsia" w:hAnsiTheme="minorEastAsia" w:eastAsiaTheme="minorEastAsia" w:cstheme="minorEastAsia"/>
          <w:sz w:val="24"/>
          <w:szCs w:val="24"/>
          <w:highlight w:val="none"/>
          <w:lang w:val="en-US" w:eastAsia="zh-CN"/>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3</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灌木种植</w:t>
      </w:r>
    </w:p>
    <w:p w14:paraId="370AD1D8">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栽植树木的各项工序应密切衔接，应做倒“随挖、随运、随种、随养护”，树木起挖后，不得暴晒或失水，若不能及时种植，应采取保护措施，如覆土假植等。我公司在苗木栽植的过程中将结合土壤改良，以腐熟了的有机肥料为主，填入穴底，以利于苗木的成活。栽植时选丰满完整的树冠面向主要视线。孤植树木应注意冠幅完整，群植树木按设计要求组合。</w:t>
      </w:r>
    </w:p>
    <w:p w14:paraId="4AABC3CE">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带土球树木的栽植，先将植株放在栽植槽穴内，定好方向。在扶正时宜移动土球，忌摇动树干。土球经覆土塞实后将土球包扎物自下而上小心解除。若泥球有松碎时，下压的包扎物可剪断，不宜取出。随后继续填土，分层捣实，待填土达土球深度的2/3时，浇足第一次水，经待渗透后继续填土至与地面持平时再浇第二次水，待不再向下渗透为度。</w:t>
      </w:r>
    </w:p>
    <w:p w14:paraId="14424342">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树木栽植深度保持在土壤下沉后，基颈与地表等高。树木栽植后沿栽植槽的外缘做好水穴，高度约为10左右，以便灌溉，防止水土流失。栽植后在三日内复水一次，复水后若泥土下沉，根际补充栽培土。</w:t>
      </w:r>
    </w:p>
    <w:p w14:paraId="001029F7">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lang w:val="en-US" w:eastAsia="zh-CN"/>
        </w:rPr>
        <w:t>4</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 xml:space="preserve"> 机械液压客土喷草（植乔）防护</w:t>
      </w:r>
    </w:p>
    <w:p w14:paraId="1DDF2648">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将由种植土、有机质、纤维料、肥料等合理比例配制成的专业客土基材喷射于坡面，以此给植物的生长提供有效基质。乔木品种选择适应本地气候的常绿小乔木，当乔木生长到2m以上高度时进行修剪，对土质适应性强，耐酸耐碱，耐旱耐涝耐寒，出芽迅速、生长快，根系长而发育，价格适宜。具有稳定边坡、抵抗病虫害的能力，且易于管理，能与附近的植被和景观相协调。施工工序</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坡面清理→挖平行沟→营养土拌合、喷射→机械液压喷播草籽→覆盖无纺布→养护→揭无纺布→养护→插栽乔木→养护。</w:t>
      </w:r>
    </w:p>
    <w:p w14:paraId="5CB958BD">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5、</w:t>
      </w:r>
      <w:r>
        <w:rPr>
          <w:rFonts w:hint="eastAsia" w:asciiTheme="minorEastAsia" w:hAnsiTheme="minorEastAsia" w:eastAsiaTheme="minorEastAsia" w:cstheme="minorEastAsia"/>
          <w:bCs/>
          <w:kern w:val="24"/>
          <w:sz w:val="24"/>
          <w:szCs w:val="24"/>
        </w:rPr>
        <w:t>回填中央分隔带种植土</w:t>
      </w:r>
    </w:p>
    <w:p w14:paraId="27C07732">
      <w:pPr>
        <w:spacing w:line="360" w:lineRule="auto"/>
        <w:ind w:firstLine="480" w:firstLineChars="200"/>
        <w:rPr>
          <w:rFonts w:hint="eastAsia" w:asciiTheme="minorEastAsia" w:hAnsiTheme="minorEastAsia" w:eastAsiaTheme="minorEastAsia" w:cstheme="minorEastAsia"/>
          <w:bCs/>
          <w:kern w:val="24"/>
          <w:sz w:val="24"/>
          <w:szCs w:val="24"/>
        </w:rPr>
      </w:pPr>
      <w:r>
        <w:rPr>
          <w:rFonts w:hint="eastAsia" w:asciiTheme="minorEastAsia" w:hAnsiTheme="minorEastAsia" w:eastAsiaTheme="minorEastAsia" w:cstheme="minorEastAsia"/>
          <w:bCs/>
          <w:kern w:val="24"/>
          <w:sz w:val="24"/>
          <w:szCs w:val="24"/>
        </w:rPr>
        <w:t>在中央分隔带路缘石安装及中央分隔支撑块安装完成后，即可进行种植土回填。中央分隔带种植土回填采取集中取土、一次到位的方式，利用靠近路基附近的弃土场进行取土。</w:t>
      </w:r>
    </w:p>
    <w:p w14:paraId="2A422781">
      <w:pPr>
        <w:spacing w:line="360" w:lineRule="auto"/>
        <w:ind w:firstLine="480" w:firstLineChars="200"/>
        <w:rPr>
          <w:rFonts w:hint="eastAsia" w:asciiTheme="minorEastAsia" w:hAnsiTheme="minorEastAsia" w:eastAsiaTheme="minorEastAsia" w:cstheme="minorEastAsia"/>
          <w:bCs/>
          <w:kern w:val="24"/>
          <w:sz w:val="24"/>
          <w:szCs w:val="24"/>
        </w:rPr>
      </w:pPr>
      <w:r>
        <w:rPr>
          <w:rFonts w:hint="eastAsia" w:asciiTheme="minorEastAsia" w:hAnsiTheme="minorEastAsia" w:eastAsiaTheme="minorEastAsia" w:cstheme="minorEastAsia"/>
          <w:bCs/>
          <w:kern w:val="24"/>
          <w:sz w:val="24"/>
          <w:szCs w:val="24"/>
          <w:lang w:eastAsia="zh-CN"/>
        </w:rPr>
        <w:t>（</w:t>
      </w:r>
      <w:r>
        <w:rPr>
          <w:rFonts w:hint="eastAsia" w:asciiTheme="minorEastAsia" w:hAnsiTheme="minorEastAsia" w:eastAsiaTheme="minorEastAsia" w:cstheme="minorEastAsia"/>
          <w:bCs/>
          <w:kern w:val="24"/>
          <w:sz w:val="24"/>
          <w:szCs w:val="24"/>
          <w:lang w:val="en-US" w:eastAsia="zh-CN"/>
        </w:rPr>
        <w:t>1</w:t>
      </w:r>
      <w:r>
        <w:rPr>
          <w:rFonts w:hint="eastAsia" w:asciiTheme="minorEastAsia" w:hAnsiTheme="minorEastAsia" w:eastAsiaTheme="minorEastAsia" w:cstheme="minorEastAsia"/>
          <w:bCs/>
          <w:kern w:val="24"/>
          <w:sz w:val="24"/>
          <w:szCs w:val="24"/>
        </w:rPr>
        <w:t>） 在取土场利用推土机清表后，用挖掘机开挖松土并配合装运，严禁将石头、砖块和混凝土夹杂在回填土中。</w:t>
      </w:r>
    </w:p>
    <w:p w14:paraId="3B9EBF80">
      <w:pPr>
        <w:spacing w:line="360" w:lineRule="auto"/>
        <w:ind w:firstLine="480" w:firstLineChars="200"/>
        <w:rPr>
          <w:rFonts w:hint="eastAsia" w:asciiTheme="minorEastAsia" w:hAnsiTheme="minorEastAsia" w:eastAsiaTheme="minorEastAsia" w:cstheme="minorEastAsia"/>
          <w:bCs/>
          <w:kern w:val="24"/>
          <w:sz w:val="24"/>
          <w:szCs w:val="24"/>
        </w:rPr>
      </w:pPr>
      <w:r>
        <w:rPr>
          <w:rFonts w:hint="eastAsia" w:asciiTheme="minorEastAsia" w:hAnsiTheme="minorEastAsia" w:eastAsiaTheme="minorEastAsia" w:cstheme="minorEastAsia"/>
          <w:bCs/>
          <w:kern w:val="24"/>
          <w:sz w:val="24"/>
          <w:szCs w:val="24"/>
          <w:lang w:eastAsia="zh-CN"/>
        </w:rPr>
        <w:t>（</w:t>
      </w:r>
      <w:r>
        <w:rPr>
          <w:rFonts w:hint="eastAsia" w:asciiTheme="minorEastAsia" w:hAnsiTheme="minorEastAsia" w:eastAsiaTheme="minorEastAsia" w:cstheme="minorEastAsia"/>
          <w:bCs/>
          <w:kern w:val="24"/>
          <w:sz w:val="24"/>
          <w:szCs w:val="24"/>
        </w:rPr>
        <w:t>2） 土方运输车辆采用5吨自卸汽车，为防止车辆在运输过程中出现抛洒滴漏现象，车辆应限速行驶并严禁超载。</w:t>
      </w:r>
    </w:p>
    <w:p w14:paraId="70A46D3C">
      <w:pPr>
        <w:spacing w:line="360" w:lineRule="auto"/>
        <w:ind w:firstLine="480" w:firstLineChars="200"/>
        <w:rPr>
          <w:rFonts w:hint="eastAsia" w:asciiTheme="minorEastAsia" w:hAnsiTheme="minorEastAsia" w:eastAsiaTheme="minorEastAsia" w:cstheme="minorEastAsia"/>
          <w:bCs/>
          <w:kern w:val="24"/>
          <w:sz w:val="24"/>
          <w:szCs w:val="24"/>
        </w:rPr>
      </w:pPr>
      <w:r>
        <w:rPr>
          <w:rFonts w:hint="eastAsia" w:asciiTheme="minorEastAsia" w:hAnsiTheme="minorEastAsia" w:eastAsiaTheme="minorEastAsia" w:cstheme="minorEastAsia"/>
          <w:bCs/>
          <w:kern w:val="24"/>
          <w:sz w:val="24"/>
          <w:szCs w:val="24"/>
          <w:lang w:eastAsia="zh-CN"/>
        </w:rPr>
        <w:t>（</w:t>
      </w:r>
      <w:r>
        <w:rPr>
          <w:rFonts w:hint="eastAsia" w:asciiTheme="minorEastAsia" w:hAnsiTheme="minorEastAsia" w:eastAsiaTheme="minorEastAsia" w:cstheme="minorEastAsia"/>
          <w:bCs/>
          <w:kern w:val="24"/>
          <w:sz w:val="24"/>
          <w:szCs w:val="24"/>
        </w:rPr>
        <w:t>3） 运输车辆到达现场后，必须有专人指挥倒车及卸土，并在路面铺垫彩条布以防止卸土时污染路面及碰撞路缘石。土方回填完成后,由人工进行修整并将撒落出中分带的土清理干净。填土表面设置双向4%的横坡，以便排水。</w:t>
      </w:r>
    </w:p>
    <w:p w14:paraId="58E0270D">
      <w:pPr>
        <w:pStyle w:val="14"/>
        <w:bidi w:val="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 xml:space="preserve">6、 </w:t>
      </w:r>
      <w:r>
        <w:rPr>
          <w:rFonts w:hint="eastAsia" w:asciiTheme="minorEastAsia" w:hAnsiTheme="minorEastAsia" w:eastAsiaTheme="minorEastAsia" w:cstheme="minorEastAsia"/>
          <w:sz w:val="24"/>
          <w:szCs w:val="24"/>
        </w:rPr>
        <w:t>TBS镀锌网植草</w:t>
      </w:r>
    </w:p>
    <w:p w14:paraId="0512849E">
      <w:pPr>
        <w:spacing w:line="360" w:lineRule="auto"/>
        <w:ind w:firstLine="480" w:firstLineChars="2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TBS喷草灌包括干喷法与湿喷法两种，适用坡比缓于1</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0.3的岩质路堑边坡。TBS喷草灌施工工艺见</w:t>
      </w:r>
      <w:r>
        <w:rPr>
          <w:rFonts w:hint="eastAsia" w:asciiTheme="minorEastAsia" w:hAnsiTheme="minorEastAsia" w:eastAsiaTheme="minorEastAsia" w:cstheme="minorEastAsia"/>
          <w:sz w:val="24"/>
          <w:szCs w:val="24"/>
          <w:highlight w:val="none"/>
          <w:lang w:val="en-US" w:eastAsia="zh-CN"/>
        </w:rPr>
        <w:t>下</w:t>
      </w:r>
      <w:r>
        <w:rPr>
          <w:rFonts w:hint="eastAsia" w:asciiTheme="minorEastAsia" w:hAnsiTheme="minorEastAsia" w:eastAsiaTheme="minorEastAsia" w:cstheme="minorEastAsia"/>
          <w:sz w:val="24"/>
          <w:szCs w:val="24"/>
          <w:highlight w:val="none"/>
        </w:rPr>
        <w:t>图。</w:t>
      </w:r>
    </w:p>
    <w:p w14:paraId="505934D1">
      <w:pPr>
        <w:spacing w:line="360" w:lineRule="auto"/>
        <w:ind w:left="0" w:leftChars="0" w:firstLine="0" w:firstLineChars="0"/>
        <w:jc w:val="both"/>
        <w:rPr>
          <w:rFonts w:asciiTheme="minorEastAsia" w:hAnsiTheme="minorEastAsia" w:eastAsiaTheme="minorEastAsia"/>
          <w:sz w:val="24"/>
          <w:highlight w:val="none"/>
        </w:rPr>
      </w:pPr>
      <w:r>
        <w:rPr>
          <w:rFonts w:asciiTheme="minorEastAsia" w:hAnsiTheme="minorEastAsia" w:eastAsiaTheme="minorEastAsia"/>
          <w:sz w:val="24"/>
          <w:highlight w:val="none"/>
        </w:rPr>
        <mc:AlternateContent>
          <mc:Choice Requires="wpg">
            <w:drawing>
              <wp:inline distT="0" distB="0" distL="114300" distR="114300">
                <wp:extent cx="5493385" cy="4566920"/>
                <wp:effectExtent l="0" t="0" r="87630" b="29845"/>
                <wp:docPr id="1997" name="组合 2"/>
                <wp:cNvGraphicFramePr/>
                <a:graphic xmlns:a="http://schemas.openxmlformats.org/drawingml/2006/main">
                  <a:graphicData uri="http://schemas.microsoft.com/office/word/2010/wordprocessingGroup">
                    <wpg:wgp>
                      <wpg:cNvGrpSpPr/>
                      <wpg:grpSpPr>
                        <a:xfrm>
                          <a:off x="0" y="0"/>
                          <a:ext cx="5493385" cy="4566920"/>
                          <a:chOff x="1920" y="7448"/>
                          <a:chExt cx="8699" cy="7417"/>
                        </a:xfrm>
                      </wpg:grpSpPr>
                      <wpg:grpSp>
                        <wpg:cNvPr id="1998" name="组合 804"/>
                        <wpg:cNvGrpSpPr/>
                        <wpg:grpSpPr>
                          <a:xfrm>
                            <a:off x="1920" y="7448"/>
                            <a:ext cx="4390" cy="7417"/>
                            <a:chOff x="1920" y="8879"/>
                            <a:chExt cx="4390" cy="5048"/>
                          </a:xfrm>
                        </wpg:grpSpPr>
                        <wps:wsp>
                          <wps:cNvPr id="1999" name="文本框 4"/>
                          <wps:cNvSpPr txBox="1"/>
                          <wps:spPr>
                            <a:xfrm>
                              <a:off x="4281" y="8879"/>
                              <a:ext cx="1799" cy="38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1E98D0">
                                <w:pPr>
                                  <w:ind w:left="0" w:leftChars="0" w:firstLine="0" w:firstLineChars="0"/>
                                  <w:jc w:val="both"/>
                                </w:pPr>
                                <w:r>
                                  <w:rPr>
                                    <w:rFonts w:hint="eastAsia"/>
                                  </w:rPr>
                                  <w:t>坡面平整与清理</w:t>
                                </w:r>
                              </w:p>
                            </w:txbxContent>
                          </wps:txbx>
                          <wps:bodyPr lIns="0" tIns="0" rIns="0" bIns="0" upright="1"/>
                        </wps:wsp>
                        <wps:wsp>
                          <wps:cNvPr id="2000" name="文本框 5"/>
                          <wps:cNvSpPr txBox="1"/>
                          <wps:spPr>
                            <a:xfrm>
                              <a:off x="4281" y="9655"/>
                              <a:ext cx="1799" cy="38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70BBE3">
                                <w:pPr>
                                  <w:ind w:left="0" w:leftChars="0" w:firstLine="0" w:firstLineChars="0"/>
                                  <w:jc w:val="both"/>
                                </w:pPr>
                                <w:r>
                                  <w:rPr>
                                    <w:rFonts w:hint="eastAsia"/>
                                  </w:rPr>
                                  <w:t>钻孔及安装锚杆</w:t>
                                </w:r>
                              </w:p>
                            </w:txbxContent>
                          </wps:txbx>
                          <wps:bodyPr lIns="0" tIns="0" rIns="0" bIns="0" upright="1"/>
                        </wps:wsp>
                        <wps:wsp>
                          <wps:cNvPr id="2001" name="直线 6"/>
                          <wps:cNvCnPr/>
                          <wps:spPr>
                            <a:xfrm>
                              <a:off x="5181" y="9268"/>
                              <a:ext cx="0" cy="387"/>
                            </a:xfrm>
                            <a:prstGeom prst="line">
                              <a:avLst/>
                            </a:prstGeom>
                            <a:ln w="9525" cap="flat" cmpd="sng">
                              <a:solidFill>
                                <a:srgbClr val="000000"/>
                              </a:solidFill>
                              <a:prstDash val="solid"/>
                              <a:headEnd type="none" w="med" len="med"/>
                              <a:tailEnd type="stealth" w="med" len="med"/>
                            </a:ln>
                          </wps:spPr>
                          <wps:bodyPr upright="1"/>
                        </wps:wsp>
                        <wps:wsp>
                          <wps:cNvPr id="2002" name="文本框 7"/>
                          <wps:cNvSpPr txBox="1"/>
                          <wps:spPr>
                            <a:xfrm>
                              <a:off x="4281" y="10432"/>
                              <a:ext cx="2018" cy="38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DDB8C3">
                                <w:pPr>
                                  <w:ind w:left="0" w:leftChars="0" w:firstLine="0" w:firstLineChars="0"/>
                                  <w:jc w:val="both"/>
                                </w:pPr>
                                <w:r>
                                  <w:rPr>
                                    <w:rFonts w:hint="eastAsia"/>
                                  </w:rPr>
                                  <w:t>铺设并加固铁丝网</w:t>
                                </w:r>
                              </w:p>
                            </w:txbxContent>
                          </wps:txbx>
                          <wps:bodyPr lIns="0" tIns="0" rIns="0" bIns="0" upright="1"/>
                        </wps:wsp>
                        <wps:wsp>
                          <wps:cNvPr id="2003" name="文本框 8"/>
                          <wps:cNvSpPr txBox="1"/>
                          <wps:spPr>
                            <a:xfrm>
                              <a:off x="4281" y="11208"/>
                              <a:ext cx="1974" cy="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9C1F82">
                                <w:pPr>
                                  <w:ind w:left="0" w:leftChars="0" w:firstLine="0" w:firstLineChars="0"/>
                                  <w:jc w:val="both"/>
                                </w:pPr>
                                <w:r>
                                  <w:rPr>
                                    <w:rFonts w:hint="eastAsia"/>
                                  </w:rPr>
                                  <w:t>喷射培养基底基层</w:t>
                                </w:r>
                              </w:p>
                            </w:txbxContent>
                          </wps:txbx>
                          <wps:bodyPr lIns="0" tIns="0" rIns="0" bIns="0" upright="1"/>
                        </wps:wsp>
                        <wps:wsp>
                          <wps:cNvPr id="2004" name="文本框 9"/>
                          <wps:cNvSpPr txBox="1"/>
                          <wps:spPr>
                            <a:xfrm>
                              <a:off x="4281" y="11985"/>
                              <a:ext cx="2029" cy="38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841E37B">
                                <w:pPr>
                                  <w:ind w:left="0" w:leftChars="0" w:firstLine="0" w:firstLineChars="0"/>
                                  <w:jc w:val="both"/>
                                </w:pPr>
                                <w:r>
                                  <w:rPr>
                                    <w:rFonts w:hint="eastAsia"/>
                                  </w:rPr>
                                  <w:t>喷射培养基种子层</w:t>
                                </w:r>
                              </w:p>
                            </w:txbxContent>
                          </wps:txbx>
                          <wps:bodyPr lIns="0" tIns="0" rIns="0" bIns="0" upright="1"/>
                        </wps:wsp>
                        <wps:wsp>
                          <wps:cNvPr id="2005" name="文本框 10"/>
                          <wps:cNvSpPr txBox="1"/>
                          <wps:spPr>
                            <a:xfrm>
                              <a:off x="4281" y="12761"/>
                              <a:ext cx="1799" cy="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0218EE2">
                                <w:pPr>
                                  <w:ind w:left="0" w:leftChars="0" w:firstLine="0" w:firstLineChars="0"/>
                                  <w:jc w:val="both"/>
                                </w:pPr>
                                <w:r>
                                  <w:rPr>
                                    <w:rFonts w:hint="eastAsia"/>
                                  </w:rPr>
                                  <w:t>覆盖无纺布</w:t>
                                </w:r>
                              </w:p>
                            </w:txbxContent>
                          </wps:txbx>
                          <wps:bodyPr lIns="0" tIns="0" rIns="0" bIns="0" upright="1"/>
                        </wps:wsp>
                        <wps:wsp>
                          <wps:cNvPr id="2006" name="文本框 11"/>
                          <wps:cNvSpPr txBox="1"/>
                          <wps:spPr>
                            <a:xfrm>
                              <a:off x="4281" y="13537"/>
                              <a:ext cx="1799" cy="3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9BB875E">
                                <w:pPr>
                                  <w:jc w:val="both"/>
                                </w:pPr>
                                <w:r>
                                  <w:rPr>
                                    <w:rFonts w:hint="eastAsia"/>
                                  </w:rPr>
                                  <w:t>养护管理</w:t>
                                </w:r>
                              </w:p>
                            </w:txbxContent>
                          </wps:txbx>
                          <wps:bodyPr lIns="0" tIns="0" rIns="0" bIns="0" upright="1"/>
                        </wps:wsp>
                        <wps:wsp>
                          <wps:cNvPr id="2007" name="直线 12"/>
                          <wps:cNvCnPr/>
                          <wps:spPr>
                            <a:xfrm>
                              <a:off x="5181" y="10044"/>
                              <a:ext cx="0" cy="388"/>
                            </a:xfrm>
                            <a:prstGeom prst="line">
                              <a:avLst/>
                            </a:prstGeom>
                            <a:ln w="9525" cap="flat" cmpd="sng">
                              <a:solidFill>
                                <a:srgbClr val="000000"/>
                              </a:solidFill>
                              <a:prstDash val="solid"/>
                              <a:headEnd type="none" w="med" len="med"/>
                              <a:tailEnd type="stealth" w="med" len="med"/>
                            </a:ln>
                          </wps:spPr>
                          <wps:bodyPr upright="1"/>
                        </wps:wsp>
                        <wps:wsp>
                          <wps:cNvPr id="2008" name="直线 13"/>
                          <wps:cNvCnPr/>
                          <wps:spPr>
                            <a:xfrm>
                              <a:off x="5181" y="10820"/>
                              <a:ext cx="0" cy="388"/>
                            </a:xfrm>
                            <a:prstGeom prst="line">
                              <a:avLst/>
                            </a:prstGeom>
                            <a:ln w="9525" cap="flat" cmpd="sng">
                              <a:solidFill>
                                <a:srgbClr val="000000"/>
                              </a:solidFill>
                              <a:prstDash val="solid"/>
                              <a:headEnd type="none" w="med" len="med"/>
                              <a:tailEnd type="stealth" w="med" len="med"/>
                            </a:ln>
                          </wps:spPr>
                          <wps:bodyPr upright="1"/>
                        </wps:wsp>
                        <wps:wsp>
                          <wps:cNvPr id="2009" name="直线 14"/>
                          <wps:cNvCnPr/>
                          <wps:spPr>
                            <a:xfrm>
                              <a:off x="5181" y="11597"/>
                              <a:ext cx="0" cy="388"/>
                            </a:xfrm>
                            <a:prstGeom prst="line">
                              <a:avLst/>
                            </a:prstGeom>
                            <a:ln w="9525" cap="flat" cmpd="sng">
                              <a:solidFill>
                                <a:srgbClr val="000000"/>
                              </a:solidFill>
                              <a:prstDash val="solid"/>
                              <a:headEnd type="none" w="med" len="med"/>
                              <a:tailEnd type="stealth" w="med" len="med"/>
                            </a:ln>
                          </wps:spPr>
                          <wps:bodyPr upright="1"/>
                        </wps:wsp>
                        <wps:wsp>
                          <wps:cNvPr id="2010" name="直线 15"/>
                          <wps:cNvCnPr/>
                          <wps:spPr>
                            <a:xfrm>
                              <a:off x="5181" y="12373"/>
                              <a:ext cx="0" cy="388"/>
                            </a:xfrm>
                            <a:prstGeom prst="line">
                              <a:avLst/>
                            </a:prstGeom>
                            <a:ln w="9525" cap="flat" cmpd="sng">
                              <a:solidFill>
                                <a:srgbClr val="000000"/>
                              </a:solidFill>
                              <a:prstDash val="solid"/>
                              <a:headEnd type="none" w="med" len="med"/>
                              <a:tailEnd type="stealth" w="med" len="med"/>
                            </a:ln>
                          </wps:spPr>
                          <wps:bodyPr upright="1"/>
                        </wps:wsp>
                        <wps:wsp>
                          <wps:cNvPr id="2011" name="直线 16"/>
                          <wps:cNvCnPr/>
                          <wps:spPr>
                            <a:xfrm>
                              <a:off x="5181" y="13150"/>
                              <a:ext cx="0" cy="387"/>
                            </a:xfrm>
                            <a:prstGeom prst="line">
                              <a:avLst/>
                            </a:prstGeom>
                            <a:ln w="9525" cap="flat" cmpd="sng">
                              <a:solidFill>
                                <a:srgbClr val="000000"/>
                              </a:solidFill>
                              <a:prstDash val="solid"/>
                              <a:headEnd type="none" w="med" len="med"/>
                              <a:tailEnd type="stealth" w="med" len="med"/>
                            </a:ln>
                          </wps:spPr>
                          <wps:bodyPr upright="1"/>
                        </wps:wsp>
                        <wps:wsp>
                          <wps:cNvPr id="2012" name="文本框 17"/>
                          <wps:cNvSpPr txBox="1"/>
                          <wps:spPr>
                            <a:xfrm>
                              <a:off x="1920" y="10693"/>
                              <a:ext cx="458" cy="15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B47A28">
                                <w:pPr>
                                  <w:jc w:val="center"/>
                                </w:pPr>
                                <w:r>
                                  <w:rPr>
                                    <w:rFonts w:hint="eastAsia"/>
                                  </w:rPr>
                                  <w:t>培养基材拌和</w:t>
                                </w:r>
                              </w:p>
                            </w:txbxContent>
                          </wps:txbx>
                          <wps:bodyPr vert="eaVert" lIns="0" tIns="0" rIns="0" bIns="0" upright="1"/>
                        </wps:wsp>
                        <wps:wsp>
                          <wps:cNvPr id="2013" name="文本框 18"/>
                          <wps:cNvSpPr txBox="1"/>
                          <wps:spPr>
                            <a:xfrm>
                              <a:off x="3009" y="10695"/>
                              <a:ext cx="459" cy="15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F4E2E4D">
                                <w:pPr>
                                  <w:jc w:val="both"/>
                                </w:pPr>
                                <w:r>
                                  <w:rPr>
                                    <w:rFonts w:hint="eastAsia"/>
                                  </w:rPr>
                                  <w:t>输送至喷射机</w:t>
                                </w:r>
                              </w:p>
                            </w:txbxContent>
                          </wps:txbx>
                          <wps:bodyPr vert="eaVert" lIns="0" tIns="0" rIns="0" bIns="0" upright="1"/>
                        </wps:wsp>
                        <wps:wsp>
                          <wps:cNvPr id="2014" name="直线 19"/>
                          <wps:cNvCnPr/>
                          <wps:spPr>
                            <a:xfrm>
                              <a:off x="3381" y="11597"/>
                              <a:ext cx="0" cy="0"/>
                            </a:xfrm>
                            <a:prstGeom prst="line">
                              <a:avLst/>
                            </a:prstGeom>
                            <a:ln w="9525" cap="flat" cmpd="sng">
                              <a:solidFill>
                                <a:srgbClr val="000000"/>
                              </a:solidFill>
                              <a:prstDash val="solid"/>
                              <a:headEnd type="none" w="med" len="med"/>
                              <a:tailEnd type="stealth" w="med" len="med"/>
                            </a:ln>
                          </wps:spPr>
                          <wps:bodyPr upright="1"/>
                        </wps:wsp>
                        <wps:wsp>
                          <wps:cNvPr id="2015" name="直线 20"/>
                          <wps:cNvCnPr/>
                          <wps:spPr>
                            <a:xfrm>
                              <a:off x="3381" y="11597"/>
                              <a:ext cx="0" cy="0"/>
                            </a:xfrm>
                            <a:prstGeom prst="line">
                              <a:avLst/>
                            </a:prstGeom>
                            <a:ln w="9525" cap="flat" cmpd="sng">
                              <a:solidFill>
                                <a:srgbClr val="000000"/>
                              </a:solidFill>
                              <a:prstDash val="solid"/>
                              <a:headEnd type="none" w="med" len="med"/>
                              <a:tailEnd type="stealth" w="med" len="med"/>
                            </a:ln>
                          </wps:spPr>
                          <wps:bodyPr upright="1"/>
                        </wps:wsp>
                        <wps:wsp>
                          <wps:cNvPr id="2016" name="直线 21"/>
                          <wps:cNvCnPr/>
                          <wps:spPr>
                            <a:xfrm>
                              <a:off x="3473" y="11409"/>
                              <a:ext cx="795" cy="1"/>
                            </a:xfrm>
                            <a:prstGeom prst="line">
                              <a:avLst/>
                            </a:prstGeom>
                            <a:ln w="9525" cap="flat" cmpd="sng">
                              <a:solidFill>
                                <a:srgbClr val="000000"/>
                              </a:solidFill>
                              <a:prstDash val="solid"/>
                              <a:headEnd type="none" w="med" len="med"/>
                              <a:tailEnd type="stealth" w="med" len="med"/>
                            </a:ln>
                          </wps:spPr>
                          <wps:bodyPr upright="1"/>
                        </wps:wsp>
                        <wps:wsp>
                          <wps:cNvPr id="2017" name="直线 22"/>
                          <wps:cNvCnPr/>
                          <wps:spPr>
                            <a:xfrm>
                              <a:off x="2396" y="11409"/>
                              <a:ext cx="565" cy="1"/>
                            </a:xfrm>
                            <a:prstGeom prst="line">
                              <a:avLst/>
                            </a:prstGeom>
                            <a:ln w="9525" cap="flat" cmpd="sng">
                              <a:solidFill>
                                <a:srgbClr val="000000"/>
                              </a:solidFill>
                              <a:prstDash val="solid"/>
                              <a:headEnd type="none" w="med" len="med"/>
                              <a:tailEnd type="stealth" w="med" len="med"/>
                            </a:ln>
                          </wps:spPr>
                          <wps:bodyPr upright="1"/>
                        </wps:wsp>
                        <wps:wsp>
                          <wps:cNvPr id="2018" name="直线 23"/>
                          <wps:cNvCnPr/>
                          <wps:spPr>
                            <a:xfrm>
                              <a:off x="3672" y="11429"/>
                              <a:ext cx="3" cy="720"/>
                            </a:xfrm>
                            <a:prstGeom prst="line">
                              <a:avLst/>
                            </a:prstGeom>
                            <a:ln w="9525" cap="flat" cmpd="sng">
                              <a:solidFill>
                                <a:srgbClr val="000000"/>
                              </a:solidFill>
                              <a:prstDash val="solid"/>
                              <a:headEnd type="none" w="med" len="med"/>
                              <a:tailEnd type="none" w="med" len="med"/>
                            </a:ln>
                          </wps:spPr>
                          <wps:bodyPr upright="1"/>
                        </wps:wsp>
                        <wps:wsp>
                          <wps:cNvPr id="2019" name="直线 24"/>
                          <wps:cNvCnPr/>
                          <wps:spPr>
                            <a:xfrm>
                              <a:off x="3672" y="12157"/>
                              <a:ext cx="507" cy="1"/>
                            </a:xfrm>
                            <a:prstGeom prst="line">
                              <a:avLst/>
                            </a:prstGeom>
                            <a:ln w="9525" cap="flat" cmpd="sng">
                              <a:solidFill>
                                <a:srgbClr val="000000"/>
                              </a:solidFill>
                              <a:prstDash val="solid"/>
                              <a:headEnd type="none" w="med" len="med"/>
                              <a:tailEnd type="stealth" w="med" len="med"/>
                            </a:ln>
                          </wps:spPr>
                          <wps:bodyPr upright="1"/>
                        </wps:wsp>
                      </wpg:grpSp>
                      <wpg:grpSp>
                        <wpg:cNvPr id="2020" name="组合 25"/>
                        <wpg:cNvGrpSpPr/>
                        <wpg:grpSpPr>
                          <a:xfrm>
                            <a:off x="6691" y="7509"/>
                            <a:ext cx="3928" cy="7341"/>
                            <a:chOff x="2789" y="5792"/>
                            <a:chExt cx="3673" cy="4883"/>
                          </a:xfrm>
                        </wpg:grpSpPr>
                        <wps:wsp>
                          <wps:cNvPr id="2021" name="文本框 26"/>
                          <wps:cNvSpPr txBox="1"/>
                          <wps:spPr>
                            <a:xfrm>
                              <a:off x="4654" y="5792"/>
                              <a:ext cx="1807" cy="3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970E7E">
                                <w:pPr>
                                  <w:ind w:left="0" w:leftChars="0" w:firstLine="0" w:firstLineChars="0"/>
                                  <w:jc w:val="both"/>
                                </w:pPr>
                                <w:r>
                                  <w:rPr>
                                    <w:rFonts w:hint="eastAsia"/>
                                  </w:rPr>
                                  <w:t>坡面平整与清理</w:t>
                                </w:r>
                              </w:p>
                            </w:txbxContent>
                          </wps:txbx>
                          <wps:bodyPr lIns="0" tIns="0" rIns="0" bIns="0" upright="1"/>
                        </wps:wsp>
                        <wps:wsp>
                          <wps:cNvPr id="2022" name="文本框 27"/>
                          <wps:cNvSpPr txBox="1"/>
                          <wps:spPr>
                            <a:xfrm>
                              <a:off x="4707" y="6543"/>
                              <a:ext cx="1755" cy="37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9A7E2D8">
                                <w:pPr>
                                  <w:ind w:left="0" w:leftChars="0" w:firstLine="0" w:firstLineChars="0"/>
                                  <w:jc w:val="both"/>
                                </w:pPr>
                                <w:r>
                                  <w:rPr>
                                    <w:rFonts w:hint="eastAsia"/>
                                  </w:rPr>
                                  <w:t>钻孔及安装锚杆</w:t>
                                </w:r>
                              </w:p>
                            </w:txbxContent>
                          </wps:txbx>
                          <wps:bodyPr lIns="0" tIns="0" rIns="0" bIns="0" upright="1"/>
                        </wps:wsp>
                        <wps:wsp>
                          <wps:cNvPr id="2023" name="直线 28"/>
                          <wps:cNvCnPr/>
                          <wps:spPr>
                            <a:xfrm>
                              <a:off x="5728" y="6168"/>
                              <a:ext cx="0" cy="375"/>
                            </a:xfrm>
                            <a:prstGeom prst="line">
                              <a:avLst/>
                            </a:prstGeom>
                            <a:ln w="9525" cap="flat" cmpd="sng">
                              <a:solidFill>
                                <a:srgbClr val="000000"/>
                              </a:solidFill>
                              <a:prstDash val="solid"/>
                              <a:headEnd type="none" w="med" len="med"/>
                              <a:tailEnd type="stealth" w="med" len="med"/>
                            </a:ln>
                          </wps:spPr>
                          <wps:bodyPr upright="1"/>
                        </wps:wsp>
                        <wps:wsp>
                          <wps:cNvPr id="2024" name="文本框 29"/>
                          <wps:cNvSpPr txBox="1"/>
                          <wps:spPr>
                            <a:xfrm>
                              <a:off x="4705" y="7294"/>
                              <a:ext cx="1756" cy="37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966FFA">
                                <w:pPr>
                                  <w:ind w:left="0" w:leftChars="0" w:firstLine="0" w:firstLineChars="0"/>
                                  <w:jc w:val="both"/>
                                </w:pPr>
                                <w:r>
                                  <w:rPr>
                                    <w:rFonts w:hint="eastAsia"/>
                                  </w:rPr>
                                  <w:t>铺设并加固铁丝网</w:t>
                                </w:r>
                              </w:p>
                            </w:txbxContent>
                          </wps:txbx>
                          <wps:bodyPr lIns="0" tIns="0" rIns="0" bIns="0" upright="1"/>
                        </wps:wsp>
                        <wps:wsp>
                          <wps:cNvPr id="2025" name="文本框 30"/>
                          <wps:cNvSpPr txBox="1"/>
                          <wps:spPr>
                            <a:xfrm>
                              <a:off x="4993" y="8045"/>
                              <a:ext cx="1469" cy="37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6CC3736">
                                <w:pPr>
                                  <w:ind w:left="0" w:leftChars="0" w:firstLine="480" w:firstLineChars="200"/>
                                  <w:jc w:val="both"/>
                                </w:pPr>
                                <w:r>
                                  <w:rPr>
                                    <w:rFonts w:hint="eastAsia"/>
                                  </w:rPr>
                                  <w:t>喷射培养基</w:t>
                                </w:r>
                              </w:p>
                            </w:txbxContent>
                          </wps:txbx>
                          <wps:bodyPr lIns="0" tIns="0" rIns="0" bIns="0" upright="1"/>
                        </wps:wsp>
                        <wps:wsp>
                          <wps:cNvPr id="2026" name="文本框 31"/>
                          <wps:cNvSpPr txBox="1"/>
                          <wps:spPr>
                            <a:xfrm>
                              <a:off x="4911" y="8796"/>
                              <a:ext cx="1551" cy="37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486B84B">
                                <w:pPr>
                                  <w:ind w:left="0" w:leftChars="0" w:firstLine="0" w:firstLineChars="0"/>
                                  <w:jc w:val="both"/>
                                </w:pPr>
                                <w:r>
                                  <w:rPr>
                                    <w:rFonts w:hint="eastAsia"/>
                                  </w:rPr>
                                  <w:t>液压喷播种子层</w:t>
                                </w:r>
                              </w:p>
                            </w:txbxContent>
                          </wps:txbx>
                          <wps:bodyPr lIns="0" tIns="0" rIns="0" bIns="0" upright="1"/>
                        </wps:wsp>
                        <wps:wsp>
                          <wps:cNvPr id="2027" name="文本框 32"/>
                          <wps:cNvSpPr txBox="1"/>
                          <wps:spPr>
                            <a:xfrm>
                              <a:off x="4993" y="9547"/>
                              <a:ext cx="1469" cy="37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2E432C5">
                                <w:pPr>
                                  <w:ind w:left="0" w:leftChars="0" w:firstLine="240" w:firstLineChars="100"/>
                                  <w:jc w:val="both"/>
                                </w:pPr>
                                <w:r>
                                  <w:rPr>
                                    <w:rFonts w:hint="eastAsia"/>
                                  </w:rPr>
                                  <w:t>覆盖无纺布</w:t>
                                </w:r>
                              </w:p>
                            </w:txbxContent>
                          </wps:txbx>
                          <wps:bodyPr lIns="0" tIns="0" rIns="0" bIns="0" upright="1"/>
                        </wps:wsp>
                        <wps:wsp>
                          <wps:cNvPr id="2028" name="文本框 33"/>
                          <wps:cNvSpPr txBox="1"/>
                          <wps:spPr>
                            <a:xfrm>
                              <a:off x="4993" y="10298"/>
                              <a:ext cx="1469" cy="37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A66180">
                                <w:pPr>
                                  <w:ind w:left="0" w:leftChars="0" w:firstLine="240" w:firstLineChars="100"/>
                                  <w:jc w:val="both"/>
                                </w:pPr>
                                <w:r>
                                  <w:rPr>
                                    <w:rFonts w:hint="eastAsia"/>
                                  </w:rPr>
                                  <w:t>养护管理</w:t>
                                </w:r>
                              </w:p>
                            </w:txbxContent>
                          </wps:txbx>
                          <wps:bodyPr lIns="0" tIns="0" rIns="0" bIns="0" upright="1"/>
                        </wps:wsp>
                        <wps:wsp>
                          <wps:cNvPr id="2029" name="直线 34"/>
                          <wps:cNvCnPr/>
                          <wps:spPr>
                            <a:xfrm>
                              <a:off x="5728" y="6919"/>
                              <a:ext cx="0" cy="375"/>
                            </a:xfrm>
                            <a:prstGeom prst="line">
                              <a:avLst/>
                            </a:prstGeom>
                            <a:ln w="9525" cap="flat" cmpd="sng">
                              <a:solidFill>
                                <a:srgbClr val="000000"/>
                              </a:solidFill>
                              <a:prstDash val="solid"/>
                              <a:headEnd type="none" w="med" len="med"/>
                              <a:tailEnd type="stealth" w="med" len="med"/>
                            </a:ln>
                          </wps:spPr>
                          <wps:bodyPr upright="1"/>
                        </wps:wsp>
                        <wps:wsp>
                          <wps:cNvPr id="2030" name="直线 35"/>
                          <wps:cNvCnPr/>
                          <wps:spPr>
                            <a:xfrm>
                              <a:off x="5728" y="7670"/>
                              <a:ext cx="0" cy="375"/>
                            </a:xfrm>
                            <a:prstGeom prst="line">
                              <a:avLst/>
                            </a:prstGeom>
                            <a:ln w="9525" cap="flat" cmpd="sng">
                              <a:solidFill>
                                <a:srgbClr val="000000"/>
                              </a:solidFill>
                              <a:prstDash val="solid"/>
                              <a:headEnd type="none" w="med" len="med"/>
                              <a:tailEnd type="stealth" w="med" len="med"/>
                            </a:ln>
                          </wps:spPr>
                          <wps:bodyPr upright="1"/>
                        </wps:wsp>
                        <wps:wsp>
                          <wps:cNvPr id="2031" name="直线 36"/>
                          <wps:cNvCnPr/>
                          <wps:spPr>
                            <a:xfrm>
                              <a:off x="5728" y="8421"/>
                              <a:ext cx="0" cy="375"/>
                            </a:xfrm>
                            <a:prstGeom prst="line">
                              <a:avLst/>
                            </a:prstGeom>
                            <a:ln w="9525" cap="flat" cmpd="sng">
                              <a:solidFill>
                                <a:srgbClr val="000000"/>
                              </a:solidFill>
                              <a:prstDash val="solid"/>
                              <a:headEnd type="none" w="med" len="med"/>
                              <a:tailEnd type="stealth" w="med" len="med"/>
                            </a:ln>
                          </wps:spPr>
                          <wps:bodyPr upright="1"/>
                        </wps:wsp>
                        <wps:wsp>
                          <wps:cNvPr id="2032" name="直线 37"/>
                          <wps:cNvCnPr/>
                          <wps:spPr>
                            <a:xfrm>
                              <a:off x="5728" y="9172"/>
                              <a:ext cx="0" cy="375"/>
                            </a:xfrm>
                            <a:prstGeom prst="line">
                              <a:avLst/>
                            </a:prstGeom>
                            <a:ln w="9525" cap="flat" cmpd="sng">
                              <a:solidFill>
                                <a:srgbClr val="000000"/>
                              </a:solidFill>
                              <a:prstDash val="solid"/>
                              <a:headEnd type="none" w="med" len="med"/>
                              <a:tailEnd type="stealth" w="med" len="med"/>
                            </a:ln>
                          </wps:spPr>
                          <wps:bodyPr upright="1"/>
                        </wps:wsp>
                        <wps:wsp>
                          <wps:cNvPr id="2033" name="直线 38"/>
                          <wps:cNvCnPr/>
                          <wps:spPr>
                            <a:xfrm>
                              <a:off x="5728" y="9923"/>
                              <a:ext cx="0" cy="375"/>
                            </a:xfrm>
                            <a:prstGeom prst="line">
                              <a:avLst/>
                            </a:prstGeom>
                            <a:ln w="9525" cap="flat" cmpd="sng">
                              <a:solidFill>
                                <a:srgbClr val="000000"/>
                              </a:solidFill>
                              <a:prstDash val="solid"/>
                              <a:headEnd type="none" w="med" len="med"/>
                              <a:tailEnd type="stealth" w="med" len="med"/>
                            </a:ln>
                          </wps:spPr>
                          <wps:bodyPr upright="1"/>
                        </wps:wsp>
                        <wps:wsp>
                          <wps:cNvPr id="2034" name="文本框 39"/>
                          <wps:cNvSpPr txBox="1"/>
                          <wps:spPr>
                            <a:xfrm>
                              <a:off x="2789" y="7547"/>
                              <a:ext cx="374" cy="14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E9D60BF">
                                <w:pPr>
                                  <w:jc w:val="center"/>
                                </w:pPr>
                                <w:r>
                                  <w:rPr>
                                    <w:rFonts w:hint="eastAsia"/>
                                  </w:rPr>
                                  <w:t>培养基材拌和</w:t>
                                </w:r>
                              </w:p>
                            </w:txbxContent>
                          </wps:txbx>
                          <wps:bodyPr vert="eaVert" lIns="0" tIns="0" rIns="0" bIns="0" upright="1"/>
                        </wps:wsp>
                        <wps:wsp>
                          <wps:cNvPr id="2035" name="文本框 40"/>
                          <wps:cNvSpPr txBox="1"/>
                          <wps:spPr>
                            <a:xfrm>
                              <a:off x="3817" y="7549"/>
                              <a:ext cx="375" cy="14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F3C3595">
                                <w:pPr>
                                  <w:jc w:val="center"/>
                                </w:pPr>
                                <w:r>
                                  <w:rPr>
                                    <w:rFonts w:hint="eastAsia"/>
                                  </w:rPr>
                                  <w:t>输送至喷射机</w:t>
                                </w:r>
                              </w:p>
                            </w:txbxContent>
                          </wps:txbx>
                          <wps:bodyPr vert="eaVert" lIns="0" tIns="0" rIns="0" bIns="0" upright="1"/>
                        </wps:wsp>
                        <wps:wsp>
                          <wps:cNvPr id="2036" name="直线 41"/>
                          <wps:cNvCnPr/>
                          <wps:spPr>
                            <a:xfrm>
                              <a:off x="4258" y="8421"/>
                              <a:ext cx="0" cy="0"/>
                            </a:xfrm>
                            <a:prstGeom prst="line">
                              <a:avLst/>
                            </a:prstGeom>
                            <a:ln w="9525" cap="flat" cmpd="sng">
                              <a:solidFill>
                                <a:srgbClr val="000000"/>
                              </a:solidFill>
                              <a:prstDash val="solid"/>
                              <a:headEnd type="none" w="med" len="med"/>
                              <a:tailEnd type="stealth" w="med" len="med"/>
                            </a:ln>
                          </wps:spPr>
                          <wps:bodyPr upright="1"/>
                        </wps:wsp>
                        <wps:wsp>
                          <wps:cNvPr id="2037" name="直线 42"/>
                          <wps:cNvCnPr/>
                          <wps:spPr>
                            <a:xfrm>
                              <a:off x="4258" y="8421"/>
                              <a:ext cx="0" cy="0"/>
                            </a:xfrm>
                            <a:prstGeom prst="line">
                              <a:avLst/>
                            </a:prstGeom>
                            <a:ln w="9525" cap="flat" cmpd="sng">
                              <a:solidFill>
                                <a:srgbClr val="000000"/>
                              </a:solidFill>
                              <a:prstDash val="solid"/>
                              <a:headEnd type="none" w="med" len="med"/>
                              <a:tailEnd type="stealth" w="med" len="med"/>
                            </a:ln>
                          </wps:spPr>
                          <wps:bodyPr upright="1"/>
                        </wps:wsp>
                        <wps:wsp>
                          <wps:cNvPr id="2038" name="直线 43"/>
                          <wps:cNvCnPr/>
                          <wps:spPr>
                            <a:xfrm>
                              <a:off x="4195" y="8239"/>
                              <a:ext cx="787" cy="1"/>
                            </a:xfrm>
                            <a:prstGeom prst="line">
                              <a:avLst/>
                            </a:prstGeom>
                            <a:ln w="9525" cap="flat" cmpd="sng">
                              <a:solidFill>
                                <a:srgbClr val="000000"/>
                              </a:solidFill>
                              <a:prstDash val="solid"/>
                              <a:headEnd type="none" w="med" len="med"/>
                              <a:tailEnd type="stealth" w="med" len="med"/>
                            </a:ln>
                          </wps:spPr>
                          <wps:bodyPr upright="1"/>
                        </wps:wsp>
                        <wps:wsp>
                          <wps:cNvPr id="2039" name="直线 44"/>
                          <wps:cNvCnPr/>
                          <wps:spPr>
                            <a:xfrm>
                              <a:off x="3177" y="8239"/>
                              <a:ext cx="648" cy="1"/>
                            </a:xfrm>
                            <a:prstGeom prst="line">
                              <a:avLst/>
                            </a:prstGeom>
                            <a:ln w="9525" cap="flat" cmpd="sng">
                              <a:solidFill>
                                <a:srgbClr val="000000"/>
                              </a:solidFill>
                              <a:prstDash val="solid"/>
                              <a:headEnd type="none" w="med" len="med"/>
                              <a:tailEnd type="stealth" w="med" len="med"/>
                            </a:ln>
                          </wps:spPr>
                          <wps:bodyPr upright="1"/>
                        </wps:wsp>
                      </wpg:grpSp>
                    </wpg:wgp>
                  </a:graphicData>
                </a:graphic>
              </wp:inline>
            </w:drawing>
          </mc:Choice>
          <mc:Fallback>
            <w:pict>
              <v:group id="组合 2" o:spid="_x0000_s1026" o:spt="203" style="height:359.6pt;width:432.55pt;" coordorigin="1920,7448" coordsize="8699,7417" o:gfxdata="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">
                <o:lock v:ext="edit" aspectratio="f"/>
                <v:group id="组合 804" o:spid="_x0000_s1026" o:spt="203" style="position:absolute;left:1920;top:7448;height:7417;width:4390;" coordorigin="1920,8879" coordsize="4390,5048" o:gfxdata="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4nksPsAAAADdAAAADwAAAAAAAAABACAAAAAiAAAAZHJzL2Rvd25yZXYu&#10;eG1sUEsBAhQAFAAAAAgAh07iQDMvBZ47AAAAOQAAABUAAAAAAAAAAQAgAAAADwEAAGRycy9ncm91&#10;cHNoYXBleG1sLnhtbFBLBQYAAAAABgAGAGABAADMAwAAAAA=&#10;">
                  <o:lock v:ext="edit" aspectratio="f"/>
                  <v:shape id="文本框 4" o:spid="_x0000_s1026" o:spt="202" type="#_x0000_t202" style="position:absolute;left:4281;top:8879;height:389;width:1799;" fillcolor="#FFFFFF" filled="t" stroked="t" coordsize="21600,21600" o:gfxdata="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guWu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431E98D0">
                          <w:pPr>
                            <w:ind w:left="0" w:leftChars="0" w:firstLine="0" w:firstLineChars="0"/>
                            <w:jc w:val="both"/>
                          </w:pPr>
                          <w:r>
                            <w:rPr>
                              <w:rFonts w:hint="eastAsia"/>
                            </w:rPr>
                            <w:t>坡面平整与清理</w:t>
                          </w:r>
                        </w:p>
                      </w:txbxContent>
                    </v:textbox>
                  </v:shape>
                  <v:shape id="文本框 5" o:spid="_x0000_s1026" o:spt="202" type="#_x0000_t202" style="position:absolute;left:4281;top:9655;height:389;width:1799;" fillcolor="#FFFFFF" filled="t" stroked="t" coordsize="21600,21600" o:gfxdata="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EWuz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770BBE3">
                          <w:pPr>
                            <w:ind w:left="0" w:leftChars="0" w:firstLine="0" w:firstLineChars="0"/>
                            <w:jc w:val="both"/>
                          </w:pPr>
                          <w:r>
                            <w:rPr>
                              <w:rFonts w:hint="eastAsia"/>
                            </w:rPr>
                            <w:t>钻孔及安装锚杆</w:t>
                          </w:r>
                        </w:p>
                      </w:txbxContent>
                    </v:textbox>
                  </v:shape>
                  <v:line id="直线 6" o:spid="_x0000_s1026" o:spt="20" style="position:absolute;left:5181;top:9268;height:387;width:0;" filled="f" stroked="t" coordsize="21600,21600" o:gfxdata="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rCzYugAAAN0A&#10;AAAPAAAAAAAAAAEAIAAAACIAAABkcnMvZG93bnJldi54bWxQSwECFAAUAAAACACHTuJAMy8FnjsA&#10;AAA5AAAAEAAAAAAAAAABACAAAAAJAQAAZHJzL3NoYXBleG1sLnhtbFBLBQYAAAAABgAGAFsBAACz&#10;AwAAAAA=&#10;">
                    <v:fill on="f" focussize="0,0"/>
                    <v:stroke color="#000000" joinstyle="round" endarrow="classic"/>
                    <v:imagedata o:title=""/>
                    <o:lock v:ext="edit" aspectratio="f"/>
                  </v:line>
                  <v:shape id="文本框 7" o:spid="_x0000_s1026" o:spt="202" type="#_x0000_t202" style="position:absolute;left:4281;top:10432;height:389;width:2018;" fillcolor="#FFFFFF" filled="t" stroked="t" coordsize="21600,21600" o:gfxdata="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9uVI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FDDB8C3">
                          <w:pPr>
                            <w:ind w:left="0" w:leftChars="0" w:firstLine="0" w:firstLineChars="0"/>
                            <w:jc w:val="both"/>
                          </w:pPr>
                          <w:r>
                            <w:rPr>
                              <w:rFonts w:hint="eastAsia"/>
                            </w:rPr>
                            <w:t>铺设并加固铁丝网</w:t>
                          </w:r>
                        </w:p>
                      </w:txbxContent>
                    </v:textbox>
                  </v:shape>
                  <v:shape id="文本框 8" o:spid="_x0000_s1026" o:spt="202" type="#_x0000_t202" style="position:absolute;left:4281;top:11208;height:390;width:1974;" fillcolor="#FFFFFF" filled="t" stroked="t" coordsize="21600,21600" o:gfxdata="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XMLm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119C1F82">
                          <w:pPr>
                            <w:ind w:left="0" w:leftChars="0" w:firstLine="0" w:firstLineChars="0"/>
                            <w:jc w:val="both"/>
                          </w:pPr>
                          <w:r>
                            <w:rPr>
                              <w:rFonts w:hint="eastAsia"/>
                            </w:rPr>
                            <w:t>喷射培养基底基层</w:t>
                          </w:r>
                        </w:p>
                      </w:txbxContent>
                    </v:textbox>
                  </v:shape>
                  <v:shape id="文本框 9" o:spid="_x0000_s1026" o:spt="202" type="#_x0000_t202" style="position:absolute;left:4281;top:11985;height:389;width:2029;" fillcolor="#FFFFFF" filled="t" stroked="t" coordsize="21600,21600" o:gfxdata="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9+qM2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5841E37B">
                          <w:pPr>
                            <w:ind w:left="0" w:leftChars="0" w:firstLine="0" w:firstLineChars="0"/>
                            <w:jc w:val="both"/>
                          </w:pPr>
                          <w:r>
                            <w:rPr>
                              <w:rFonts w:hint="eastAsia"/>
                            </w:rPr>
                            <w:t>喷射培养基种子层</w:t>
                          </w:r>
                        </w:p>
                      </w:txbxContent>
                    </v:textbox>
                  </v:shape>
                  <v:shape id="文本框 10" o:spid="_x0000_s1026" o:spt="202" type="#_x0000_t202" style="position:absolute;left:4281;top:12761;height:390;width:1799;" fillcolor="#FFFFFF" filled="t" stroked="t" coordsize="21600,21600" o:gfxdata="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yDVa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00218EE2">
                          <w:pPr>
                            <w:ind w:left="0" w:leftChars="0" w:firstLine="0" w:firstLineChars="0"/>
                            <w:jc w:val="both"/>
                          </w:pPr>
                          <w:r>
                            <w:rPr>
                              <w:rFonts w:hint="eastAsia"/>
                            </w:rPr>
                            <w:t>覆盖无纺布</w:t>
                          </w:r>
                        </w:p>
                      </w:txbxContent>
                    </v:textbox>
                  </v:shape>
                  <v:shape id="文本框 11" o:spid="_x0000_s1026" o:spt="202" type="#_x0000_t202" style="position:absolute;left:4281;top:13537;height:390;width:1799;" fillcolor="#FFFFFF" filled="t" stroked="t" coordsize="21600,21600" o:gfxdata="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4JMh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49BB875E">
                          <w:pPr>
                            <w:jc w:val="both"/>
                          </w:pPr>
                          <w:r>
                            <w:rPr>
                              <w:rFonts w:hint="eastAsia"/>
                            </w:rPr>
                            <w:t>养护管理</w:t>
                          </w:r>
                        </w:p>
                      </w:txbxContent>
                    </v:textbox>
                  </v:shape>
                  <v:line id="直线 12" o:spid="_x0000_s1026" o:spt="20" style="position:absolute;left:5181;top:10044;height:388;width:0;" filled="f" stroked="t" coordsize="21600,21600" o:gfxdata="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wkRN7sAAADd&#10;AAAADwAAAAAAAAABACAAAAAiAAAAZHJzL2Rvd25yZXYueG1sUEsBAhQAFAAAAAgAh07iQDMvBZ47&#10;AAAAOQAAABAAAAAAAAAAAQAgAAAACgEAAGRycy9zaGFwZXhtbC54bWxQSwUGAAAAAAYABgBbAQAA&#10;tAMAAAAA&#10;">
                    <v:fill on="f" focussize="0,0"/>
                    <v:stroke color="#000000" joinstyle="round" endarrow="classic"/>
                    <v:imagedata o:title=""/>
                    <o:lock v:ext="edit" aspectratio="f"/>
                  </v:line>
                  <v:line id="直线 13" o:spid="_x0000_s1026" o:spt="20" style="position:absolute;left:5181;top:10820;height:388;width:0;" filled="f" stroked="t" coordsize="21600,21600" o:gfxdata="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WhUW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line id="直线 14" o:spid="_x0000_s1026" o:spt="20" style="position:absolute;left:5181;top:11597;height:388;width:0;" filled="f" stroked="t" coordsize="21600,21600" o:gfxdata="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dog3rsAAADd&#10;AAAADwAAAAAAAAABACAAAAAiAAAAZHJzL2Rvd25yZXYueG1sUEsBAhQAFAAAAAgAh07iQDMvBZ47&#10;AAAAOQAAABAAAAAAAAAAAQAgAAAACgEAAGRycy9zaGFwZXhtbC54bWxQSwUGAAAAAAYABgBbAQAA&#10;tAMAAAAA&#10;">
                    <v:fill on="f" focussize="0,0"/>
                    <v:stroke color="#000000" joinstyle="round" endarrow="classic"/>
                    <v:imagedata o:title=""/>
                    <o:lock v:ext="edit" aspectratio="f"/>
                  </v:line>
                  <v:line id="直线 15" o:spid="_x0000_s1026" o:spt="20" style="position:absolute;left:5181;top:12373;height:388;width:0;" filled="f" stroked="t" coordsize="21600,21600" o:gfxdata="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TkfnrgAAADdAAAA&#10;DwAAAAAAAAABACAAAAAiAAAAZHJzL2Rvd25yZXYueG1sUEsBAhQAFAAAAAgAh07iQDMvBZ47AAAA&#10;OQAAABAAAAAAAAAAAQAgAAAABwEAAGRycy9zaGFwZXhtbC54bWxQSwUGAAAAAAYABgBbAQAAsQMA&#10;AAAA&#10;">
                    <v:fill on="f" focussize="0,0"/>
                    <v:stroke color="#000000" joinstyle="round" endarrow="classic"/>
                    <v:imagedata o:title=""/>
                    <o:lock v:ext="edit" aspectratio="f"/>
                  </v:line>
                  <v:line id="直线 16" o:spid="_x0000_s1026" o:spt="20" style="position:absolute;left:5181;top:13150;height:387;width:0;" filled="f" stroked="t" coordsize="21600,21600" o:gfxdata="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1ugW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shape id="文本框 17" o:spid="_x0000_s1026" o:spt="202" type="#_x0000_t202" style="position:absolute;left:1920;top:10693;height:1525;width:458;" fillcolor="#FFFFFF" filled="t" stroked="t" coordsize="21600,21600" o:gfxdata="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78wP&#10;wAAAAN0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style="layout-flow:vertical-ideographic;">
                      <w:txbxContent>
                        <w:p w14:paraId="71B47A28">
                          <w:pPr>
                            <w:jc w:val="center"/>
                          </w:pPr>
                          <w:r>
                            <w:rPr>
                              <w:rFonts w:hint="eastAsia"/>
                            </w:rPr>
                            <w:t>培养基材拌和</w:t>
                          </w:r>
                        </w:p>
                      </w:txbxContent>
                    </v:textbox>
                  </v:shape>
                  <v:shape id="文本框 18" o:spid="_x0000_s1026" o:spt="202" type="#_x0000_t202" style="position:absolute;left:3009;top:10695;height:1525;width:459;" fillcolor="#FFFFFF" filled="t" stroked="t" coordsize="21600,21600" o:gfxdata="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2mU&#10;wAAAAN0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style="layout-flow:vertical-ideographic;">
                      <w:txbxContent>
                        <w:p w14:paraId="1F4E2E4D">
                          <w:pPr>
                            <w:jc w:val="both"/>
                          </w:pPr>
                          <w:r>
                            <w:rPr>
                              <w:rFonts w:hint="eastAsia"/>
                            </w:rPr>
                            <w:t>输送至喷射机</w:t>
                          </w:r>
                        </w:p>
                      </w:txbxContent>
                    </v:textbox>
                  </v:shape>
                  <v:line id="直线 19" o:spid="_x0000_s1026" o:spt="20" style="position:absolute;left:3381;top:11597;height:0;width:0;" filled="f" stroked="t" coordsize="21600,21600" o:gfxdata="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4CGZ2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line id="直线 20" o:spid="_x0000_s1026" o:spt="20" style="position:absolute;left:3381;top:11597;height:0;width:0;" filled="f" stroked="t" coordsize="21600,21600" o:gfxdata="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OvAa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line id="直线 21" o:spid="_x0000_s1026" o:spt="20" style="position:absolute;left:3473;top:11409;height:1;width:795;" filled="f" stroked="t" coordsize="21600,21600" o:gfxdata="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GcInG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line id="直线 22" o:spid="_x0000_s1026" o:spt="20" style="position:absolute;left:2396;top:11409;height:1;width:565;" filled="f" stroked="t" coordsize="21600,21600" o:gfxdata="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7Qh+q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line id="直线 23" o:spid="_x0000_s1026" o:spt="20" style="position:absolute;left:3672;top:11429;height:720;width:3;" filled="f" stroked="t" coordsize="21600,21600" o:gfxdata="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3inO+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24" o:spid="_x0000_s1026" o:spt="20" style="position:absolute;left:3672;top:12157;height:1;width:507;" filled="f" stroked="t" coordsize="21600,21600" o:gfxdata="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DtgO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group>
                <v:group id="组合 25" o:spid="_x0000_s1026" o:spt="203" style="position:absolute;left:6691;top:7509;height:7341;width:3928;" coordorigin="2789,5792" coordsize="3673,4883" o:gfxdata="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GJcJgvAAAAN0AAAAPAAAAAAAAAAEAIAAAACIAAABkcnMvZG93bnJldi54bWxQ&#10;SwECFAAUAAAACACHTuJAMy8FnjsAAAA5AAAAFQAAAAAAAAABACAAAAALAQAAZHJzL2dyb3Vwc2hh&#10;cGV4bWwueG1sUEsFBgAAAAAGAAYAYAEAAMgDAAAAAA==&#10;">
                  <o:lock v:ext="edit" aspectratio="f"/>
                  <v:shape id="文本框 26" o:spid="_x0000_s1026" o:spt="202" type="#_x0000_t202" style="position:absolute;left:4654;top:5792;height:376;width:1807;" fillcolor="#FFFFFF" filled="t" stroked="t" coordsize="21600,21600" o:gfxdata="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xXNb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67970E7E">
                          <w:pPr>
                            <w:ind w:left="0" w:leftChars="0" w:firstLine="0" w:firstLineChars="0"/>
                            <w:jc w:val="both"/>
                          </w:pPr>
                          <w:r>
                            <w:rPr>
                              <w:rFonts w:hint="eastAsia"/>
                            </w:rPr>
                            <w:t>坡面平整与清理</w:t>
                          </w:r>
                        </w:p>
                      </w:txbxContent>
                    </v:textbox>
                  </v:shape>
                  <v:shape id="文本框 27" o:spid="_x0000_s1026" o:spt="202" type="#_x0000_t202" style="position:absolute;left:4707;top:6543;height:376;width:1755;" fillcolor="#FFFFFF" filled="t" stroked="t" coordsize="21600,21600" o:gfxdata="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bslC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19A7E2D8">
                          <w:pPr>
                            <w:ind w:left="0" w:leftChars="0" w:firstLine="0" w:firstLineChars="0"/>
                            <w:jc w:val="both"/>
                          </w:pPr>
                          <w:r>
                            <w:rPr>
                              <w:rFonts w:hint="eastAsia"/>
                            </w:rPr>
                            <w:t>钻孔及安装锚杆</w:t>
                          </w:r>
                        </w:p>
                      </w:txbxContent>
                    </v:textbox>
                  </v:shape>
                  <v:line id="直线 28" o:spid="_x0000_s1026" o:spt="20" style="position:absolute;left:5728;top:6168;height:375;width:0;" filled="f" stroked="t" coordsize="21600,21600" o:gfxdata="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h0tUvQAA&#10;AN0AAAAPAAAAAAAAAAEAIAAAACIAAABkcnMvZG93bnJldi54bWxQSwECFAAUAAAACACHTuJAMy8F&#10;njsAAAA5AAAAEAAAAAAAAAABACAAAAAMAQAAZHJzL3NoYXBleG1sLnhtbFBLBQYAAAAABgAGAFsB&#10;AAC2AwAAAAA=&#10;">
                    <v:fill on="f" focussize="0,0"/>
                    <v:stroke color="#000000" joinstyle="round" endarrow="classic"/>
                    <v:imagedata o:title=""/>
                    <o:lock v:ext="edit" aspectratio="f"/>
                  </v:line>
                  <v:shape id="文本框 29" o:spid="_x0000_s1026" o:spt="202" type="#_x0000_t202" style="position:absolute;left:4705;top:7294;height:377;width:1756;" fillcolor="#FFFFFF" filled="t" stroked="t" coordsize="21600,21600" o:gfxdata="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Mv0rb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17966FFA">
                          <w:pPr>
                            <w:ind w:left="0" w:leftChars="0" w:firstLine="0" w:firstLineChars="0"/>
                            <w:jc w:val="both"/>
                          </w:pPr>
                          <w:r>
                            <w:rPr>
                              <w:rFonts w:hint="eastAsia"/>
                            </w:rPr>
                            <w:t>铺设并加固铁丝网</w:t>
                          </w:r>
                        </w:p>
                      </w:txbxContent>
                    </v:textbox>
                  </v:shape>
                  <v:shape id="文本框 30" o:spid="_x0000_s1026" o:spt="202" type="#_x0000_t202" style="position:absolute;left:4993;top:8045;height:377;width:1469;" fillcolor="#FFFFFF" filled="t" stroked="t" coordsize="21600,21600" o:gfxdata="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4dRN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26CC3736">
                          <w:pPr>
                            <w:ind w:left="0" w:leftChars="0" w:firstLine="480" w:firstLineChars="200"/>
                            <w:jc w:val="both"/>
                          </w:pPr>
                          <w:r>
                            <w:rPr>
                              <w:rFonts w:hint="eastAsia"/>
                            </w:rPr>
                            <w:t>喷射培养基</w:t>
                          </w:r>
                        </w:p>
                      </w:txbxContent>
                    </v:textbox>
                  </v:shape>
                  <v:shape id="文本框 31" o:spid="_x0000_s1026" o:spt="202" type="#_x0000_t202" style="position:absolute;left:4911;top:8796;height:377;width:1551;" fillcolor="#FFFFFF" filled="t" stroked="t" coordsize="21600,21600" o:gfxdata="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1XPQb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6486B84B">
                          <w:pPr>
                            <w:ind w:left="0" w:leftChars="0" w:firstLine="0" w:firstLineChars="0"/>
                            <w:jc w:val="both"/>
                          </w:pPr>
                          <w:r>
                            <w:rPr>
                              <w:rFonts w:hint="eastAsia"/>
                            </w:rPr>
                            <w:t>液压喷播种子层</w:t>
                          </w:r>
                        </w:p>
                      </w:txbxContent>
                    </v:textbox>
                  </v:shape>
                  <v:shape id="文本框 32" o:spid="_x0000_s1026" o:spt="202" type="#_x0000_t202" style="position:absolute;left:4993;top:9547;height:377;width:1469;" fillcolor="#FFFFFF" filled="t" stroked="t" coordsize="21600,21600" o:gfxdata="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lq2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42E432C5">
                          <w:pPr>
                            <w:ind w:left="0" w:leftChars="0" w:firstLine="240" w:firstLineChars="100"/>
                            <w:jc w:val="both"/>
                          </w:pPr>
                          <w:r>
                            <w:rPr>
                              <w:rFonts w:hint="eastAsia"/>
                            </w:rPr>
                            <w:t>覆盖无纺布</w:t>
                          </w:r>
                        </w:p>
                      </w:txbxContent>
                    </v:textbox>
                  </v:shape>
                  <v:shape id="文本框 33" o:spid="_x0000_s1026" o:spt="202" type="#_x0000_t202" style="position:absolute;left:4993;top:10298;height:377;width:1469;" fillcolor="#FFFFFF" filled="t" stroked="t" coordsize="21600,21600" o:gfxdata="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hv6ougAAAN0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inset="0mm,0mm,0mm,0mm">
                      <w:txbxContent>
                        <w:p w14:paraId="65A66180">
                          <w:pPr>
                            <w:ind w:left="0" w:leftChars="0" w:firstLine="240" w:firstLineChars="100"/>
                            <w:jc w:val="both"/>
                          </w:pPr>
                          <w:r>
                            <w:rPr>
                              <w:rFonts w:hint="eastAsia"/>
                            </w:rPr>
                            <w:t>养护管理</w:t>
                          </w:r>
                        </w:p>
                      </w:txbxContent>
                    </v:textbox>
                  </v:shape>
                  <v:line id="直线 34" o:spid="_x0000_s1026" o:spt="20" style="position:absolute;left:5728;top:6919;height:375;width:0;" filled="f" stroked="t" coordsize="21600,21600" o:gfxdata="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b3y+vQAA&#10;AN0AAAAPAAAAAAAAAAEAIAAAACIAAABkcnMvZG93bnJldi54bWxQSwECFAAUAAAACACHTuJAMy8F&#10;njsAAAA5AAAAEAAAAAAAAAABACAAAAAMAQAAZHJzL3NoYXBleG1sLnhtbFBLBQYAAAAABgAGAFsB&#10;AAC2AwAAAAA=&#10;">
                    <v:fill on="f" focussize="0,0"/>
                    <v:stroke color="#000000" joinstyle="round" endarrow="classic"/>
                    <v:imagedata o:title=""/>
                    <o:lock v:ext="edit" aspectratio="f"/>
                  </v:line>
                  <v:line id="直线 35" o:spid="_x0000_s1026" o:spt="20" style="position:absolute;left:5728;top:7670;height:375;width:0;" filled="f" stroked="t" coordsize="21600,21600" o:gfxdata="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oxD/rsAAADd&#10;AAAADwAAAAAAAAABACAAAAAiAAAAZHJzL2Rvd25yZXYueG1sUEsBAhQAFAAAAAgAh07iQDMvBZ47&#10;AAAAOQAAABAAAAAAAAAAAQAgAAAACgEAAGRycy9zaGFwZXhtbC54bWxQSwUGAAAAAAYABgBbAQAA&#10;tAMAAAAA&#10;">
                    <v:fill on="f" focussize="0,0"/>
                    <v:stroke color="#000000" joinstyle="round" endarrow="classic"/>
                    <v:imagedata o:title=""/>
                    <o:lock v:ext="edit" aspectratio="f"/>
                  </v:line>
                  <v:line id="直线 36" o:spid="_x0000_s1026" o:spt="20" style="position:absolute;left:5728;top:8421;height:375;width:0;" filled="f" stroked="t" coordsize="21600,21600" o:gfxdata="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XA5mW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line id="直线 37" o:spid="_x0000_s1026" o:spt="20" style="position:absolute;left:5728;top:9172;height:375;width:0;" filled="f" stroked="t" coordsize="21600,21600" o:gfxdata="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EngSvQAA&#10;AN0AAAAPAAAAAAAAAAEAIAAAACIAAABkcnMvZG93bnJldi54bWxQSwECFAAUAAAACACHTuJAMy8F&#10;njsAAAA5AAAAEAAAAAAAAAABACAAAAAMAQAAZHJzL3NoYXBleG1sLnhtbFBLBQYAAAAABgAGAFsB&#10;AAC2AwAAAAA=&#10;">
                    <v:fill on="f" focussize="0,0"/>
                    <v:stroke color="#000000" joinstyle="round" endarrow="classic"/>
                    <v:imagedata o:title=""/>
                    <o:lock v:ext="edit" aspectratio="f"/>
                  </v:line>
                  <v:line id="直线 38" o:spid="_x0000_s1026" o:spt="20" style="position:absolute;left:5728;top:9923;height:375;width:0;" filled="f" stroked="t" coordsize="21600,21600" o:gfxdata="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e3Ym8AAAA&#10;3QAAAA8AAAAAAAAAAQAgAAAAIgAAAGRycy9kb3ducmV2LnhtbFBLAQIUABQAAAAIAIdO4kAzLwWe&#10;OwAAADkAAAAQAAAAAAAAAAEAIAAAAAsBAABkcnMvc2hhcGV4bWwueG1sUEsFBgAAAAAGAAYAWwEA&#10;ALUDAAAAAA==&#10;">
                    <v:fill on="f" focussize="0,0"/>
                    <v:stroke color="#000000" joinstyle="round" endarrow="classic"/>
                    <v:imagedata o:title=""/>
                    <o:lock v:ext="edit" aspectratio="f"/>
                  </v:line>
                  <v:shape id="文本框 39" o:spid="_x0000_s1026" o:spt="202" type="#_x0000_t202" style="position:absolute;left:2789;top:7547;height:1475;width:374;" fillcolor="#FFFFFF" filled="t" stroked="t" coordsize="21600,21600" o:gfxdata="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62A&#10;wAAAAN0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style="layout-flow:vertical-ideographic;">
                      <w:txbxContent>
                        <w:p w14:paraId="0E9D60BF">
                          <w:pPr>
                            <w:jc w:val="center"/>
                          </w:pPr>
                          <w:r>
                            <w:rPr>
                              <w:rFonts w:hint="eastAsia"/>
                            </w:rPr>
                            <w:t>培养基材拌和</w:t>
                          </w:r>
                        </w:p>
                      </w:txbxContent>
                    </v:textbox>
                  </v:shape>
                  <v:shape id="文本框 40" o:spid="_x0000_s1026" o:spt="202" type="#_x0000_t202" style="position:absolute;left:3817;top:7549;height:1475;width:375;" fillcolor="#FFFFFF" filled="t" stroked="t" coordsize="21600,21600" o:gfxdata="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swgb&#10;wAAAAN0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style="layout-flow:vertical-ideographic;">
                      <w:txbxContent>
                        <w:p w14:paraId="2F3C3595">
                          <w:pPr>
                            <w:jc w:val="center"/>
                          </w:pPr>
                          <w:r>
                            <w:rPr>
                              <w:rFonts w:hint="eastAsia"/>
                            </w:rPr>
                            <w:t>输送至喷射机</w:t>
                          </w:r>
                        </w:p>
                      </w:txbxContent>
                    </v:textbox>
                  </v:shape>
                  <v:line id="直线 41" o:spid="_x0000_s1026" o:spt="20" style="position:absolute;left:4258;top:8421;height:0;width:0;" filled="f" stroked="t" coordsize="21600,21600" o:gfxdata="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KX4RvQAA&#10;AN0AAAAPAAAAAAAAAAEAIAAAACIAAABkcnMvZG93bnJldi54bWxQSwECFAAUAAAACACHTuJAMy8F&#10;njsAAAA5AAAAEAAAAAAAAAABACAAAAAMAQAAZHJzL3NoYXBleG1sLnhtbFBLBQYAAAAABgAGAFsB&#10;AAC2AwAAAAA=&#10;">
                    <v:fill on="f" focussize="0,0"/>
                    <v:stroke color="#000000" joinstyle="round" endarrow="classic"/>
                    <v:imagedata o:title=""/>
                    <o:lock v:ext="edit" aspectratio="f"/>
                  </v:line>
                  <v:line id="直线 42" o:spid="_x0000_s1026" o:spt="20" style="position:absolute;left:4258;top:8421;height:0;width:0;" filled="f" stroked="t" coordsize="21600,21600" o:gfxdata="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ZduKvQAA&#10;AN0AAAAPAAAAAAAAAAEAIAAAACIAAABkcnMvZG93bnJldi54bWxQSwECFAAUAAAACACHTuJAMy8F&#10;njsAAAA5AAAAEAAAAAAAAAABACAAAAAMAQAAZHJzL3NoYXBleG1sLnhtbFBLBQYAAAAABgAGAFsB&#10;AAC2AwAAAAA=&#10;">
                    <v:fill on="f" focussize="0,0"/>
                    <v:stroke color="#000000" joinstyle="round" endarrow="classic"/>
                    <v:imagedata o:title=""/>
                    <o:lock v:ext="edit" aspectratio="f"/>
                  </v:line>
                  <v:line id="直线 43" o:spid="_x0000_s1026" o:spt="20" style="position:absolute;left:4195;top:8239;height:1;width:787;" filled="f" stroked="t" coordsize="21600,21600" o:gfxdata="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PpP+LsAAADd&#10;AAAADwAAAAAAAAABACAAAAAiAAAAZHJzL2Rvd25yZXYueG1sUEsBAhQAFAAAAAgAh07iQDMvBZ47&#10;AAAAOQAAABAAAAAAAAAAAQAgAAAACgEAAGRycy9zaGFwZXhtbC54bWxQSwUGAAAAAAYABgBbAQAA&#10;tAMAAAAA&#10;">
                    <v:fill on="f" focussize="0,0"/>
                    <v:stroke color="#000000" joinstyle="round" endarrow="classic"/>
                    <v:imagedata o:title=""/>
                    <o:lock v:ext="edit" aspectratio="f"/>
                  </v:line>
                  <v:line id="直线 44" o:spid="_x0000_s1026" o:spt="20" style="position:absolute;left:3177;top:8239;height:1;width:648;" filled="f" stroked="t" coordsize="21600,21600" o:gfxdata="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7bqY74A&#10;AADdAAAADwAAAAAAAAABACAAAAAiAAAAZHJzL2Rvd25yZXYueG1sUEsBAhQAFAAAAAgAh07iQDMv&#10;BZ47AAAAOQAAABAAAAAAAAAAAQAgAAAADQEAAGRycy9zaGFwZXhtbC54bWxQSwUGAAAAAAYABgBb&#10;AQAAtwMAAAAA&#10;">
                    <v:fill on="f" focussize="0,0"/>
                    <v:stroke color="#000000" joinstyle="round" endarrow="classic"/>
                    <v:imagedata o:title=""/>
                    <o:lock v:ext="edit" aspectratio="f"/>
                  </v:line>
                </v:group>
                <w10:wrap type="none"/>
                <w10:anchorlock/>
              </v:group>
            </w:pict>
          </mc:Fallback>
        </mc:AlternateContent>
      </w:r>
    </w:p>
    <w:p w14:paraId="08ED48E6">
      <w:pPr>
        <w:pStyle w:val="29"/>
        <w:spacing w:line="480" w:lineRule="exact"/>
        <w:ind w:firstLine="1370" w:firstLineChars="65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lang w:val="en-US" w:eastAsia="zh-CN"/>
        </w:rPr>
        <w:t xml:space="preserve">   </w:t>
      </w:r>
      <w:r>
        <w:rPr>
          <w:rFonts w:hint="eastAsia" w:ascii="黑体" w:hAnsi="黑体" w:eastAsia="黑体" w:cs="黑体"/>
          <w:b/>
          <w:bCs/>
          <w:sz w:val="18"/>
          <w:szCs w:val="18"/>
          <w:highlight w:val="none"/>
          <w:lang w:val="en-US" w:eastAsia="zh-CN"/>
        </w:rPr>
        <w:t xml:space="preserve">   </w:t>
      </w:r>
      <w:r>
        <w:rPr>
          <w:rFonts w:hint="eastAsia" w:ascii="黑体" w:hAnsi="黑体" w:eastAsia="黑体" w:cs="黑体"/>
          <w:b/>
          <w:bCs/>
          <w:sz w:val="21"/>
          <w:szCs w:val="21"/>
          <w:highlight w:val="none"/>
        </w:rPr>
        <w:t>图</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w:t>
      </w:r>
      <w:r>
        <w:rPr>
          <w:rFonts w:hint="eastAsia" w:ascii="黑体" w:hAnsi="黑体" w:eastAsia="黑体" w:cs="黑体"/>
          <w:b/>
          <w:bCs/>
          <w:sz w:val="21"/>
          <w:szCs w:val="21"/>
          <w:highlight w:val="none"/>
          <w:lang w:val="en-US" w:eastAsia="zh-CN"/>
        </w:rPr>
        <w:t xml:space="preserve">21 </w:t>
      </w:r>
      <w:r>
        <w:rPr>
          <w:rFonts w:hint="eastAsia" w:ascii="黑体" w:hAnsi="黑体" w:eastAsia="黑体" w:cs="黑体"/>
          <w:b/>
          <w:bCs/>
          <w:sz w:val="21"/>
          <w:szCs w:val="21"/>
          <w:highlight w:val="none"/>
        </w:rPr>
        <w:t>TBS干喷法施工工艺框</w:t>
      </w:r>
      <w:r>
        <w:rPr>
          <w:rFonts w:hint="eastAsia" w:ascii="黑体" w:hAnsi="黑体" w:eastAsia="黑体" w:cs="黑体"/>
          <w:b/>
          <w:bCs/>
          <w:sz w:val="21"/>
          <w:szCs w:val="21"/>
          <w:highlight w:val="none"/>
          <w:lang w:val="en-US" w:eastAsia="zh-CN"/>
        </w:rPr>
        <w:t xml:space="preserve"> </w:t>
      </w:r>
      <w:r>
        <w:rPr>
          <w:rFonts w:hint="eastAsia" w:ascii="黑体" w:hAnsi="黑体" w:eastAsia="黑体" w:cs="黑体"/>
          <w:b/>
          <w:bCs/>
          <w:sz w:val="21"/>
          <w:szCs w:val="21"/>
          <w:highlight w:val="none"/>
        </w:rPr>
        <w:t xml:space="preserve">    图</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w:t>
      </w:r>
      <w:r>
        <w:rPr>
          <w:rFonts w:hint="eastAsia" w:ascii="黑体" w:hAnsi="黑体" w:eastAsia="黑体" w:cs="黑体"/>
          <w:b/>
          <w:bCs/>
          <w:sz w:val="21"/>
          <w:szCs w:val="21"/>
          <w:highlight w:val="none"/>
          <w:lang w:val="en-US" w:eastAsia="zh-CN"/>
        </w:rPr>
        <w:t>22</w:t>
      </w:r>
      <w:r>
        <w:rPr>
          <w:rFonts w:hint="eastAsia" w:ascii="黑体" w:hAnsi="黑体" w:eastAsia="黑体" w:cs="黑体"/>
          <w:b/>
          <w:bCs/>
          <w:sz w:val="21"/>
          <w:szCs w:val="21"/>
          <w:highlight w:val="none"/>
        </w:rPr>
        <w:t xml:space="preserve"> TBS湿喷法施工工艺框图</w:t>
      </w:r>
    </w:p>
    <w:p w14:paraId="1807DCD1">
      <w:pPr>
        <w:rPr>
          <w:rFonts w:hint="eastAsia"/>
        </w:rPr>
      </w:pPr>
    </w:p>
    <w:p w14:paraId="191BFBF1">
      <w:pPr>
        <w:spacing w:line="360" w:lineRule="auto"/>
        <w:ind w:firstLine="480" w:firstLineChars="200"/>
        <w:rPr>
          <w:rFonts w:hint="default" w:asciiTheme="minorEastAsia" w:hAnsiTheme="minorEastAsia" w:eastAsiaTheme="minorEastAsia"/>
          <w:sz w:val="24"/>
          <w:highlight w:val="none"/>
          <w:lang w:val="en-US" w:eastAsia="zh-CN"/>
        </w:rPr>
      </w:pPr>
      <w:r>
        <w:rPr>
          <w:rFonts w:hint="eastAsia" w:asciiTheme="minorEastAsia" w:hAnsiTheme="minorEastAsia" w:eastAsiaTheme="minorEastAsia"/>
          <w:sz w:val="24"/>
          <w:highlight w:val="none"/>
          <w:lang w:val="en-US" w:eastAsia="zh-CN"/>
        </w:rPr>
        <w:t>（1）施工工艺及要点：</w:t>
      </w:r>
    </w:p>
    <w:p w14:paraId="37CDB567">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清除坡面防护区域内威胁施工安全的浮土及浮石，对不利于施工安装和影响系统安装后正常功能发挥的局部地形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局部堆积体和凸起体等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进行适当修整。</w:t>
      </w:r>
    </w:p>
    <w:p w14:paraId="3C8DD09D">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rPr>
        <w:t>放线测量确定锴杆孔位</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根据地形条件，孔间距可有0.3m的调整量</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，在孔间距允许的调整量范围内，尽可能将锚杆孔位选定在天然低凹处</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当设计目的是为了加固具有区域性潜在滑动失稳的土质或类土质边坡或者强破碎岩石边坡时，对非低凹处或不能满足系统安装后较好紧贴坡面的锚杆孔</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一般连续悬空面积不得大于5m</w:t>
      </w:r>
      <w:r>
        <w:rPr>
          <w:rFonts w:hint="eastAsia" w:asciiTheme="minorEastAsia" w:hAnsiTheme="minorEastAsia" w:eastAsiaTheme="minorEastAsia"/>
          <w:sz w:val="24"/>
          <w:highlight w:val="none"/>
          <w:vertAlign w:val="superscript"/>
          <w:lang w:val="en-US" w:eastAsia="zh-CN"/>
        </w:rPr>
        <w:t>2</w:t>
      </w:r>
      <w:r>
        <w:rPr>
          <w:rFonts w:hint="eastAsia" w:asciiTheme="minorEastAsia" w:hAnsiTheme="minorEastAsia" w:eastAsiaTheme="minorEastAsia"/>
          <w:sz w:val="24"/>
          <w:highlight w:val="none"/>
        </w:rPr>
        <w:t>，否则宜在支撑绳路径上或网片区域增设长度不小于0.5m的局部锚杆，该锚杆可采用直径不小于φ20的带弯钩或专用锚垫板的钢筋锚杆，或者直径不小于φ12的钢丝绳锚杆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，应在其孔位处凿一深度不小于锚杆外露环套长度并能将其容纳在内的凹坑或凹槽。</w:t>
      </w:r>
    </w:p>
    <w:p w14:paraId="127876CF">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按设计深度钻凿错杆孔并清孔，孔深应大于设计错杆长度5cm</w:t>
      </w:r>
      <w:r>
        <w:rPr>
          <w:rFonts w:hint="eastAsia" w:ascii="宋体" w:hAnsi="宋体" w:eastAsia="宋体" w:cs="宋体"/>
          <w:sz w:val="24"/>
          <w:highlight w:val="none"/>
        </w:rPr>
        <w:t>～</w:t>
      </w:r>
      <w:r>
        <w:rPr>
          <w:rFonts w:hint="eastAsia" w:asciiTheme="minorEastAsia" w:hAnsiTheme="minorEastAsia" w:eastAsiaTheme="minorEastAsia"/>
          <w:sz w:val="24"/>
          <w:highlight w:val="none"/>
        </w:rPr>
        <w:t>10cm，孔径不应小于φ42，在确保锚杆与水平面的夹角不小于15</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的前提下应尽可能垂直于坡面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当局部孔位处因地层松散或破碎而不能成孔时，可以采用断面尺寸不小于0.4</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0.4m的C15砼基础置换不能成孔的岩土段。</w:t>
      </w:r>
    </w:p>
    <w:p w14:paraId="1CB26FC9">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注浆并插入锚杆。应采用强度等级不低于M20的水泥砂浆或水泥浆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建议浆体配制的水灰比宜为0.45</w:t>
      </w:r>
      <w:r>
        <w:rPr>
          <w:rFonts w:hint="eastAsia" w:ascii="宋体" w:hAnsi="宋体" w:eastAsia="宋体" w:cs="宋体"/>
          <w:sz w:val="24"/>
          <w:highlight w:val="none"/>
        </w:rPr>
        <w:t>～</w:t>
      </w:r>
      <w:r>
        <w:rPr>
          <w:rFonts w:hint="eastAsia" w:asciiTheme="minorEastAsia" w:hAnsiTheme="minorEastAsia" w:eastAsiaTheme="minorEastAsia"/>
          <w:sz w:val="24"/>
          <w:highlight w:val="none"/>
        </w:rPr>
        <w:t>0.55，水泥砂浆的灰砂比宜为1.0</w:t>
      </w:r>
      <w:r>
        <w:rPr>
          <w:rFonts w:hint="eastAsia" w:ascii="宋体" w:hAnsi="宋体" w:eastAsia="宋体" w:cs="宋体"/>
          <w:sz w:val="24"/>
          <w:highlight w:val="none"/>
        </w:rPr>
        <w:t>～</w:t>
      </w:r>
      <w:r>
        <w:rPr>
          <w:rFonts w:hint="eastAsia" w:asciiTheme="minorEastAsia" w:hAnsiTheme="minorEastAsia" w:eastAsiaTheme="minorEastAsia"/>
          <w:sz w:val="24"/>
          <w:highlight w:val="none"/>
        </w:rPr>
        <w:t>2.0</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，确保浆液饱满，在进行下一道工序前注浆体养护不少于三天。</w:t>
      </w:r>
    </w:p>
    <w:p w14:paraId="0566ADEF">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5</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安装纵横向支撑绳</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有条件时本工序可在下一工序后完成而使支撑绳位于格栅网之上</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，张拉紧后两端各用4个绳卡与铺杆外露环套紧固连接</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本设计所有统卡间距宜为钢丝绳直径的6</w:t>
      </w:r>
      <w:r>
        <w:rPr>
          <w:rFonts w:hint="eastAsia" w:ascii="宋体" w:hAnsi="宋体" w:eastAsia="宋体" w:cs="宋体"/>
          <w:sz w:val="24"/>
          <w:highlight w:val="none"/>
        </w:rPr>
        <w:t>～</w:t>
      </w:r>
      <w:r>
        <w:rPr>
          <w:rFonts w:hint="eastAsia" w:asciiTheme="minorEastAsia" w:hAnsiTheme="minorEastAsia" w:eastAsiaTheme="minorEastAsia"/>
          <w:sz w:val="24"/>
          <w:highlight w:val="none"/>
        </w:rPr>
        <w:t>7倍，其U形螺栓应位于尾缆段一侧</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w:t>
      </w:r>
    </w:p>
    <w:p w14:paraId="0DD9FAB0">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6</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从上向下铺挂格栅网，格栅网间重叠宽度不宜小于5cm,格栅网间以及格栅网与支撑绳问用</w:t>
      </w:r>
      <w:r>
        <w:rPr>
          <w:rFonts w:hint="eastAsia" w:asciiTheme="minorEastAsia" w:hAnsiTheme="minorEastAsia" w:eastAsiaTheme="minorEastAsia"/>
          <w:sz w:val="24"/>
          <w:highlight w:val="none"/>
          <w:lang w:val="en-US" w:eastAsia="zh-CN"/>
        </w:rPr>
        <w:t>φ</w:t>
      </w:r>
      <w:r>
        <w:rPr>
          <w:rFonts w:hint="eastAsia" w:asciiTheme="minorEastAsia" w:hAnsiTheme="minorEastAsia" w:eastAsiaTheme="minorEastAsia"/>
          <w:sz w:val="24"/>
          <w:highlight w:val="none"/>
        </w:rPr>
        <w:t>1.5扎丝进行扎结，当坡角小于45</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时，扎结点间距一般不宜大于2m，当坡角大于45</w:t>
      </w:r>
      <w:r>
        <w:rPr>
          <w:rFonts w:hint="eastAsia" w:asciiTheme="minorEastAsia" w:hAnsiTheme="minorEastAsia" w:eastAsiaTheme="minorEastAsia"/>
          <w:sz w:val="24"/>
          <w:highlight w:val="none"/>
          <w:lang w:val="en-US" w:eastAsia="zh-CN"/>
        </w:rPr>
        <w:t>°</w:t>
      </w:r>
      <w:r>
        <w:rPr>
          <w:rFonts w:hint="eastAsia" w:asciiTheme="minorEastAsia" w:hAnsiTheme="minorEastAsia" w:eastAsiaTheme="minorEastAsia"/>
          <w:sz w:val="24"/>
          <w:highlight w:val="none"/>
        </w:rPr>
        <w:t>时，扎结点间距一般不宜大于1m。</w:t>
      </w:r>
    </w:p>
    <w:p w14:paraId="5E1E49A6">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7</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从上向下铺设钢丝绳网并缝合，缝合绳为φ8钢绳，每张钢丝绳网均用一根缝合绳与四周支撑绳进行缝合并预张拉缝合绻两端交汇后各用两个绳卡与网缆进行紧固连接</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需要注意的是缝合缆不得直接连接到锴杆上</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w:t>
      </w:r>
    </w:p>
    <w:p w14:paraId="36F43E45">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rPr>
        <w:t>质量验收要点</w:t>
      </w:r>
    </w:p>
    <w:p w14:paraId="697C55DF">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进场前质量检验</w:t>
      </w:r>
    </w:p>
    <w:p w14:paraId="16CCB81F">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产品进场前应提供构件产品原材料的质量合格证书和配套质量检验报告。检验报告须由第三方取得CMA或CNAS、CAL等认证资格的检验机构或国外知名认证机构出具，检验报告也可由系统供货厂家提供，包括以下内容</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1</w:t>
      </w:r>
      <w:r>
        <w:rPr>
          <w:rFonts w:hint="eastAsia" w:asciiTheme="minorEastAsia" w:hAnsiTheme="minorEastAsia" w:eastAsiaTheme="minorEastAsia"/>
          <w:sz w:val="24"/>
          <w:highlight w:val="none"/>
          <w:lang w:eastAsia="zh-CN"/>
        </w:rPr>
        <w:t>）钢</w:t>
      </w:r>
      <w:r>
        <w:rPr>
          <w:rFonts w:hint="eastAsia" w:asciiTheme="minorEastAsia" w:hAnsiTheme="minorEastAsia" w:eastAsiaTheme="minorEastAsia"/>
          <w:sz w:val="24"/>
          <w:highlight w:val="none"/>
        </w:rPr>
        <w:t>丝绳网、支撑绳、缝合绳等所使用的各类规格钢丝缆应按原GB/T20118-2017等标准规定提供外观检查、尺寸测量、镀层重量和力学性能试验</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抗拉强度、最小破断拉力等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检验报告，检验报告的有效期为一年。</w:t>
      </w:r>
    </w:p>
    <w:p w14:paraId="512CAD04">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系统中十字卡扣应按JT/T1328-2020标准规定提供抗错动和抗脱落试验并提供检验报告，检验报告的有效期为一年。</w:t>
      </w:r>
    </w:p>
    <w:p w14:paraId="2BA08CC0">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钢丝绳网片应按JT/T1328-2020进行抗顶破力试验并提供检验报告，检验报告的有效期为两年。</w:t>
      </w:r>
    </w:p>
    <w:p w14:paraId="701CD6EA">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钢丝绳耐腐蚀检验,系统中不同直径、用途的钢丝绳等制品的防肩性能应按照GB/T10125-2012进行中性盐雾试验试验时间350小时后能满足规定防腐要求，并提供相应检测报告，检验报告的有效期为两年。</w:t>
      </w:r>
    </w:p>
    <w:p w14:paraId="5E62BEEE">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rPr>
        <w:t>现场质量检验</w:t>
      </w:r>
    </w:p>
    <w:p w14:paraId="692A9552">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产品进场后，监理单位应对产品质量进行检验，主要包含以下内容</w:t>
      </w:r>
      <w:r>
        <w:rPr>
          <w:rFonts w:hint="eastAsia" w:asciiTheme="minorEastAsia" w:hAnsiTheme="minorEastAsia" w:eastAsiaTheme="minorEastAsia"/>
          <w:sz w:val="24"/>
          <w:highlight w:val="none"/>
          <w:lang w:eastAsia="zh-CN"/>
        </w:rPr>
        <w:t>：</w:t>
      </w:r>
    </w:p>
    <w:p w14:paraId="61F0E3EE">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质量证明材料</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检查构件产品原材料的质量合格证书和配套质量检验报告材料是否完整，内容是否完善。</w:t>
      </w:r>
    </w:p>
    <w:p w14:paraId="5757D4CC">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安装系统配置、外观要求和规格尺寸等与设计图是否一致，并进行现场抽样检查。</w:t>
      </w:r>
    </w:p>
    <w:p w14:paraId="1D3E78B2">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施工方法、工艺、步骤等是否严格按设计要求进行。</w:t>
      </w:r>
    </w:p>
    <w:p w14:paraId="0DE3F528">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锚杆施工完毕后番要收取每种类型锚杆总数的5%，且均不得少于3根进行锚杆检渊。验收试验的锚杆应随机抽样。质监、监理、业主或设计单位对质量有疑问的错杆也应抽样作验收试验。抗拔力不小于50kN。</w:t>
      </w:r>
    </w:p>
    <w:p w14:paraId="754AD0EA">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5</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对十字卡扣进行现场抽样，进行抗错动和抗脱落试验。</w:t>
      </w:r>
    </w:p>
    <w:p w14:paraId="5EE987F7">
      <w:pPr>
        <w:pStyle w:val="14"/>
        <w:bidi w:val="0"/>
      </w:pPr>
      <w:r>
        <w:rPr>
          <w:rFonts w:hint="eastAsia"/>
          <w:lang w:val="en-US" w:eastAsia="zh-CN"/>
        </w:rPr>
        <w:t>4、</w:t>
      </w:r>
      <w:r>
        <w:rPr>
          <w:rFonts w:hint="eastAsia"/>
        </w:rPr>
        <w:t xml:space="preserve"> 路堑片石砼半挡墙、</w:t>
      </w:r>
      <w:r>
        <w:t>护面墙及路堤挡土墙</w:t>
      </w:r>
    </w:p>
    <w:p w14:paraId="05A31B6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挡墙施工工艺工序为</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边坡修整→测量放样→基坑分段开挖→基坑检验→模板安装→墙体浇筑→养护→墙背</w:t>
      </w:r>
      <w:r>
        <w:rPr>
          <w:rFonts w:asciiTheme="minorEastAsia" w:hAnsiTheme="minorEastAsia" w:eastAsiaTheme="minorEastAsia"/>
          <w:sz w:val="24"/>
          <w:highlight w:val="none"/>
        </w:rPr>
        <w:t>回填</w:t>
      </w:r>
      <w:r>
        <w:rPr>
          <w:rFonts w:hint="eastAsia" w:asciiTheme="minorEastAsia" w:hAnsiTheme="minorEastAsia" w:eastAsiaTheme="minorEastAsia"/>
          <w:sz w:val="24"/>
          <w:highlight w:val="none"/>
        </w:rPr>
        <w:t>。</w:t>
      </w:r>
    </w:p>
    <w:p w14:paraId="340AF267">
      <w:pPr>
        <w:pStyle w:val="182"/>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坡修整</w:t>
      </w:r>
    </w:p>
    <w:p w14:paraId="7951D70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挡墙施工前应对已开挖的坡面进行清理，清除松散岩土体及危石，检查有无欠挖部分，对欠挖部分应予以削平，以防影响墙体的有效厚度。</w:t>
      </w:r>
    </w:p>
    <w:p w14:paraId="158B295E">
      <w:pPr>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测量放样</w:t>
      </w:r>
    </w:p>
    <w:p w14:paraId="295EB14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由测量班现场放样，确定护面墙的位置及墙底基坑开挖位置。</w:t>
      </w:r>
    </w:p>
    <w:p w14:paraId="14409186">
      <w:pPr>
        <w:pStyle w:val="182"/>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基坑开挖</w:t>
      </w:r>
    </w:p>
    <w:p w14:paraId="63AF0D8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半挡墙、护面墙结构挖方必须分段（不大于5m）跳槽开挖，由两侧向中间逐段施做（开挖一段即浇筑一段，待前一段浇筑完成后，方可开挖下一段）。如坡体上部有锚固工程时，应在锚固工程发生作用或张拉后，方可进行坡脚挡墙开挖施做。</w:t>
      </w:r>
    </w:p>
    <w:p w14:paraId="03A7467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开挖前做好场地临时排水措施，雨天坑内积水应随时排干，基础各部分的尺寸、形状以及埋置深度，均应按照设计要求进行施工。基坑不得连通开挖，以防基坑坍塌。当基坑深度大于</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m时，应加设平台，确保边坡和基坑稳定。任何土质基坑，挖至标高后不得长时间暴露、扰动、浸泡，以免削弱基底承载力。一般土质基坑，挖至接近标高时，宜保留5</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cm的厚度，在基础浇筑前再突击挖除。基坑开挖后应采取排水措施，以免积水。基坑开挖的土石方应及时清运，基坑顶部5m范围内不得堆放弃方及其他材料。</w:t>
      </w:r>
    </w:p>
    <w:p w14:paraId="6DF89CF5">
      <w:pPr>
        <w:pStyle w:val="182"/>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材料准备及砼拌合</w:t>
      </w:r>
    </w:p>
    <w:p w14:paraId="3D8542E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 xml:space="preserve">提前准备好所用的片石， </w:t>
      </w:r>
    </w:p>
    <w:p w14:paraId="588D60D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混凝土由</w:t>
      </w:r>
      <w:r>
        <w:rPr>
          <w:rFonts w:asciiTheme="minorEastAsia" w:hAnsiTheme="minorEastAsia" w:eastAsiaTheme="minorEastAsia"/>
          <w:sz w:val="24"/>
          <w:highlight w:val="none"/>
        </w:rPr>
        <w:t>搅拌站集中搅拌，砼运输车运送至施工现场进行浇筑</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 xml:space="preserve"> </w:t>
      </w:r>
    </w:p>
    <w:p w14:paraId="74987DF2">
      <w:pPr>
        <w:pStyle w:val="182"/>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基坑检验</w:t>
      </w:r>
    </w:p>
    <w:p w14:paraId="6D0B253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基坑开挖好后，对基坑进行检验，包括基坑尺寸、基底承载力，自检合格后，根据合格后，报请监理工程师、设计、业主确认，才可进行下道工序。</w:t>
      </w:r>
    </w:p>
    <w:p w14:paraId="4C11E418">
      <w:pPr>
        <w:pStyle w:val="182"/>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墙体</w:t>
      </w:r>
      <w:r>
        <w:rPr>
          <w:rFonts w:asciiTheme="minorEastAsia" w:hAnsiTheme="minorEastAsia" w:eastAsiaTheme="minorEastAsia"/>
          <w:sz w:val="24"/>
          <w:highlight w:val="none"/>
        </w:rPr>
        <w:t>浇筑</w:t>
      </w:r>
    </w:p>
    <w:p w14:paraId="3482A97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片石混凝土片石含量不得多于挡墙体积的2</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%，片石的强度不得低于</w:t>
      </w:r>
      <w:r>
        <w:rPr>
          <w:rFonts w:asciiTheme="minorEastAsia" w:hAnsiTheme="minorEastAsia" w:eastAsiaTheme="minorEastAsia"/>
          <w:sz w:val="24"/>
          <w:highlight w:val="none"/>
        </w:rPr>
        <w:t>MU50</w:t>
      </w:r>
      <w:r>
        <w:rPr>
          <w:rFonts w:hint="eastAsia" w:asciiTheme="minorEastAsia" w:hAnsiTheme="minorEastAsia" w:eastAsiaTheme="minorEastAsia"/>
          <w:sz w:val="24"/>
          <w:highlight w:val="none"/>
        </w:rPr>
        <w:t>，片石混凝土施工时，应用质地坚硬、密实、耐久、无裂纹和无风化的石料，片石的厚度应为1</w:t>
      </w:r>
      <w:r>
        <w:rPr>
          <w:rFonts w:asciiTheme="minorEastAsia" w:hAnsiTheme="minorEastAsia" w:eastAsiaTheme="minorEastAsia"/>
          <w:sz w:val="24"/>
          <w:highlight w:val="none"/>
        </w:rPr>
        <w:t>50</w:t>
      </w:r>
      <w:r>
        <w:rPr>
          <w:rFonts w:hint="eastAsia" w:asciiTheme="minorEastAsia" w:hAnsiTheme="minorEastAsia" w:eastAsiaTheme="minorEastAsia"/>
          <w:sz w:val="24"/>
          <w:highlight w:val="none"/>
        </w:rPr>
        <w:t>～3</w:t>
      </w:r>
      <w:r>
        <w:rPr>
          <w:rFonts w:asciiTheme="minorEastAsia" w:hAnsiTheme="minorEastAsia" w:eastAsiaTheme="minorEastAsia"/>
          <w:sz w:val="24"/>
          <w:highlight w:val="none"/>
        </w:rPr>
        <w:t>00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。片石应清洗干净并完全饱水，应在浇筑时的混凝土中埋入一半左右。当气温小于0摄氏度时，不得埋放片石。片石分布应均匀，净距应不小于1</w:t>
      </w:r>
      <w:r>
        <w:rPr>
          <w:rFonts w:asciiTheme="minorEastAsia" w:hAnsiTheme="minorEastAsia" w:eastAsiaTheme="minorEastAsia"/>
          <w:sz w:val="24"/>
          <w:highlight w:val="none"/>
        </w:rPr>
        <w:t>50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，片石边缘距结构物侧面和顶面的净距应不小于1</w:t>
      </w:r>
      <w:r>
        <w:rPr>
          <w:rFonts w:asciiTheme="minorEastAsia" w:hAnsiTheme="minorEastAsia" w:eastAsiaTheme="minorEastAsia"/>
          <w:sz w:val="24"/>
          <w:highlight w:val="none"/>
        </w:rPr>
        <w:t>50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，片石不得触及构造钢筋和预埋件。混凝土应采用分层浇筑方式，每层混凝土的厚度不应超过3</w:t>
      </w:r>
      <w:r>
        <w:rPr>
          <w:rFonts w:asciiTheme="minorEastAsia" w:hAnsiTheme="minorEastAsia" w:eastAsiaTheme="minorEastAsia"/>
          <w:sz w:val="24"/>
          <w:highlight w:val="none"/>
        </w:rPr>
        <w:t>00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，大致水平，分层振捣，边振捣边加片石。</w:t>
      </w:r>
    </w:p>
    <w:p w14:paraId="39C85C1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墙身混凝土量</w:t>
      </w:r>
      <w:r>
        <w:rPr>
          <w:rFonts w:asciiTheme="minorEastAsia" w:hAnsiTheme="minorEastAsia" w:eastAsiaTheme="minorEastAsia"/>
          <w:sz w:val="24"/>
          <w:highlight w:val="none"/>
        </w:rPr>
        <w:t>大时采用</w:t>
      </w:r>
      <w:r>
        <w:rPr>
          <w:rFonts w:hint="eastAsia" w:asciiTheme="minorEastAsia" w:hAnsiTheme="minorEastAsia" w:eastAsiaTheme="minorEastAsia"/>
          <w:sz w:val="24"/>
          <w:highlight w:val="none"/>
        </w:rPr>
        <w:t>分层浇筑，分层厚度不小于2.5m。接缝位置处，在上一层混凝土终凝之前用片石嵌入接缝表面做成凸齿状连接石，以保证两层之间的结合强度。并在下一层混凝土浇筑之前用清水冲洗干净。墙身每10设一道沉降缝，缝内采用沥青麻絮填塞，深入墙体内20cm，缝宽2cm。墙身</w:t>
      </w:r>
      <w:r>
        <w:rPr>
          <w:rFonts w:asciiTheme="minorEastAsia" w:hAnsiTheme="minorEastAsia" w:eastAsiaTheme="minorEastAsia"/>
          <w:sz w:val="24"/>
          <w:highlight w:val="none"/>
        </w:rPr>
        <w:t>混凝土墙背按照设计要求进行粗糙</w:t>
      </w:r>
      <w:r>
        <w:rPr>
          <w:rFonts w:hint="eastAsia" w:asciiTheme="minorEastAsia" w:hAnsiTheme="minorEastAsia" w:eastAsiaTheme="minorEastAsia"/>
          <w:sz w:val="24"/>
          <w:highlight w:val="none"/>
        </w:rPr>
        <w:t>化</w:t>
      </w:r>
      <w:r>
        <w:rPr>
          <w:rFonts w:asciiTheme="minorEastAsia" w:hAnsiTheme="minorEastAsia" w:eastAsiaTheme="minorEastAsia"/>
          <w:sz w:val="24"/>
          <w:highlight w:val="none"/>
        </w:rPr>
        <w:t>处理。</w:t>
      </w:r>
    </w:p>
    <w:p w14:paraId="5987F06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墙身上设梅花形布置的排水孔，间距2m×2m。碎落台回填50cm厚耕植土，每隔1～2m交错种植爬山虎、三角梅等攀援植物或矮灌木，顶部及中部平台每隔2～3m预留绿化种植坑孔，种植悬垂景观植物。每100米</w:t>
      </w:r>
      <w:r>
        <w:rPr>
          <w:rFonts w:asciiTheme="minorEastAsia" w:hAnsiTheme="minorEastAsia" w:eastAsiaTheme="minorEastAsia"/>
          <w:sz w:val="24"/>
          <w:highlight w:val="none"/>
        </w:rPr>
        <w:t>设一道流水槽，施工时结合地形作适当调整</w:t>
      </w:r>
      <w:r>
        <w:rPr>
          <w:rFonts w:hint="eastAsia" w:asciiTheme="minorEastAsia" w:hAnsiTheme="minorEastAsia" w:eastAsiaTheme="minorEastAsia"/>
          <w:sz w:val="24"/>
          <w:highlight w:val="none"/>
        </w:rPr>
        <w:t>。</w:t>
      </w:r>
    </w:p>
    <w:p w14:paraId="4CE47AAB">
      <w:pPr>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养护</w:t>
      </w:r>
    </w:p>
    <w:p w14:paraId="3A70929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砌体砌筑完毕应及时覆盖，并经常洒水保持湿润，常温下养护期不得小于7d。砌体的砂浆未达到设计强度前，不得承受全部设计荷载。</w:t>
      </w:r>
    </w:p>
    <w:p w14:paraId="488B87A4">
      <w:pPr>
        <w:numPr>
          <w:ilvl w:val="0"/>
          <w:numId w:val="2"/>
        </w:numPr>
        <w:spacing w:line="360" w:lineRule="auto"/>
        <w:ind w:left="0" w:leftChars="0"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墙背回填</w:t>
      </w:r>
    </w:p>
    <w:p w14:paraId="04768FC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砼</w:t>
      </w:r>
      <w:r>
        <w:rPr>
          <w:rFonts w:asciiTheme="minorEastAsia" w:hAnsiTheme="minorEastAsia" w:eastAsiaTheme="minorEastAsia"/>
          <w:sz w:val="24"/>
          <w:highlight w:val="none"/>
        </w:rPr>
        <w:t>强度达到</w:t>
      </w:r>
      <w:r>
        <w:rPr>
          <w:rFonts w:hint="eastAsia" w:asciiTheme="minorEastAsia" w:hAnsiTheme="minorEastAsia" w:eastAsiaTheme="minorEastAsia"/>
          <w:sz w:val="24"/>
          <w:highlight w:val="none"/>
        </w:rPr>
        <w:t>设计</w:t>
      </w:r>
      <w:r>
        <w:rPr>
          <w:rFonts w:asciiTheme="minorEastAsia" w:hAnsiTheme="minorEastAsia" w:eastAsiaTheme="minorEastAsia"/>
          <w:sz w:val="24"/>
          <w:highlight w:val="none"/>
        </w:rPr>
        <w:t>强度的</w:t>
      </w:r>
      <w:r>
        <w:rPr>
          <w:rFonts w:hint="eastAsia" w:asciiTheme="minorEastAsia" w:hAnsiTheme="minorEastAsia" w:eastAsiaTheme="minorEastAsia"/>
          <w:sz w:val="24"/>
          <w:highlight w:val="none"/>
        </w:rPr>
        <w:t>70</w:t>
      </w:r>
      <w:r>
        <w:rPr>
          <w:rFonts w:asciiTheme="minorEastAsia" w:hAnsiTheme="minorEastAsia" w:eastAsiaTheme="minorEastAsia"/>
          <w:sz w:val="24"/>
          <w:highlight w:val="none"/>
        </w:rPr>
        <w:t>%以上时，</w:t>
      </w:r>
      <w:r>
        <w:rPr>
          <w:rFonts w:hint="eastAsia" w:asciiTheme="minorEastAsia" w:hAnsiTheme="minorEastAsia" w:eastAsiaTheme="minorEastAsia"/>
          <w:sz w:val="24"/>
          <w:highlight w:val="none"/>
        </w:rPr>
        <w:t>回填</w:t>
      </w:r>
      <w:r>
        <w:rPr>
          <w:rFonts w:asciiTheme="minorEastAsia" w:hAnsiTheme="minorEastAsia" w:eastAsiaTheme="minorEastAsia"/>
          <w:sz w:val="24"/>
          <w:highlight w:val="none"/>
        </w:rPr>
        <w:t>墙背填料，墙厚填土紧随挡墙浇筑过程进行</w:t>
      </w:r>
      <w:r>
        <w:rPr>
          <w:rFonts w:hint="eastAsia" w:asciiTheme="minorEastAsia" w:hAnsiTheme="minorEastAsia" w:eastAsiaTheme="minorEastAsia"/>
          <w:sz w:val="24"/>
          <w:highlight w:val="none"/>
        </w:rPr>
        <w:t>。填料</w:t>
      </w:r>
      <w:r>
        <w:rPr>
          <w:rFonts w:asciiTheme="minorEastAsia" w:hAnsiTheme="minorEastAsia" w:eastAsiaTheme="minorEastAsia"/>
          <w:sz w:val="24"/>
          <w:highlight w:val="none"/>
        </w:rPr>
        <w:t>采用渗水性强的砂性土、卵砾石土进行回填，回填</w:t>
      </w:r>
      <w:r>
        <w:rPr>
          <w:rFonts w:hint="eastAsia" w:asciiTheme="minorEastAsia" w:hAnsiTheme="minorEastAsia" w:eastAsiaTheme="minorEastAsia"/>
          <w:sz w:val="24"/>
          <w:highlight w:val="none"/>
        </w:rPr>
        <w:t>后</w:t>
      </w:r>
      <w:r>
        <w:rPr>
          <w:rFonts w:asciiTheme="minorEastAsia" w:hAnsiTheme="minorEastAsia" w:eastAsiaTheme="minorEastAsia"/>
          <w:sz w:val="24"/>
          <w:highlight w:val="none"/>
        </w:rPr>
        <w:t>采用小型夯实机械进行人工夯实。</w:t>
      </w:r>
    </w:p>
    <w:p w14:paraId="1F7AFAC1">
      <w:pPr>
        <w:pStyle w:val="14"/>
        <w:bidi w:val="0"/>
      </w:pPr>
      <w:r>
        <w:rPr>
          <w:rFonts w:hint="eastAsia"/>
        </w:rPr>
        <w:t>5</w:t>
      </w:r>
      <w:r>
        <w:rPr>
          <w:rFonts w:hint="eastAsia"/>
          <w:lang w:eastAsia="zh-CN"/>
        </w:rPr>
        <w:t>、</w:t>
      </w:r>
      <w:r>
        <w:rPr>
          <w:rFonts w:hint="eastAsia"/>
        </w:rPr>
        <w:t xml:space="preserve"> 预应力锚索（杆）</w:t>
      </w:r>
      <w:r>
        <w:t>框架梁</w:t>
      </w:r>
      <w:r>
        <w:rPr>
          <w:rFonts w:hint="eastAsia"/>
        </w:rPr>
        <w:t>坡面防护</w:t>
      </w:r>
    </w:p>
    <w:p w14:paraId="651C73B4">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全线锚固工程段落分布如下表</w:t>
      </w:r>
      <w:r>
        <w:rPr>
          <w:rFonts w:hint="eastAsia" w:asciiTheme="minorEastAsia" w:hAnsiTheme="minorEastAsia" w:eastAsiaTheme="minorEastAsia"/>
          <w:sz w:val="24"/>
          <w:highlight w:val="none"/>
          <w:lang w:eastAsia="zh-CN"/>
        </w:rPr>
        <w:t>：</w:t>
      </w:r>
    </w:p>
    <w:p w14:paraId="31CB2A6C">
      <w:pPr>
        <w:pStyle w:val="29"/>
        <w:spacing w:line="480" w:lineRule="exact"/>
        <w:ind w:firstLine="1370" w:firstLineChars="650"/>
        <w:jc w:val="both"/>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w:t>
      </w:r>
      <w:r>
        <w:rPr>
          <w:rFonts w:hint="eastAsia" w:ascii="黑体" w:hAnsi="黑体" w:eastAsia="黑体" w:cs="黑体"/>
          <w:b/>
          <w:bCs/>
          <w:sz w:val="21"/>
          <w:szCs w:val="21"/>
          <w:highlight w:val="none"/>
          <w:lang w:val="en-US" w:eastAsia="zh-CN"/>
        </w:rPr>
        <w:t>16</w:t>
      </w:r>
      <w:r>
        <w:rPr>
          <w:rFonts w:hint="eastAsia" w:ascii="黑体" w:hAnsi="黑体" w:eastAsia="黑体" w:cs="黑体"/>
          <w:b/>
          <w:bCs/>
          <w:sz w:val="21"/>
          <w:szCs w:val="21"/>
          <w:highlight w:val="none"/>
        </w:rPr>
        <w:t xml:space="preserve"> 锚固工程段落分布表</w:t>
      </w:r>
    </w:p>
    <w:tbl>
      <w:tblPr>
        <w:tblStyle w:val="48"/>
        <w:tblW w:w="83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507"/>
        <w:gridCol w:w="1364"/>
        <w:gridCol w:w="2241"/>
        <w:gridCol w:w="1363"/>
        <w:gridCol w:w="936"/>
      </w:tblGrid>
      <w:tr w14:paraId="0A993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Align w:val="center"/>
          </w:tcPr>
          <w:p w14:paraId="2A856703">
            <w:pPr>
              <w:jc w:val="center"/>
              <w:rPr>
                <w:rFonts w:hint="eastAsia" w:ascii="宋体" w:hAnsi="宋体" w:eastAsia="宋体" w:cs="宋体"/>
                <w:szCs w:val="21"/>
                <w:highlight w:val="none"/>
              </w:rPr>
            </w:pPr>
            <w:r>
              <w:rPr>
                <w:rFonts w:hint="eastAsia" w:ascii="宋体" w:hAnsi="宋体" w:eastAsia="宋体" w:cs="宋体"/>
                <w:szCs w:val="21"/>
                <w:highlight w:val="none"/>
              </w:rPr>
              <w:t>序号</w:t>
            </w:r>
          </w:p>
        </w:tc>
        <w:tc>
          <w:tcPr>
            <w:tcW w:w="1507" w:type="dxa"/>
            <w:vAlign w:val="center"/>
          </w:tcPr>
          <w:p w14:paraId="2C8470BF">
            <w:pPr>
              <w:jc w:val="center"/>
              <w:rPr>
                <w:rFonts w:hint="eastAsia" w:ascii="宋体" w:hAnsi="宋体" w:eastAsia="宋体" w:cs="宋体"/>
                <w:szCs w:val="21"/>
                <w:highlight w:val="none"/>
              </w:rPr>
            </w:pPr>
            <w:r>
              <w:rPr>
                <w:rFonts w:hint="eastAsia" w:ascii="宋体" w:hAnsi="宋体" w:eastAsia="宋体" w:cs="宋体"/>
                <w:szCs w:val="21"/>
                <w:highlight w:val="none"/>
              </w:rPr>
              <w:t>里程</w:t>
            </w:r>
          </w:p>
        </w:tc>
        <w:tc>
          <w:tcPr>
            <w:tcW w:w="1364" w:type="dxa"/>
            <w:vAlign w:val="center"/>
          </w:tcPr>
          <w:p w14:paraId="726A9C4A">
            <w:pPr>
              <w:jc w:val="center"/>
              <w:rPr>
                <w:rFonts w:hint="eastAsia" w:ascii="宋体" w:hAnsi="宋体" w:eastAsia="宋体" w:cs="宋体"/>
                <w:szCs w:val="21"/>
                <w:highlight w:val="none"/>
              </w:rPr>
            </w:pPr>
            <w:r>
              <w:rPr>
                <w:rFonts w:hint="eastAsia" w:ascii="宋体" w:hAnsi="宋体" w:eastAsia="宋体" w:cs="宋体"/>
                <w:szCs w:val="21"/>
                <w:highlight w:val="none"/>
              </w:rPr>
              <w:t>位置</w:t>
            </w:r>
          </w:p>
        </w:tc>
        <w:tc>
          <w:tcPr>
            <w:tcW w:w="2241" w:type="dxa"/>
            <w:vAlign w:val="center"/>
          </w:tcPr>
          <w:p w14:paraId="66BF1514">
            <w:pPr>
              <w:jc w:val="center"/>
              <w:rPr>
                <w:rFonts w:hint="eastAsia" w:ascii="宋体" w:hAnsi="宋体" w:eastAsia="宋体" w:cs="宋体"/>
                <w:szCs w:val="21"/>
                <w:highlight w:val="none"/>
              </w:rPr>
            </w:pPr>
            <w:r>
              <w:rPr>
                <w:rFonts w:hint="eastAsia" w:ascii="宋体" w:hAnsi="宋体" w:eastAsia="宋体" w:cs="宋体"/>
                <w:szCs w:val="21"/>
                <w:highlight w:val="none"/>
              </w:rPr>
              <w:t>名称</w:t>
            </w:r>
          </w:p>
        </w:tc>
        <w:tc>
          <w:tcPr>
            <w:tcW w:w="1363" w:type="dxa"/>
            <w:vAlign w:val="center"/>
          </w:tcPr>
          <w:p w14:paraId="42A1C101">
            <w:pPr>
              <w:jc w:val="center"/>
              <w:rPr>
                <w:rFonts w:hint="eastAsia" w:ascii="宋体" w:hAnsi="宋体" w:eastAsia="宋体" w:cs="宋体"/>
                <w:szCs w:val="21"/>
                <w:highlight w:val="none"/>
              </w:rPr>
            </w:pPr>
            <w:r>
              <w:rPr>
                <w:rFonts w:hint="eastAsia" w:ascii="宋体" w:hAnsi="宋体" w:eastAsia="宋体" w:cs="宋体"/>
                <w:szCs w:val="21"/>
                <w:highlight w:val="none"/>
              </w:rPr>
              <w:t>预应力锚索m</w:t>
            </w:r>
          </w:p>
        </w:tc>
        <w:tc>
          <w:tcPr>
            <w:tcW w:w="936" w:type="dxa"/>
            <w:vAlign w:val="center"/>
          </w:tcPr>
          <w:p w14:paraId="14491B45">
            <w:pPr>
              <w:jc w:val="center"/>
              <w:rPr>
                <w:rFonts w:hint="eastAsia" w:ascii="宋体" w:hAnsi="宋体" w:eastAsia="宋体" w:cs="宋体"/>
                <w:szCs w:val="21"/>
                <w:highlight w:val="none"/>
              </w:rPr>
            </w:pPr>
            <w:r>
              <w:rPr>
                <w:rFonts w:hint="eastAsia" w:ascii="宋体" w:hAnsi="宋体" w:eastAsia="宋体" w:cs="宋体"/>
                <w:szCs w:val="21"/>
                <w:highlight w:val="none"/>
              </w:rPr>
              <w:t>预应力锚杆m</w:t>
            </w:r>
          </w:p>
        </w:tc>
      </w:tr>
      <w:tr w14:paraId="41211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Align w:val="center"/>
          </w:tcPr>
          <w:p w14:paraId="1532AE87">
            <w:pPr>
              <w:jc w:val="center"/>
              <w:rPr>
                <w:rFonts w:hint="eastAsia" w:ascii="宋体" w:hAnsi="宋体" w:eastAsia="宋体" w:cs="宋体"/>
                <w:szCs w:val="21"/>
                <w:highlight w:val="none"/>
              </w:rPr>
            </w:pPr>
            <w:r>
              <w:rPr>
                <w:rFonts w:hint="eastAsia" w:ascii="宋体" w:hAnsi="宋体" w:eastAsia="宋体" w:cs="宋体"/>
                <w:szCs w:val="21"/>
                <w:highlight w:val="none"/>
              </w:rPr>
              <w:t>1</w:t>
            </w:r>
          </w:p>
        </w:tc>
        <w:tc>
          <w:tcPr>
            <w:tcW w:w="1507" w:type="dxa"/>
            <w:vAlign w:val="bottom"/>
          </w:tcPr>
          <w:p w14:paraId="16B04524">
            <w:pPr>
              <w:keepNext w:val="0"/>
              <w:keepLines w:val="0"/>
              <w:widowControl/>
              <w:suppressLineNumbers w:val="0"/>
              <w:ind w:left="0" w:leftChars="0" w:firstLine="0" w:firstLineChars="0"/>
              <w:jc w:val="both"/>
              <w:textAlignment w:val="bottom"/>
              <w:rPr>
                <w:rFonts w:hint="eastAsia" w:ascii="宋体" w:hAnsi="宋体" w:eastAsia="宋体" w:cs="宋体"/>
                <w:szCs w:val="21"/>
                <w:highlight w:val="none"/>
                <w:lang w:val="en-US" w:eastAsia="zh-CN"/>
              </w:rPr>
            </w:pP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+100～K1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280</w:t>
            </w:r>
          </w:p>
        </w:tc>
        <w:tc>
          <w:tcPr>
            <w:tcW w:w="1364" w:type="dxa"/>
            <w:vAlign w:val="center"/>
          </w:tcPr>
          <w:p w14:paraId="0F835CE6">
            <w:pPr>
              <w:ind w:left="0" w:leftChars="0" w:firstLine="0" w:firstLineChars="0"/>
              <w:jc w:val="both"/>
              <w:rPr>
                <w:rFonts w:hint="eastAsia" w:ascii="宋体" w:hAnsi="宋体" w:eastAsia="宋体" w:cs="宋体"/>
                <w:szCs w:val="21"/>
                <w:highlight w:val="none"/>
              </w:rPr>
            </w:pPr>
            <w:r>
              <w:rPr>
                <w:rFonts w:hint="eastAsia" w:ascii="宋体" w:hAnsi="宋体" w:cs="宋体"/>
                <w:szCs w:val="21"/>
                <w:highlight w:val="none"/>
                <w:lang w:val="en-US" w:eastAsia="zh-CN"/>
              </w:rPr>
              <w:t>右</w:t>
            </w:r>
            <w:r>
              <w:rPr>
                <w:rFonts w:hint="eastAsia" w:ascii="宋体" w:hAnsi="宋体" w:eastAsia="宋体" w:cs="宋体"/>
                <w:szCs w:val="21"/>
                <w:highlight w:val="none"/>
              </w:rPr>
              <w:t>侧第三阶</w:t>
            </w:r>
          </w:p>
        </w:tc>
        <w:tc>
          <w:tcPr>
            <w:tcW w:w="2241" w:type="dxa"/>
            <w:vAlign w:val="center"/>
          </w:tcPr>
          <w:p w14:paraId="3F839E5C">
            <w:pPr>
              <w:jc w:val="center"/>
              <w:rPr>
                <w:rFonts w:hint="eastAsia" w:ascii="宋体" w:hAnsi="宋体" w:eastAsia="宋体" w:cs="宋体"/>
                <w:szCs w:val="21"/>
                <w:highlight w:val="none"/>
              </w:rPr>
            </w:pPr>
            <w:r>
              <w:rPr>
                <w:rFonts w:hint="eastAsia" w:ascii="宋体" w:hAnsi="宋体" w:cs="宋体"/>
                <w:szCs w:val="21"/>
                <w:highlight w:val="none"/>
                <w:lang w:val="en-US" w:eastAsia="zh-CN"/>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预应力锚索框架</w:t>
            </w:r>
          </w:p>
        </w:tc>
        <w:tc>
          <w:tcPr>
            <w:tcW w:w="1363" w:type="dxa"/>
            <w:vAlign w:val="center"/>
          </w:tcPr>
          <w:p w14:paraId="00F24B1D">
            <w:pPr>
              <w:jc w:val="center"/>
              <w:rPr>
                <w:rFonts w:hint="default" w:ascii="宋体" w:hAnsi="宋体" w:eastAsia="宋体" w:cs="宋体"/>
                <w:szCs w:val="21"/>
                <w:highlight w:val="none"/>
                <w:lang w:val="en-US" w:eastAsia="zh-CN"/>
              </w:rPr>
            </w:pPr>
            <w:r>
              <w:rPr>
                <w:rFonts w:hint="eastAsia" w:ascii="宋体" w:hAnsi="宋体" w:cs="宋体"/>
                <w:szCs w:val="21"/>
                <w:highlight w:val="none"/>
                <w:lang w:val="en-US" w:eastAsia="zh-CN"/>
              </w:rPr>
              <w:t>588</w:t>
            </w:r>
          </w:p>
        </w:tc>
        <w:tc>
          <w:tcPr>
            <w:tcW w:w="936" w:type="dxa"/>
            <w:vAlign w:val="center"/>
          </w:tcPr>
          <w:p w14:paraId="6CE06B51">
            <w:pPr>
              <w:jc w:val="center"/>
              <w:rPr>
                <w:rFonts w:hint="eastAsia" w:ascii="宋体" w:hAnsi="宋体" w:eastAsia="宋体" w:cs="宋体"/>
                <w:szCs w:val="21"/>
                <w:highlight w:val="none"/>
              </w:rPr>
            </w:pPr>
          </w:p>
        </w:tc>
      </w:tr>
      <w:tr w14:paraId="0A655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Align w:val="center"/>
          </w:tcPr>
          <w:p w14:paraId="2B00369F">
            <w:pPr>
              <w:jc w:val="center"/>
              <w:rPr>
                <w:rFonts w:hint="eastAsia" w:ascii="宋体" w:hAnsi="宋体" w:eastAsia="宋体" w:cs="宋体"/>
                <w:szCs w:val="21"/>
                <w:highlight w:val="none"/>
              </w:rPr>
            </w:pPr>
            <w:r>
              <w:rPr>
                <w:rFonts w:hint="eastAsia" w:ascii="宋体" w:hAnsi="宋体" w:eastAsia="宋体" w:cs="宋体"/>
                <w:szCs w:val="21"/>
                <w:highlight w:val="none"/>
              </w:rPr>
              <w:t>2</w:t>
            </w:r>
          </w:p>
        </w:tc>
        <w:tc>
          <w:tcPr>
            <w:tcW w:w="1507" w:type="dxa"/>
            <w:vAlign w:val="bottom"/>
          </w:tcPr>
          <w:p w14:paraId="7030CA91">
            <w:pPr>
              <w:keepNext w:val="0"/>
              <w:keepLines w:val="0"/>
              <w:widowControl/>
              <w:suppressLineNumbers w:val="0"/>
              <w:ind w:left="0" w:leftChars="0" w:firstLine="0" w:firstLineChars="0"/>
              <w:jc w:val="both"/>
              <w:textAlignment w:val="bottom"/>
              <w:rPr>
                <w:rFonts w:hint="eastAsia" w:ascii="宋体" w:hAnsi="宋体" w:eastAsia="宋体" w:cs="宋体"/>
                <w:kern w:val="2"/>
                <w:sz w:val="21"/>
                <w:szCs w:val="21"/>
                <w:highlight w:val="none"/>
                <w:lang w:val="en-US" w:eastAsia="zh-CN" w:bidi="ar-SA"/>
              </w:rPr>
            </w:pPr>
            <w:r>
              <w:rPr>
                <w:rFonts w:hint="eastAsia" w:ascii="宋体" w:hAnsi="宋体" w:cs="宋体"/>
                <w:i w:val="0"/>
                <w:iCs w:val="0"/>
                <w:color w:val="000000"/>
                <w:kern w:val="0"/>
                <w:sz w:val="21"/>
                <w:szCs w:val="21"/>
                <w:u w:val="none"/>
                <w:lang w:val="en-US" w:eastAsia="zh-CN" w:bidi="ar"/>
              </w:rPr>
              <w:t>Y</w:t>
            </w: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288</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Y</w:t>
            </w:r>
            <w:r>
              <w:rPr>
                <w:rFonts w:hint="eastAsia" w:ascii="宋体" w:hAnsi="宋体" w:eastAsia="宋体" w:cs="宋体"/>
                <w:i w:val="0"/>
                <w:iCs w:val="0"/>
                <w:color w:val="000000"/>
                <w:kern w:val="0"/>
                <w:sz w:val="21"/>
                <w:szCs w:val="21"/>
                <w:u w:val="none"/>
                <w:lang w:val="en-US" w:eastAsia="zh-CN" w:bidi="ar"/>
              </w:rPr>
              <w:t>K1</w:t>
            </w:r>
            <w:r>
              <w:rPr>
                <w:rFonts w:hint="eastAsia" w:ascii="宋体" w:hAnsi="宋体" w:cs="宋体"/>
                <w:i w:val="0"/>
                <w:iCs w:val="0"/>
                <w:color w:val="000000"/>
                <w:kern w:val="0"/>
                <w:sz w:val="21"/>
                <w:szCs w:val="21"/>
                <w:u w:val="none"/>
                <w:lang w:val="en-US" w:eastAsia="zh-CN" w:bidi="ar"/>
              </w:rPr>
              <w:t>25</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i w:val="0"/>
                <w:iCs w:val="0"/>
                <w:color w:val="000000"/>
                <w:kern w:val="0"/>
                <w:sz w:val="21"/>
                <w:szCs w:val="21"/>
                <w:u w:val="none"/>
                <w:lang w:val="en-US" w:eastAsia="zh-CN" w:bidi="ar"/>
              </w:rPr>
              <w:t>439</w:t>
            </w:r>
          </w:p>
        </w:tc>
        <w:tc>
          <w:tcPr>
            <w:tcW w:w="1364" w:type="dxa"/>
            <w:vAlign w:val="center"/>
          </w:tcPr>
          <w:p w14:paraId="56766B72">
            <w:pPr>
              <w:ind w:left="0" w:leftChars="0" w:firstLine="0" w:firstLineChars="0"/>
              <w:jc w:val="both"/>
              <w:rPr>
                <w:rFonts w:hint="eastAsia" w:ascii="宋体" w:hAnsi="宋体" w:eastAsia="宋体" w:cs="宋体"/>
                <w:kern w:val="2"/>
                <w:sz w:val="21"/>
                <w:szCs w:val="21"/>
                <w:highlight w:val="none"/>
                <w:lang w:val="en-US" w:eastAsia="zh-CN" w:bidi="ar-SA"/>
              </w:rPr>
            </w:pPr>
            <w:r>
              <w:rPr>
                <w:rFonts w:hint="eastAsia" w:ascii="宋体" w:hAnsi="宋体" w:cs="宋体"/>
                <w:szCs w:val="21"/>
                <w:highlight w:val="none"/>
                <w:lang w:val="en-US" w:eastAsia="zh-CN"/>
              </w:rPr>
              <w:t>左</w:t>
            </w:r>
            <w:r>
              <w:rPr>
                <w:rFonts w:hint="eastAsia" w:ascii="宋体" w:hAnsi="宋体" w:eastAsia="宋体" w:cs="宋体"/>
                <w:szCs w:val="21"/>
                <w:highlight w:val="none"/>
              </w:rPr>
              <w:t>侧第</w:t>
            </w:r>
            <w:r>
              <w:rPr>
                <w:rFonts w:hint="eastAsia" w:ascii="宋体" w:hAnsi="宋体" w:cs="宋体"/>
                <w:szCs w:val="21"/>
                <w:highlight w:val="none"/>
                <w:lang w:val="en-US" w:eastAsia="zh-CN"/>
              </w:rPr>
              <w:t>四</w:t>
            </w:r>
            <w:r>
              <w:rPr>
                <w:rFonts w:hint="eastAsia" w:ascii="宋体" w:hAnsi="宋体" w:eastAsia="宋体" w:cs="宋体"/>
                <w:szCs w:val="21"/>
                <w:highlight w:val="none"/>
              </w:rPr>
              <w:t>阶</w:t>
            </w:r>
          </w:p>
        </w:tc>
        <w:tc>
          <w:tcPr>
            <w:tcW w:w="2241" w:type="dxa"/>
            <w:vAlign w:val="center"/>
          </w:tcPr>
          <w:p w14:paraId="1F10EA86">
            <w:pPr>
              <w:jc w:val="center"/>
              <w:rPr>
                <w:rFonts w:hint="eastAsia" w:ascii="宋体" w:hAnsi="宋体" w:eastAsia="宋体" w:cs="宋体"/>
                <w:kern w:val="2"/>
                <w:sz w:val="21"/>
                <w:szCs w:val="21"/>
                <w:highlight w:val="none"/>
                <w:lang w:val="en-US" w:eastAsia="zh-CN" w:bidi="ar-SA"/>
              </w:rPr>
            </w:pPr>
            <w:r>
              <w:rPr>
                <w:rFonts w:hint="eastAsia" w:ascii="宋体" w:hAnsi="宋体" w:cs="宋体"/>
                <w:szCs w:val="21"/>
                <w:highlight w:val="none"/>
                <w:lang w:val="en-US" w:eastAsia="zh-CN"/>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×8</w:t>
            </w:r>
            <w:r>
              <w:rPr>
                <w:rFonts w:hint="eastAsia" w:ascii="宋体" w:hAnsi="宋体" w:eastAsia="宋体" w:cs="宋体"/>
                <w:szCs w:val="21"/>
                <w:highlight w:val="none"/>
                <w:lang w:val="en-US" w:eastAsia="zh-CN"/>
              </w:rPr>
              <w:t>m</w:t>
            </w:r>
            <w:r>
              <w:rPr>
                <w:rFonts w:hint="eastAsia" w:ascii="宋体" w:hAnsi="宋体" w:eastAsia="宋体" w:cs="宋体"/>
                <w:szCs w:val="21"/>
                <w:highlight w:val="none"/>
              </w:rPr>
              <w:t>预应力锚索框架</w:t>
            </w:r>
          </w:p>
        </w:tc>
        <w:tc>
          <w:tcPr>
            <w:tcW w:w="1363" w:type="dxa"/>
            <w:vAlign w:val="center"/>
          </w:tcPr>
          <w:p w14:paraId="133B1FA3">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400</w:t>
            </w:r>
          </w:p>
        </w:tc>
        <w:tc>
          <w:tcPr>
            <w:tcW w:w="936" w:type="dxa"/>
            <w:vAlign w:val="center"/>
          </w:tcPr>
          <w:p w14:paraId="51BB0E07">
            <w:pPr>
              <w:jc w:val="center"/>
              <w:rPr>
                <w:rFonts w:hint="eastAsia" w:ascii="宋体" w:hAnsi="宋体" w:eastAsia="宋体" w:cs="宋体"/>
                <w:szCs w:val="21"/>
                <w:highlight w:val="none"/>
              </w:rPr>
            </w:pPr>
          </w:p>
        </w:tc>
      </w:tr>
      <w:tr w14:paraId="19F2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Align w:val="center"/>
          </w:tcPr>
          <w:p w14:paraId="4EC9FDA7">
            <w:pPr>
              <w:jc w:val="center"/>
              <w:rPr>
                <w:rFonts w:hint="eastAsia" w:ascii="宋体" w:hAnsi="宋体" w:eastAsia="宋体" w:cs="宋体"/>
                <w:szCs w:val="21"/>
                <w:highlight w:val="none"/>
              </w:rPr>
            </w:pPr>
            <w:r>
              <w:rPr>
                <w:rFonts w:hint="eastAsia" w:ascii="宋体" w:hAnsi="宋体" w:eastAsia="宋体" w:cs="宋体"/>
                <w:szCs w:val="21"/>
                <w:highlight w:val="none"/>
              </w:rPr>
              <w:t>3</w:t>
            </w:r>
          </w:p>
        </w:tc>
        <w:tc>
          <w:tcPr>
            <w:tcW w:w="1507" w:type="dxa"/>
            <w:vAlign w:val="center"/>
          </w:tcPr>
          <w:p w14:paraId="39AFFD9D">
            <w:pPr>
              <w:jc w:val="center"/>
              <w:rPr>
                <w:rFonts w:hint="eastAsia" w:ascii="宋体" w:hAnsi="宋体" w:eastAsia="宋体" w:cs="宋体"/>
                <w:kern w:val="2"/>
                <w:sz w:val="21"/>
                <w:szCs w:val="21"/>
                <w:highlight w:val="none"/>
                <w:lang w:val="en-US" w:eastAsia="zh-CN" w:bidi="ar-SA"/>
              </w:rPr>
            </w:pPr>
          </w:p>
        </w:tc>
        <w:tc>
          <w:tcPr>
            <w:tcW w:w="1364" w:type="dxa"/>
            <w:vAlign w:val="center"/>
          </w:tcPr>
          <w:p w14:paraId="52779E8C">
            <w:pPr>
              <w:jc w:val="center"/>
              <w:rPr>
                <w:rFonts w:hint="eastAsia" w:ascii="宋体" w:hAnsi="宋体" w:eastAsia="宋体" w:cs="宋体"/>
                <w:kern w:val="2"/>
                <w:sz w:val="21"/>
                <w:szCs w:val="21"/>
                <w:highlight w:val="none"/>
                <w:lang w:val="en-US" w:eastAsia="zh-CN" w:bidi="ar-SA"/>
              </w:rPr>
            </w:pPr>
          </w:p>
        </w:tc>
        <w:tc>
          <w:tcPr>
            <w:tcW w:w="2241" w:type="dxa"/>
            <w:vAlign w:val="center"/>
          </w:tcPr>
          <w:p w14:paraId="78EF3FF3">
            <w:pPr>
              <w:jc w:val="center"/>
              <w:rPr>
                <w:rFonts w:hint="eastAsia" w:ascii="宋体" w:hAnsi="宋体" w:eastAsia="宋体" w:cs="宋体"/>
                <w:kern w:val="2"/>
                <w:sz w:val="21"/>
                <w:szCs w:val="24"/>
                <w:highlight w:val="none"/>
                <w:lang w:val="en-US" w:eastAsia="zh-CN" w:bidi="ar-SA"/>
              </w:rPr>
            </w:pPr>
            <w:r>
              <w:rPr>
                <w:rFonts w:hint="eastAsia" w:ascii="宋体" w:hAnsi="宋体" w:eastAsia="宋体" w:cs="宋体"/>
                <w:kern w:val="2"/>
                <w:sz w:val="21"/>
                <w:szCs w:val="24"/>
                <w:highlight w:val="none"/>
                <w:lang w:val="en-US" w:eastAsia="zh-CN" w:bidi="ar-SA"/>
              </w:rPr>
              <w:t>试验锚索SY</w:t>
            </w:r>
            <w:r>
              <w:rPr>
                <w:rFonts w:hint="eastAsia" w:ascii="宋体" w:hAnsi="宋体" w:cs="宋体"/>
                <w:kern w:val="2"/>
                <w:sz w:val="21"/>
                <w:szCs w:val="24"/>
                <w:highlight w:val="none"/>
                <w:lang w:val="en-US" w:eastAsia="zh-CN" w:bidi="ar-SA"/>
              </w:rPr>
              <w:t>D-1</w:t>
            </w:r>
          </w:p>
        </w:tc>
        <w:tc>
          <w:tcPr>
            <w:tcW w:w="1363" w:type="dxa"/>
            <w:vAlign w:val="center"/>
          </w:tcPr>
          <w:p w14:paraId="5ED5F6B2">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60</w:t>
            </w:r>
          </w:p>
        </w:tc>
        <w:tc>
          <w:tcPr>
            <w:tcW w:w="936" w:type="dxa"/>
            <w:vAlign w:val="center"/>
          </w:tcPr>
          <w:p w14:paraId="0F2C92AB">
            <w:pPr>
              <w:jc w:val="center"/>
              <w:rPr>
                <w:rFonts w:hint="eastAsia" w:ascii="宋体" w:hAnsi="宋体" w:eastAsia="宋体" w:cs="宋体"/>
                <w:szCs w:val="21"/>
                <w:highlight w:val="none"/>
              </w:rPr>
            </w:pPr>
          </w:p>
        </w:tc>
      </w:tr>
      <w:tr w14:paraId="10C74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vAlign w:val="center"/>
          </w:tcPr>
          <w:p w14:paraId="66942BB2">
            <w:pPr>
              <w:jc w:val="center"/>
              <w:rPr>
                <w:rFonts w:hint="eastAsia" w:ascii="宋体" w:hAnsi="宋体" w:eastAsia="宋体" w:cs="宋体"/>
                <w:szCs w:val="21"/>
                <w:highlight w:val="none"/>
                <w:lang w:val="en-US" w:eastAsia="zh-CN"/>
              </w:rPr>
            </w:pPr>
            <w:r>
              <w:rPr>
                <w:rFonts w:hint="eastAsia" w:ascii="宋体" w:hAnsi="宋体" w:cs="宋体"/>
                <w:szCs w:val="21"/>
                <w:highlight w:val="none"/>
                <w:lang w:val="en-US" w:eastAsia="zh-CN"/>
              </w:rPr>
              <w:t>4</w:t>
            </w:r>
          </w:p>
        </w:tc>
        <w:tc>
          <w:tcPr>
            <w:tcW w:w="1507" w:type="dxa"/>
            <w:vAlign w:val="center"/>
          </w:tcPr>
          <w:p w14:paraId="389AD2CB">
            <w:pPr>
              <w:jc w:val="center"/>
              <w:rPr>
                <w:rFonts w:hint="eastAsia" w:ascii="宋体" w:hAnsi="宋体" w:eastAsia="宋体" w:cs="宋体"/>
                <w:kern w:val="2"/>
                <w:sz w:val="21"/>
                <w:szCs w:val="21"/>
                <w:highlight w:val="none"/>
                <w:lang w:val="en-US" w:eastAsia="zh-CN" w:bidi="ar-SA"/>
              </w:rPr>
            </w:pPr>
          </w:p>
        </w:tc>
        <w:tc>
          <w:tcPr>
            <w:tcW w:w="1364" w:type="dxa"/>
            <w:vAlign w:val="center"/>
          </w:tcPr>
          <w:p w14:paraId="74D359EF">
            <w:pPr>
              <w:jc w:val="center"/>
              <w:rPr>
                <w:rFonts w:hint="eastAsia" w:ascii="宋体" w:hAnsi="宋体" w:eastAsia="宋体" w:cs="宋体"/>
                <w:kern w:val="2"/>
                <w:sz w:val="21"/>
                <w:szCs w:val="21"/>
                <w:highlight w:val="none"/>
                <w:lang w:val="en-US" w:eastAsia="zh-CN" w:bidi="ar-SA"/>
              </w:rPr>
            </w:pPr>
          </w:p>
        </w:tc>
        <w:tc>
          <w:tcPr>
            <w:tcW w:w="2241" w:type="dxa"/>
            <w:vAlign w:val="center"/>
          </w:tcPr>
          <w:p w14:paraId="42F6933E">
            <w:pPr>
              <w:jc w:val="center"/>
              <w:rPr>
                <w:rFonts w:hint="eastAsia" w:ascii="宋体" w:hAnsi="宋体" w:eastAsia="宋体" w:cs="宋体"/>
                <w:kern w:val="2"/>
                <w:sz w:val="21"/>
                <w:szCs w:val="24"/>
                <w:highlight w:val="none"/>
                <w:lang w:val="en-US" w:eastAsia="zh-CN" w:bidi="ar-SA"/>
              </w:rPr>
            </w:pPr>
            <w:r>
              <w:rPr>
                <w:rFonts w:hint="eastAsia" w:ascii="宋体" w:hAnsi="宋体" w:eastAsia="宋体" w:cs="宋体"/>
                <w:kern w:val="2"/>
                <w:sz w:val="21"/>
                <w:szCs w:val="24"/>
                <w:highlight w:val="none"/>
                <w:lang w:val="en-US" w:eastAsia="zh-CN" w:bidi="ar-SA"/>
              </w:rPr>
              <w:t>试验锚索SY</w:t>
            </w:r>
            <w:r>
              <w:rPr>
                <w:rFonts w:hint="eastAsia" w:ascii="宋体" w:hAnsi="宋体" w:cs="宋体"/>
                <w:kern w:val="2"/>
                <w:sz w:val="21"/>
                <w:szCs w:val="24"/>
                <w:highlight w:val="none"/>
                <w:lang w:val="en-US" w:eastAsia="zh-CN" w:bidi="ar-SA"/>
              </w:rPr>
              <w:t>D-2</w:t>
            </w:r>
          </w:p>
        </w:tc>
        <w:tc>
          <w:tcPr>
            <w:tcW w:w="1363" w:type="dxa"/>
            <w:vAlign w:val="center"/>
          </w:tcPr>
          <w:p w14:paraId="5AD7B53A">
            <w:pPr>
              <w:jc w:val="center"/>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66</w:t>
            </w:r>
          </w:p>
        </w:tc>
        <w:tc>
          <w:tcPr>
            <w:tcW w:w="936" w:type="dxa"/>
            <w:vAlign w:val="center"/>
          </w:tcPr>
          <w:p w14:paraId="092D6080">
            <w:pPr>
              <w:jc w:val="center"/>
              <w:rPr>
                <w:rFonts w:hint="eastAsia" w:ascii="宋体" w:hAnsi="宋体" w:eastAsia="宋体" w:cs="宋体"/>
                <w:szCs w:val="21"/>
                <w:highlight w:val="none"/>
              </w:rPr>
            </w:pPr>
          </w:p>
        </w:tc>
      </w:tr>
    </w:tbl>
    <w:p w14:paraId="424B642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预应力锚索（杆）施工主要包括施工准备、锚孔钻造、锚筋制安、锚孔注浆、砼结构钢筋制安、混凝土浇灌、锚索（杆）张拉锁定和验收封锚等工作流程。其中有两个主要环节，一是锚孔成孔，二是锚孔注浆，锚孔成孔的技术关键是如何防止孔壁坍塌、卡钻；注浆的技术关键是如何将孔底的空气、岩（土）沉渣和地下水体排出孔外，保证注浆饱满密实，该工作流程详见图</w:t>
      </w:r>
      <w:r>
        <w:rPr>
          <w:rFonts w:hint="eastAsia" w:asciiTheme="minorEastAsia" w:hAnsiTheme="minorEastAsia" w:eastAsiaTheme="minorEastAsia"/>
          <w:sz w:val="24"/>
          <w:highlight w:val="none"/>
          <w:lang w:val="en-US" w:eastAsia="zh-CN"/>
        </w:rPr>
        <w:t>8</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23</w:t>
      </w:r>
      <w:r>
        <w:rPr>
          <w:rFonts w:hint="eastAsia" w:asciiTheme="minorEastAsia" w:hAnsiTheme="minorEastAsia" w:eastAsiaTheme="minorEastAsia"/>
          <w:sz w:val="24"/>
          <w:highlight w:val="none"/>
        </w:rPr>
        <w:t>。</w:t>
      </w:r>
    </w:p>
    <w:p w14:paraId="4461FD9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1</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施工准备</w:t>
      </w:r>
    </w:p>
    <w:p w14:paraId="29380BB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进行预应力锚索（杆）施工前应做好施工组织设计，明确施工方法、施工工艺、工序流程、人员组织和施工设备、材料、试验、监测安排及安全、质量管理。接着，申请单项工程开工，开工条件包括开工报告、锚筋材料试验、浆体材料试验、配合比试验、相关机械设备等。并应注意张拉设备及有关机具应进行标定。在单项工程开工申请批复后，按设计要求先进行锚索（杆）基本试验，即抗拔拉破坏试验。在基本试验锚孔施工完成后，在锚固浆体达到28天龄期且锚墩砼强度达到80％后进行试验。</w:t>
      </w:r>
    </w:p>
    <w:p w14:paraId="0DC7A774">
      <w:pPr>
        <w:spacing w:line="360" w:lineRule="auto"/>
        <w:ind w:firstLine="480" w:firstLineChars="200"/>
        <w:rPr>
          <w:rFonts w:asciiTheme="minorEastAsia" w:hAnsiTheme="minorEastAsia" w:eastAsiaTheme="minorEastAsia"/>
          <w:sz w:val="24"/>
          <w:highlight w:val="none"/>
        </w:rPr>
      </w:pPr>
      <w:r>
        <w:rPr>
          <w:rFonts w:asciiTheme="minorEastAsia" w:hAnsiTheme="minorEastAsia" w:eastAsiaTheme="minorEastAsia"/>
          <w:sz w:val="24"/>
          <w:highlight w:val="none"/>
        </w:rPr>
        <mc:AlternateContent>
          <mc:Choice Requires="wpg">
            <w:drawing>
              <wp:inline distT="0" distB="0" distL="114300" distR="114300">
                <wp:extent cx="4867275" cy="6175375"/>
                <wp:effectExtent l="0" t="0" r="0" b="45085"/>
                <wp:docPr id="2041" name="组合 846"/>
                <wp:cNvGraphicFramePr/>
                <a:graphic xmlns:a="http://schemas.openxmlformats.org/drawingml/2006/main">
                  <a:graphicData uri="http://schemas.microsoft.com/office/word/2010/wordprocessingGroup">
                    <wpg:wgp>
                      <wpg:cNvGrpSpPr/>
                      <wpg:grpSpPr>
                        <a:xfrm>
                          <a:off x="0" y="0"/>
                          <a:ext cx="4867275" cy="6175375"/>
                          <a:chOff x="2120" y="4288"/>
                          <a:chExt cx="7665" cy="10950"/>
                        </a:xfrm>
                      </wpg:grpSpPr>
                      <wps:wsp>
                        <wps:cNvPr id="2042" name="直线 847"/>
                        <wps:cNvCnPr/>
                        <wps:spPr>
                          <a:xfrm>
                            <a:off x="5846" y="6488"/>
                            <a:ext cx="0" cy="305"/>
                          </a:xfrm>
                          <a:prstGeom prst="line">
                            <a:avLst/>
                          </a:prstGeom>
                          <a:ln w="9525" cap="flat" cmpd="sng">
                            <a:solidFill>
                              <a:srgbClr val="000000"/>
                            </a:solidFill>
                            <a:prstDash val="solid"/>
                            <a:headEnd type="none" w="med" len="med"/>
                            <a:tailEnd type="triangle" w="med" len="med"/>
                          </a:ln>
                        </wps:spPr>
                        <wps:bodyPr upright="1"/>
                      </wps:wsp>
                      <wps:wsp>
                        <wps:cNvPr id="2043" name="直线 848"/>
                        <wps:cNvCnPr/>
                        <wps:spPr>
                          <a:xfrm>
                            <a:off x="8290" y="9007"/>
                            <a:ext cx="9" cy="325"/>
                          </a:xfrm>
                          <a:prstGeom prst="line">
                            <a:avLst/>
                          </a:prstGeom>
                          <a:ln w="9525" cap="flat" cmpd="sng">
                            <a:solidFill>
                              <a:srgbClr val="000000"/>
                            </a:solidFill>
                            <a:prstDash val="solid"/>
                            <a:headEnd type="none" w="med" len="med"/>
                            <a:tailEnd type="triangle" w="med" len="med"/>
                          </a:ln>
                        </wps:spPr>
                        <wps:bodyPr upright="1"/>
                      </wps:wsp>
                      <wpg:grpSp>
                        <wpg:cNvPr id="2044" name="组合 849"/>
                        <wpg:cNvGrpSpPr/>
                        <wpg:grpSpPr>
                          <a:xfrm>
                            <a:off x="2120" y="4288"/>
                            <a:ext cx="7665" cy="10950"/>
                            <a:chOff x="2214" y="1983"/>
                            <a:chExt cx="7665" cy="11739"/>
                          </a:xfrm>
                        </wpg:grpSpPr>
                        <wps:wsp>
                          <wps:cNvPr id="2045" name="直线 850"/>
                          <wps:cNvCnPr/>
                          <wps:spPr>
                            <a:xfrm flipH="1">
                              <a:off x="5988" y="7050"/>
                              <a:ext cx="3" cy="331"/>
                            </a:xfrm>
                            <a:prstGeom prst="line">
                              <a:avLst/>
                            </a:prstGeom>
                            <a:ln w="9525" cap="flat" cmpd="sng">
                              <a:solidFill>
                                <a:srgbClr val="000000"/>
                              </a:solidFill>
                              <a:prstDash val="solid"/>
                              <a:headEnd type="none" w="med" len="med"/>
                              <a:tailEnd type="triangle" w="med" len="med"/>
                            </a:ln>
                          </wps:spPr>
                          <wps:bodyPr upright="1"/>
                        </wps:wsp>
                        <wpg:grpSp>
                          <wpg:cNvPr id="2046" name="组合 851"/>
                          <wpg:cNvGrpSpPr/>
                          <wpg:grpSpPr>
                            <a:xfrm>
                              <a:off x="2214" y="1983"/>
                              <a:ext cx="7665" cy="11739"/>
                              <a:chOff x="2214" y="1983"/>
                              <a:chExt cx="7665" cy="11739"/>
                            </a:xfrm>
                          </wpg:grpSpPr>
                          <wps:wsp>
                            <wps:cNvPr id="2047" name="矩形 852"/>
                            <wps:cNvSpPr/>
                            <wps:spPr>
                              <a:xfrm>
                                <a:off x="5295" y="5103"/>
                                <a:ext cx="782" cy="425"/>
                              </a:xfrm>
                              <a:prstGeom prst="rect">
                                <a:avLst/>
                              </a:prstGeom>
                              <a:solidFill>
                                <a:srgbClr val="FFFFFF">
                                  <a:alpha val="0"/>
                                </a:srgbClr>
                              </a:solidFill>
                              <a:ln>
                                <a:noFill/>
                              </a:ln>
                            </wps:spPr>
                            <wps:txbx>
                              <w:txbxContent>
                                <w:p w14:paraId="437ACE07">
                                  <w:pPr>
                                    <w:jc w:val="center"/>
                                    <w:rPr>
                                      <w:sz w:val="15"/>
                                      <w:szCs w:val="15"/>
                                    </w:rPr>
                                  </w:pPr>
                                  <w:r>
                                    <w:rPr>
                                      <w:rFonts w:hint="eastAsia"/>
                                      <w:sz w:val="15"/>
                                      <w:szCs w:val="15"/>
                                    </w:rPr>
                                    <w:t>通过</w:t>
                                  </w:r>
                                </w:p>
                              </w:txbxContent>
                            </wps:txbx>
                            <wps:bodyPr upright="1"/>
                          </wps:wsp>
                          <wps:wsp>
                            <wps:cNvPr id="2048" name="矩形 853"/>
                            <wps:cNvSpPr/>
                            <wps:spPr>
                              <a:xfrm>
                                <a:off x="6625" y="4460"/>
                                <a:ext cx="765" cy="384"/>
                              </a:xfrm>
                              <a:prstGeom prst="rect">
                                <a:avLst/>
                              </a:prstGeom>
                              <a:solidFill>
                                <a:srgbClr val="FFFFFF">
                                  <a:alpha val="0"/>
                                </a:srgbClr>
                              </a:solidFill>
                              <a:ln>
                                <a:noFill/>
                              </a:ln>
                            </wps:spPr>
                            <wps:txbx>
                              <w:txbxContent>
                                <w:p w14:paraId="62D5BDD5">
                                  <w:pPr>
                                    <w:jc w:val="center"/>
                                    <w:rPr>
                                      <w:sz w:val="15"/>
                                      <w:szCs w:val="15"/>
                                    </w:rPr>
                                  </w:pPr>
                                  <w:r>
                                    <w:rPr>
                                      <w:rFonts w:hint="eastAsia"/>
                                      <w:sz w:val="15"/>
                                      <w:szCs w:val="15"/>
                                    </w:rPr>
                                    <w:t>不通过</w:t>
                                  </w:r>
                                </w:p>
                              </w:txbxContent>
                            </wps:txbx>
                            <wps:bodyPr upright="1"/>
                          </wps:wsp>
                          <wpg:grpSp>
                            <wpg:cNvPr id="2049" name="组合 854"/>
                            <wpg:cNvGrpSpPr/>
                            <wpg:grpSpPr>
                              <a:xfrm>
                                <a:off x="2214" y="1983"/>
                                <a:ext cx="7665" cy="11739"/>
                                <a:chOff x="2214" y="1983"/>
                                <a:chExt cx="7665" cy="11739"/>
                              </a:xfrm>
                            </wpg:grpSpPr>
                            <wps:wsp>
                              <wps:cNvPr id="2050" name="文本框 855"/>
                              <wps:cNvSpPr txBox="1"/>
                              <wps:spPr>
                                <a:xfrm>
                                  <a:off x="4682" y="1983"/>
                                  <a:ext cx="2544" cy="47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59EFF8">
                                    <w:pPr>
                                      <w:jc w:val="center"/>
                                    </w:pPr>
                                    <w:r>
                                      <w:rPr>
                                        <w:rFonts w:hint="eastAsia"/>
                                      </w:rPr>
                                      <w:t>场地</w:t>
                                    </w:r>
                                    <w:r>
                                      <w:t>整理、搭设工作平台</w:t>
                                    </w:r>
                                  </w:p>
                                </w:txbxContent>
                              </wps:txbx>
                              <wps:bodyPr upright="1"/>
                            </wps:wsp>
                            <wps:wsp>
                              <wps:cNvPr id="2051" name="直线 856"/>
                              <wps:cNvCnPr/>
                              <wps:spPr>
                                <a:xfrm flipV="1">
                                  <a:off x="3509" y="5487"/>
                                  <a:ext cx="4876" cy="15"/>
                                </a:xfrm>
                                <a:prstGeom prst="line">
                                  <a:avLst/>
                                </a:prstGeom>
                                <a:ln w="9525" cap="flat" cmpd="sng">
                                  <a:solidFill>
                                    <a:srgbClr val="000000"/>
                                  </a:solidFill>
                                  <a:prstDash val="solid"/>
                                  <a:headEnd type="none" w="med" len="med"/>
                                  <a:tailEnd type="none" w="med" len="med"/>
                                </a:ln>
                              </wps:spPr>
                              <wps:bodyPr upright="1"/>
                            </wps:wsp>
                            <wps:wsp>
                              <wps:cNvPr id="2052" name="直线 857"/>
                              <wps:cNvCnPr/>
                              <wps:spPr>
                                <a:xfrm>
                                  <a:off x="5945" y="2462"/>
                                  <a:ext cx="0" cy="420"/>
                                </a:xfrm>
                                <a:prstGeom prst="line">
                                  <a:avLst/>
                                </a:prstGeom>
                                <a:ln w="9525" cap="flat" cmpd="sng">
                                  <a:solidFill>
                                    <a:srgbClr val="000000"/>
                                  </a:solidFill>
                                  <a:prstDash val="solid"/>
                                  <a:headEnd type="none" w="med" len="med"/>
                                  <a:tailEnd type="triangle" w="med" len="med"/>
                                </a:ln>
                              </wps:spPr>
                              <wps:bodyPr upright="1"/>
                            </wps:wsp>
                            <wps:wsp>
                              <wps:cNvPr id="2053" name="直线 858"/>
                              <wps:cNvCnPr/>
                              <wps:spPr>
                                <a:xfrm flipH="1">
                                  <a:off x="5945" y="3459"/>
                                  <a:ext cx="2" cy="378"/>
                                </a:xfrm>
                                <a:prstGeom prst="line">
                                  <a:avLst/>
                                </a:prstGeom>
                                <a:ln w="9525" cap="flat" cmpd="sng">
                                  <a:solidFill>
                                    <a:srgbClr val="000000"/>
                                  </a:solidFill>
                                  <a:prstDash val="solid"/>
                                  <a:headEnd type="none" w="med" len="med"/>
                                  <a:tailEnd type="triangle" w="med" len="med"/>
                                </a:ln>
                              </wps:spPr>
                              <wps:bodyPr upright="1"/>
                            </wps:wsp>
                            <wps:wsp>
                              <wps:cNvPr id="2054" name="直线 859"/>
                              <wps:cNvCnPr/>
                              <wps:spPr>
                                <a:xfrm>
                                  <a:off x="6645" y="4890"/>
                                  <a:ext cx="755" cy="9"/>
                                </a:xfrm>
                                <a:prstGeom prst="line">
                                  <a:avLst/>
                                </a:prstGeom>
                                <a:ln w="9525" cap="flat" cmpd="sng">
                                  <a:solidFill>
                                    <a:srgbClr val="000000"/>
                                  </a:solidFill>
                                  <a:prstDash val="solid"/>
                                  <a:headEnd type="none" w="med" len="med"/>
                                  <a:tailEnd type="triangle" w="med" len="med"/>
                                </a:ln>
                              </wps:spPr>
                              <wps:bodyPr upright="1"/>
                            </wps:wsp>
                            <wps:wsp>
                              <wps:cNvPr id="2055" name="直线 860"/>
                              <wps:cNvCnPr/>
                              <wps:spPr>
                                <a:xfrm flipH="1">
                                  <a:off x="5945" y="5126"/>
                                  <a:ext cx="2" cy="547"/>
                                </a:xfrm>
                                <a:prstGeom prst="line">
                                  <a:avLst/>
                                </a:prstGeom>
                                <a:ln w="9525" cap="flat" cmpd="sng">
                                  <a:solidFill>
                                    <a:srgbClr val="000000"/>
                                  </a:solidFill>
                                  <a:prstDash val="solid"/>
                                  <a:headEnd type="none" w="med" len="med"/>
                                  <a:tailEnd type="triangle" w="med" len="med"/>
                                </a:ln>
                              </wps:spPr>
                              <wps:bodyPr upright="1"/>
                            </wps:wsp>
                            <wps:wsp>
                              <wps:cNvPr id="2056" name="矩形 861"/>
                              <wps:cNvSpPr/>
                              <wps:spPr>
                                <a:xfrm>
                                  <a:off x="4893" y="2882"/>
                                  <a:ext cx="2102" cy="57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F45477D">
                                    <w:pPr>
                                      <w:jc w:val="center"/>
                                    </w:pPr>
                                    <w:r>
                                      <w:rPr>
                                        <w:rFonts w:hint="eastAsia"/>
                                      </w:rPr>
                                      <w:t>劳力材料机具准备</w:t>
                                    </w:r>
                                  </w:p>
                                </w:txbxContent>
                              </wps:txbx>
                              <wps:bodyPr upright="1"/>
                            </wps:wsp>
                            <wps:wsp>
                              <wps:cNvPr id="2057" name="矩形 862"/>
                              <wps:cNvSpPr/>
                              <wps:spPr>
                                <a:xfrm>
                                  <a:off x="7752" y="5681"/>
                                  <a:ext cx="1263" cy="4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E126705">
                                    <w:pPr>
                                      <w:ind w:left="0" w:leftChars="0" w:firstLine="0" w:firstLineChars="0"/>
                                      <w:jc w:val="both"/>
                                    </w:pPr>
                                    <w:r>
                                      <w:rPr>
                                        <w:rFonts w:hint="eastAsia"/>
                                      </w:rPr>
                                      <w:t>锚杆下料</w:t>
                                    </w:r>
                                  </w:p>
                                </w:txbxContent>
                              </wps:txbx>
                              <wps:bodyPr upright="1"/>
                            </wps:wsp>
                            <wps:wsp>
                              <wps:cNvPr id="2058" name="矩形 863"/>
                              <wps:cNvSpPr/>
                              <wps:spPr>
                                <a:xfrm>
                                  <a:off x="5006" y="3846"/>
                                  <a:ext cx="1603" cy="49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9ADFD9">
                                    <w:pPr>
                                      <w:ind w:left="0" w:leftChars="0" w:firstLine="0" w:firstLineChars="0"/>
                                    </w:pPr>
                                    <w:r>
                                      <w:rPr>
                                        <w:rFonts w:hint="eastAsia"/>
                                      </w:rPr>
                                      <w:t>测量放样</w:t>
                                    </w:r>
                                  </w:p>
                                </w:txbxContent>
                              </wps:txbx>
                              <wps:bodyPr upright="1"/>
                            </wps:wsp>
                            <wps:wsp>
                              <wps:cNvPr id="2059" name="矩形 864"/>
                              <wps:cNvSpPr/>
                              <wps:spPr>
                                <a:xfrm>
                                  <a:off x="4983" y="4646"/>
                                  <a:ext cx="1654" cy="48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8D688B2">
                                    <w:pPr>
                                      <w:ind w:left="0" w:leftChars="0" w:firstLine="0" w:firstLineChars="0"/>
                                      <w:jc w:val="both"/>
                                    </w:pPr>
                                    <w:r>
                                      <w:rPr>
                                        <w:rFonts w:hint="eastAsia"/>
                                      </w:rPr>
                                      <w:t>试验孔施工</w:t>
                                    </w:r>
                                  </w:p>
                                </w:txbxContent>
                              </wps:txbx>
                              <wps:bodyPr upright="1"/>
                            </wps:wsp>
                            <wps:wsp>
                              <wps:cNvPr id="2060" name="矩形 865"/>
                              <wps:cNvSpPr/>
                              <wps:spPr>
                                <a:xfrm>
                                  <a:off x="5256" y="5673"/>
                                  <a:ext cx="1399" cy="4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413798">
                                    <w:pPr>
                                      <w:ind w:left="0" w:leftChars="0" w:firstLine="0" w:firstLineChars="0"/>
                                      <w:jc w:val="both"/>
                                    </w:pPr>
                                    <w:r>
                                      <w:rPr>
                                        <w:rFonts w:hint="eastAsia"/>
                                      </w:rPr>
                                      <w:t>正式孔钻孔</w:t>
                                    </w:r>
                                  </w:p>
                                </w:txbxContent>
                              </wps:txbx>
                              <wps:bodyPr upright="1"/>
                            </wps:wsp>
                            <wps:wsp>
                              <wps:cNvPr id="2061" name="矩形 866"/>
                              <wps:cNvSpPr/>
                              <wps:spPr>
                                <a:xfrm>
                                  <a:off x="6900" y="6515"/>
                                  <a:ext cx="2979"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638EFC">
                                    <w:pPr>
                                      <w:ind w:left="0" w:leftChars="0" w:firstLine="0" w:firstLineChars="0"/>
                                    </w:pPr>
                                    <w:r>
                                      <w:rPr>
                                        <w:rFonts w:hint="eastAsia"/>
                                      </w:rPr>
                                      <w:t>锚杆防锈，</w:t>
                                    </w:r>
                                    <w:r>
                                      <w:t>套管</w:t>
                                    </w:r>
                                    <w:r>
                                      <w:rPr>
                                        <w:rFonts w:hint="eastAsia"/>
                                      </w:rPr>
                                      <w:t>、</w:t>
                                    </w:r>
                                    <w:r>
                                      <w:t>对中器安装</w:t>
                                    </w:r>
                                  </w:p>
                                </w:txbxContent>
                              </wps:txbx>
                              <wps:bodyPr upright="1"/>
                            </wps:wsp>
                            <wps:wsp>
                              <wps:cNvPr id="2062" name="矩形 867"/>
                              <wps:cNvSpPr/>
                              <wps:spPr>
                                <a:xfrm>
                                  <a:off x="7390" y="4656"/>
                                  <a:ext cx="1751" cy="4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F2B5437">
                                    <w:pPr>
                                      <w:ind w:left="0" w:leftChars="0" w:firstLine="0" w:firstLineChars="0"/>
                                      <w:jc w:val="both"/>
                                    </w:pPr>
                                    <w:r>
                                      <w:rPr>
                                        <w:rFonts w:hint="eastAsia"/>
                                      </w:rPr>
                                      <w:t>调整设计</w:t>
                                    </w:r>
                                    <w:r>
                                      <w:t>参数</w:t>
                                    </w:r>
                                  </w:p>
                                </w:txbxContent>
                              </wps:txbx>
                              <wps:bodyPr upright="1"/>
                            </wps:wsp>
                            <wps:wsp>
                              <wps:cNvPr id="2063" name="直线 868"/>
                              <wps:cNvCnPr/>
                              <wps:spPr>
                                <a:xfrm flipH="1">
                                  <a:off x="6609" y="4095"/>
                                  <a:ext cx="1574" cy="0"/>
                                </a:xfrm>
                                <a:prstGeom prst="line">
                                  <a:avLst/>
                                </a:prstGeom>
                                <a:ln w="9525" cap="flat" cmpd="sng">
                                  <a:solidFill>
                                    <a:srgbClr val="000000"/>
                                  </a:solidFill>
                                  <a:prstDash val="solid"/>
                                  <a:headEnd type="none" w="med" len="med"/>
                                  <a:tailEnd type="triangle" w="med" len="med"/>
                                </a:ln>
                              </wps:spPr>
                              <wps:bodyPr upright="1"/>
                            </wps:wsp>
                            <wps:wsp>
                              <wps:cNvPr id="2064" name="直线 869"/>
                              <wps:cNvCnPr/>
                              <wps:spPr>
                                <a:xfrm flipH="1">
                                  <a:off x="8174" y="4091"/>
                                  <a:ext cx="9" cy="555"/>
                                </a:xfrm>
                                <a:prstGeom prst="line">
                                  <a:avLst/>
                                </a:prstGeom>
                                <a:ln w="9525" cap="flat" cmpd="sng">
                                  <a:solidFill>
                                    <a:srgbClr val="000000"/>
                                  </a:solidFill>
                                  <a:prstDash val="solid"/>
                                  <a:headEnd type="none" w="med" len="med"/>
                                  <a:tailEnd type="none" w="med" len="med"/>
                                </a:ln>
                              </wps:spPr>
                              <wps:bodyPr upright="1"/>
                            </wps:wsp>
                            <wps:wsp>
                              <wps:cNvPr id="2065" name="直线 870"/>
                              <wps:cNvCnPr/>
                              <wps:spPr>
                                <a:xfrm flipH="1">
                                  <a:off x="3509" y="5502"/>
                                  <a:ext cx="0" cy="188"/>
                                </a:xfrm>
                                <a:prstGeom prst="line">
                                  <a:avLst/>
                                </a:prstGeom>
                                <a:ln w="9525" cap="flat" cmpd="sng">
                                  <a:solidFill>
                                    <a:srgbClr val="000000"/>
                                  </a:solidFill>
                                  <a:prstDash val="solid"/>
                                  <a:headEnd type="none" w="med" len="med"/>
                                  <a:tailEnd type="triangle" w="med" len="med"/>
                                </a:ln>
                              </wps:spPr>
                              <wps:bodyPr upright="1"/>
                            </wps:wsp>
                            <wps:wsp>
                              <wps:cNvPr id="2066" name="直线 871"/>
                              <wps:cNvCnPr/>
                              <wps:spPr>
                                <a:xfrm flipH="1">
                                  <a:off x="8385" y="5467"/>
                                  <a:ext cx="0" cy="206"/>
                                </a:xfrm>
                                <a:prstGeom prst="line">
                                  <a:avLst/>
                                </a:prstGeom>
                                <a:ln w="9525" cap="flat" cmpd="sng">
                                  <a:solidFill>
                                    <a:srgbClr val="000000"/>
                                  </a:solidFill>
                                  <a:prstDash val="solid"/>
                                  <a:headEnd type="none" w="med" len="med"/>
                                  <a:tailEnd type="triangle" w="med" len="med"/>
                                </a:ln>
                              </wps:spPr>
                              <wps:bodyPr upright="1"/>
                            </wps:wsp>
                            <wps:wsp>
                              <wps:cNvPr id="2067" name="矩形 872"/>
                              <wps:cNvSpPr/>
                              <wps:spPr>
                                <a:xfrm>
                                  <a:off x="2870" y="5673"/>
                                  <a:ext cx="1263" cy="4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24173B9">
                                    <w:pPr>
                                      <w:ind w:left="0" w:leftChars="0" w:firstLine="0" w:firstLineChars="0"/>
                                      <w:jc w:val="both"/>
                                    </w:pPr>
                                    <w:r>
                                      <w:rPr>
                                        <w:rFonts w:hint="eastAsia"/>
                                      </w:rPr>
                                      <w:t>锚索下料</w:t>
                                    </w:r>
                                  </w:p>
                                </w:txbxContent>
                              </wps:txbx>
                              <wps:bodyPr upright="1"/>
                            </wps:wsp>
                            <wps:wsp>
                              <wps:cNvPr id="2068" name="直线 873"/>
                              <wps:cNvCnPr/>
                              <wps:spPr>
                                <a:xfrm>
                                  <a:off x="8385" y="6190"/>
                                  <a:ext cx="9" cy="325"/>
                                </a:xfrm>
                                <a:prstGeom prst="line">
                                  <a:avLst/>
                                </a:prstGeom>
                                <a:ln w="9525" cap="flat" cmpd="sng">
                                  <a:solidFill>
                                    <a:srgbClr val="000000"/>
                                  </a:solidFill>
                                  <a:prstDash val="solid"/>
                                  <a:headEnd type="none" w="med" len="med"/>
                                  <a:tailEnd type="triangle" w="med" len="med"/>
                                </a:ln>
                              </wps:spPr>
                              <wps:bodyPr upright="1"/>
                            </wps:wsp>
                            <wps:wsp>
                              <wps:cNvPr id="2069" name="矩形 874"/>
                              <wps:cNvSpPr/>
                              <wps:spPr>
                                <a:xfrm>
                                  <a:off x="2214" y="6501"/>
                                  <a:ext cx="2559"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07D7BD6">
                                    <w:r>
                                      <w:rPr>
                                        <w:rFonts w:hint="eastAsia"/>
                                      </w:rPr>
                                      <w:t>架线环、</w:t>
                                    </w:r>
                                    <w:r>
                                      <w:t>承载体制作安装</w:t>
                                    </w:r>
                                  </w:p>
                                </w:txbxContent>
                              </wps:txbx>
                              <wps:bodyPr upright="1"/>
                            </wps:wsp>
                            <wps:wsp>
                              <wps:cNvPr id="2070" name="直线 875"/>
                              <wps:cNvCnPr/>
                              <wps:spPr>
                                <a:xfrm>
                                  <a:off x="3497" y="6176"/>
                                  <a:ext cx="0" cy="311"/>
                                </a:xfrm>
                                <a:prstGeom prst="line">
                                  <a:avLst/>
                                </a:prstGeom>
                                <a:ln w="9525" cap="flat" cmpd="sng">
                                  <a:solidFill>
                                    <a:srgbClr val="000000"/>
                                  </a:solidFill>
                                  <a:prstDash val="solid"/>
                                  <a:headEnd type="none" w="med" len="med"/>
                                  <a:tailEnd type="triangle" w="med" len="med"/>
                                </a:ln>
                              </wps:spPr>
                              <wps:bodyPr upright="1"/>
                            </wps:wsp>
                            <wps:wsp>
                              <wps:cNvPr id="2071" name="矩形 876"/>
                              <wps:cNvSpPr/>
                              <wps:spPr>
                                <a:xfrm>
                                  <a:off x="5337" y="6528"/>
                                  <a:ext cx="1262"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4EF117">
                                    <w:pPr>
                                      <w:ind w:left="0" w:leftChars="0" w:firstLine="0" w:firstLineChars="0"/>
                                      <w:jc w:val="both"/>
                                    </w:pPr>
                                    <w:r>
                                      <w:rPr>
                                        <w:rFonts w:hint="eastAsia"/>
                                      </w:rPr>
                                      <w:t>清孔</w:t>
                                    </w:r>
                                  </w:p>
                                </w:txbxContent>
                              </wps:txbx>
                              <wps:bodyPr upright="1"/>
                            </wps:wsp>
                            <wps:wsp>
                              <wps:cNvPr id="2072" name="直线 877"/>
                              <wps:cNvCnPr/>
                              <wps:spPr>
                                <a:xfrm>
                                  <a:off x="5953" y="6203"/>
                                  <a:ext cx="9" cy="325"/>
                                </a:xfrm>
                                <a:prstGeom prst="line">
                                  <a:avLst/>
                                </a:prstGeom>
                                <a:ln w="9525" cap="flat" cmpd="sng">
                                  <a:solidFill>
                                    <a:srgbClr val="000000"/>
                                  </a:solidFill>
                                  <a:prstDash val="solid"/>
                                  <a:headEnd type="none" w="med" len="med"/>
                                  <a:tailEnd type="triangle" w="med" len="med"/>
                                </a:ln>
                              </wps:spPr>
                              <wps:bodyPr upright="1"/>
                            </wps:wsp>
                            <wps:wsp>
                              <wps:cNvPr id="2073" name="矩形 878"/>
                              <wps:cNvSpPr/>
                              <wps:spPr>
                                <a:xfrm>
                                  <a:off x="7525" y="7352"/>
                                  <a:ext cx="1772"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12FF1B">
                                    <w:pPr>
                                      <w:ind w:left="0" w:leftChars="0" w:firstLine="0" w:firstLineChars="0"/>
                                      <w:jc w:val="both"/>
                                    </w:pPr>
                                    <w:r>
                                      <w:rPr>
                                        <w:rFonts w:hint="eastAsia"/>
                                      </w:rPr>
                                      <w:t>锚杆质量检验</w:t>
                                    </w:r>
                                  </w:p>
                                </w:txbxContent>
                              </wps:txbx>
                              <wps:bodyPr upright="1"/>
                            </wps:wsp>
                            <wps:wsp>
                              <wps:cNvPr id="2074" name="矩形 879"/>
                              <wps:cNvSpPr/>
                              <wps:spPr>
                                <a:xfrm>
                                  <a:off x="5363" y="7381"/>
                                  <a:ext cx="1262"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5A4565D">
                                    <w:pPr>
                                      <w:ind w:left="0" w:leftChars="0" w:firstLine="0" w:firstLineChars="0"/>
                                      <w:jc w:val="both"/>
                                    </w:pPr>
                                    <w:r>
                                      <w:rPr>
                                        <w:rFonts w:hint="eastAsia"/>
                                      </w:rPr>
                                      <w:t>验孔</w:t>
                                    </w:r>
                                  </w:p>
                                </w:txbxContent>
                              </wps:txbx>
                              <wps:bodyPr upright="1"/>
                            </wps:wsp>
                            <wps:wsp>
                              <wps:cNvPr id="2075" name="矩形 880"/>
                              <wps:cNvSpPr/>
                              <wps:spPr>
                                <a:xfrm>
                                  <a:off x="2382" y="7340"/>
                                  <a:ext cx="1956"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3FE7AE">
                                    <w:pPr>
                                      <w:ind w:left="0" w:leftChars="0" w:firstLine="0" w:firstLineChars="0"/>
                                      <w:jc w:val="both"/>
                                    </w:pPr>
                                    <w:r>
                                      <w:rPr>
                                        <w:rFonts w:hint="eastAsia"/>
                                      </w:rPr>
                                      <w:t>锚索质量</w:t>
                                    </w:r>
                                    <w:r>
                                      <w:t>检验</w:t>
                                    </w:r>
                                  </w:p>
                                </w:txbxContent>
                              </wps:txbx>
                              <wps:bodyPr upright="1"/>
                            </wps:wsp>
                            <wps:wsp>
                              <wps:cNvPr id="2076" name="直线 881"/>
                              <wps:cNvCnPr/>
                              <wps:spPr>
                                <a:xfrm>
                                  <a:off x="3486" y="7015"/>
                                  <a:ext cx="9" cy="325"/>
                                </a:xfrm>
                                <a:prstGeom prst="line">
                                  <a:avLst/>
                                </a:prstGeom>
                                <a:ln w="9525" cap="flat" cmpd="sng">
                                  <a:solidFill>
                                    <a:srgbClr val="000000"/>
                                  </a:solidFill>
                                  <a:prstDash val="solid"/>
                                  <a:headEnd type="none" w="med" len="med"/>
                                  <a:tailEnd type="triangle" w="med" len="med"/>
                                </a:ln>
                              </wps:spPr>
                              <wps:bodyPr upright="1"/>
                            </wps:wsp>
                            <wps:wsp>
                              <wps:cNvPr id="2077" name="矩形 882"/>
                              <wps:cNvSpPr/>
                              <wps:spPr>
                                <a:xfrm>
                                  <a:off x="7768" y="8191"/>
                                  <a:ext cx="1523"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19CFDE">
                                    <w:pPr>
                                      <w:ind w:left="0" w:leftChars="0" w:firstLine="0" w:firstLineChars="0"/>
                                    </w:pPr>
                                    <w:r>
                                      <w:rPr>
                                        <w:rFonts w:hint="eastAsia"/>
                                      </w:rPr>
                                      <w:t>锚杆安装</w:t>
                                    </w:r>
                                  </w:p>
                                </w:txbxContent>
                              </wps:txbx>
                              <wps:bodyPr upright="1"/>
                            </wps:wsp>
                            <wps:wsp>
                              <wps:cNvPr id="2078" name="直线 883"/>
                              <wps:cNvCnPr/>
                              <wps:spPr>
                                <a:xfrm>
                                  <a:off x="8384" y="7866"/>
                                  <a:ext cx="9" cy="325"/>
                                </a:xfrm>
                                <a:prstGeom prst="line">
                                  <a:avLst/>
                                </a:prstGeom>
                                <a:ln w="9525" cap="flat" cmpd="sng">
                                  <a:solidFill>
                                    <a:srgbClr val="000000"/>
                                  </a:solidFill>
                                  <a:prstDash val="solid"/>
                                  <a:headEnd type="none" w="med" len="med"/>
                                  <a:tailEnd type="triangle" w="med" len="med"/>
                                </a:ln>
                              </wps:spPr>
                              <wps:bodyPr upright="1"/>
                            </wps:wsp>
                            <wps:wsp>
                              <wps:cNvPr id="2079" name="矩形 884"/>
                              <wps:cNvSpPr/>
                              <wps:spPr>
                                <a:xfrm>
                                  <a:off x="5303" y="8220"/>
                                  <a:ext cx="1392"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EB0CEA">
                                    <w:pPr>
                                      <w:ind w:left="0" w:leftChars="0" w:firstLine="0" w:firstLineChars="0"/>
                                      <w:jc w:val="both"/>
                                    </w:pPr>
                                    <w:r>
                                      <w:rPr>
                                        <w:rFonts w:hint="eastAsia"/>
                                      </w:rPr>
                                      <w:t>肋槽开挖</w:t>
                                    </w:r>
                                  </w:p>
                                </w:txbxContent>
                              </wps:txbx>
                              <wps:bodyPr upright="1"/>
                            </wps:wsp>
                            <wps:wsp>
                              <wps:cNvPr id="2080" name="直线 885"/>
                              <wps:cNvCnPr/>
                              <wps:spPr>
                                <a:xfrm>
                                  <a:off x="5991" y="7895"/>
                                  <a:ext cx="0" cy="325"/>
                                </a:xfrm>
                                <a:prstGeom prst="line">
                                  <a:avLst/>
                                </a:prstGeom>
                                <a:ln w="9525" cap="flat" cmpd="sng">
                                  <a:solidFill>
                                    <a:srgbClr val="000000"/>
                                  </a:solidFill>
                                  <a:prstDash val="solid"/>
                                  <a:headEnd type="none" w="med" len="med"/>
                                  <a:tailEnd type="triangle" w="med" len="med"/>
                                </a:ln>
                              </wps:spPr>
                              <wps:bodyPr upright="1"/>
                            </wps:wsp>
                            <wps:wsp>
                              <wps:cNvPr id="2081" name="矩形 886"/>
                              <wps:cNvSpPr/>
                              <wps:spPr>
                                <a:xfrm>
                                  <a:off x="2674" y="8210"/>
                                  <a:ext cx="1458"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D0A545A">
                                    <w:pPr>
                                      <w:ind w:left="0" w:leftChars="0" w:firstLine="0" w:firstLineChars="0"/>
                                      <w:jc w:val="both"/>
                                    </w:pPr>
                                    <w:r>
                                      <w:rPr>
                                        <w:rFonts w:hint="eastAsia"/>
                                      </w:rPr>
                                      <w:t>锚索安装</w:t>
                                    </w:r>
                                  </w:p>
                                </w:txbxContent>
                              </wps:txbx>
                              <wps:bodyPr upright="1"/>
                            </wps:wsp>
                            <wps:wsp>
                              <wps:cNvPr id="2082" name="直线 887"/>
                              <wps:cNvCnPr/>
                              <wps:spPr>
                                <a:xfrm>
                                  <a:off x="3486" y="7886"/>
                                  <a:ext cx="9" cy="325"/>
                                </a:xfrm>
                                <a:prstGeom prst="line">
                                  <a:avLst/>
                                </a:prstGeom>
                                <a:ln w="9525" cap="flat" cmpd="sng">
                                  <a:solidFill>
                                    <a:srgbClr val="000000"/>
                                  </a:solidFill>
                                  <a:prstDash val="solid"/>
                                  <a:headEnd type="none" w="med" len="med"/>
                                  <a:tailEnd type="triangle" w="med" len="med"/>
                                </a:ln>
                              </wps:spPr>
                              <wps:bodyPr upright="1"/>
                            </wps:wsp>
                            <wps:wsp>
                              <wps:cNvPr id="2083" name="直线 888"/>
                              <wps:cNvCnPr/>
                              <wps:spPr>
                                <a:xfrm>
                                  <a:off x="4178" y="8481"/>
                                  <a:ext cx="1133" cy="0"/>
                                </a:xfrm>
                                <a:prstGeom prst="line">
                                  <a:avLst/>
                                </a:prstGeom>
                                <a:ln w="9525" cap="flat" cmpd="sng">
                                  <a:solidFill>
                                    <a:srgbClr val="000000"/>
                                  </a:solidFill>
                                  <a:prstDash val="solid"/>
                                  <a:headEnd type="none" w="med" len="med"/>
                                  <a:tailEnd type="triangle" w="med" len="med"/>
                                </a:ln>
                              </wps:spPr>
                              <wps:bodyPr upright="1"/>
                            </wps:wsp>
                            <wps:wsp>
                              <wps:cNvPr id="2084" name="直线 889"/>
                              <wps:cNvCnPr/>
                              <wps:spPr>
                                <a:xfrm flipH="1">
                                  <a:off x="6695" y="8481"/>
                                  <a:ext cx="1057" cy="10"/>
                                </a:xfrm>
                                <a:prstGeom prst="line">
                                  <a:avLst/>
                                </a:prstGeom>
                                <a:ln w="9525" cap="flat" cmpd="sng">
                                  <a:solidFill>
                                    <a:srgbClr val="000000"/>
                                  </a:solidFill>
                                  <a:prstDash val="solid"/>
                                  <a:headEnd type="none" w="med" len="med"/>
                                  <a:tailEnd type="triangle" w="med" len="med"/>
                                </a:ln>
                              </wps:spPr>
                              <wps:bodyPr upright="1"/>
                            </wps:wsp>
                            <wps:wsp>
                              <wps:cNvPr id="2085" name="矩形 890"/>
                              <wps:cNvSpPr/>
                              <wps:spPr>
                                <a:xfrm>
                                  <a:off x="4048" y="9041"/>
                                  <a:ext cx="4045"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4D1E38">
                                    <w:pPr>
                                      <w:ind w:left="0" w:leftChars="0" w:firstLine="0" w:firstLineChars="0"/>
                                      <w:jc w:val="both"/>
                                    </w:pPr>
                                    <w:r>
                                      <w:rPr>
                                        <w:rFonts w:hint="eastAsia"/>
                                      </w:rPr>
                                      <w:t>框架梁钢筋绑扎</w:t>
                                    </w:r>
                                    <w:r>
                                      <w:t>、模板安装、砼浇筑</w:t>
                                    </w:r>
                                  </w:p>
                                </w:txbxContent>
                              </wps:txbx>
                              <wps:bodyPr upright="1"/>
                            </wps:wsp>
                            <wps:wsp>
                              <wps:cNvPr id="2086" name="直线 891"/>
                              <wps:cNvCnPr/>
                              <wps:spPr>
                                <a:xfrm>
                                  <a:off x="5999" y="8731"/>
                                  <a:ext cx="9" cy="325"/>
                                </a:xfrm>
                                <a:prstGeom prst="line">
                                  <a:avLst/>
                                </a:prstGeom>
                                <a:ln w="9525" cap="flat" cmpd="sng">
                                  <a:solidFill>
                                    <a:srgbClr val="000000"/>
                                  </a:solidFill>
                                  <a:prstDash val="solid"/>
                                  <a:headEnd type="none" w="med" len="med"/>
                                  <a:tailEnd type="triangle" w="med" len="med"/>
                                </a:ln>
                              </wps:spPr>
                              <wps:bodyPr upright="1"/>
                            </wps:wsp>
                            <wps:wsp>
                              <wps:cNvPr id="2087" name="矩形 892"/>
                              <wps:cNvSpPr/>
                              <wps:spPr>
                                <a:xfrm>
                                  <a:off x="5123" y="9883"/>
                                  <a:ext cx="1788"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08EBEE">
                                    <w:pPr>
                                      <w:ind w:left="0" w:leftChars="0" w:firstLine="0" w:firstLineChars="0"/>
                                      <w:jc w:val="both"/>
                                    </w:pPr>
                                    <w:r>
                                      <w:t>安装锚具</w:t>
                                    </w:r>
                                  </w:p>
                                </w:txbxContent>
                              </wps:txbx>
                              <wps:bodyPr upright="1"/>
                            </wps:wsp>
                            <wps:wsp>
                              <wps:cNvPr id="2088" name="直线 893"/>
                              <wps:cNvCnPr/>
                              <wps:spPr>
                                <a:xfrm>
                                  <a:off x="6009" y="9558"/>
                                  <a:ext cx="0" cy="325"/>
                                </a:xfrm>
                                <a:prstGeom prst="line">
                                  <a:avLst/>
                                </a:prstGeom>
                                <a:ln w="9525" cap="flat" cmpd="sng">
                                  <a:solidFill>
                                    <a:srgbClr val="000000"/>
                                  </a:solidFill>
                                  <a:prstDash val="solid"/>
                                  <a:headEnd type="none" w="med" len="med"/>
                                  <a:tailEnd type="triangle" w="med" len="med"/>
                                </a:ln>
                              </wps:spPr>
                              <wps:bodyPr upright="1"/>
                            </wps:wsp>
                            <wps:wsp>
                              <wps:cNvPr id="2089" name="矩形 894"/>
                              <wps:cNvSpPr/>
                              <wps:spPr>
                                <a:xfrm>
                                  <a:off x="4871" y="10705"/>
                                  <a:ext cx="2430"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41171A0">
                                    <w:pPr>
                                      <w:ind w:left="0" w:leftChars="0" w:firstLine="0" w:firstLineChars="0"/>
                                      <w:jc w:val="both"/>
                                    </w:pPr>
                                    <w:r>
                                      <w:rPr>
                                        <w:rFonts w:hint="eastAsia"/>
                                      </w:rPr>
                                      <w:t>锚孔注浆</w:t>
                                    </w:r>
                                    <w:r>
                                      <w:t>、劈裂注浆</w:t>
                                    </w:r>
                                  </w:p>
                                </w:txbxContent>
                              </wps:txbx>
                              <wps:bodyPr upright="1"/>
                            </wps:wsp>
                            <wps:wsp>
                              <wps:cNvPr id="2090" name="直线 895"/>
                              <wps:cNvCnPr/>
                              <wps:spPr>
                                <a:xfrm flipH="1">
                                  <a:off x="6008" y="10386"/>
                                  <a:ext cx="1" cy="325"/>
                                </a:xfrm>
                                <a:prstGeom prst="line">
                                  <a:avLst/>
                                </a:prstGeom>
                                <a:ln w="9525" cap="flat" cmpd="sng">
                                  <a:solidFill>
                                    <a:srgbClr val="000000"/>
                                  </a:solidFill>
                                  <a:prstDash val="solid"/>
                                  <a:headEnd type="none" w="med" len="med"/>
                                  <a:tailEnd type="triangle" w="med" len="med"/>
                                </a:ln>
                              </wps:spPr>
                              <wps:bodyPr upright="1"/>
                            </wps:wsp>
                            <wps:wsp>
                              <wps:cNvPr id="2091" name="矩形 896"/>
                              <wps:cNvSpPr/>
                              <wps:spPr>
                                <a:xfrm>
                                  <a:off x="4871" y="11532"/>
                                  <a:ext cx="2277"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05011B9">
                                    <w:pPr>
                                      <w:ind w:left="0" w:leftChars="0" w:firstLine="240" w:firstLineChars="100"/>
                                      <w:jc w:val="both"/>
                                    </w:pPr>
                                    <w:r>
                                      <w:rPr>
                                        <w:rFonts w:hint="eastAsia"/>
                                      </w:rPr>
                                      <w:t>预应力筋张拉</w:t>
                                    </w:r>
                                  </w:p>
                                </w:txbxContent>
                              </wps:txbx>
                              <wps:bodyPr upright="1"/>
                            </wps:wsp>
                            <wps:wsp>
                              <wps:cNvPr id="2092" name="直线 897"/>
                              <wps:cNvCnPr/>
                              <wps:spPr>
                                <a:xfrm flipH="1">
                                  <a:off x="6008" y="11213"/>
                                  <a:ext cx="1" cy="325"/>
                                </a:xfrm>
                                <a:prstGeom prst="line">
                                  <a:avLst/>
                                </a:prstGeom>
                                <a:ln w="9525" cap="flat" cmpd="sng">
                                  <a:solidFill>
                                    <a:srgbClr val="000000"/>
                                  </a:solidFill>
                                  <a:prstDash val="solid"/>
                                  <a:headEnd type="none" w="med" len="med"/>
                                  <a:tailEnd type="triangle" w="med" len="med"/>
                                </a:ln>
                              </wps:spPr>
                              <wps:bodyPr upright="1"/>
                            </wps:wsp>
                            <wps:wsp>
                              <wps:cNvPr id="2093" name="矩形 898"/>
                              <wps:cNvSpPr/>
                              <wps:spPr>
                                <a:xfrm>
                                  <a:off x="4859" y="12384"/>
                                  <a:ext cx="2277"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265545D">
                                    <w:pPr>
                                      <w:jc w:val="both"/>
                                    </w:pPr>
                                    <w:r>
                                      <w:rPr>
                                        <w:rFonts w:hint="eastAsia"/>
                                      </w:rPr>
                                      <w:t>质量检验</w:t>
                                    </w:r>
                                  </w:p>
                                </w:txbxContent>
                              </wps:txbx>
                              <wps:bodyPr upright="1"/>
                            </wps:wsp>
                            <wps:wsp>
                              <wps:cNvPr id="2094" name="直线 899"/>
                              <wps:cNvCnPr/>
                              <wps:spPr>
                                <a:xfrm flipH="1">
                                  <a:off x="6002" y="12053"/>
                                  <a:ext cx="1" cy="325"/>
                                </a:xfrm>
                                <a:prstGeom prst="line">
                                  <a:avLst/>
                                </a:prstGeom>
                                <a:ln w="9525" cap="flat" cmpd="sng">
                                  <a:solidFill>
                                    <a:srgbClr val="000000"/>
                                  </a:solidFill>
                                  <a:prstDash val="solid"/>
                                  <a:headEnd type="none" w="med" len="med"/>
                                  <a:tailEnd type="triangle" w="med" len="med"/>
                                </a:ln>
                              </wps:spPr>
                              <wps:bodyPr upright="1"/>
                            </wps:wsp>
                            <wps:wsp>
                              <wps:cNvPr id="2095" name="矩形 900"/>
                              <wps:cNvSpPr/>
                              <wps:spPr>
                                <a:xfrm>
                                  <a:off x="4865" y="13208"/>
                                  <a:ext cx="2626" cy="51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1DEFAF">
                                    <w:pPr>
                                      <w:ind w:left="0" w:leftChars="0" w:firstLine="0" w:firstLineChars="0"/>
                                      <w:jc w:val="both"/>
                                    </w:pPr>
                                    <w:r>
                                      <w:rPr>
                                        <w:rFonts w:hint="eastAsia"/>
                                      </w:rPr>
                                      <w:t>封锚、</w:t>
                                    </w:r>
                                    <w:r>
                                      <w:t>拆除施工平台</w:t>
                                    </w:r>
                                  </w:p>
                                </w:txbxContent>
                              </wps:txbx>
                              <wps:bodyPr upright="1"/>
                            </wps:wsp>
                            <wps:wsp>
                              <wps:cNvPr id="2096" name="直线 901"/>
                              <wps:cNvCnPr/>
                              <wps:spPr>
                                <a:xfrm flipH="1">
                                  <a:off x="6008" y="12877"/>
                                  <a:ext cx="1" cy="325"/>
                                </a:xfrm>
                                <a:prstGeom prst="line">
                                  <a:avLst/>
                                </a:prstGeom>
                                <a:ln w="9525" cap="flat" cmpd="sng">
                                  <a:solidFill>
                                    <a:srgbClr val="000000"/>
                                  </a:solidFill>
                                  <a:prstDash val="solid"/>
                                  <a:headEnd type="none" w="med" len="med"/>
                                  <a:tailEnd type="triangle" w="med" len="med"/>
                                </a:ln>
                              </wps:spPr>
                              <wps:bodyPr upright="1"/>
                            </wps:wsp>
                          </wpg:grpSp>
                        </wpg:grpSp>
                      </wpg:grpSp>
                    </wpg:wgp>
                  </a:graphicData>
                </a:graphic>
              </wp:inline>
            </w:drawing>
          </mc:Choice>
          <mc:Fallback>
            <w:pict>
              <v:group id="组合 846" o:spid="_x0000_s1026" o:spt="203" style="height:486.25pt;width:383.25pt;" coordorigin="2120,4288" coordsize="7665,10950" o:gfxdata="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">
                <o:lock v:ext="edit" aspectratio="f"/>
                <v:line id="直线 847" o:spid="_x0000_s1026" o:spt="20" style="position:absolute;left:5846;top:6488;height:305;width:0;" filled="f" stroked="t" coordsize="21600,21600" o:gfxdata="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78b&#10;9s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直线 848" o:spid="_x0000_s1026" o:spt="20" style="position:absolute;left:8290;top:9007;height:325;width:9;" filled="f" stroked="t" coordsize="21600,21600" o:gfxdata="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875t&#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id="组合 849" o:spid="_x0000_s1026" o:spt="203" style="position:absolute;left:2120;top:4288;height:10950;width:7665;" coordorigin="2214,1983" coordsize="7665,11739" o:gfxdata="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JMEhw8AAAADdAAAADwAAAAAAAAABACAAAAAiAAAAZHJzL2Rvd25yZXYu&#10;eG1sUEsBAhQAFAAAAAgAh07iQDMvBZ47AAAAOQAAABUAAAAAAAAAAQAgAAAADwEAAGRycy9ncm91&#10;cHNoYXBleG1sLnhtbFBLBQYAAAAABgAGAGABAADMAwAAAAA=&#10;">
                  <o:lock v:ext="edit" aspectratio="f"/>
                  <v:line id="直线 850" o:spid="_x0000_s1026" o:spt="20" style="position:absolute;left:5988;top:7050;flip:x;height:331;width:3;" filled="f" stroked="t" coordsize="21600,21600" o:gfxdata="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EFJG&#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id="组合 851" o:spid="_x0000_s1026" o:spt="203" style="position:absolute;left:2214;top:1983;height:11739;width:7665;" coordorigin="2214,1983" coordsize="7665,11739" o:gfxdata="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u18aL8AAAADdAAAADwAAAAAAAAABACAAAAAiAAAAZHJzL2Rvd25yZXYu&#10;eG1sUEsBAhQAFAAAAAgAh07iQDMvBZ47AAAAOQAAABUAAAAAAAAAAQAgAAAADwEAAGRycy9ncm91&#10;cHNoYXBleG1sLnhtbFBLBQYAAAAABgAGAGABAADMAwAAAAA=&#10;">
                    <o:lock v:ext="edit" aspectratio="f"/>
                    <v:rect id="矩形 852" o:spid="_x0000_s1026" o:spt="1" style="position:absolute;left:5295;top:5103;height:425;width:782;" fillcolor="#FFFFFF" filled="t" stroked="f" coordsize="21600,21600" o:gfxdata="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YUmj&#10;wAAAAN0AAAAPAAAAAAAAAAEAIAAAACIAAABkcnMvZG93bnJldi54bWxQSwECFAAUAAAACACHTuJA&#10;My8FnjsAAAA5AAAAEAAAAAAAAAABACAAAAAPAQAAZHJzL3NoYXBleG1sLnhtbFBLBQYAAAAABgAG&#10;AFsBAAC5AwAAAAA=&#10;">
                      <v:fill on="t" opacity="0f" focussize="0,0"/>
                      <v:stroke on="f"/>
                      <v:imagedata o:title=""/>
                      <o:lock v:ext="edit" aspectratio="f"/>
                      <v:textbox>
                        <w:txbxContent>
                          <w:p w14:paraId="437ACE07">
                            <w:pPr>
                              <w:jc w:val="center"/>
                              <w:rPr>
                                <w:sz w:val="15"/>
                                <w:szCs w:val="15"/>
                              </w:rPr>
                            </w:pPr>
                            <w:r>
                              <w:rPr>
                                <w:rFonts w:hint="eastAsia"/>
                                <w:sz w:val="15"/>
                                <w:szCs w:val="15"/>
                              </w:rPr>
                              <w:t>通过</w:t>
                            </w:r>
                          </w:p>
                        </w:txbxContent>
                      </v:textbox>
                    </v:rect>
                    <v:rect id="矩形 853" o:spid="_x0000_s1026" o:spt="1" style="position:absolute;left:6625;top:4460;height:384;width:765;" fillcolor="#FFFFFF" filled="t" stroked="f" coordsize="21600,21600" o:gfxdata="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7d0bsAAADd&#10;AAAADwAAAAAAAAABACAAAAAiAAAAZHJzL2Rvd25yZXYueG1sUEsBAhQAFAAAAAgAh07iQDMvBZ47&#10;AAAAOQAAABAAAAAAAAAAAQAgAAAACgEAAGRycy9zaGFwZXhtbC54bWxQSwUGAAAAAAYABgBbAQAA&#10;tAMAAAAA&#10;">
                      <v:fill on="t" opacity="0f" focussize="0,0"/>
                      <v:stroke on="f"/>
                      <v:imagedata o:title=""/>
                      <o:lock v:ext="edit" aspectratio="f"/>
                      <v:textbox>
                        <w:txbxContent>
                          <w:p w14:paraId="62D5BDD5">
                            <w:pPr>
                              <w:jc w:val="center"/>
                              <w:rPr>
                                <w:sz w:val="15"/>
                                <w:szCs w:val="15"/>
                              </w:rPr>
                            </w:pPr>
                            <w:r>
                              <w:rPr>
                                <w:rFonts w:hint="eastAsia"/>
                                <w:sz w:val="15"/>
                                <w:szCs w:val="15"/>
                              </w:rPr>
                              <w:t>不通过</w:t>
                            </w:r>
                          </w:p>
                        </w:txbxContent>
                      </v:textbox>
                    </v:rect>
                    <v:group id="组合 854" o:spid="_x0000_s1026" o:spt="203" style="position:absolute;left:2214;top:1983;height:11739;width:7665;" coordorigin="2214,1983" coordsize="7665,11739" o:gfxdata="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ysCOXcAAAADdAAAADwAAAAAAAAABACAAAAAiAAAAZHJzL2Rvd25yZXYu&#10;eG1sUEsBAhQAFAAAAAgAh07iQDMvBZ47AAAAOQAAABUAAAAAAAAAAQAgAAAADwEAAGRycy9ncm91&#10;cHNoYXBleG1sLnhtbFBLBQYAAAAABgAGAGABAADMAwAAAAA=&#10;">
                      <o:lock v:ext="edit" aspectratio="f"/>
                      <v:shape id="文本框 855" o:spid="_x0000_s1026" o:spt="202" type="#_x0000_t202" style="position:absolute;left:4682;top:1983;height:479;width:2544;" fillcolor="#FFFFFF" filled="t" stroked="t" coordsize="21600,21600" o:gfxdata="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4Gz1O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759EFF8">
                              <w:pPr>
                                <w:jc w:val="center"/>
                              </w:pPr>
                              <w:r>
                                <w:rPr>
                                  <w:rFonts w:hint="eastAsia"/>
                                </w:rPr>
                                <w:t>场地</w:t>
                              </w:r>
                              <w:r>
                                <w:t>整理、搭设工作平台</w:t>
                              </w:r>
                            </w:p>
                          </w:txbxContent>
                        </v:textbox>
                      </v:shape>
                      <v:line id="直线 856" o:spid="_x0000_s1026" o:spt="20" style="position:absolute;left:3509;top:5487;flip:y;height:15;width:4876;" filled="f" stroked="t" coordsize="21600,21600" o:gfxdata="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yaZO/&#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857" o:spid="_x0000_s1026" o:spt="20" style="position:absolute;left:5945;top:2462;height:420;width:0;" filled="f" stroked="t" coordsize="21600,21600" o:gfxdata="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maN&#10;K8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直线 858" o:spid="_x0000_s1026" o:spt="20" style="position:absolute;left:5945;top:3459;flip:x;height:378;width:2;" filled="f" stroked="t" coordsize="21600,21600" o:gfxdata="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bPl0&#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859" o:spid="_x0000_s1026" o:spt="20" style="position:absolute;left:6645;top:4890;height:9;width:755;" filled="f" stroked="t" coordsize="21600,21600" o:gfxdata="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w7DE&#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860" o:spid="_x0000_s1026" o:spt="20" style="position:absolute;left:5945;top:5126;flip:x;height:547;width:2;" filled="f" stroked="t" coordsize="21600,21600" o:gfxdata="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cSb&#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61" o:spid="_x0000_s1026" o:spt="1" style="position:absolute;left:4893;top:2882;height:570;width:2102;" fillcolor="#FFFFFF" filled="t" stroked="t" coordsize="21600,21600" o:gfxdata="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B/zjL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F45477D">
                              <w:pPr>
                                <w:jc w:val="center"/>
                              </w:pPr>
                              <w:r>
                                <w:rPr>
                                  <w:rFonts w:hint="eastAsia"/>
                                </w:rPr>
                                <w:t>劳力材料机具准备</w:t>
                              </w:r>
                            </w:p>
                          </w:txbxContent>
                        </v:textbox>
                      </v:rect>
                      <v:rect id="矩形 862" o:spid="_x0000_s1026" o:spt="1" style="position:absolute;left:7752;top:5681;height:495;width:1263;" fillcolor="#FFFFFF" filled="t" stroked="t" coordsize="21600,21600" o:gfxdata="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1NWF7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E126705">
                              <w:pPr>
                                <w:ind w:left="0" w:leftChars="0" w:firstLine="0" w:firstLineChars="0"/>
                                <w:jc w:val="both"/>
                              </w:pPr>
                              <w:r>
                                <w:rPr>
                                  <w:rFonts w:hint="eastAsia"/>
                                </w:rPr>
                                <w:t>锚杆下料</w:t>
                              </w:r>
                            </w:p>
                          </w:txbxContent>
                        </v:textbox>
                      </v:rect>
                      <v:rect id="矩形 863" o:spid="_x0000_s1026" o:spt="1" style="position:absolute;left:5006;top:3846;height:496;width:1603;" fillcolor="#FFFFFF" filled="t" stroked="t" coordsize="21600,21600" o:gfxdata="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zMJlugAAAN0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1E9ADFD9">
                              <w:pPr>
                                <w:ind w:left="0" w:leftChars="0" w:firstLine="0" w:firstLineChars="0"/>
                              </w:pPr>
                              <w:r>
                                <w:rPr>
                                  <w:rFonts w:hint="eastAsia"/>
                                </w:rPr>
                                <w:t>测量放样</w:t>
                              </w:r>
                            </w:p>
                          </w:txbxContent>
                        </v:textbox>
                      </v:rect>
                      <v:rect id="矩形 864" o:spid="_x0000_s1026" o:spt="1" style="position:absolute;left:4983;top:4646;height:480;width:1654;" fillcolor="#FFFFFF" filled="t" stroked="t" coordsize="21600,21600" o:gfxdata="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YBn/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8D688B2">
                              <w:pPr>
                                <w:ind w:left="0" w:leftChars="0" w:firstLine="0" w:firstLineChars="0"/>
                                <w:jc w:val="both"/>
                              </w:pPr>
                              <w:r>
                                <w:rPr>
                                  <w:rFonts w:hint="eastAsia"/>
                                </w:rPr>
                                <w:t>试验孔施工</w:t>
                              </w:r>
                            </w:p>
                          </w:txbxContent>
                        </v:textbox>
                      </v:rect>
                      <v:rect id="矩形 865" o:spid="_x0000_s1026" o:spt="1" style="position:absolute;left:5256;top:5673;height:495;width:1399;" fillcolor="#FFFFFF" filled="t" stroked="t" coordsize="21600,21600" o:gfxdata="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1gTeugAAAN0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4E413798">
                              <w:pPr>
                                <w:ind w:left="0" w:leftChars="0" w:firstLine="0" w:firstLineChars="0"/>
                                <w:jc w:val="both"/>
                              </w:pPr>
                              <w:r>
                                <w:rPr>
                                  <w:rFonts w:hint="eastAsia"/>
                                </w:rPr>
                                <w:t>正式孔钻孔</w:t>
                              </w:r>
                            </w:p>
                          </w:txbxContent>
                        </v:textbox>
                      </v:rect>
                      <v:rect id="矩形 866" o:spid="_x0000_s1026" o:spt="1" style="position:absolute;left:6900;top:6515;height:514;width:2979;" fillcolor="#FFFFFF" filled="t" stroked="t" coordsize="21600,21600" o:gfxdata="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ZqhRb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3638EFC">
                              <w:pPr>
                                <w:ind w:left="0" w:leftChars="0" w:firstLine="0" w:firstLineChars="0"/>
                              </w:pPr>
                              <w:r>
                                <w:rPr>
                                  <w:rFonts w:hint="eastAsia"/>
                                </w:rPr>
                                <w:t>锚杆防锈，</w:t>
                              </w:r>
                              <w:r>
                                <w:t>套管</w:t>
                              </w:r>
                              <w:r>
                                <w:rPr>
                                  <w:rFonts w:hint="eastAsia"/>
                                </w:rPr>
                                <w:t>、</w:t>
                              </w:r>
                              <w:r>
                                <w:t>对中器安装</w:t>
                              </w:r>
                            </w:p>
                          </w:txbxContent>
                        </v:textbox>
                      </v:rect>
                      <v:rect id="矩形 867" o:spid="_x0000_s1026" o:spt="1" style="position:absolute;left:7390;top:4656;height:495;width:1751;" fillcolor="#FFFFFF" filled="t" stroked="t" coordsize="21600,21600" o:gfxdata="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lIPzK/&#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0F2B5437">
                              <w:pPr>
                                <w:ind w:left="0" w:leftChars="0" w:firstLine="0" w:firstLineChars="0"/>
                                <w:jc w:val="both"/>
                              </w:pPr>
                              <w:r>
                                <w:rPr>
                                  <w:rFonts w:hint="eastAsia"/>
                                </w:rPr>
                                <w:t>调整设计</w:t>
                              </w:r>
                              <w:r>
                                <w:t>参数</w:t>
                              </w:r>
                            </w:p>
                          </w:txbxContent>
                        </v:textbox>
                      </v:rect>
                      <v:line id="直线 868" o:spid="_x0000_s1026" o:spt="20" style="position:absolute;left:6609;top:4095;flip:x;height:0;width:1574;" filled="f" stroked="t" coordsize="21600,21600" o:gfxdata="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ADPJ&#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869" o:spid="_x0000_s1026" o:spt="20" style="position:absolute;left:8174;top:4091;flip:x;height:555;width:9;" filled="f" stroked="t" coordsize="21600,21600" o:gfxdata="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ALa/&#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870" o:spid="_x0000_s1026" o:spt="20" style="position:absolute;left:3509;top:5502;flip:x;height:188;width:0;" filled="f" stroked="t" coordsize="21600,21600" o:gfxdata="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pQ4m&#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871" o:spid="_x0000_s1026" o:spt="20" style="position:absolute;left:8385;top:5467;flip:x;height:206;width:0;" filled="f" stroked="t" coordsize="21600,21600" o:gfxdata="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d5BR&#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2" o:spid="_x0000_s1026" o:spt="1" style="position:absolute;left:2870;top:5673;height:495;width:1263;" fillcolor="#FFFFFF" filled="t" stroked="t" coordsize="21600,21600" o:gfxdata="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nKq/&#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124173B9">
                              <w:pPr>
                                <w:ind w:left="0" w:leftChars="0" w:firstLine="0" w:firstLineChars="0"/>
                                <w:jc w:val="both"/>
                              </w:pPr>
                              <w:r>
                                <w:rPr>
                                  <w:rFonts w:hint="eastAsia"/>
                                </w:rPr>
                                <w:t>锚索下料</w:t>
                              </w:r>
                            </w:p>
                          </w:txbxContent>
                        </v:textbox>
                      </v:rect>
                      <v:line id="直线 873" o:spid="_x0000_s1026" o:spt="20" style="position:absolute;left:8385;top:6190;height:325;width:9;" filled="f" stroked="t" coordsize="21600,21600" o:gfxdata="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4nB8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74" o:spid="_x0000_s1026" o:spt="1" style="position:absolute;left:2214;top:6501;height:514;width:2559;" fillcolor="#FFFFFF" filled="t" stroked="t" coordsize="21600,21600" o:gfxdata="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7K1D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07D7BD6">
                              <w:r>
                                <w:rPr>
                                  <w:rFonts w:hint="eastAsia"/>
                                </w:rPr>
                                <w:t>架线环、</w:t>
                              </w:r>
                              <w:r>
                                <w:t>承载体制作安装</w:t>
                              </w:r>
                            </w:p>
                          </w:txbxContent>
                        </v:textbox>
                      </v:rect>
                      <v:line id="直线 875" o:spid="_x0000_s1026" o:spt="20" style="position:absolute;left:3497;top:6176;height:311;width:0;" filled="f" stroked="t" coordsize="21600,21600" o:gfxdata="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Teqn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76" o:spid="_x0000_s1026" o:spt="1" style="position:absolute;left:5337;top:6528;height:514;width:1262;" fillcolor="#FFFFFF" filled="t" stroked="t" coordsize="21600,21600" o:gfxdata="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EM3mL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D4EF117">
                              <w:pPr>
                                <w:ind w:left="0" w:leftChars="0" w:firstLine="0" w:firstLineChars="0"/>
                                <w:jc w:val="both"/>
                              </w:pPr>
                              <w:r>
                                <w:rPr>
                                  <w:rFonts w:hint="eastAsia"/>
                                </w:rPr>
                                <w:t>清孔</w:t>
                              </w:r>
                            </w:p>
                          </w:txbxContent>
                        </v:textbox>
                      </v:rect>
                      <v:line id="直线 877" o:spid="_x0000_s1026" o:spt="20" style="position:absolute;left:5953;top:6203;height:325;width:9;" filled="f" stroked="t" coordsize="21600,21600" o:gfxdata="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PR&#10;S8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rect id="矩形 878" o:spid="_x0000_s1026" o:spt="1" style="position:absolute;left:7525;top:7352;height:514;width:1772;" fillcolor="#FFFFFF" filled="t" stroked="t" coordsize="21600,21600" o:gfxdata="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90MdL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412FF1B">
                              <w:pPr>
                                <w:ind w:left="0" w:leftChars="0" w:firstLine="0" w:firstLineChars="0"/>
                                <w:jc w:val="both"/>
                              </w:pPr>
                              <w:r>
                                <w:rPr>
                                  <w:rFonts w:hint="eastAsia"/>
                                </w:rPr>
                                <w:t>锚杆质量检验</w:t>
                              </w:r>
                            </w:p>
                          </w:txbxContent>
                        </v:textbox>
                      </v:rect>
                      <v:rect id="矩形 879" o:spid="_x0000_s1026" o:spt="1" style="position:absolute;left:5363;top:7381;height:514;width:1262;" fillcolor="#FFFFFF" filled="t" stroked="t" coordsize="21600,21600" o:gfxdata="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DSUAL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5A4565D">
                              <w:pPr>
                                <w:ind w:left="0" w:leftChars="0" w:firstLine="0" w:firstLineChars="0"/>
                                <w:jc w:val="both"/>
                              </w:pPr>
                              <w:r>
                                <w:rPr>
                                  <w:rFonts w:hint="eastAsia"/>
                                </w:rPr>
                                <w:t>验孔</w:t>
                              </w:r>
                            </w:p>
                          </w:txbxContent>
                        </v:textbox>
                      </v:rect>
                      <v:rect id="矩形 880" o:spid="_x0000_s1026" o:spt="1" style="position:absolute;left:2382;top:7340;height:514;width:1956;" fillcolor="#FFFFFF" filled="t" stroked="t" coordsize="21600,21600" o:gfxdata="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3gxm7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333FE7AE">
                              <w:pPr>
                                <w:ind w:left="0" w:leftChars="0" w:firstLine="0" w:firstLineChars="0"/>
                                <w:jc w:val="both"/>
                              </w:pPr>
                              <w:r>
                                <w:rPr>
                                  <w:rFonts w:hint="eastAsia"/>
                                </w:rPr>
                                <w:t>锚索质量</w:t>
                              </w:r>
                              <w:r>
                                <w:t>检验</w:t>
                              </w:r>
                            </w:p>
                          </w:txbxContent>
                        </v:textbox>
                      </v:rect>
                      <v:line id="直线 881" o:spid="_x0000_s1026" o:spt="20" style="position:absolute;left:3486;top:7015;height:325;width:9;" filled="f" stroked="t" coordsize="21600,21600" o:gfxdata="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ujX&#10;SM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rect id="矩形 882" o:spid="_x0000_s1026" o:spt="1" style="position:absolute;left:7768;top:8191;height:514;width:1523;" fillcolor="#FFFFFF" filled="t" stroked="t" coordsize="21600,21600" o:gfxdata="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YKd7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219CFDE">
                              <w:pPr>
                                <w:ind w:left="0" w:leftChars="0" w:firstLine="0" w:firstLineChars="0"/>
                              </w:pPr>
                              <w:r>
                                <w:rPr>
                                  <w:rFonts w:hint="eastAsia"/>
                                </w:rPr>
                                <w:t>锚杆安装</w:t>
                              </w:r>
                            </w:p>
                          </w:txbxContent>
                        </v:textbox>
                      </v:rect>
                      <v:line id="直线 883" o:spid="_x0000_s1026" o:spt="20" style="position:absolute;left:8384;top:7866;height:325;width:9;" filled="f" stroked="t" coordsize="21600,21600" o:gfxdata="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O+ah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84" o:spid="_x0000_s1026" o:spt="1" style="position:absolute;left:5303;top:8220;height:514;width:1392;" fillcolor="#FFFFFF" filled="t" stroked="t" coordsize="21600,21600" o:gfxdata="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jU7n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3EB0CEA">
                              <w:pPr>
                                <w:ind w:left="0" w:leftChars="0" w:firstLine="0" w:firstLineChars="0"/>
                                <w:jc w:val="both"/>
                              </w:pPr>
                              <w:r>
                                <w:rPr>
                                  <w:rFonts w:hint="eastAsia"/>
                                </w:rPr>
                                <w:t>肋槽开挖</w:t>
                              </w:r>
                            </w:p>
                          </w:txbxContent>
                        </v:textbox>
                      </v:rect>
                      <v:line id="直线 885" o:spid="_x0000_s1026" o:spt="20" style="position:absolute;left:5991;top:7895;height:325;width:0;" filled="f" stroked="t" coordsize="21600,21600" o:gfxdata="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mJqA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86" o:spid="_x0000_s1026" o:spt="1" style="position:absolute;left:2674;top:8210;height:514;width:1458;" fillcolor="#FFFFFF" filled="t" stroked="t" coordsize="21600,21600" o:gfxdata="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ZHv7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D0A545A">
                              <w:pPr>
                                <w:ind w:left="0" w:leftChars="0" w:firstLine="0" w:firstLineChars="0"/>
                                <w:jc w:val="both"/>
                              </w:pPr>
                              <w:r>
                                <w:rPr>
                                  <w:rFonts w:hint="eastAsia"/>
                                </w:rPr>
                                <w:t>锚索安装</w:t>
                              </w:r>
                            </w:p>
                          </w:txbxContent>
                        </v:textbox>
                      </v:rect>
                      <v:line id="直线 887" o:spid="_x0000_s1026" o:spt="20" style="position:absolute;left:3486;top:7886;height:325;width:9;" filled="f" stroked="t" coordsize="21600,21600" o:gfxdata="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BqFs&#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888" o:spid="_x0000_s1026" o:spt="20" style="position:absolute;left:4178;top:8481;height:0;width:1133;" filled="f" stroked="t" coordsize="21600,21600" o:gfxdata="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SgT3&#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889" o:spid="_x0000_s1026" o:spt="20" style="position:absolute;left:6695;top:8481;flip:x;height:10;width:1057;" filled="f" stroked="t" coordsize="21600,21600" o:gfxdata="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5U1H&#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90" o:spid="_x0000_s1026" o:spt="1" style="position:absolute;left:4048;top:9041;height:514;width:4045;" fillcolor="#FFFFFF" filled="t" stroked="t" coordsize="21600,21600" o:gfxdata="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q1BvL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74D1E38">
                              <w:pPr>
                                <w:ind w:left="0" w:leftChars="0" w:firstLine="0" w:firstLineChars="0"/>
                                <w:jc w:val="both"/>
                              </w:pPr>
                              <w:r>
                                <w:rPr>
                                  <w:rFonts w:hint="eastAsia"/>
                                </w:rPr>
                                <w:t>框架梁钢筋绑扎</w:t>
                              </w:r>
                              <w:r>
                                <w:t>、模板安装、砼浇筑</w:t>
                              </w:r>
                            </w:p>
                          </w:txbxContent>
                        </v:textbox>
                      </v:rect>
                      <v:line id="直线 891" o:spid="_x0000_s1026" o:spt="20" style="position:absolute;left:5999;top:8731;height:325;width:9;" filled="f" stroked="t" coordsize="21600,21600" o:gfxdata="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Padv&#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92" o:spid="_x0000_s1026" o:spt="1" style="position:absolute;left:5123;top:9883;height:514;width:1788;" fillcolor="#FFFFFF" filled="t" stroked="t" coordsize="21600,21600" o:gfxdata="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N6UL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C08EBEE">
                              <w:pPr>
                                <w:ind w:left="0" w:leftChars="0" w:firstLine="0" w:firstLineChars="0"/>
                                <w:jc w:val="both"/>
                              </w:pPr>
                              <w:r>
                                <w:t>安装锚具</w:t>
                              </w:r>
                            </w:p>
                          </w:txbxContent>
                        </v:textbox>
                      </v:rect>
                      <v:line id="直线 893" o:spid="_x0000_s1026" o:spt="20" style="position:absolute;left:6009;top:9558;height:325;width:0;" filled="f" stroked="t" coordsize="21600,21600" o:gfxdata="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7paG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94" o:spid="_x0000_s1026" o:spt="1" style="position:absolute;left:4871;top:10705;height:514;width:2430;" fillcolor="#FFFFFF" filled="t" stroked="t" coordsize="21600,21600" o:gfxdata="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gS7m/&#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241171A0">
                              <w:pPr>
                                <w:ind w:left="0" w:leftChars="0" w:firstLine="0" w:firstLineChars="0"/>
                                <w:jc w:val="both"/>
                              </w:pPr>
                              <w:r>
                                <w:rPr>
                                  <w:rFonts w:hint="eastAsia"/>
                                </w:rPr>
                                <w:t>锚孔注浆</w:t>
                              </w:r>
                              <w:r>
                                <w:t>、劈裂注浆</w:t>
                              </w:r>
                            </w:p>
                          </w:txbxContent>
                        </v:textbox>
                      </v:rect>
                      <v:line id="直线 895" o:spid="_x0000_s1026" o:spt="20" style="position:absolute;left:6008;top:10386;flip:x;height:325;width:1;" filled="f" stroked="t" coordsize="21600,21600" o:gfxdata="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92ZvQAA&#10;AN0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96" o:spid="_x0000_s1026" o:spt="1" style="position:absolute;left:4871;top:11532;height:514;width:2277;" fillcolor="#FFFFFF" filled="t" stroked="t" coordsize="21600,21600" o:gfxdata="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E/RYr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05011B9">
                              <w:pPr>
                                <w:ind w:left="0" w:leftChars="0" w:firstLine="240" w:firstLineChars="100"/>
                                <w:jc w:val="both"/>
                              </w:pPr>
                              <w:r>
                                <w:rPr>
                                  <w:rFonts w:hint="eastAsia"/>
                                </w:rPr>
                                <w:t>预应力筋张拉</w:t>
                              </w:r>
                            </w:p>
                          </w:txbxContent>
                        </v:textbox>
                      </v:rect>
                      <v:line id="直线 897" o:spid="_x0000_s1026" o:spt="20" style="position:absolute;left:6008;top:11213;flip:x;height:325;width:1;" filled="f" stroked="t" coordsize="21600,21600" o:gfxdata="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meZ1&#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98" o:spid="_x0000_s1026" o:spt="1" style="position:absolute;left:4859;top:12384;height:514;width:2277;" fillcolor="#FFFFFF" filled="t" stroked="t" coordsize="21600,21600" o:gfxdata="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R6o6/&#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5265545D">
                              <w:pPr>
                                <w:jc w:val="both"/>
                              </w:pPr>
                              <w:r>
                                <w:rPr>
                                  <w:rFonts w:hint="eastAsia"/>
                                </w:rPr>
                                <w:t>质量检验</w:t>
                              </w:r>
                            </w:p>
                          </w:txbxContent>
                        </v:textbox>
                      </v:rect>
                      <v:line id="直线 899" o:spid="_x0000_s1026" o:spt="20" style="position:absolute;left:6002;top:12053;flip:x;height:325;width:1;" filled="f" stroked="t" coordsize="21600,21600" o:gfxdata="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PNua&#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900" o:spid="_x0000_s1026" o:spt="1" style="position:absolute;left:4865;top:13208;height:514;width:2626;" fillcolor="#FFFFFF" filled="t" stroked="t" coordsize="21600,21600" o:gfxdata="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3TXYb4A&#10;AADd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331DEFAF">
                              <w:pPr>
                                <w:ind w:left="0" w:leftChars="0" w:firstLine="0" w:firstLineChars="0"/>
                                <w:jc w:val="both"/>
                              </w:pPr>
                              <w:r>
                                <w:rPr>
                                  <w:rFonts w:hint="eastAsia"/>
                                </w:rPr>
                                <w:t>封锚、</w:t>
                              </w:r>
                              <w:r>
                                <w:t>拆除施工平台</w:t>
                              </w:r>
                            </w:p>
                          </w:txbxContent>
                        </v:textbox>
                      </v:rect>
                      <v:line id="直线 901" o:spid="_x0000_s1026" o:spt="20" style="position:absolute;left:6008;top:12877;flip:x;height:325;width:1;" filled="f" stroked="t" coordsize="21600,21600" o:gfxdata="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ouB2&#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v:group>
                </v:group>
                <w10:wrap type="none"/>
                <w10:anchorlock/>
              </v:group>
            </w:pict>
          </mc:Fallback>
        </mc:AlternateContent>
      </w:r>
    </w:p>
    <w:p w14:paraId="1C5DAD9C">
      <w:pPr>
        <w:pStyle w:val="29"/>
        <w:spacing w:line="480" w:lineRule="exact"/>
        <w:ind w:firstLine="1370" w:firstLineChars="65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图</w:t>
      </w:r>
      <w:r>
        <w:rPr>
          <w:rFonts w:hint="eastAsia" w:ascii="黑体" w:hAnsi="黑体" w:eastAsia="黑体" w:cs="黑体"/>
          <w:b/>
          <w:bCs/>
          <w:sz w:val="21"/>
          <w:szCs w:val="21"/>
          <w:highlight w:val="none"/>
          <w:lang w:val="en-US" w:eastAsia="zh-CN"/>
        </w:rPr>
        <w:t>8</w:t>
      </w:r>
      <w:r>
        <w:rPr>
          <w:rFonts w:hint="eastAsia" w:ascii="黑体" w:hAnsi="黑体" w:eastAsia="黑体" w:cs="黑体"/>
          <w:b/>
          <w:bCs/>
          <w:sz w:val="21"/>
          <w:szCs w:val="21"/>
          <w:highlight w:val="none"/>
        </w:rPr>
        <w:t>.</w:t>
      </w:r>
      <w:r>
        <w:rPr>
          <w:rFonts w:hint="eastAsia" w:ascii="黑体" w:hAnsi="黑体" w:eastAsia="黑体" w:cs="黑体"/>
          <w:b/>
          <w:bCs/>
          <w:sz w:val="21"/>
          <w:szCs w:val="21"/>
          <w:highlight w:val="none"/>
          <w:lang w:val="en-US" w:eastAsia="zh-CN"/>
        </w:rPr>
        <w:t>23</w:t>
      </w:r>
      <w:r>
        <w:rPr>
          <w:rFonts w:hint="eastAsia" w:ascii="黑体" w:hAnsi="黑体" w:eastAsia="黑体" w:cs="黑体"/>
          <w:b/>
          <w:bCs/>
          <w:sz w:val="21"/>
          <w:szCs w:val="21"/>
          <w:highlight w:val="none"/>
        </w:rPr>
        <w:t xml:space="preserve">   锚索</w:t>
      </w:r>
      <w:r>
        <w:rPr>
          <w:rFonts w:hint="eastAsia" w:ascii="黑体" w:hAnsi="黑体" w:eastAsia="黑体" w:cs="黑体"/>
          <w:b/>
          <w:bCs/>
          <w:sz w:val="21"/>
          <w:szCs w:val="21"/>
          <w:highlight w:val="none"/>
          <w:lang w:eastAsia="zh-CN"/>
        </w:rPr>
        <w:t>（</w:t>
      </w:r>
      <w:r>
        <w:rPr>
          <w:rFonts w:hint="eastAsia" w:ascii="黑体" w:hAnsi="黑体" w:eastAsia="黑体" w:cs="黑体"/>
          <w:b/>
          <w:bCs/>
          <w:sz w:val="21"/>
          <w:szCs w:val="21"/>
          <w:highlight w:val="none"/>
        </w:rPr>
        <w:t>杆</w:t>
      </w:r>
      <w:r>
        <w:rPr>
          <w:rFonts w:hint="eastAsia" w:ascii="黑体" w:hAnsi="黑体" w:eastAsia="黑体" w:cs="黑体"/>
          <w:b/>
          <w:bCs/>
          <w:sz w:val="21"/>
          <w:szCs w:val="21"/>
          <w:highlight w:val="none"/>
          <w:lang w:eastAsia="zh-CN"/>
        </w:rPr>
        <w:t>）</w:t>
      </w:r>
      <w:r>
        <w:rPr>
          <w:rFonts w:hint="eastAsia" w:ascii="黑体" w:hAnsi="黑体" w:eastAsia="黑体" w:cs="黑体"/>
          <w:b/>
          <w:bCs/>
          <w:sz w:val="21"/>
          <w:szCs w:val="21"/>
          <w:highlight w:val="none"/>
        </w:rPr>
        <w:t>框架梁坡面防护施工工艺图</w:t>
      </w:r>
    </w:p>
    <w:p w14:paraId="374DC1A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杆）施工前，应根据锚固地层、锚固吨位做破坏性抗拔试验。试验孔自由段不注浆，锚固段与自由段之间设置止浆袋，锚固段外侧应设引排气管，排气管伸入锚固段内5～10cm，其注浆方法与充满标准和工程孔相同。试验时应记录各级荷载及锚头位移等详细数据，并在工程锚索（杆）施工前及时向设计单位提交试验报告，以验证与调整设计。</w:t>
      </w:r>
    </w:p>
    <w:p w14:paraId="05B58D4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安装锚索（杆）前，应先进行钻孔深度、钻孔倾角、锚索（杆）长度的检验；然后安装经现场监理检验制作合格的锚索（杆）并注浆；锚索（杆）施工完毕后，按规范要求进行锚索（杆）验收试验和长度检验。</w:t>
      </w:r>
    </w:p>
    <w:p w14:paraId="6D83970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2</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锚孔钻造</w:t>
      </w:r>
    </w:p>
    <w:p w14:paraId="239E852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按照设计桩号采用拉线尺量，结合水准测量进行放线，并用铁钎和油漆标记准确定位锚孔位置。钻机严格按照设计孔位、倾角和方位准确就位，采用测角量具控制角度，钻机导轨倾角误差不超过±1°，方位误差不超过±</w:t>
      </w:r>
      <w:r>
        <w:rPr>
          <w:rFonts w:asciiTheme="minorEastAsia" w:hAnsiTheme="minorEastAsia" w:eastAsiaTheme="minorEastAsia"/>
          <w:sz w:val="24"/>
          <w:highlight w:val="none"/>
        </w:rPr>
        <w:t>1</w:t>
      </w:r>
      <w:r>
        <w:rPr>
          <w:rFonts w:hint="eastAsia" w:asciiTheme="minorEastAsia" w:hAnsiTheme="minorEastAsia" w:eastAsiaTheme="minorEastAsia"/>
          <w:sz w:val="24"/>
          <w:highlight w:val="none"/>
        </w:rPr>
        <w:t>°。锚索（杆）成孔应根据地层选用相应的锚杆钻机，且钻进过程中严禁开水冲钻及冲洗孔壁，同时应严格控制钻进速度，防止钻孔偏斜、扭曲或变径。在钻进过程中要认真作好施工记录，如钻压、钻速、地层和地下水情况等。钻孔孔径、孔深要求不得小于设计值，并超钻</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0cm，钻进达到设计深度后，不能立即停钻，要求稳钻3～5分钟，防止孔底尖灭，同时，及时进行锚孔清理。钻进过程中若遇到塌孔，应立即停钻，并采用注浆固壁处理，待水泥砂浆初凝后，重新扫孔钻进，或采用跟管钻进工艺。</w:t>
      </w:r>
    </w:p>
    <w:p w14:paraId="1563EAB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锚孔钻造结束后，使用高压空气将孔中岩（土）粉及水全部清除出孔外，经现场监理检验合格后，方可进行锚筋体安装。</w:t>
      </w:r>
    </w:p>
    <w:p w14:paraId="3B8AEB0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3</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锚筋制作及安装</w:t>
      </w:r>
    </w:p>
    <w:p w14:paraId="6289DA7A">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锚筋的制作应搭建高于地面50cm以上与锚筋设计长度相适应的的制作台及简易防晒防雨棚，受地形限制，需在边坡平台上进行锚筋制作的，也应搭架制作，同时应做好防晒防雨措施。</w:t>
      </w:r>
    </w:p>
    <w:p w14:paraId="53BD618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锚筋下料应整齐准确，误差不大于±50</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，预留张拉段钢绞线长度1.5m，钢筋锚杆0.5m。</w:t>
      </w:r>
    </w:p>
    <w:p w14:paraId="0898213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设计预应力锚索为压力分散型锚索，其锚筋材料采用无粘结高强度低松弛钢绞线，对钢绞线不同单元和钢筋锚接头进行醒目可靠的标记。下料还应注意各单元锚索长度是不同的，钢绞线一律采用机械切割下料。挤压头的组装，挤压套、挤压簧安装准确，挤压顶推进应均匀充分，施工中应严格控制钢绞线挤压套挤压工艺，并抽样3%进行检测，确保单根挤压强度不低于200kN。组装承载体时应定位准确，挤压套通过螺栓在承载体和限位片之间栓接牢固。架线环间距为1.0～1.5m，应准确定位、绑接牢固，锚孔孔口位置必须设置一个架线环。注浆管穿索安装准确定位，绑扎结实牢固，应深入导向帽5～10cm。导向帽可点焊固定于最前端承载板上，并应留有溢浆孔，保证孔底返浆。所有的钢质部分均应均匀涂刷防腐油漆。</w:t>
      </w:r>
    </w:p>
    <w:p w14:paraId="5ED85DA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对于高强精轧螺纹锚杆，锚固段对中支架若点焊不当，将损伤杆体强度，故应与自由段一样，用套筒触角支架绑接定位。并对其自由段按设计要求进行防腐和隔离措施处理。</w:t>
      </w:r>
    </w:p>
    <w:p w14:paraId="7B6DC64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筋体摆放顺直，不扭不叉，排列均匀。锚筋体经检验合格后，方可运输至相应孔位进行安装。水平运输时，各支点间距不小于2m，且转弯半径不宜太小；垂直运输时，除主吊点外，其它吊点应使锚筋体快速安全脱钩。锚筋体安装时应按设计倾角和方位平顺推进，严禁抖动、扭转和串动，防止中途散束和卡阻。安装完成后，不得随意敲击锚筋或悬挂重物。锚筋体的安装，必须在现场监理旁站的条件下进行。</w:t>
      </w:r>
    </w:p>
    <w:p w14:paraId="718AB469">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4</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锚孔注浆</w:t>
      </w:r>
    </w:p>
    <w:p w14:paraId="473ADAB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锚索（杆）注浆采用灰砂比1</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1</w:t>
      </w:r>
      <w:r>
        <w:rPr>
          <w:rFonts w:hint="eastAsia" w:asciiTheme="minorEastAsia" w:hAnsiTheme="minorEastAsia" w:eastAsiaTheme="minorEastAsia"/>
          <w:sz w:val="24"/>
          <w:highlight w:val="none"/>
        </w:rPr>
        <w:t>～1</w:t>
      </w:r>
      <w:r>
        <w:rPr>
          <w:rFonts w:hint="eastAsia" w:asciiTheme="minorEastAsia" w:hAnsiTheme="minorEastAsia" w:eastAsiaTheme="minorEastAsia"/>
          <w:sz w:val="24"/>
          <w:highlight w:val="none"/>
          <w:lang w:eastAsia="zh-CN"/>
        </w:rPr>
        <w:t>：</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，水灰比0.</w:t>
      </w:r>
      <w:r>
        <w:rPr>
          <w:rFonts w:asciiTheme="minorEastAsia" w:hAnsiTheme="minorEastAsia" w:eastAsiaTheme="minorEastAsia"/>
          <w:sz w:val="24"/>
          <w:highlight w:val="none"/>
        </w:rPr>
        <w:t>45</w:t>
      </w:r>
      <w:r>
        <w:rPr>
          <w:rFonts w:hint="eastAsia" w:asciiTheme="minorEastAsia" w:hAnsiTheme="minorEastAsia" w:eastAsiaTheme="minorEastAsia"/>
          <w:sz w:val="24"/>
          <w:highlight w:val="none"/>
        </w:rPr>
        <w:t>～0.5的纯水泥浆，其中锚固段遇土质或砂土状强风化岩层且富水时应采用二次高压劈裂注浆法来提高地层锚固力。</w:t>
      </w:r>
    </w:p>
    <w:p w14:paraId="2E0FF49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注浆材料要求严格按照经试验合格的配合比备料，注浆浆液应严格按照配合比搅拌均匀，随拌随用，浆体强度不低于40Mpa。锚孔注浆必须采用孔底返浆方法（注浆压力一般为2.0Mpa左右），直至孔口溢出新鲜浆液，严禁抽拔注浆管或孔口注浆；如发现孔口浆面回落，应在30分钟内进行孔底压注补浆2～3次，确保孔口浆体充满。在注浆作业开始和中途停止较长时间再作业时，应用水或水泥稀浆润滑注浆泵及注浆管路。注浆过程应认真做好现场施工注浆记录，每批次注浆都应进行浆体强度试验，试件不得小于两组。浆体未达到设计强度的70％时，不得在锚筋体端头悬挂重物和拉绑碰撞。锚孔钻造完成后应及时进行锚筋体安装和锚孔注浆，原则上不得超过24小时。当采用二次劈裂注浆提高地层锚固力时，以浆体强度控制开始劈注时间（一次注浆体强度为5Mpa），需在二次注浆管的锚固段内设花孔和封塞，二次注浆的高压注浆管应采用镀锌铁管或钢管。注浆材料加入聚丙烯腈纤维（</w:t>
      </w:r>
      <w:r>
        <w:rPr>
          <w:rFonts w:asciiTheme="minorEastAsia" w:hAnsiTheme="minorEastAsia" w:eastAsiaTheme="minorEastAsia"/>
          <w:sz w:val="24"/>
          <w:highlight w:val="none"/>
        </w:rPr>
        <w:t>PAN</w:t>
      </w:r>
      <w:r>
        <w:rPr>
          <w:rFonts w:hint="eastAsia" w:asciiTheme="minorEastAsia" w:hAnsiTheme="minorEastAsia" w:eastAsiaTheme="minorEastAsia"/>
          <w:sz w:val="24"/>
          <w:highlight w:val="none"/>
        </w:rPr>
        <w:t>），掺入量为每方</w:t>
      </w:r>
      <w:r>
        <w:rPr>
          <w:rFonts w:asciiTheme="minorEastAsia" w:hAnsiTheme="minorEastAsia" w:eastAsiaTheme="minorEastAsia"/>
          <w:sz w:val="24"/>
          <w:highlight w:val="none"/>
        </w:rPr>
        <w:t>1.8</w:t>
      </w:r>
      <w:r>
        <w:rPr>
          <w:rFonts w:hint="eastAsia" w:asciiTheme="minorEastAsia" w:hAnsiTheme="minorEastAsia" w:eastAsiaTheme="minorEastAsia"/>
          <w:sz w:val="24"/>
          <w:highlight w:val="none"/>
        </w:rPr>
        <w:t>～</w:t>
      </w:r>
      <w:r>
        <w:rPr>
          <w:rFonts w:asciiTheme="minorEastAsia" w:hAnsiTheme="minorEastAsia" w:eastAsiaTheme="minorEastAsia"/>
          <w:sz w:val="24"/>
          <w:highlight w:val="none"/>
        </w:rPr>
        <w:t>2.0kg</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纤维抗拉强度不小于</w:t>
      </w:r>
      <w:r>
        <w:rPr>
          <w:rFonts w:asciiTheme="minorEastAsia" w:hAnsiTheme="minorEastAsia" w:eastAsiaTheme="minorEastAsia"/>
          <w:sz w:val="24"/>
          <w:highlight w:val="none"/>
        </w:rPr>
        <w:t>700MPa</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，其技术指标详见表4</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lang w:val="en-US" w:eastAsia="zh-CN"/>
        </w:rPr>
        <w:t>17</w:t>
      </w:r>
      <w:r>
        <w:rPr>
          <w:rFonts w:hint="eastAsia" w:asciiTheme="minorEastAsia" w:hAnsiTheme="minorEastAsia" w:eastAsiaTheme="minorEastAsia"/>
          <w:sz w:val="24"/>
          <w:highlight w:val="none"/>
        </w:rPr>
        <w:t>。</w:t>
      </w:r>
    </w:p>
    <w:p w14:paraId="4393B13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锚孔注浆施工应严格执行有关施工规定和设计要求，监理应全过程旁站，确保锚固工程质量。</w:t>
      </w:r>
    </w:p>
    <w:p w14:paraId="1C04F40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5</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锚筋张拉锁定</w:t>
      </w:r>
    </w:p>
    <w:p w14:paraId="478399F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注浆浆体与台座混凝土强度达到设计强度80％以上时，方可进行张拉锁定作业。如为选定进行验收试验的锚孔，应在达到设计强度的条件下，待验收试验结束并经检验合格后再进行。验收试验的锚孔应由监理工程师、设计代表现场确定。</w:t>
      </w:r>
    </w:p>
    <w:p w14:paraId="03FA644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斜托台座的承压面应平整，并与锚筋的轴线方向垂直。锚具安装应与锚垫板和千斤顶密贴对中，千斤顶轴线与锚孔及锚筋体同轴一线，确保承载均匀。锚筋的张拉必须采用智能张拉设备，设备在张拉作业前应进行标定，锚具、夹片等检验合格后方可使用。</w:t>
      </w:r>
    </w:p>
    <w:p w14:paraId="0B9DC694">
      <w:pPr>
        <w:pStyle w:val="29"/>
        <w:spacing w:line="480" w:lineRule="exact"/>
        <w:ind w:firstLine="1370" w:firstLineChars="650"/>
        <w:jc w:val="center"/>
        <w:rPr>
          <w:rFonts w:hint="eastAsia" w:ascii="黑体" w:hAnsi="黑体" w:eastAsia="黑体" w:cs="黑体"/>
          <w:b/>
          <w:bCs/>
          <w:sz w:val="21"/>
          <w:szCs w:val="21"/>
          <w:highlight w:val="none"/>
        </w:rPr>
      </w:pPr>
      <w:r>
        <w:rPr>
          <w:rFonts w:hint="eastAsia" w:ascii="黑体" w:hAnsi="黑体" w:eastAsia="黑体" w:cs="黑体"/>
          <w:b/>
          <w:bCs/>
          <w:sz w:val="21"/>
          <w:szCs w:val="21"/>
          <w:highlight w:val="none"/>
        </w:rPr>
        <w:t>表4.</w:t>
      </w:r>
      <w:r>
        <w:rPr>
          <w:rFonts w:hint="eastAsia" w:ascii="黑体" w:hAnsi="黑体" w:eastAsia="黑体" w:cs="黑体"/>
          <w:b/>
          <w:bCs/>
          <w:sz w:val="21"/>
          <w:szCs w:val="21"/>
          <w:highlight w:val="none"/>
          <w:lang w:val="en-US" w:eastAsia="zh-CN"/>
        </w:rPr>
        <w:t>17</w:t>
      </w:r>
      <w:r>
        <w:rPr>
          <w:rFonts w:hint="eastAsia" w:ascii="黑体" w:hAnsi="黑体" w:eastAsia="黑体" w:cs="黑体"/>
          <w:b/>
          <w:bCs/>
          <w:sz w:val="21"/>
          <w:szCs w:val="21"/>
          <w:highlight w:val="none"/>
        </w:rPr>
        <w:t xml:space="preserve">  聚丙烯腈纤维技术指标表</w:t>
      </w:r>
    </w:p>
    <w:tbl>
      <w:tblPr>
        <w:tblStyle w:val="47"/>
        <w:tblW w:w="0" w:type="auto"/>
        <w:jc w:val="center"/>
        <w:tblLayout w:type="fixed"/>
        <w:tblCellMar>
          <w:top w:w="0" w:type="dxa"/>
          <w:left w:w="108" w:type="dxa"/>
          <w:bottom w:w="0" w:type="dxa"/>
          <w:right w:w="108" w:type="dxa"/>
        </w:tblCellMar>
      </w:tblPr>
      <w:tblGrid>
        <w:gridCol w:w="1975"/>
        <w:gridCol w:w="1679"/>
        <w:gridCol w:w="1338"/>
        <w:gridCol w:w="3157"/>
      </w:tblGrid>
      <w:tr w14:paraId="1B628FD7">
        <w:tblPrEx>
          <w:tblCellMar>
            <w:top w:w="0" w:type="dxa"/>
            <w:left w:w="108" w:type="dxa"/>
            <w:bottom w:w="0" w:type="dxa"/>
            <w:right w:w="108" w:type="dxa"/>
          </w:tblCellMar>
        </w:tblPrEx>
        <w:trPr>
          <w:trHeight w:val="350" w:hRule="atLeast"/>
          <w:jc w:val="center"/>
        </w:trPr>
        <w:tc>
          <w:tcPr>
            <w:tcW w:w="8149" w:type="dxa"/>
            <w:gridSpan w:val="4"/>
            <w:tcBorders>
              <w:top w:val="single" w:color="auto" w:sz="4" w:space="0"/>
              <w:left w:val="single" w:color="auto" w:sz="4" w:space="0"/>
              <w:bottom w:val="single" w:color="auto" w:sz="4" w:space="0"/>
              <w:right w:val="single" w:color="auto" w:sz="4" w:space="0"/>
            </w:tcBorders>
            <w:vAlign w:val="center"/>
          </w:tcPr>
          <w:p w14:paraId="1F066F8C">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聚丙烯腈纤维（PAN）技术指标表</w:t>
            </w:r>
          </w:p>
        </w:tc>
      </w:tr>
      <w:tr w14:paraId="7EBC8D56">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5EBD965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项目名称</w:t>
            </w:r>
          </w:p>
        </w:tc>
        <w:tc>
          <w:tcPr>
            <w:tcW w:w="1338" w:type="dxa"/>
            <w:tcBorders>
              <w:top w:val="single" w:color="auto" w:sz="4" w:space="0"/>
              <w:left w:val="nil"/>
              <w:bottom w:val="single" w:color="auto" w:sz="4" w:space="0"/>
              <w:right w:val="single" w:color="auto" w:sz="4" w:space="0"/>
            </w:tcBorders>
            <w:vAlign w:val="center"/>
          </w:tcPr>
          <w:p w14:paraId="28D9B42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单位</w:t>
            </w:r>
          </w:p>
        </w:tc>
        <w:tc>
          <w:tcPr>
            <w:tcW w:w="3157" w:type="dxa"/>
            <w:tcBorders>
              <w:top w:val="single" w:color="auto" w:sz="4" w:space="0"/>
              <w:left w:val="nil"/>
              <w:bottom w:val="single" w:color="auto" w:sz="4" w:space="0"/>
              <w:right w:val="single" w:color="auto" w:sz="4" w:space="0"/>
            </w:tcBorders>
            <w:vAlign w:val="center"/>
          </w:tcPr>
          <w:p w14:paraId="03608799">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技术指标</w:t>
            </w:r>
          </w:p>
        </w:tc>
      </w:tr>
      <w:tr w14:paraId="5FCA67F4">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392E4C2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抗拉强度</w:t>
            </w:r>
          </w:p>
        </w:tc>
        <w:tc>
          <w:tcPr>
            <w:tcW w:w="1338" w:type="dxa"/>
            <w:tcBorders>
              <w:top w:val="nil"/>
              <w:left w:val="nil"/>
              <w:bottom w:val="single" w:color="auto" w:sz="4" w:space="0"/>
              <w:right w:val="single" w:color="auto" w:sz="4" w:space="0"/>
            </w:tcBorders>
            <w:vAlign w:val="center"/>
          </w:tcPr>
          <w:p w14:paraId="32952DF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Mpa</w:t>
            </w:r>
          </w:p>
        </w:tc>
        <w:tc>
          <w:tcPr>
            <w:tcW w:w="3157" w:type="dxa"/>
            <w:tcBorders>
              <w:top w:val="nil"/>
              <w:left w:val="nil"/>
              <w:bottom w:val="single" w:color="auto" w:sz="4" w:space="0"/>
              <w:right w:val="single" w:color="auto" w:sz="4" w:space="0"/>
            </w:tcBorders>
            <w:vAlign w:val="center"/>
          </w:tcPr>
          <w:p w14:paraId="1F2772D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＞910</w:t>
            </w:r>
          </w:p>
        </w:tc>
      </w:tr>
      <w:tr w14:paraId="11F99997">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49F5F1F7">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弹性模量</w:t>
            </w:r>
          </w:p>
        </w:tc>
        <w:tc>
          <w:tcPr>
            <w:tcW w:w="1338" w:type="dxa"/>
            <w:tcBorders>
              <w:top w:val="nil"/>
              <w:left w:val="nil"/>
              <w:bottom w:val="single" w:color="auto" w:sz="4" w:space="0"/>
              <w:right w:val="single" w:color="auto" w:sz="4" w:space="0"/>
            </w:tcBorders>
            <w:vAlign w:val="center"/>
          </w:tcPr>
          <w:p w14:paraId="4D6FFE9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Mpa</w:t>
            </w:r>
          </w:p>
        </w:tc>
        <w:tc>
          <w:tcPr>
            <w:tcW w:w="3157" w:type="dxa"/>
            <w:tcBorders>
              <w:top w:val="nil"/>
              <w:left w:val="nil"/>
              <w:bottom w:val="single" w:color="auto" w:sz="4" w:space="0"/>
              <w:right w:val="single" w:color="auto" w:sz="4" w:space="0"/>
            </w:tcBorders>
            <w:vAlign w:val="center"/>
          </w:tcPr>
          <w:p w14:paraId="0BAD2DC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＞17100</w:t>
            </w:r>
          </w:p>
        </w:tc>
      </w:tr>
      <w:tr w14:paraId="16E5E0E6">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2E6CD31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断裂延伸率</w:t>
            </w:r>
          </w:p>
        </w:tc>
        <w:tc>
          <w:tcPr>
            <w:tcW w:w="1338" w:type="dxa"/>
            <w:tcBorders>
              <w:top w:val="nil"/>
              <w:left w:val="nil"/>
              <w:bottom w:val="single" w:color="auto" w:sz="4" w:space="0"/>
              <w:right w:val="single" w:color="auto" w:sz="4" w:space="0"/>
            </w:tcBorders>
            <w:vAlign w:val="center"/>
          </w:tcPr>
          <w:p w14:paraId="11E4EDA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w:t>
            </w:r>
          </w:p>
        </w:tc>
        <w:tc>
          <w:tcPr>
            <w:tcW w:w="3157" w:type="dxa"/>
            <w:tcBorders>
              <w:top w:val="nil"/>
              <w:left w:val="nil"/>
              <w:bottom w:val="single" w:color="auto" w:sz="4" w:space="0"/>
              <w:right w:val="single" w:color="auto" w:sz="4" w:space="0"/>
            </w:tcBorders>
            <w:vAlign w:val="center"/>
          </w:tcPr>
          <w:p w14:paraId="6028D65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＞15</w:t>
            </w:r>
          </w:p>
        </w:tc>
      </w:tr>
      <w:tr w14:paraId="5B667022">
        <w:tblPrEx>
          <w:tblCellMar>
            <w:top w:w="0" w:type="dxa"/>
            <w:left w:w="108" w:type="dxa"/>
            <w:bottom w:w="0" w:type="dxa"/>
            <w:right w:w="108" w:type="dxa"/>
          </w:tblCellMar>
        </w:tblPrEx>
        <w:trPr>
          <w:trHeight w:val="351"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062F9271">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密度</w:t>
            </w:r>
          </w:p>
        </w:tc>
        <w:tc>
          <w:tcPr>
            <w:tcW w:w="1338" w:type="dxa"/>
            <w:tcBorders>
              <w:top w:val="nil"/>
              <w:left w:val="nil"/>
              <w:bottom w:val="single" w:color="auto" w:sz="4" w:space="0"/>
              <w:right w:val="single" w:color="auto" w:sz="4" w:space="0"/>
            </w:tcBorders>
            <w:vAlign w:val="center"/>
          </w:tcPr>
          <w:p w14:paraId="74957D81">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g/cm3</w:t>
            </w:r>
          </w:p>
        </w:tc>
        <w:tc>
          <w:tcPr>
            <w:tcW w:w="3157" w:type="dxa"/>
            <w:tcBorders>
              <w:top w:val="nil"/>
              <w:left w:val="nil"/>
              <w:bottom w:val="single" w:color="auto" w:sz="4" w:space="0"/>
              <w:right w:val="single" w:color="auto" w:sz="4" w:space="0"/>
            </w:tcBorders>
            <w:vAlign w:val="center"/>
          </w:tcPr>
          <w:p w14:paraId="56E4761E">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≥1.18</w:t>
            </w:r>
          </w:p>
        </w:tc>
      </w:tr>
      <w:tr w14:paraId="78164D35">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4A55074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熔点</w:t>
            </w:r>
          </w:p>
        </w:tc>
        <w:tc>
          <w:tcPr>
            <w:tcW w:w="1338" w:type="dxa"/>
            <w:tcBorders>
              <w:top w:val="nil"/>
              <w:left w:val="nil"/>
              <w:bottom w:val="single" w:color="auto" w:sz="4" w:space="0"/>
              <w:right w:val="single" w:color="auto" w:sz="4" w:space="0"/>
            </w:tcBorders>
            <w:vAlign w:val="center"/>
          </w:tcPr>
          <w:p w14:paraId="29FFBCB9">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ºC</w:t>
            </w:r>
          </w:p>
        </w:tc>
        <w:tc>
          <w:tcPr>
            <w:tcW w:w="3157" w:type="dxa"/>
            <w:tcBorders>
              <w:top w:val="nil"/>
              <w:left w:val="nil"/>
              <w:bottom w:val="single" w:color="auto" w:sz="4" w:space="0"/>
              <w:right w:val="single" w:color="auto" w:sz="4" w:space="0"/>
            </w:tcBorders>
            <w:vAlign w:val="center"/>
          </w:tcPr>
          <w:p w14:paraId="2A3D03C5">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＞220</w:t>
            </w:r>
          </w:p>
        </w:tc>
      </w:tr>
      <w:tr w14:paraId="0D5F6366">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3742F31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单丝当量直径</w:t>
            </w:r>
          </w:p>
        </w:tc>
        <w:tc>
          <w:tcPr>
            <w:tcW w:w="1338" w:type="dxa"/>
            <w:tcBorders>
              <w:top w:val="nil"/>
              <w:left w:val="nil"/>
              <w:bottom w:val="single" w:color="auto" w:sz="4" w:space="0"/>
              <w:right w:val="single" w:color="auto" w:sz="4" w:space="0"/>
            </w:tcBorders>
            <w:vAlign w:val="center"/>
          </w:tcPr>
          <w:p w14:paraId="0B47AA5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μm</w:t>
            </w:r>
          </w:p>
        </w:tc>
        <w:tc>
          <w:tcPr>
            <w:tcW w:w="3157" w:type="dxa"/>
            <w:tcBorders>
              <w:top w:val="nil"/>
              <w:left w:val="nil"/>
              <w:bottom w:val="single" w:color="auto" w:sz="4" w:space="0"/>
              <w:right w:val="single" w:color="auto" w:sz="4" w:space="0"/>
            </w:tcBorders>
            <w:vAlign w:val="center"/>
          </w:tcPr>
          <w:p w14:paraId="45800A34">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13，偏差≤±10％</w:t>
            </w:r>
          </w:p>
        </w:tc>
      </w:tr>
      <w:tr w14:paraId="71E16FBF">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1DBE459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长度</w:t>
            </w:r>
          </w:p>
        </w:tc>
        <w:tc>
          <w:tcPr>
            <w:tcW w:w="1338" w:type="dxa"/>
            <w:tcBorders>
              <w:top w:val="nil"/>
              <w:left w:val="nil"/>
              <w:bottom w:val="single" w:color="auto" w:sz="4" w:space="0"/>
              <w:right w:val="single" w:color="auto" w:sz="4" w:space="0"/>
            </w:tcBorders>
            <w:vAlign w:val="center"/>
          </w:tcPr>
          <w:p w14:paraId="1B58853A">
            <w:pPr>
              <w:spacing w:line="360" w:lineRule="auto"/>
              <w:jc w:val="center"/>
              <w:rPr>
                <w:rFonts w:hint="eastAsia" w:asciiTheme="minorEastAsia" w:hAnsiTheme="minorEastAsia" w:eastAsiaTheme="minorEastAsia"/>
                <w:sz w:val="24"/>
                <w:szCs w:val="24"/>
                <w:highlight w:val="none"/>
                <w:lang w:eastAsia="zh-CN"/>
              </w:rPr>
            </w:pPr>
            <w:r>
              <w:rPr>
                <w:rFonts w:hint="eastAsia" w:asciiTheme="minorEastAsia" w:hAnsiTheme="minorEastAsia" w:eastAsiaTheme="minorEastAsia"/>
                <w:sz w:val="24"/>
                <w:szCs w:val="24"/>
                <w:highlight w:val="none"/>
                <w:lang w:eastAsia="zh-CN"/>
              </w:rPr>
              <w:t>mm</w:t>
            </w:r>
          </w:p>
        </w:tc>
        <w:tc>
          <w:tcPr>
            <w:tcW w:w="3157" w:type="dxa"/>
            <w:tcBorders>
              <w:top w:val="nil"/>
              <w:left w:val="nil"/>
              <w:bottom w:val="single" w:color="auto" w:sz="4" w:space="0"/>
              <w:right w:val="single" w:color="auto" w:sz="4" w:space="0"/>
            </w:tcBorders>
            <w:vAlign w:val="center"/>
          </w:tcPr>
          <w:p w14:paraId="06E764A3">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6，偏差≤±10％</w:t>
            </w:r>
          </w:p>
        </w:tc>
      </w:tr>
      <w:tr w14:paraId="45D6F819">
        <w:tblPrEx>
          <w:tblCellMar>
            <w:top w:w="0" w:type="dxa"/>
            <w:left w:w="108" w:type="dxa"/>
            <w:bottom w:w="0" w:type="dxa"/>
            <w:right w:w="108" w:type="dxa"/>
          </w:tblCellMar>
        </w:tblPrEx>
        <w:trPr>
          <w:trHeight w:val="350"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0EE05A9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抗碱能力</w:t>
            </w:r>
          </w:p>
        </w:tc>
        <w:tc>
          <w:tcPr>
            <w:tcW w:w="4495" w:type="dxa"/>
            <w:gridSpan w:val="2"/>
            <w:tcBorders>
              <w:top w:val="single" w:color="auto" w:sz="4" w:space="0"/>
              <w:left w:val="nil"/>
              <w:bottom w:val="single" w:color="auto" w:sz="4" w:space="0"/>
              <w:right w:val="single" w:color="auto" w:sz="4" w:space="0"/>
            </w:tcBorders>
            <w:vAlign w:val="center"/>
          </w:tcPr>
          <w:p w14:paraId="25684FE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抗拉强度的保持率不小于99％</w:t>
            </w:r>
          </w:p>
        </w:tc>
      </w:tr>
      <w:tr w14:paraId="28A5BD48">
        <w:tblPrEx>
          <w:tblCellMar>
            <w:top w:w="0" w:type="dxa"/>
            <w:left w:w="108" w:type="dxa"/>
            <w:bottom w:w="0" w:type="dxa"/>
            <w:right w:w="108" w:type="dxa"/>
          </w:tblCellMar>
        </w:tblPrEx>
        <w:trPr>
          <w:trHeight w:val="351" w:hRule="atLeast"/>
          <w:jc w:val="center"/>
        </w:trPr>
        <w:tc>
          <w:tcPr>
            <w:tcW w:w="3654" w:type="dxa"/>
            <w:gridSpan w:val="2"/>
            <w:tcBorders>
              <w:top w:val="single" w:color="auto" w:sz="4" w:space="0"/>
              <w:left w:val="single" w:color="auto" w:sz="4" w:space="0"/>
              <w:bottom w:val="single" w:color="auto" w:sz="4" w:space="0"/>
              <w:right w:val="single" w:color="auto" w:sz="4" w:space="0"/>
            </w:tcBorders>
            <w:vAlign w:val="center"/>
          </w:tcPr>
          <w:p w14:paraId="36BBD7E4">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耐热稳定性</w:t>
            </w:r>
          </w:p>
        </w:tc>
        <w:tc>
          <w:tcPr>
            <w:tcW w:w="4495" w:type="dxa"/>
            <w:gridSpan w:val="2"/>
            <w:tcBorders>
              <w:top w:val="single" w:color="auto" w:sz="4" w:space="0"/>
              <w:left w:val="nil"/>
              <w:bottom w:val="single" w:color="auto" w:sz="4" w:space="0"/>
              <w:right w:val="single" w:color="auto" w:sz="4" w:space="0"/>
            </w:tcBorders>
            <w:vAlign w:val="center"/>
          </w:tcPr>
          <w:p w14:paraId="22E2B9D8">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良好</w:t>
            </w:r>
          </w:p>
        </w:tc>
      </w:tr>
      <w:tr w14:paraId="60AF6BC1">
        <w:tblPrEx>
          <w:tblCellMar>
            <w:top w:w="0" w:type="dxa"/>
            <w:left w:w="108" w:type="dxa"/>
            <w:bottom w:w="0" w:type="dxa"/>
            <w:right w:w="108" w:type="dxa"/>
          </w:tblCellMar>
        </w:tblPrEx>
        <w:trPr>
          <w:trHeight w:val="350" w:hRule="atLeast"/>
          <w:jc w:val="center"/>
        </w:trPr>
        <w:tc>
          <w:tcPr>
            <w:tcW w:w="1975" w:type="dxa"/>
            <w:vMerge w:val="restart"/>
            <w:tcBorders>
              <w:top w:val="nil"/>
              <w:left w:val="single" w:color="auto" w:sz="4" w:space="0"/>
              <w:bottom w:val="single" w:color="auto" w:sz="4" w:space="0"/>
              <w:right w:val="single" w:color="auto" w:sz="4" w:space="0"/>
            </w:tcBorders>
            <w:vAlign w:val="center"/>
          </w:tcPr>
          <w:p w14:paraId="6115F00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外观质量</w:t>
            </w:r>
          </w:p>
        </w:tc>
        <w:tc>
          <w:tcPr>
            <w:tcW w:w="1679" w:type="dxa"/>
            <w:tcBorders>
              <w:top w:val="nil"/>
              <w:left w:val="nil"/>
              <w:bottom w:val="single" w:color="auto" w:sz="4" w:space="0"/>
              <w:right w:val="single" w:color="auto" w:sz="4" w:space="0"/>
            </w:tcBorders>
            <w:vAlign w:val="center"/>
          </w:tcPr>
          <w:p w14:paraId="7626144C">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形状</w:t>
            </w:r>
          </w:p>
        </w:tc>
        <w:tc>
          <w:tcPr>
            <w:tcW w:w="4495" w:type="dxa"/>
            <w:gridSpan w:val="2"/>
            <w:tcBorders>
              <w:top w:val="single" w:color="auto" w:sz="4" w:space="0"/>
              <w:left w:val="nil"/>
              <w:bottom w:val="single" w:color="auto" w:sz="4" w:space="0"/>
              <w:right w:val="single" w:color="auto" w:sz="4" w:space="0"/>
            </w:tcBorders>
            <w:vAlign w:val="center"/>
          </w:tcPr>
          <w:p w14:paraId="7DE89C7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束状丝，腰果形截面</w:t>
            </w:r>
          </w:p>
        </w:tc>
      </w:tr>
      <w:tr w14:paraId="4360088B">
        <w:tblPrEx>
          <w:tblCellMar>
            <w:top w:w="0" w:type="dxa"/>
            <w:left w:w="108" w:type="dxa"/>
            <w:bottom w:w="0" w:type="dxa"/>
            <w:right w:w="108" w:type="dxa"/>
          </w:tblCellMar>
        </w:tblPrEx>
        <w:trPr>
          <w:trHeight w:val="350" w:hRule="atLeast"/>
          <w:jc w:val="center"/>
        </w:trPr>
        <w:tc>
          <w:tcPr>
            <w:tcW w:w="1975" w:type="dxa"/>
            <w:vMerge w:val="continue"/>
            <w:tcBorders>
              <w:top w:val="nil"/>
              <w:left w:val="single" w:color="auto" w:sz="4" w:space="0"/>
              <w:bottom w:val="single" w:color="auto" w:sz="4" w:space="0"/>
              <w:right w:val="single" w:color="auto" w:sz="4" w:space="0"/>
            </w:tcBorders>
            <w:vAlign w:val="center"/>
          </w:tcPr>
          <w:p w14:paraId="4BE3D961">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nil"/>
              <w:left w:val="nil"/>
              <w:bottom w:val="single" w:color="auto" w:sz="4" w:space="0"/>
              <w:right w:val="single" w:color="auto" w:sz="4" w:space="0"/>
            </w:tcBorders>
            <w:vAlign w:val="center"/>
          </w:tcPr>
          <w:p w14:paraId="28D1C3ED">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色差</w:t>
            </w:r>
          </w:p>
        </w:tc>
        <w:tc>
          <w:tcPr>
            <w:tcW w:w="4495" w:type="dxa"/>
            <w:gridSpan w:val="2"/>
            <w:tcBorders>
              <w:top w:val="single" w:color="auto" w:sz="4" w:space="0"/>
              <w:left w:val="nil"/>
              <w:bottom w:val="single" w:color="auto" w:sz="4" w:space="0"/>
              <w:right w:val="single" w:color="auto" w:sz="4" w:space="0"/>
            </w:tcBorders>
            <w:vAlign w:val="center"/>
          </w:tcPr>
          <w:p w14:paraId="73196B8B">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基本一致</w:t>
            </w:r>
          </w:p>
        </w:tc>
      </w:tr>
      <w:tr w14:paraId="147BA9CC">
        <w:tblPrEx>
          <w:tblCellMar>
            <w:top w:w="0" w:type="dxa"/>
            <w:left w:w="108" w:type="dxa"/>
            <w:bottom w:w="0" w:type="dxa"/>
            <w:right w:w="108" w:type="dxa"/>
          </w:tblCellMar>
        </w:tblPrEx>
        <w:trPr>
          <w:trHeight w:val="350" w:hRule="atLeast"/>
          <w:jc w:val="center"/>
        </w:trPr>
        <w:tc>
          <w:tcPr>
            <w:tcW w:w="1975" w:type="dxa"/>
            <w:vMerge w:val="continue"/>
            <w:tcBorders>
              <w:top w:val="nil"/>
              <w:left w:val="single" w:color="auto" w:sz="4" w:space="0"/>
              <w:bottom w:val="single" w:color="auto" w:sz="4" w:space="0"/>
              <w:right w:val="single" w:color="auto" w:sz="4" w:space="0"/>
            </w:tcBorders>
            <w:vAlign w:val="center"/>
          </w:tcPr>
          <w:p w14:paraId="6B7B1AD4">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nil"/>
              <w:left w:val="nil"/>
              <w:bottom w:val="single" w:color="auto" w:sz="4" w:space="0"/>
              <w:right w:val="single" w:color="auto" w:sz="4" w:space="0"/>
            </w:tcBorders>
            <w:vAlign w:val="center"/>
          </w:tcPr>
          <w:p w14:paraId="769C0C2A">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手感</w:t>
            </w:r>
          </w:p>
        </w:tc>
        <w:tc>
          <w:tcPr>
            <w:tcW w:w="4495" w:type="dxa"/>
            <w:gridSpan w:val="2"/>
            <w:tcBorders>
              <w:top w:val="single" w:color="auto" w:sz="4" w:space="0"/>
              <w:left w:val="nil"/>
              <w:bottom w:val="single" w:color="auto" w:sz="4" w:space="0"/>
              <w:right w:val="single" w:color="000000" w:sz="4" w:space="0"/>
            </w:tcBorders>
            <w:vAlign w:val="center"/>
          </w:tcPr>
          <w:p w14:paraId="04EDC7B5">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柔软</w:t>
            </w:r>
          </w:p>
        </w:tc>
      </w:tr>
      <w:tr w14:paraId="412CFE4E">
        <w:tblPrEx>
          <w:tblCellMar>
            <w:top w:w="0" w:type="dxa"/>
            <w:left w:w="108" w:type="dxa"/>
            <w:bottom w:w="0" w:type="dxa"/>
            <w:right w:w="108" w:type="dxa"/>
          </w:tblCellMar>
        </w:tblPrEx>
        <w:trPr>
          <w:trHeight w:val="350" w:hRule="atLeast"/>
          <w:jc w:val="center"/>
        </w:trPr>
        <w:tc>
          <w:tcPr>
            <w:tcW w:w="1975" w:type="dxa"/>
            <w:vMerge w:val="continue"/>
            <w:tcBorders>
              <w:left w:val="single" w:color="auto" w:sz="4" w:space="0"/>
              <w:bottom w:val="single" w:color="auto" w:sz="4" w:space="0"/>
              <w:right w:val="single" w:color="auto" w:sz="4" w:space="0"/>
            </w:tcBorders>
            <w:vAlign w:val="center"/>
          </w:tcPr>
          <w:p w14:paraId="1D989358">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single" w:color="auto" w:sz="4" w:space="0"/>
              <w:left w:val="nil"/>
              <w:bottom w:val="single" w:color="auto" w:sz="4" w:space="0"/>
              <w:right w:val="single" w:color="auto" w:sz="4" w:space="0"/>
            </w:tcBorders>
            <w:vAlign w:val="center"/>
          </w:tcPr>
          <w:p w14:paraId="12DB53A6">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未牵引丝</w:t>
            </w:r>
          </w:p>
        </w:tc>
        <w:tc>
          <w:tcPr>
            <w:tcW w:w="4495" w:type="dxa"/>
            <w:gridSpan w:val="2"/>
            <w:tcBorders>
              <w:top w:val="single" w:color="auto" w:sz="4" w:space="0"/>
              <w:left w:val="nil"/>
              <w:bottom w:val="single" w:color="auto" w:sz="4" w:space="0"/>
              <w:right w:val="single" w:color="auto" w:sz="4" w:space="0"/>
            </w:tcBorders>
            <w:vAlign w:val="center"/>
          </w:tcPr>
          <w:p w14:paraId="5C62865A">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不允许有</w:t>
            </w:r>
          </w:p>
        </w:tc>
      </w:tr>
      <w:tr w14:paraId="3746841F">
        <w:tblPrEx>
          <w:tblCellMar>
            <w:top w:w="0" w:type="dxa"/>
            <w:left w:w="108" w:type="dxa"/>
            <w:bottom w:w="0" w:type="dxa"/>
            <w:right w:w="108" w:type="dxa"/>
          </w:tblCellMar>
        </w:tblPrEx>
        <w:trPr>
          <w:trHeight w:val="351" w:hRule="atLeast"/>
          <w:jc w:val="center"/>
        </w:trPr>
        <w:tc>
          <w:tcPr>
            <w:tcW w:w="1975" w:type="dxa"/>
            <w:vMerge w:val="continue"/>
            <w:tcBorders>
              <w:left w:val="single" w:color="auto" w:sz="4" w:space="0"/>
              <w:bottom w:val="single" w:color="auto" w:sz="4" w:space="0"/>
              <w:right w:val="single" w:color="auto" w:sz="4" w:space="0"/>
            </w:tcBorders>
            <w:vAlign w:val="center"/>
          </w:tcPr>
          <w:p w14:paraId="609F8778">
            <w:pPr>
              <w:spacing w:line="360" w:lineRule="auto"/>
              <w:ind w:firstLine="480" w:firstLineChars="200"/>
              <w:jc w:val="center"/>
              <w:rPr>
                <w:rFonts w:asciiTheme="minorEastAsia" w:hAnsiTheme="minorEastAsia" w:eastAsiaTheme="minorEastAsia"/>
                <w:sz w:val="24"/>
                <w:szCs w:val="24"/>
                <w:highlight w:val="none"/>
              </w:rPr>
            </w:pPr>
          </w:p>
        </w:tc>
        <w:tc>
          <w:tcPr>
            <w:tcW w:w="1679" w:type="dxa"/>
            <w:tcBorders>
              <w:top w:val="single" w:color="auto" w:sz="4" w:space="0"/>
              <w:left w:val="nil"/>
              <w:bottom w:val="single" w:color="auto" w:sz="4" w:space="0"/>
              <w:right w:val="single" w:color="auto" w:sz="4" w:space="0"/>
            </w:tcBorders>
            <w:vAlign w:val="center"/>
          </w:tcPr>
          <w:p w14:paraId="7F79F150">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洁净度</w:t>
            </w:r>
          </w:p>
        </w:tc>
        <w:tc>
          <w:tcPr>
            <w:tcW w:w="4495" w:type="dxa"/>
            <w:gridSpan w:val="2"/>
            <w:tcBorders>
              <w:top w:val="single" w:color="auto" w:sz="4" w:space="0"/>
              <w:left w:val="nil"/>
              <w:bottom w:val="single" w:color="auto" w:sz="4" w:space="0"/>
              <w:right w:val="single" w:color="auto" w:sz="4" w:space="0"/>
            </w:tcBorders>
            <w:vAlign w:val="center"/>
          </w:tcPr>
          <w:p w14:paraId="16419184">
            <w:pPr>
              <w:spacing w:line="360" w:lineRule="auto"/>
              <w:jc w:val="center"/>
              <w:rPr>
                <w:rFonts w:asciiTheme="minorEastAsia" w:hAnsiTheme="minorEastAsia" w:eastAsiaTheme="minorEastAsia"/>
                <w:sz w:val="24"/>
                <w:szCs w:val="24"/>
                <w:highlight w:val="none"/>
              </w:rPr>
            </w:pPr>
            <w:r>
              <w:rPr>
                <w:rFonts w:hint="eastAsia" w:asciiTheme="minorEastAsia" w:hAnsiTheme="minorEastAsia" w:eastAsiaTheme="minorEastAsia"/>
                <w:sz w:val="24"/>
                <w:szCs w:val="24"/>
                <w:highlight w:val="none"/>
              </w:rPr>
              <w:t>无污染</w:t>
            </w:r>
          </w:p>
        </w:tc>
      </w:tr>
    </w:tbl>
    <w:p w14:paraId="7C14FDA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锚索正式张拉前，应取10～20％的设计张拉荷载，对其预张拉1～2次，使其各部位接触紧密，钢绞线完全平直。</w:t>
      </w:r>
    </w:p>
    <w:p w14:paraId="422256C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对于压力分散型锚索，因各单元锚索长度不同，张拉应注意严格按设计次序分单元采用差异分步张拉，根据设计荷载和锚筋长度计算确定差异荷载，并根据计算的差异荷载进行分单元张拉。</w:t>
      </w:r>
    </w:p>
    <w:p w14:paraId="74FAA870">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压力分散型锚索各单元差异伸长量和差异荷载增量计算公式（以三单元共六束压力分散型锚索为例）如下。</w:t>
      </w:r>
    </w:p>
    <w:p w14:paraId="7A218227">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差异伸长量</w:t>
      </w:r>
      <w:r>
        <w:rPr>
          <w:rFonts w:hint="eastAsia" w:asciiTheme="minorEastAsia" w:hAnsiTheme="minorEastAsia" w:eastAsiaTheme="minorEastAsia"/>
          <w:sz w:val="24"/>
          <w:highlight w:val="none"/>
          <w:lang w:eastAsia="zh-CN"/>
        </w:rPr>
        <w:t>：</w:t>
      </w:r>
    </w:p>
    <w:p w14:paraId="6892D64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25" o:spt="75" type="#_x0000_t75" style="height:18pt;width:90.75pt;" o:ole="t" filled="f" o:preferrelative="t" stroked="f" coordsize="21600,21600">
            <v:path/>
            <v:fill on="f" focussize="0,0"/>
            <v:stroke on="f" joinstyle="miter"/>
            <v:imagedata r:id="rId59" o:title=""/>
            <o:lock v:ext="edit" aspectratio="t"/>
            <w10:wrap type="none"/>
            <w10:anchorlock/>
          </v:shape>
          <o:OLEObject Type="Embed" ProgID="Equation.3" ShapeID="_x0000_i1025" DrawAspect="Content" ObjectID="_1468075725" r:id="rId58">
            <o:LockedField>false</o:LockedField>
          </o:OLEObject>
        </w:object>
      </w:r>
      <w:r>
        <w:rPr>
          <w:rFonts w:hint="eastAsia" w:asciiTheme="minorEastAsia" w:hAnsiTheme="minorEastAsia" w:eastAsiaTheme="minorEastAsia"/>
          <w:sz w:val="24"/>
          <w:highlight w:val="none"/>
        </w:rPr>
        <w:t>，</w:t>
      </w:r>
      <w:r>
        <w:rPr>
          <w:rFonts w:hint="eastAsia" w:asciiTheme="minorEastAsia" w:hAnsiTheme="minorEastAsia" w:eastAsiaTheme="minorEastAsia"/>
          <w:sz w:val="24"/>
          <w:highlight w:val="none"/>
        </w:rPr>
        <w:object>
          <v:shape id="_x0000_i1026" o:spt="75" type="#_x0000_t75" style="height:18pt;width:90.75pt;" o:ole="t" filled="f" o:preferrelative="t" stroked="f" coordsize="21600,21600">
            <v:path/>
            <v:fill on="f" focussize="0,0"/>
            <v:stroke on="f" joinstyle="miter"/>
            <v:imagedata r:id="rId61" o:title=""/>
            <o:lock v:ext="edit" aspectratio="t"/>
            <w10:wrap type="none"/>
            <w10:anchorlock/>
          </v:shape>
          <o:OLEObject Type="Embed" ProgID="Equation.3" ShapeID="_x0000_i1026" DrawAspect="Content" ObjectID="_1468075726" r:id="rId60">
            <o:LockedField>false</o:LockedField>
          </o:OLEObject>
        </w:object>
      </w:r>
    </w:p>
    <w:p w14:paraId="469B440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27" o:spt="75" type="#_x0000_t75" style="height:31.5pt;width:56.25pt;" o:ole="t" filled="f" o:preferrelative="t" stroked="f" coordsize="21600,21600">
            <v:path/>
            <v:fill on="f" focussize="0,0"/>
            <v:stroke on="f" joinstyle="miter"/>
            <v:imagedata r:id="rId63" o:title=""/>
            <o:lock v:ext="edit" aspectratio="t"/>
            <w10:wrap type="none"/>
            <w10:anchorlock/>
          </v:shape>
          <o:OLEObject Type="Embed" ProgID="Equation.3" ShapeID="_x0000_i1027" DrawAspect="Content" ObjectID="_1468075727" r:id="rId62">
            <o:LockedField>false</o:LockedField>
          </o:OLEObject>
        </w:object>
      </w:r>
      <w:r>
        <w:rPr>
          <w:rFonts w:hint="eastAsia" w:asciiTheme="minorEastAsia" w:hAnsiTheme="minorEastAsia" w:eastAsiaTheme="minorEastAsia"/>
          <w:sz w:val="24"/>
          <w:highlight w:val="none"/>
        </w:rPr>
        <w:t>，</w:t>
      </w:r>
      <w:r>
        <w:rPr>
          <w:rFonts w:hint="eastAsia" w:asciiTheme="minorEastAsia" w:hAnsiTheme="minorEastAsia" w:eastAsiaTheme="minorEastAsia"/>
          <w:sz w:val="24"/>
          <w:highlight w:val="none"/>
        </w:rPr>
        <w:object>
          <v:shape id="_x0000_i1028" o:spt="75" type="#_x0000_t75" style="height:31.5pt;width:60pt;" o:ole="t" filled="f" o:preferrelative="t" stroked="f" coordsize="21600,21600">
            <v:path/>
            <v:fill on="f" focussize="0,0"/>
            <v:stroke on="f" joinstyle="miter"/>
            <v:imagedata r:id="rId64" o:title=""/>
            <o:lock v:ext="edit" aspectratio="t"/>
            <w10:wrap type="none"/>
            <w10:anchorlock/>
          </v:shape>
          <o:OLEObject Type="Embed" ProgID="Visio.Drawing.11" ShapeID="_x0000_i1028" DrawAspect="Content" ObjectID="_1468075728">
            <o:LockedField>false</o:LockedField>
          </o:OLEObject>
        </w:object>
      </w:r>
      <w:r>
        <w:rPr>
          <w:rFonts w:hint="eastAsia" w:asciiTheme="minorEastAsia" w:hAnsiTheme="minorEastAsia" w:eastAsiaTheme="minorEastAsia"/>
          <w:sz w:val="24"/>
          <w:highlight w:val="none"/>
        </w:rPr>
        <w:t>，</w:t>
      </w:r>
      <w:r>
        <w:rPr>
          <w:rFonts w:hint="eastAsia" w:asciiTheme="minorEastAsia" w:hAnsiTheme="minorEastAsia" w:eastAsiaTheme="minorEastAsia"/>
          <w:sz w:val="24"/>
          <w:highlight w:val="none"/>
        </w:rPr>
        <w:object>
          <v:shape id="_x0000_i1029" o:spt="75" type="#_x0000_t75" style="height:31.5pt;width:57.75pt;" o:ole="t" filled="f" o:preferrelative="t" stroked="f" coordsize="21600,21600">
            <v:path/>
            <v:fill on="f" focussize="0,0"/>
            <v:stroke on="f" joinstyle="miter"/>
            <v:imagedata r:id="rId66" o:title=""/>
            <o:lock v:ext="edit" aspectratio="t"/>
            <w10:wrap type="none"/>
            <w10:anchorlock/>
          </v:shape>
          <o:OLEObject Type="Embed" ProgID="Equation.3" ShapeID="_x0000_i1029" DrawAspect="Content" ObjectID="_1468075729" r:id="rId65">
            <o:LockedField>false</o:LockedField>
          </o:OLEObject>
        </w:object>
      </w:r>
    </w:p>
    <w:p w14:paraId="68F035D1">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0" o:spt="75" type="#_x0000_t75" style="height:31.5pt;width:33.75pt;" o:ole="t" filled="f" o:preferrelative="t" stroked="f" coordsize="21600,21600">
            <v:path/>
            <v:fill on="f" focussize="0,0"/>
            <v:stroke on="f" joinstyle="miter"/>
            <v:imagedata r:id="rId68" o:title=""/>
            <o:lock v:ext="edit" aspectratio="t"/>
            <w10:wrap type="none"/>
            <w10:anchorlock/>
          </v:shape>
          <o:OLEObject Type="Embed" ProgID="Equation.3" ShapeID="_x0000_i1030" DrawAspect="Content" ObjectID="_1468075730" r:id="rId67">
            <o:LockedField>false</o:LockedField>
          </o:OLEObject>
        </w:object>
      </w:r>
    </w:p>
    <w:p w14:paraId="1DD2FCE3">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差异荷载增量</w:t>
      </w:r>
      <w:r>
        <w:rPr>
          <w:rFonts w:hint="eastAsia" w:asciiTheme="minorEastAsia" w:hAnsiTheme="minorEastAsia" w:eastAsiaTheme="minorEastAsia"/>
          <w:sz w:val="24"/>
          <w:highlight w:val="none"/>
          <w:lang w:eastAsia="zh-CN"/>
        </w:rPr>
        <w:t>：</w:t>
      </w:r>
    </w:p>
    <w:p w14:paraId="1146B93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1" o:spt="75" type="#_x0000_t75" style="height:34.5pt;width:93.75pt;" o:ole="t" filled="f" o:preferrelative="t" stroked="f" coordsize="21600,21600">
            <v:path/>
            <v:fill on="f" focussize="0,0"/>
            <v:stroke on="f" joinstyle="miter"/>
            <v:imagedata r:id="rId70" o:title=""/>
            <o:lock v:ext="edit" aspectratio="t"/>
            <w10:wrap type="none"/>
            <w10:anchorlock/>
          </v:shape>
          <o:OLEObject Type="Embed" ProgID="Equation.3" ShapeID="_x0000_i1031" DrawAspect="Content" ObjectID="_1468075731" r:id="rId69">
            <o:LockedField>false</o:LockedField>
          </o:OLEObject>
        </w:object>
      </w:r>
    </w:p>
    <w:p w14:paraId="7DE401A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2" o:spt="75" type="#_x0000_t75" style="height:34.5pt;width:162pt;" o:ole="t" filled="f" o:preferrelative="t" stroked="f" coordsize="21600,21600">
            <v:path/>
            <v:fill on="f" focussize="0,0"/>
            <v:stroke on="f" joinstyle="miter"/>
            <v:imagedata r:id="rId72" o:title=""/>
            <o:lock v:ext="edit" aspectratio="t"/>
            <w10:wrap type="none"/>
            <w10:anchorlock/>
          </v:shape>
          <o:OLEObject Type="Embed" ProgID="AutoCAD.Drawing.24" ShapeID="_x0000_i1032" DrawAspect="Content" ObjectID="_1468075732" r:id="rId71">
            <o:LockedField>false</o:LockedField>
          </o:OLEObject>
        </w:object>
      </w:r>
    </w:p>
    <w:p w14:paraId="4BF07D7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其中</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object>
          <v:shape id="_x0000_i1033" o:spt="75" type="#_x0000_t75" style="height:15.75pt;width:45pt;" o:ole="t" fillcolor="#FFFFFF" filled="f" o:preferrelative="t" stroked="f" coordsize="21600,21600">
            <v:path/>
            <v:fill on="f" focussize="0,0"/>
            <v:stroke on="f" joinstyle="miter"/>
            <v:imagedata r:id="rId74" o:title=""/>
            <o:lock v:ext="edit" aspectratio="t"/>
            <w10:wrap type="none"/>
            <w10:anchorlock/>
          </v:shape>
          <o:OLEObject Type="Embed" ProgID="Unknown" ShapeID="_x0000_i1033" DrawAspect="Content" ObjectID="_1468075733" r:id="rId73">
            <o:LockedField>false</o:LockedField>
          </o:OLEObject>
        </w:object>
      </w:r>
      <w:r>
        <w:rPr>
          <w:rFonts w:hint="eastAsia" w:asciiTheme="minorEastAsia" w:hAnsiTheme="minorEastAsia" w:eastAsiaTheme="minorEastAsia"/>
          <w:sz w:val="24"/>
          <w:highlight w:val="none"/>
        </w:rPr>
        <w:t>---分别为第一、二、三单元锚索的长度,且</w:t>
      </w:r>
      <w:r>
        <w:rPr>
          <w:rFonts w:hint="eastAsia" w:asciiTheme="minorEastAsia" w:hAnsiTheme="minorEastAsia" w:eastAsiaTheme="minorEastAsia"/>
          <w:sz w:val="24"/>
          <w:highlight w:val="none"/>
        </w:rPr>
        <w:object>
          <v:shape id="_x0000_i1034" o:spt="75" type="#_x0000_t75" style="height:14.25pt;width:61.5pt;" o:ole="t" fillcolor="#FFFFFF" filled="f" o:preferrelative="t" stroked="f" coordsize="21600,21600">
            <v:path/>
            <v:fill on="f" focussize="0,0"/>
            <v:stroke on="f" joinstyle="miter"/>
            <v:imagedata r:id="rId76" o:title=""/>
            <o:lock v:ext="edit" aspectratio="t"/>
            <w10:wrap type="none"/>
            <w10:anchorlock/>
          </v:shape>
          <o:OLEObject Type="Embed" ProgID="Equation.3" ShapeID="_x0000_i1034" DrawAspect="Content" ObjectID="_1468075734" r:id="rId75">
            <o:LockedField>false</o:LockedField>
          </o:OLEObject>
        </w:object>
      </w:r>
      <w:r>
        <w:rPr>
          <w:rFonts w:hint="eastAsia" w:asciiTheme="minorEastAsia" w:hAnsiTheme="minorEastAsia" w:eastAsiaTheme="minorEastAsia"/>
          <w:sz w:val="24"/>
          <w:highlight w:val="none"/>
        </w:rPr>
        <w:t>；</w:t>
      </w:r>
    </w:p>
    <w:p w14:paraId="7F30FB9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5" o:spt="75" type="#_x0000_t75" style="height:15.75pt;width:65.25pt;" o:ole="t" fillcolor="#FFFFFF" filled="f" o:preferrelative="t" stroked="f" coordsize="21600,21600">
            <v:path/>
            <v:fill on="f" focussize="0,0"/>
            <v:stroke on="f" joinstyle="miter"/>
            <v:imagedata r:id="rId78" o:title=""/>
            <o:lock v:ext="edit" aspectratio="t"/>
            <w10:wrap type="none"/>
            <w10:anchorlock/>
          </v:shape>
          <o:OLEObject Type="Embed" ProgID="Equation.3" ShapeID="_x0000_i1035" DrawAspect="Content" ObjectID="_1468075735" r:id="rId77">
            <o:LockedField>false</o:LockedField>
          </o:OLEObject>
        </w:object>
      </w:r>
      <w:r>
        <w:rPr>
          <w:rFonts w:hint="eastAsia" w:asciiTheme="minorEastAsia" w:hAnsiTheme="minorEastAsia" w:eastAsiaTheme="minorEastAsia"/>
          <w:sz w:val="24"/>
          <w:highlight w:val="none"/>
        </w:rPr>
        <w:t>---各单元锚索在给定最终张拉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荷载作用下的伸长量；</w:t>
      </w:r>
    </w:p>
    <w:p w14:paraId="7CA6B52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6" o:spt="75" type="#_x0000_t75" style="height:15.75pt;width:68.25pt;" o:ole="t" fillcolor="#FFFFFF" filled="f" o:preferrelative="t" stroked="f" coordsize="21600,21600">
            <v:path/>
            <v:fill on="f" focussize="0,0"/>
            <v:stroke on="f" joinstyle="miter"/>
            <v:imagedata r:id="rId80" o:title=""/>
            <o:lock v:ext="edit" aspectratio="t"/>
            <w10:wrap type="none"/>
            <w10:anchorlock/>
          </v:shape>
          <o:OLEObject Type="Embed" ProgID="Equation.3" ShapeID="_x0000_i1036" DrawAspect="Content" ObjectID="_1468075736" r:id="rId79">
            <o:LockedField>false</o:LockedField>
          </o:OLEObject>
        </w:object>
      </w:r>
      <w:r>
        <w:rPr>
          <w:rFonts w:hint="eastAsia" w:asciiTheme="minorEastAsia" w:hAnsiTheme="minorEastAsia" w:eastAsiaTheme="minorEastAsia"/>
          <w:sz w:val="24"/>
          <w:highlight w:val="none"/>
        </w:rPr>
        <w:t>---各单元锚索在给定最终张拉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荷载作用下的差异伸长量；</w:t>
      </w:r>
    </w:p>
    <w:p w14:paraId="6E75D02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7" o:spt="75" type="#_x0000_t75" style="height:10.5pt;width:10.5pt;" o:ole="t" fillcolor="#FFFFFF" filled="f" o:preferrelative="t" stroked="f" coordsize="21600,21600">
            <v:path/>
            <v:fill on="f" focussize="0,0"/>
            <v:stroke on="f" joinstyle="miter"/>
            <v:imagedata r:id="rId82" o:title=""/>
            <o:lock v:ext="edit" aspectratio="t"/>
            <w10:wrap type="none"/>
            <w10:anchorlock/>
          </v:shape>
          <o:OLEObject Type="Embed" ProgID="Equation.3" ShapeID="_x0000_i1037" DrawAspect="Content" ObjectID="_1468075737" r:id="rId81">
            <o:LockedField>false</o:LockedField>
          </o:OLEObject>
        </w:object>
      </w:r>
      <w:r>
        <w:rPr>
          <w:rFonts w:hint="eastAsia" w:asciiTheme="minorEastAsia" w:hAnsiTheme="minorEastAsia" w:eastAsiaTheme="minorEastAsia"/>
          <w:sz w:val="24"/>
          <w:highlight w:val="none"/>
        </w:rPr>
        <w:t>---给定最终张拉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荷载作用下钢绞线束应力；</w:t>
      </w:r>
    </w:p>
    <w:p w14:paraId="1A9696F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8" o:spt="75" type="#_x0000_t75" style="height:12pt;width:12pt;" o:ole="t" fillcolor="#FFFFFF" filled="f" o:preferrelative="t" stroked="f" coordsize="21600,21600">
            <v:path/>
            <v:fill on="f" focussize="0,0"/>
            <v:stroke on="f" joinstyle="miter"/>
            <v:imagedata r:id="rId84" o:title=""/>
            <o:lock v:ext="edit" aspectratio="t"/>
            <w10:wrap type="none"/>
            <w10:anchorlock/>
          </v:shape>
          <o:OLEObject Type="Embed" ProgID="Equation.3" ShapeID="_x0000_i1038" DrawAspect="Content" ObjectID="_1468075738" r:id="rId83">
            <o:LockedField>false</o:LockedField>
          </o:OLEObject>
        </w:object>
      </w:r>
      <w:r>
        <w:rPr>
          <w:rFonts w:hint="eastAsia" w:asciiTheme="minorEastAsia" w:hAnsiTheme="minorEastAsia" w:eastAsiaTheme="minorEastAsia"/>
          <w:sz w:val="24"/>
          <w:highlight w:val="none"/>
        </w:rPr>
        <w:t>---给定最终张拉</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设计锁定</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荷载作用下单根钢绞线束荷载；</w:t>
      </w:r>
    </w:p>
    <w:p w14:paraId="11F7002E">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39" o:spt="75" type="#_x0000_t75" style="height:12pt;width:12pt;" o:ole="t" fillcolor="#FFFFFF" filled="f" o:preferrelative="t" stroked="f" coordsize="21600,21600">
            <v:path/>
            <v:fill on="f" focussize="0,0"/>
            <v:stroke on="f" joinstyle="miter"/>
            <v:imagedata r:id="rId86" o:title=""/>
            <o:lock v:ext="edit" aspectratio="t"/>
            <w10:wrap type="none"/>
            <w10:anchorlock/>
          </v:shape>
          <o:OLEObject Type="Embed" ProgID="Equation.3" ShapeID="_x0000_i1039" DrawAspect="Content" ObjectID="_1468075739" r:id="rId85">
            <o:LockedField>false</o:LockedField>
          </o:OLEObject>
        </w:object>
      </w:r>
      <w:r>
        <w:rPr>
          <w:rFonts w:hint="eastAsia" w:asciiTheme="minorEastAsia" w:hAnsiTheme="minorEastAsia" w:eastAsiaTheme="minorEastAsia"/>
          <w:sz w:val="24"/>
          <w:highlight w:val="none"/>
        </w:rPr>
        <w:t>---单根钢绞线束的截面面积；</w:t>
      </w:r>
    </w:p>
    <w:p w14:paraId="3D02CE5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drawing>
          <wp:inline distT="0" distB="0" distL="0" distR="0">
            <wp:extent cx="138430" cy="148590"/>
            <wp:effectExtent l="0" t="0" r="0" b="3175"/>
            <wp:docPr id="2097" name="图片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图片 209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138430" cy="148590"/>
                    </a:xfrm>
                    <a:prstGeom prst="rect">
                      <a:avLst/>
                    </a:prstGeom>
                    <a:noFill/>
                    <a:ln>
                      <a:noFill/>
                    </a:ln>
                  </pic:spPr>
                </pic:pic>
              </a:graphicData>
            </a:graphic>
          </wp:inline>
        </w:drawing>
      </w:r>
      <w:r>
        <w:rPr>
          <w:rFonts w:hint="eastAsia" w:asciiTheme="minorEastAsia" w:hAnsiTheme="minorEastAsia" w:eastAsiaTheme="minorEastAsia"/>
          <w:sz w:val="24"/>
          <w:highlight w:val="none"/>
        </w:rPr>
        <w:t>---钢绞线的弹性模量；</w:t>
      </w:r>
    </w:p>
    <w:p w14:paraId="14C4E5A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object>
          <v:shape id="_x0000_i1040" o:spt="75" type="#_x0000_t75" style="height:15.75pt;width:45pt;" o:ole="t" fillcolor="#FFFFFF" filled="f" o:preferrelative="t" stroked="f" coordsize="21600,21600">
            <v:path/>
            <v:fill on="f" focussize="0,0"/>
            <v:stroke on="f" joinstyle="miter"/>
            <v:imagedata r:id="rId89" o:title=""/>
            <o:lock v:ext="edit" aspectratio="t"/>
            <w10:wrap type="none"/>
            <w10:anchorlock/>
          </v:shape>
          <o:OLEObject Type="Embed" ProgID="Equation.3" ShapeID="_x0000_i1040" DrawAspect="Content" ObjectID="_1468075740" r:id="rId88">
            <o:LockedField>false</o:LockedField>
          </o:OLEObject>
        </w:object>
      </w:r>
      <w:r>
        <w:rPr>
          <w:rFonts w:hint="eastAsia" w:asciiTheme="minorEastAsia" w:hAnsiTheme="minorEastAsia" w:eastAsiaTheme="minorEastAsia"/>
          <w:sz w:val="24"/>
          <w:highlight w:val="none"/>
        </w:rPr>
        <w:t>---分步差异张拉之第一、二步级张拉荷载增量。</w:t>
      </w:r>
    </w:p>
    <w:p w14:paraId="31EC6CB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的预应力在补足差异荷载后分5级按有关规范或规定施加，即设计荷载的25％，50％，75％，100％和110％。在张拉最后一级荷载时，应持荷稳定10～15min后卸荷锁定。锚索锁定后48小时内，若发现明显的预应力损失现象，则应及时进行补偿张拉。</w:t>
      </w:r>
    </w:p>
    <w:p w14:paraId="0E0D9D9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lang w:val="en-US" w:eastAsia="zh-CN"/>
        </w:rPr>
        <w:t>6</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锚孔验收封锚</w:t>
      </w:r>
    </w:p>
    <w:p w14:paraId="1F545A62">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验收试验的目的是检验施工质量是否达到设计要求，也称现场验收试验或质量控制试验，它是针对所有工程锚索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进行的；通过验收试验，可获知锚索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受力大于设计荷载时的短期锚固性能，以及满足设计条件时锚索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的安全系数。将验收试验结果与基本试验结果进行恰当的对比，可作为锚索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长期性能评价的参考。</w:t>
      </w:r>
    </w:p>
    <w:p w14:paraId="01275C66">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验收试验设备和方法</w:t>
      </w:r>
      <w:r>
        <w:rPr>
          <w:rFonts w:hint="eastAsia" w:asciiTheme="minorEastAsia" w:hAnsiTheme="minorEastAsia" w:eastAsiaTheme="minorEastAsia"/>
          <w:sz w:val="24"/>
          <w:highlight w:val="none"/>
          <w:lang w:eastAsia="zh-CN"/>
        </w:rPr>
        <w:t>：</w:t>
      </w:r>
    </w:p>
    <w:p w14:paraId="75CA4DD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试验设备包括张拉千斤顶、油压表、油泵和用于连接它们的高压油管，以及相关变形量测系统和固定设施。张拉设备投入正式使用前，应由具有相应资质的计量单位进行标定且再有效期内，并应绘制压力表读数与系统出力曲线。</w:t>
      </w:r>
    </w:p>
    <w:p w14:paraId="150A07BD">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验收试验对张拉系统的精度要求一般较高，试验时对锚索施加应力和变形需要几种设备同时测定，如精度较高的油压表、压力传感器、千分表、游标卡尺、挠度计等。</w:t>
      </w:r>
    </w:p>
    <w:p w14:paraId="7955777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验收试验可由业主委托具有相关试验经验业绩的边坡锚固工程专业单位或部门进行验收试验，或在业主、监理、和设计代表的指导和监督下由施工单位组织进行验收试验。</w:t>
      </w:r>
    </w:p>
    <w:p w14:paraId="023912B4">
      <w:pPr>
        <w:spacing w:line="360" w:lineRule="auto"/>
        <w:ind w:firstLine="480" w:firstLineChars="200"/>
        <w:rPr>
          <w:rFonts w:asciiTheme="minorEastAsia" w:hAnsiTheme="minorEastAsia" w:eastAsiaTheme="minorEastAsia"/>
          <w:sz w:val="24"/>
          <w:highlight w:val="green"/>
        </w:rPr>
      </w:pPr>
      <w:r>
        <w:rPr>
          <w:rFonts w:hint="eastAsia" w:asciiTheme="minorEastAsia" w:hAnsiTheme="minorEastAsia" w:eastAsiaTheme="minorEastAsia"/>
          <w:sz w:val="24"/>
          <w:highlight w:val="none"/>
        </w:rPr>
        <w:t>验收试验应按有关规范和规定要求做好记录，并提交试验报告，供工程验收使用。</w:t>
      </w:r>
    </w:p>
    <w:p w14:paraId="376807B4">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验收试验规定和要求</w:t>
      </w:r>
      <w:r>
        <w:rPr>
          <w:rFonts w:hint="eastAsia" w:asciiTheme="minorEastAsia" w:hAnsiTheme="minorEastAsia" w:eastAsiaTheme="minorEastAsia"/>
          <w:sz w:val="24"/>
          <w:highlight w:val="none"/>
          <w:lang w:eastAsia="zh-CN"/>
        </w:rPr>
        <w:t>：</w:t>
      </w:r>
    </w:p>
    <w:p w14:paraId="7C820FC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锚索（杆）数量不少于工程锚索（杆）总数的5%，且不得少于3根。验收试验锚索（杆）孔位应在指定边坡或项目工程全部锚索（杆）范围内由业主、监理和设计代表根据普遍性和代表性的原则进行随机抽样。</w:t>
      </w:r>
    </w:p>
    <w:p w14:paraId="4639790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验收试验应分级加荷，起始荷载宜为锚索（杆）设计荷载的3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%，分级加荷值分别为设计荷载的0</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、0</w:t>
      </w:r>
      <w:r>
        <w:rPr>
          <w:rFonts w:asciiTheme="minorEastAsia" w:hAnsiTheme="minorEastAsia" w:eastAsiaTheme="minorEastAsia"/>
          <w:sz w:val="24"/>
          <w:highlight w:val="none"/>
        </w:rPr>
        <w:t>.75</w:t>
      </w: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、1</w:t>
      </w:r>
      <w:r>
        <w:rPr>
          <w:rFonts w:asciiTheme="minorEastAsia" w:hAnsiTheme="minorEastAsia" w:eastAsiaTheme="minorEastAsia"/>
          <w:sz w:val="24"/>
          <w:highlight w:val="none"/>
        </w:rPr>
        <w:t>.33</w:t>
      </w:r>
      <w:r>
        <w:rPr>
          <w:rFonts w:hint="eastAsia" w:asciiTheme="minorEastAsia" w:hAnsiTheme="minorEastAsia" w:eastAsiaTheme="minorEastAsia"/>
          <w:sz w:val="24"/>
          <w:highlight w:val="none"/>
        </w:rPr>
        <w:t>和1</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倍，最大试验荷载不能大于锚筋承载力标准值的0</w:t>
      </w:r>
      <w:r>
        <w:rPr>
          <w:rFonts w:asciiTheme="minorEastAsia" w:hAnsiTheme="minorEastAsia" w:eastAsiaTheme="minorEastAsia"/>
          <w:sz w:val="24"/>
          <w:highlight w:val="none"/>
        </w:rPr>
        <w:t>.8</w:t>
      </w:r>
      <w:r>
        <w:rPr>
          <w:rFonts w:hint="eastAsia" w:asciiTheme="minorEastAsia" w:hAnsiTheme="minorEastAsia" w:eastAsiaTheme="minorEastAsia"/>
          <w:sz w:val="24"/>
          <w:highlight w:val="none"/>
        </w:rPr>
        <w:t>倍。对于压力分散型锚索，要求以设计最大试验张拉荷载计算补足差异伸长量（张拉荷载）后同步张拉至锚索（杆）设计荷载的3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%作为起始荷载。如果最大差异张拉荷载大于设计荷载3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%，则以最大差异张拉荷载作为起始荷载。</w:t>
      </w:r>
    </w:p>
    <w:p w14:paraId="2A772005">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验收试验中，当荷载</w:t>
      </w:r>
      <w:r>
        <w:rPr>
          <w:rFonts w:hint="eastAsia" w:asciiTheme="minorEastAsia" w:hAnsiTheme="minorEastAsia" w:eastAsiaTheme="minorEastAsia"/>
          <w:sz w:val="24"/>
          <w:highlight w:val="none"/>
          <w:lang w:val="en-US" w:eastAsia="zh-CN"/>
        </w:rPr>
        <w:t>每</w:t>
      </w:r>
      <w:r>
        <w:rPr>
          <w:rFonts w:hint="eastAsia" w:asciiTheme="minorEastAsia" w:hAnsiTheme="minorEastAsia" w:eastAsiaTheme="minorEastAsia"/>
          <w:sz w:val="24"/>
          <w:highlight w:val="none"/>
        </w:rPr>
        <w:t>增加一级，均应持荷稳定1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min，并记录位移读数。最后一级试验荷载也应维持1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min。如果在历时1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min内位移超过1</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，则该级荷载应再维持5</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min，并在1</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、2</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、2</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、3</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、4</w:t>
      </w:r>
      <w:r>
        <w:rPr>
          <w:rFonts w:asciiTheme="minorEastAsia" w:hAnsiTheme="minorEastAsia" w:eastAsiaTheme="minorEastAsia"/>
          <w:sz w:val="24"/>
          <w:highlight w:val="none"/>
        </w:rPr>
        <w:t>5</w:t>
      </w:r>
      <w:r>
        <w:rPr>
          <w:rFonts w:hint="eastAsia" w:asciiTheme="minorEastAsia" w:hAnsiTheme="minorEastAsia" w:eastAsiaTheme="minorEastAsia"/>
          <w:sz w:val="24"/>
          <w:highlight w:val="none"/>
        </w:rPr>
        <w:t>和6</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min时记录其位移量。</w:t>
      </w:r>
    </w:p>
    <w:p w14:paraId="610A9E46">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验收试验中，从5</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%设计荷载到最大试验荷载之间所测得的总位移量，应当超过该荷载范围内锚筋自由长度的预应力筋理论弹性伸长量的8</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%，且小于自由段与1</w:t>
      </w:r>
      <w:r>
        <w:rPr>
          <w:rFonts w:asciiTheme="minorEastAsia" w:hAnsiTheme="minorEastAsia" w:eastAsiaTheme="minorEastAsia"/>
          <w:sz w:val="24"/>
          <w:highlight w:val="none"/>
        </w:rPr>
        <w:t>/2</w:t>
      </w:r>
      <w:r>
        <w:rPr>
          <w:rFonts w:hint="eastAsia" w:asciiTheme="minorEastAsia" w:hAnsiTheme="minorEastAsia" w:eastAsiaTheme="minorEastAsia"/>
          <w:sz w:val="24"/>
          <w:highlight w:val="none"/>
        </w:rPr>
        <w:t>锚固段长度之和的预应力筋的理论弹性伸长值。对于压力分散型锚索，锚固段应视为零，其自由段应分单元按实际全长计算。</w:t>
      </w:r>
    </w:p>
    <w:p w14:paraId="3AEC613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在最后一级荷载作用下的位移观测期内，锚头位移稳定，即在历时1</w:t>
      </w:r>
      <w:r>
        <w:rPr>
          <w:rFonts w:asciiTheme="minorEastAsia" w:hAnsiTheme="minorEastAsia" w:eastAsiaTheme="minorEastAsia"/>
          <w:sz w:val="24"/>
          <w:highlight w:val="none"/>
        </w:rPr>
        <w:t>0</w:t>
      </w:r>
      <w:r>
        <w:rPr>
          <w:rFonts w:hint="eastAsia" w:asciiTheme="minorEastAsia" w:hAnsiTheme="minorEastAsia" w:eastAsiaTheme="minorEastAsia"/>
          <w:sz w:val="24"/>
          <w:highlight w:val="none"/>
        </w:rPr>
        <w:t>min内位移不超过1</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，或者2h蠕变量不大于2</w:t>
      </w:r>
      <w:r>
        <w:rPr>
          <w:rFonts w:hint="eastAsia" w:asciiTheme="minorEastAsia" w:hAnsiTheme="minorEastAsia" w:eastAsiaTheme="minorEastAsia"/>
          <w:sz w:val="24"/>
          <w:highlight w:val="none"/>
          <w:lang w:eastAsia="zh-CN"/>
        </w:rPr>
        <w:t>mm</w:t>
      </w:r>
      <w:r>
        <w:rPr>
          <w:rFonts w:hint="eastAsia" w:asciiTheme="minorEastAsia" w:hAnsiTheme="minorEastAsia" w:eastAsiaTheme="minorEastAsia"/>
          <w:sz w:val="24"/>
          <w:highlight w:val="none"/>
        </w:rPr>
        <w:t>。</w:t>
      </w:r>
    </w:p>
    <w:p w14:paraId="6F4824DF">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如试验结果同时满足上述两款条件则认为验收试验锚索（杆）合格，如发现一孔试验锚索（杆）不能同时满足上述两款条件，则需增加抽样三孔锚索（杆）进行验收试验，直至验收试验锚索（杆）全部同时满足上述两款条件，方可认为验收试验锚索（杆）合格。不合格锚孔数不得超过锚孔总数的5%。</w:t>
      </w:r>
    </w:p>
    <w:p w14:paraId="19666EEA">
      <w:pPr>
        <w:spacing w:line="360" w:lineRule="auto"/>
        <w:ind w:firstLine="480" w:firstLineChars="200"/>
        <w:rPr>
          <w:rFonts w:hint="eastAsia" w:asciiTheme="minorEastAsia" w:hAnsiTheme="minorEastAsia" w:eastAsiaTheme="minorEastAsia"/>
          <w:sz w:val="24"/>
          <w:highlight w:val="none"/>
          <w:lang w:eastAsia="zh-CN"/>
        </w:rPr>
      </w:pPr>
      <w:r>
        <w:rPr>
          <w:rFonts w:hint="eastAsia" w:asciiTheme="minorEastAsia" w:hAnsiTheme="minorEastAsia" w:eastAsiaTheme="minorEastAsia"/>
          <w:sz w:val="24"/>
          <w:highlight w:val="none"/>
        </w:rPr>
        <w:t>如发现验收试验锚索（杆）不合格，则应及时上报有关部门并调查分析产生原因，根据实际情况具体分析，对指定验收工程锚索做如下处理</w:t>
      </w:r>
      <w:r>
        <w:rPr>
          <w:rFonts w:hint="eastAsia" w:asciiTheme="minorEastAsia" w:hAnsiTheme="minorEastAsia" w:eastAsiaTheme="minorEastAsia"/>
          <w:sz w:val="24"/>
          <w:highlight w:val="none"/>
          <w:lang w:eastAsia="zh-CN"/>
        </w:rPr>
        <w:t>：</w:t>
      </w:r>
    </w:p>
    <w:p w14:paraId="2EC32374">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a</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报废或重新安装；</w:t>
      </w:r>
    </w:p>
    <w:p w14:paraId="1AF2C00C">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b</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降低锚固力使用；</w:t>
      </w:r>
    </w:p>
    <w:p w14:paraId="639E6F98">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c</w:t>
      </w:r>
      <w:r>
        <w:rPr>
          <w:rFonts w:asciiTheme="minorEastAsia" w:hAnsiTheme="minorEastAsia" w:eastAsiaTheme="minorEastAsia"/>
          <w:sz w:val="24"/>
          <w:highlight w:val="none"/>
        </w:rPr>
        <w:t>.</w:t>
      </w:r>
      <w:r>
        <w:rPr>
          <w:rFonts w:hint="eastAsia" w:asciiTheme="minorEastAsia" w:hAnsiTheme="minorEastAsia" w:eastAsiaTheme="minorEastAsia"/>
          <w:sz w:val="24"/>
          <w:highlight w:val="none"/>
        </w:rPr>
        <w:t>进行补救性重新张拉等其他特殊处理措施。</w:t>
      </w:r>
    </w:p>
    <w:p w14:paraId="44069247">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在全部工程锚索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经抽样进行验收试验并符合上述有关规定和要求条件后，方可按照有关设计要求张拉锁定程序进行张拉锁定和封锚工作。对验收试验锚索</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杆</w:t>
      </w:r>
      <w:r>
        <w:rPr>
          <w:rFonts w:hint="eastAsia" w:asciiTheme="minorEastAsia" w:hAnsiTheme="minorEastAsia" w:eastAsiaTheme="minorEastAsia"/>
          <w:sz w:val="24"/>
          <w:highlight w:val="none"/>
          <w:lang w:eastAsia="zh-CN"/>
        </w:rPr>
        <w:t>）</w:t>
      </w:r>
      <w:r>
        <w:rPr>
          <w:rFonts w:hint="eastAsia" w:asciiTheme="minorEastAsia" w:hAnsiTheme="minorEastAsia" w:eastAsiaTheme="minorEastAsia"/>
          <w:sz w:val="24"/>
          <w:highlight w:val="none"/>
        </w:rPr>
        <w:t>一般应从1.5倍设计荷载全部退荷至零后，再重新进行张拉锁定作业。</w:t>
      </w:r>
    </w:p>
    <w:p w14:paraId="2667100B">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锚索（杆）张拉完成后应及时对锚头进行补浆和封锚，外锚头应用与锚梁同标号的砼封头，以防锈蚀破坏。对于锚具和锚梁等空隙的补浆应作为锚头防腐的一项关键工序在现场监理旁站的条件下认真进行，补浆管应插入锚梁底面以下进行返式补充注浆，直至补浆孔溢浆为止。对于锚具及锚筋外露部分应严格进行去锈除油后并及时采用与锚梁同标号混凝土进行封锚。</w:t>
      </w:r>
    </w:p>
    <w:p w14:paraId="4345D603">
      <w:pPr>
        <w:spacing w:line="360" w:lineRule="auto"/>
        <w:ind w:firstLine="480" w:firstLineChars="200"/>
        <w:rPr>
          <w:rFonts w:asciiTheme="minorEastAsia" w:hAnsiTheme="minorEastAsia" w:eastAsiaTheme="minorEastAsia"/>
          <w:sz w:val="24"/>
          <w:highlight w:val="none"/>
        </w:rPr>
      </w:pPr>
      <w:r>
        <w:rPr>
          <w:rFonts w:hint="eastAsia" w:asciiTheme="minorEastAsia" w:hAnsiTheme="minorEastAsia" w:eastAsiaTheme="minorEastAsia"/>
          <w:sz w:val="24"/>
          <w:highlight w:val="none"/>
        </w:rPr>
        <w:t>以上未尽事宜应遵循《锚杆喷射混凝土支护技术规范》（GB50086-2001）有关要求及省市高指有关边坡锚固工程施工与验收暂行规定办理。</w:t>
      </w:r>
    </w:p>
    <w:p w14:paraId="650564D7">
      <w:pPr>
        <w:spacing w:line="360" w:lineRule="auto"/>
        <w:ind w:firstLine="480" w:firstLineChars="200"/>
        <w:rPr>
          <w:rFonts w:hint="eastAsia" w:asciiTheme="minorEastAsia" w:hAnsiTheme="minorEastAsia" w:eastAsiaTheme="minorEastAsia"/>
          <w:sz w:val="24"/>
          <w:highlight w:val="none"/>
        </w:rPr>
      </w:pPr>
      <w:r>
        <w:rPr>
          <w:rFonts w:hint="eastAsia" w:asciiTheme="minorEastAsia" w:hAnsiTheme="minorEastAsia" w:eastAsiaTheme="minorEastAsia"/>
          <w:sz w:val="24"/>
          <w:highlight w:val="none"/>
        </w:rPr>
        <w:t>预应力锚索（杆）工程属于隐蔽性强的岩土工程，其施工工艺复杂性及技术难度使得非专业施工队伍难以保证其施工质量，故应安排具有岩土工程专项资质或地质灾害防治施工资质与相当施工经验和良好业绩的专业队伍承担。</w:t>
      </w:r>
    </w:p>
    <w:p w14:paraId="72929699">
      <w:pPr>
        <w:pStyle w:val="5"/>
        <w:rPr>
          <w:rFonts w:hint="eastAsia" w:asciiTheme="minorEastAsia" w:hAnsiTheme="minorEastAsia" w:eastAsiaTheme="minorEastAsia"/>
          <w:color w:val="auto"/>
        </w:rPr>
      </w:pPr>
      <w:bookmarkStart w:id="803" w:name="_Toc22407"/>
      <w:bookmarkStart w:id="804" w:name="_Toc30566"/>
      <w:r>
        <w:rPr>
          <w:rFonts w:hint="eastAsia" w:asciiTheme="minorEastAsia" w:hAnsiTheme="minorEastAsia" w:eastAsiaTheme="minorEastAsia"/>
          <w:color w:val="auto"/>
          <w:lang w:val="en-US" w:eastAsia="zh-CN"/>
        </w:rPr>
        <w:t>8.1.6</w:t>
      </w:r>
      <w:r>
        <w:rPr>
          <w:rFonts w:hint="eastAsia"/>
          <w:b/>
          <w:bCs/>
          <w:color w:val="auto"/>
          <w:highlight w:val="none"/>
          <w:lang w:val="en-US" w:eastAsia="zh-CN"/>
        </w:rPr>
        <w:t>新旧路基拼接施工方案</w:t>
      </w:r>
      <w:bookmarkEnd w:id="803"/>
      <w:bookmarkEnd w:id="804"/>
    </w:p>
    <w:p w14:paraId="31FA0D1A">
      <w:pPr>
        <w:pStyle w:val="178"/>
        <w:rPr>
          <w:rFonts w:hint="eastAsia" w:cs="Times New Roman" w:asciiTheme="minorEastAsia" w:hAnsiTheme="minorEastAsia" w:eastAsiaTheme="minorEastAsia"/>
          <w:szCs w:val="24"/>
          <w:highlight w:val="none"/>
          <w:lang w:val="en-US" w:eastAsia="zh-CN"/>
        </w:rPr>
      </w:pPr>
      <w:r>
        <w:rPr>
          <w:rFonts w:hint="eastAsia" w:asciiTheme="minorEastAsia" w:hAnsiTheme="minorEastAsia" w:eastAsiaTheme="minorEastAsia"/>
          <w:szCs w:val="24"/>
          <w:highlight w:val="none"/>
          <w:lang w:val="en-US" w:eastAsia="zh-CN"/>
        </w:rPr>
        <w:t>当采用整体式路基时，采用两侧拓宽；当采用分离式路基时，采用单侧拓宽。路基宽度：整体式：42m；断面布设为：2×（0.750m（左侧路缘带）+4×3.75m（行车道）3.0m（硬路肩，含右侧路缘带）+0.75m（土路肩））+3.0m（中央分隔带）。分离式：20.75m；断面布设为：0.750m（土路肩）+1.25m（硬路肩）+4×3.75m（行车道</w:t>
      </w:r>
      <w:r>
        <w:rPr>
          <w:rFonts w:hint="eastAsia" w:cs="Times New Roman" w:asciiTheme="minorEastAsia" w:hAnsiTheme="minorEastAsia" w:eastAsiaTheme="minorEastAsia"/>
          <w:szCs w:val="24"/>
          <w:highlight w:val="none"/>
          <w:lang w:val="en-US" w:eastAsia="zh-CN"/>
        </w:rPr>
        <w:t>）+3.0m（硬路肩，含右侧路缘带）+0.75m（土路肩）</w:t>
      </w:r>
    </w:p>
    <w:p w14:paraId="1F1216E4">
      <w:pPr>
        <w:pStyle w:val="178"/>
        <w:rPr>
          <w:rFonts w:hint="eastAsia" w:cs="Times New Roman" w:asciiTheme="minorEastAsia" w:hAnsiTheme="minorEastAsia" w:eastAsiaTheme="minorEastAsia"/>
          <w:szCs w:val="24"/>
          <w:highlight w:val="none"/>
          <w:lang w:val="en-US" w:eastAsia="zh-CN"/>
        </w:rPr>
      </w:pPr>
      <w:r>
        <w:rPr>
          <w:rFonts w:hint="eastAsia" w:cs="Times New Roman" w:asciiTheme="minorEastAsia" w:hAnsiTheme="minorEastAsia" w:eastAsiaTheme="minorEastAsia"/>
          <w:szCs w:val="24"/>
          <w:highlight w:val="none"/>
          <w:lang w:val="en-US" w:eastAsia="zh-CN"/>
        </w:rPr>
        <w:t>老路边坡先拆除坡面排水及防护圬工并挖除30cm厚表土，再开挖台阶，台阶一般按宽度不小于150cm控制，因土工格室设置需要，相应位置台阶宽度调整为不小于200cm宽。边坡挖除表土后，压实度达不到规范要求的，应进行增强补压。路堤填筑前，原地面先清除表土30cm，再进行压实，压实度应不小于90%，当基底土层含水量过高或土质不良时，应进行翻晒，或换填处理。拼宽路基台阶开挖自下而上进行，先挖两阶后及时填筑一阶，再挖一阶填筑一阶。拼宽段路堤优先采用强度高、水稳性好的材料，路床及路堤压实度要求较《公路路基设计规范》（JTGD30-2015）提高1%，《详见非软基段路基拼宽处理设计图（一）》路床压实度要求及路堤压实度表。</w:t>
      </w:r>
    </w:p>
    <w:p w14:paraId="73D39FAE">
      <w:pPr>
        <w:pStyle w:val="178"/>
        <w:rPr>
          <w:rFonts w:hint="eastAsia" w:ascii="黑体" w:hAnsi="黑体" w:eastAsia="黑体" w:cs="黑体"/>
          <w:b/>
          <w:bCs/>
          <w:color w:val="000000" w:themeColor="text1"/>
          <w:kern w:val="2"/>
          <w:sz w:val="21"/>
          <w:szCs w:val="21"/>
          <w:highlight w:val="none"/>
          <w:lang w:val="en-US" w:eastAsia="zh-CN" w:bidi="ar-SA"/>
          <w14:textFill>
            <w14:solidFill>
              <w14:schemeClr w14:val="tx1"/>
            </w14:solidFill>
          </w14:textFill>
        </w:rPr>
      </w:pPr>
      <w:r>
        <w:rPr>
          <w:rFonts w:hint="eastAsia" w:cs="Times New Roman" w:asciiTheme="minorEastAsia" w:hAnsiTheme="minorEastAsia" w:eastAsiaTheme="minorEastAsia"/>
          <w:szCs w:val="24"/>
          <w:highlight w:val="none"/>
          <w:lang w:val="en-US" w:eastAsia="zh-CN"/>
        </w:rPr>
        <w:t>一般路段，填方边坡高度＜4m时，可只开挖台阶，不设置高强土工格室。一般路段，填方边坡高度＞4m时，考虑到新老路基的整体性，同时为了减少路基拼接的差异沉降，协调不均匀变形，路面顶面以下1.5m处设置一层高强土工格室（利用土工格室的三维加强效果形成柔性板，以协调不均匀变形）；当原坡脚外为平地（含开挖平台的宽度大于6m时），在地表以上30cm再设置一层高强土工格室。土工格室施工时，应铺设平整，不得有褶皱，格室铺设后用U形钢钉定位，间距为1.5m，U形钉用φ10钢筋制作。格室在主受力方向宜避免连接。土工格室的填料应选择易于压实、能与土工格室产生良好摩擦和咬合的填料（粗粒土），距离土工格室上下10cm范围内，采用大型压路机碾压时，压实面与筋材之间应保证有不小于15cm厚的填料。临近路堤边坡的坡面、挡墙背等大型压路机难以压到的部位，应采用轻型压实机具分层压实，压实厚度宜小于15cm。当采用加大吨位的重型压路机碾压时，补压原则上层厚每2.0m一层，补碾压遍数应不小于8遍，直至路床顶面以下30cm；当采用冲击碾压时，处理段落长度至少应大于100m，原则上每填高2米，冲击碾压20遍，直至路床顶面以下30cm；当采用强夯时，原则上每填高约5米进行强夯加固处理，每一次的单击夯击能不小于2000kNm，夯点的夯击次数，应按现场试夯得到的夯击次数和夯沉量关系曲线确定。</w:t>
      </w:r>
    </w:p>
    <w:p w14:paraId="2FC6608F">
      <w:pPr>
        <w:pStyle w:val="5"/>
        <w:bidi w:val="0"/>
        <w:rPr>
          <w:rFonts w:hint="eastAsia"/>
          <w:color w:val="auto"/>
          <w:lang w:val="en-US" w:eastAsia="zh-CN"/>
        </w:rPr>
      </w:pPr>
      <w:bookmarkStart w:id="805" w:name="_Toc9242"/>
      <w:bookmarkStart w:id="806" w:name="_Toc15179"/>
      <w:r>
        <w:rPr>
          <w:rFonts w:hint="eastAsia"/>
          <w:color w:val="auto"/>
          <w:lang w:val="en-US" w:eastAsia="zh-CN"/>
        </w:rPr>
        <w:t>8.1.7</w:t>
      </w:r>
      <w:bookmarkEnd w:id="805"/>
      <w:r>
        <w:rPr>
          <w:rFonts w:hint="eastAsia"/>
          <w:color w:val="auto"/>
          <w:lang w:val="en-US" w:eastAsia="zh-CN"/>
        </w:rPr>
        <w:t>软基处理</w:t>
      </w:r>
      <w:bookmarkEnd w:id="806"/>
    </w:p>
    <w:p w14:paraId="0F01354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8.1.7.1 </w:t>
      </w:r>
      <w:r>
        <w:rPr>
          <w:rFonts w:hint="eastAsia" w:ascii="宋体" w:hAnsi="宋体" w:eastAsia="宋体" w:cs="宋体"/>
          <w:b/>
          <w:bCs/>
          <w:color w:val="000000"/>
          <w:kern w:val="0"/>
          <w:sz w:val="24"/>
          <w:szCs w:val="24"/>
          <w:lang w:val="en-US" w:eastAsia="zh-CN" w:bidi="ar"/>
        </w:rPr>
        <w:t>碎石桩</w:t>
      </w:r>
      <w:r>
        <w:rPr>
          <w:rFonts w:hint="default" w:ascii="Times New Roman" w:hAnsi="Times New Roman" w:eastAsia="宋体" w:cs="Times New Roman"/>
          <w:b/>
          <w:bCs/>
          <w:color w:val="000000"/>
          <w:kern w:val="0"/>
          <w:sz w:val="24"/>
          <w:szCs w:val="24"/>
          <w:lang w:val="en-US" w:eastAsia="zh-CN" w:bidi="ar"/>
        </w:rPr>
        <w:t>+</w:t>
      </w:r>
      <w:r>
        <w:rPr>
          <w:rFonts w:hint="eastAsia" w:ascii="宋体" w:hAnsi="宋体" w:eastAsia="宋体" w:cs="宋体"/>
          <w:b/>
          <w:bCs/>
          <w:color w:val="000000"/>
          <w:kern w:val="0"/>
          <w:sz w:val="24"/>
          <w:szCs w:val="24"/>
          <w:lang w:val="en-US" w:eastAsia="zh-CN" w:bidi="ar"/>
        </w:rPr>
        <w:t>堆载预压</w:t>
      </w:r>
    </w:p>
    <w:p w14:paraId="01D21AD0">
      <w:pPr>
        <w:keepNext w:val="0"/>
        <w:keepLines w:val="0"/>
        <w:widowControl/>
        <w:suppressLineNumbers w:val="0"/>
        <w:jc w:val="left"/>
        <w:rPr>
          <w:rFonts w:hint="eastAsia" w:asciiTheme="minorEastAsia" w:hAnsiTheme="minorEastAsia" w:eastAsiaTheme="minorEastAsia" w:cstheme="minorEastAsia"/>
          <w:b w:val="0"/>
          <w:bCs w:val="0"/>
        </w:rPr>
      </w:pPr>
      <w:r>
        <w:rPr>
          <w:rFonts w:hint="eastAsia" w:asciiTheme="minorEastAsia" w:hAnsiTheme="minorEastAsia" w:eastAsiaTheme="minorEastAsia" w:cstheme="minorEastAsia"/>
          <w:b w:val="0"/>
          <w:bCs w:val="0"/>
          <w:color w:val="000000"/>
          <w:kern w:val="0"/>
          <w:sz w:val="24"/>
          <w:szCs w:val="24"/>
          <w:lang w:val="en-US" w:eastAsia="zh-CN" w:bidi="ar"/>
        </w:rPr>
        <w:t>碎石桩处理段落</w:t>
      </w:r>
      <w:r>
        <w:rPr>
          <w:rFonts w:hint="eastAsia" w:asciiTheme="minorEastAsia" w:hAnsiTheme="minorEastAsia" w:eastAsiaTheme="minorEastAsia" w:cstheme="minorEastAsia"/>
          <w:color w:val="000000"/>
          <w:kern w:val="0"/>
          <w:sz w:val="24"/>
          <w:szCs w:val="24"/>
          <w:lang w:val="en-US" w:eastAsia="zh-CN" w:bidi="ar"/>
        </w:rPr>
        <w:t>K130+850~K131+000 段、K133+350~K133+500 段因位于严重液化段落地质界线内，且路基填土高度大，为使液化地层砂土密实度增大，使用碎石桩+堆载预压处理。</w:t>
      </w:r>
      <w:r>
        <w:rPr>
          <w:rFonts w:hint="eastAsia" w:ascii="宋体" w:hAnsi="宋体" w:eastAsia="宋体" w:cs="宋体"/>
          <w:color w:val="000000"/>
          <w:kern w:val="0"/>
          <w:sz w:val="24"/>
          <w:szCs w:val="24"/>
          <w:lang w:val="en-US" w:eastAsia="zh-CN" w:bidi="ar"/>
        </w:rPr>
        <w:t xml:space="preserve"> </w:t>
      </w:r>
      <w:r>
        <w:rPr>
          <w:rFonts w:hint="eastAsia" w:asciiTheme="minorEastAsia" w:hAnsiTheme="minorEastAsia" w:eastAsiaTheme="minorEastAsia" w:cstheme="minorEastAsia"/>
          <w:b w:val="0"/>
          <w:bCs w:val="0"/>
          <w:color w:val="000000"/>
          <w:kern w:val="0"/>
          <w:sz w:val="24"/>
          <w:szCs w:val="24"/>
          <w:lang w:val="en-US" w:eastAsia="zh-CN" w:bidi="ar"/>
        </w:rPr>
        <w:t>本次设计段落采用碎石桩为三角形布设，桩间距 1.8~2.2m，成孔直径为 50cm，桩打穿软土层进入下卧层不得小于 0.5 米。在桩顶设置中粗砂加筋褥垫层 50cm，夹 2 层钢塑复合土工格栅。同时在预制竖向劲性体与碎石桩过渡区的路床以下 2m 位置铺设加强钢筋网连接，以此协调不均匀沉降对路面产生的影响，两侧各搭接10m。</w:t>
      </w:r>
    </w:p>
    <w:p w14:paraId="332EC37E">
      <w:pPr>
        <w:keepNext w:val="0"/>
        <w:keepLines w:val="0"/>
        <w:widowControl/>
        <w:suppressLineNumbers w:val="0"/>
        <w:jc w:val="left"/>
      </w:pPr>
      <w:r>
        <w:rPr>
          <w:rFonts w:hint="eastAsia"/>
          <w:lang w:val="en-US" w:eastAsia="zh-CN"/>
        </w:rPr>
        <w:t xml:space="preserve">   </w:t>
      </w:r>
      <w:r>
        <w:rPr>
          <w:rFonts w:hint="eastAsia" w:ascii="宋体" w:hAnsi="宋体" w:eastAsia="宋体" w:cs="宋体"/>
          <w:color w:val="000000"/>
          <w:kern w:val="0"/>
          <w:sz w:val="24"/>
          <w:szCs w:val="24"/>
          <w:lang w:val="en-US" w:eastAsia="zh-CN" w:bidi="ar"/>
        </w:rPr>
        <w:t xml:space="preserve">碎石桩三角形布设，直径为 50cm，桩打穿淤泥层进入下卧层不得小于 0.5 米。采用振动沉桩机，振动沉管工艺施工。在碎石桩施工结束并检验合格后，桩顶设置中粗砂加筋垫层 50cm，夹单层三向土工格栅。 </w:t>
      </w:r>
    </w:p>
    <w:p w14:paraId="2031CE6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施工前必须对地面构筑物、地下管线进行调查、拆移，确认无障碍物后方可进行场地清理、平整；挖设临时排水沟，疏干地表水，使基面层保持干燥状态；根据设计测设路基中心线及碎石桩桩位，确定地基处理宽度并用石灰线醒目标注；布置碎石料存放场，修建作业场内施工便道。 </w:t>
      </w:r>
    </w:p>
    <w:p w14:paraId="43035A56">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1、材料要求 </w:t>
      </w:r>
    </w:p>
    <w:p w14:paraId="4BF0914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碎石桩所用碎石应由未风化的干净砾石或扎制碎石而成，要求碎石坚硬，压碎值小于 32 %， 含泥量不大于 5%，含水量小于 7%，最大粒径 8cm，大于粒径 5cm 要求要超过50%，最小粒径 2cm。 </w:t>
      </w:r>
    </w:p>
    <w:p w14:paraId="1BBB80FF">
      <w:pPr>
        <w:keepNext w:val="0"/>
        <w:keepLines w:val="0"/>
        <w:widowControl/>
        <w:suppressLineNumbers w:val="0"/>
        <w:jc w:val="left"/>
      </w:pPr>
      <w:r>
        <w:rPr>
          <w:rFonts w:hint="eastAsia" w:ascii="宋体" w:hAnsi="宋体" w:eastAsia="宋体" w:cs="宋体"/>
          <w:color w:val="000000"/>
          <w:kern w:val="0"/>
          <w:sz w:val="24"/>
          <w:szCs w:val="24"/>
          <w:lang w:val="en-US" w:eastAsia="zh-CN" w:bidi="ar"/>
        </w:rPr>
        <w:t>土工格栅：砂加筋垫层土工合成材料采用三向土工格栅,土工格栅应变质控拉伸模量不小315KN/m</w:t>
      </w:r>
      <w:r>
        <w:rPr>
          <w:rFonts w:hint="eastAsia" w:ascii="宋体" w:hAnsi="宋体" w:eastAsia="宋体" w:cs="宋体"/>
          <w:color w:val="000000"/>
          <w:kern w:val="0"/>
          <w:sz w:val="12"/>
          <w:szCs w:val="12"/>
          <w:lang w:val="en-US" w:eastAsia="zh-CN" w:bidi="ar"/>
        </w:rPr>
        <w:t>2</w:t>
      </w:r>
      <w:r>
        <w:rPr>
          <w:rFonts w:hint="eastAsia" w:ascii="宋体" w:hAnsi="宋体" w:eastAsia="宋体" w:cs="宋体"/>
          <w:color w:val="000000"/>
          <w:kern w:val="0"/>
          <w:sz w:val="24"/>
          <w:szCs w:val="24"/>
          <w:lang w:val="en-US" w:eastAsia="zh-CN" w:bidi="ar"/>
        </w:rPr>
        <w:t>，对应变形率小于 2％，对应变形率小于 0.5%时，格栅低应变拉伸模量强度不小于225KN/m</w:t>
      </w:r>
      <w:r>
        <w:rPr>
          <w:rFonts w:hint="eastAsia" w:ascii="宋体" w:hAnsi="宋体" w:eastAsia="宋体" w:cs="宋体"/>
          <w:color w:val="000000"/>
          <w:kern w:val="0"/>
          <w:sz w:val="12"/>
          <w:szCs w:val="12"/>
          <w:lang w:val="en-US" w:eastAsia="zh-CN" w:bidi="ar"/>
        </w:rPr>
        <w:t>2</w:t>
      </w:r>
      <w:r>
        <w:rPr>
          <w:rFonts w:hint="eastAsia" w:ascii="宋体" w:hAnsi="宋体" w:eastAsia="宋体" w:cs="宋体"/>
          <w:color w:val="000000"/>
          <w:kern w:val="0"/>
          <w:sz w:val="24"/>
          <w:szCs w:val="24"/>
          <w:lang w:val="en-US" w:eastAsia="zh-CN" w:bidi="ar"/>
        </w:rPr>
        <w:t xml:space="preserve">，节点有效性大于 90%。 </w:t>
      </w:r>
    </w:p>
    <w:p w14:paraId="0DD83A4D">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 施工机械 </w:t>
      </w:r>
    </w:p>
    <w:p w14:paraId="76379226">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选用履带式振动沉桩机，或具有同等以上施工能力的机型，配套机具有：带活瓣桩尖的与碎石桩同直径(50cm)的桩管、下料斗等。要求活瓣桩尖的尖点必须在桩管中轴线上。 </w:t>
      </w:r>
    </w:p>
    <w:p w14:paraId="5D75148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 施工质量控制要点 </w:t>
      </w:r>
    </w:p>
    <w:p w14:paraId="49AF9EBD">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(1)施工前应提供施工场地工程地质报告书。 </w:t>
      </w:r>
    </w:p>
    <w:p w14:paraId="24ED4BA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(2)要有碎石桩施工布桩平面图，图应注明桩位编号和设计、施工说明；场地桩位放样后， </w:t>
      </w:r>
    </w:p>
    <w:p w14:paraId="02BAC33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应做好记录及保护桩位标志，桩位与设计图误差不得大于 5cm。 </w:t>
      </w:r>
    </w:p>
    <w:p w14:paraId="06F1657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(3)应有施工场地临近高压线、电话线、地下管线等构筑物及障碍物的调查资料，应具备三通一平（通水、通电、通料、场地平整）的条件，并测量场地的施工标高，做好抄平记录。 </w:t>
      </w:r>
    </w:p>
    <w:p w14:paraId="5B98CA3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(4)施工单位必须建立健全的工地试验、质量检查及工序间的交接验收等项制度，原始记录应齐全，数据真实可靠。各分项工程完成后应由现场监理工程师对施工质量进行中间检查验收，检验合格后方可进行下一道工序。 </w:t>
      </w:r>
    </w:p>
    <w:p w14:paraId="6AF204A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(5)因碎石桩地基处理属隐蔽工程，出于施工控制及质量检测的考虑，应加强监督工作力度，要求有详细的施工原始记录，并派专人进行全程旁站和作好拍摄照片或录像等实态记录。 </w:t>
      </w:r>
    </w:p>
    <w:p w14:paraId="55C0D48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(6)在与塑料排水板过渡区，应先施工碎石桩，再插打塑料排水板，后同时填筑上部路基填土。在刚性桩复合地基过渡区域应先施工碎石桩并在堆载预压后期进行刚性复合地基的施工。 </w:t>
      </w:r>
    </w:p>
    <w:p w14:paraId="7B0CACB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(7)每排桩施工前应校对排桩轴线，无误后方可施工。 </w:t>
      </w:r>
    </w:p>
    <w:p w14:paraId="4D246974">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(8)沉降及位移的观测应做到“四固定”（固定观测人员、固定仪器及水准尺、固定后观尺读数、固定测站及转点）；路堤施工期内观测精度±2mm，预压期及路面施工期内观测精度±1mm. 预压期间（尤其在雨季）加强观测，必须按规定妥善保存原始记录。 </w:t>
      </w:r>
    </w:p>
    <w:p w14:paraId="109F421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(9)要求每根桩提供施工过程全程视频。 </w:t>
      </w:r>
    </w:p>
    <w:p w14:paraId="3A0582A1">
      <w:pPr>
        <w:keepNext w:val="0"/>
        <w:keepLines w:val="0"/>
        <w:widowControl/>
        <w:suppressLineNumbers w:val="0"/>
        <w:jc w:val="left"/>
      </w:pPr>
      <w:r>
        <w:rPr>
          <w:rFonts w:hint="eastAsia" w:ascii="宋体" w:hAnsi="宋体" w:eastAsia="宋体" w:cs="宋体"/>
          <w:color w:val="000000"/>
          <w:kern w:val="0"/>
          <w:sz w:val="24"/>
          <w:szCs w:val="24"/>
          <w:lang w:val="en-US" w:eastAsia="zh-CN" w:bidi="ar"/>
        </w:rPr>
        <w:t>(10)施工中若有异常现象应做好记录，并及时汇报，请有关部门解决处理。</w:t>
      </w:r>
    </w:p>
    <w:p w14:paraId="05D0697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4、 施工工序 </w:t>
      </w:r>
    </w:p>
    <w:p w14:paraId="6AB80C8D">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施工准备（平整场地、材料进场、桩机进场、组装调试、绘制桩位平面图）→实地布置桩位→校验桩位→制桩（桩机就位、开机振动沉管至设计要求深度、自料口灌入砂灌满为止、开机边振边拔沉管连续反插至管内无料为止、沉管拔出孔口并往孔内分批投料、振捣密实至设计标高、加压挤密成桩、关机移位）→检验→交工验收。 </w:t>
      </w:r>
    </w:p>
    <w:p w14:paraId="22ADED7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在大规模正式施工前可补充静力触探或进行探打，以便进一步了解土的分层及其强度。 </w:t>
      </w:r>
    </w:p>
    <w:p w14:paraId="65E7052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(1)机具就位、桩管沉入 </w:t>
      </w:r>
    </w:p>
    <w:p w14:paraId="2CE5D4A6">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桩管沉入前，应根据设计桩长及(地面)水平测量结果，将沉管深度用红油漆标示于桩管上，以控制沉管深度，确保桩底达到设计高程。 </w:t>
      </w:r>
    </w:p>
    <w:p w14:paraId="15893C5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振动沉桩机就位，将活瓣桩尖的尖点对准碎石桩桩位中心，中心偏差控制在±5cm 以内；调整机架确保桩管垂直，垂直度控制在 1％以内。启动振动器，以 2～3 m／min 的速度使桩管边振动边下沉，至设计高程(以桩管上的红油漆标记线为准)，控制桩底高程偏差不大于10cm。 </w:t>
      </w:r>
    </w:p>
    <w:p w14:paraId="1037A03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考虑到碎石桩振动挤密后体积减小，砂顶标高下降，因此沉管顶应高出地面 1m，并灌满砂。 </w:t>
      </w:r>
    </w:p>
    <w:p w14:paraId="6CB2CAF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(2)加砂料 </w:t>
      </w:r>
    </w:p>
    <w:p w14:paraId="07E6ED21">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桩体砂采用人工铲入桩机自带的下料斗内，通过下料斗送入桩管。灌砂时砂的含水量应加以控制：对饱和土层，可采用饱和状态砂；对非饱和土或杂填土，或能形成直立的桩孔壁的土层，含水量控制在 8％以内。 </w:t>
      </w:r>
    </w:p>
    <w:p w14:paraId="4B5F39E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(3)拔管、桩管下压 </w:t>
      </w:r>
    </w:p>
    <w:p w14:paraId="309F765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在桩管内加入砂料后，边振动边缓慢拔出桩管，拔管速度控制在 0.5m／min 以内，将落入桩孔内的砂压实，确保每 m 灌砂量达到设计要求。 </w:t>
      </w:r>
    </w:p>
    <w:p w14:paraId="67A8D184">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单桩砂石设计灌入量 q=0.237*h（h 为实际施打桩长）。 </w:t>
      </w:r>
    </w:p>
    <w:p w14:paraId="63297F0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当灌入砂量没有达到设计要求(低于设计的每 m 灌砂量)时，在旁边补桩一根。桩体在施工中必须确保连续、密实。 </w:t>
      </w:r>
    </w:p>
    <w:p w14:paraId="49904DC1">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(4)填土堆载 </w:t>
      </w:r>
    </w:p>
    <w:p w14:paraId="1E13042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利用本身路堤填筑用的材料堆场地实施预压，路基填筑应按加载计划分层均匀摊铺填筑，压实度应满足相关要求。 </w:t>
      </w:r>
    </w:p>
    <w:p w14:paraId="67C698F6">
      <w:pPr>
        <w:keepNext w:val="0"/>
        <w:keepLines w:val="0"/>
        <w:widowControl/>
        <w:suppressLineNumbers w:val="0"/>
        <w:jc w:val="left"/>
        <w:rPr>
          <w:b w:val="0"/>
          <w:bCs w:val="0"/>
        </w:rPr>
      </w:pPr>
      <w:r>
        <w:rPr>
          <w:rFonts w:hint="eastAsia" w:ascii="宋体" w:hAnsi="宋体" w:eastAsia="宋体" w:cs="宋体"/>
          <w:b w:val="0"/>
          <w:bCs w:val="0"/>
          <w:color w:val="000000"/>
          <w:kern w:val="0"/>
          <w:sz w:val="24"/>
          <w:szCs w:val="24"/>
          <w:lang w:val="en-US" w:eastAsia="zh-CN" w:bidi="ar"/>
        </w:rPr>
        <w:t xml:space="preserve">填筑路堤必须严格控制填土速率，填土速率控制标准为：路堤中心沉降速率小于 10mm／d， 边桩侧向位移速率小于 5mm／d。每填一层土，应进行一次监测，如超过此限应立即停止填筑。 若两次填筑间隔时间较长时，每 3 天至少观测一次，每填一层土前后过程都要满足填土速率控制标准。 </w:t>
      </w:r>
    </w:p>
    <w:p w14:paraId="54F6275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填土至预压期填土高度后，应加强沉降观测，当发现路堤顶面标高低于预压期填土标高 10 厘米时，应及时补填土，不得最后一次性补足填土。补填土压实度按下面两种情况分别提出要求： </w:t>
      </w:r>
    </w:p>
    <w:p w14:paraId="309536E0">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 xml:space="preserve">预压部分应满足路基施工技术规范的压实要求。 </w:t>
      </w:r>
    </w:p>
    <w:p w14:paraId="7D699EA2">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超载预压部分压实度应达到重型压实标准的 90％。补填土材料应同路堤填料相同。等载土方应保证与路床一样的压实度与路拱度，不可随意堆载，不允许有积水在预压土方范围。 </w:t>
      </w:r>
    </w:p>
    <w:p w14:paraId="0D4D139C">
      <w:pPr>
        <w:pStyle w:val="56"/>
      </w:pPr>
      <w:r>
        <w:drawing>
          <wp:inline distT="0" distB="0" distL="114300" distR="114300">
            <wp:extent cx="5266055" cy="2823210"/>
            <wp:effectExtent l="0" t="0" r="6985" b="11430"/>
            <wp:docPr id="216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图片 47"/>
                    <pic:cNvPicPr>
                      <a:picLocks noChangeAspect="1"/>
                    </pic:cNvPicPr>
                  </pic:nvPicPr>
                  <pic:blipFill>
                    <a:blip r:embed="rId90"/>
                    <a:stretch>
                      <a:fillRect/>
                    </a:stretch>
                  </pic:blipFill>
                  <pic:spPr>
                    <a:xfrm>
                      <a:off x="0" y="0"/>
                      <a:ext cx="5266055" cy="2823210"/>
                    </a:xfrm>
                    <a:prstGeom prst="rect">
                      <a:avLst/>
                    </a:prstGeom>
                    <a:noFill/>
                    <a:ln>
                      <a:noFill/>
                    </a:ln>
                  </pic:spPr>
                </pic:pic>
              </a:graphicData>
            </a:graphic>
          </wp:inline>
        </w:drawing>
      </w:r>
    </w:p>
    <w:p w14:paraId="1E912266">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(5)卸载 </w:t>
      </w:r>
    </w:p>
    <w:p w14:paraId="2CC10C2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当根据监测数据推算的工后沉降小于 10cm，同时连续两个月观测的沉降量每个月累计不超过 5mm 时方可卸载土方铺筑路面。 </w:t>
      </w:r>
    </w:p>
    <w:p w14:paraId="05E3BF8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(6)现场监测 </w:t>
      </w:r>
    </w:p>
    <w:p w14:paraId="72753F5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监测项目应包括表面沉降观测、分层沉降观测、分层孔隙水压观测、侧向位移等测试项目。建议由专门的监测单位进行监测设计并实施，并对设计方案和加固效果进行评估，同时为填方卸载上路面时间提供依据。临时水准点可选择就近的山体选择通视条件较好的点设置。当处于大面积软土地区，附近很难设置较好的临时水准点时，临时观测点可将 100mm 的钢管，钢管下端应达到比较密实的土层。当桩周土稳定后（一般需 15d），在桩顶浇注混凝土墩，并埋人短钢筋头制成水准点。 </w:t>
      </w:r>
    </w:p>
    <w:p w14:paraId="0CB1ACC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 施工注意事项 </w:t>
      </w:r>
    </w:p>
    <w:p w14:paraId="7AD1E39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正式施工前应进行成桩试验，试验桩数一般为总桩数的 1％，选择不同地貌、不同地层及不同工况的典型区域进行试桩，以掌握对该场地的施工经验和施工参数。通过成桩试验，确定填砂量、提升速度、时间、电机工作电流等，作为控制质量的标准，验证设计参数的合理性，如发现不能满足设计要求时，应及时会同设计单位予以调整桩间距和砂灌入量等有关参数，重新试验或改变设计。 </w:t>
      </w:r>
    </w:p>
    <w:p w14:paraId="50541A5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正式施工时，要严格按照设计要求的桩长、桩径、桩间距、砂灌入量以及试验确定的桩管提升高度和速度、悬振时间、电机的工作电流等施工参数进行施工，以确保挤密均匀和桩身的连续性。应保证起重设备平稳，导向架与地面垂直，且垂直偏差不应大于 1.5%，成孔中心与设计桩位偏差不应大于 50mm，桩径偏差控制在-20mm 以内，桩径偏差不大于 100mm。 </w:t>
      </w:r>
    </w:p>
    <w:p w14:paraId="00591BB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砂灌入量不小于设计值的 95%，如不能顺利下料，可适当往管内加水。 </w:t>
      </w:r>
    </w:p>
    <w:p w14:paraId="1E71ECF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软土地基路段采用动态设计方法,即图中所示设计方案是根据地质勘察资料及软土地基成因、软土厚度、室内外试验报告及路堤填筑高度、构造物特点等进行设计，由于地质勘察报告只能反应区段内土壤的普遍性质，局部段落难免存在一定差异，这就要求在施工中根据实际地质及沉降观测情况适时指导施工或变更设计；以确保路堤的稳定和使用功能。 </w:t>
      </w:r>
    </w:p>
    <w:p w14:paraId="284BDEC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砂垫层施工，砂垫层材料可采用中粗砂，其含泥量应小于 5%，冲水饱和状态碾压，按设计要求完成地基处理后，即时按设计位置埋设沉降盘和测斜管，并在四周用砖块砌成 50×50 厘米围栏或直径 50cm 砼管保护，防止路基碾压机械在施工时破坏沉降盘。 </w:t>
      </w:r>
    </w:p>
    <w:p w14:paraId="3305E2C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施工一般碎石桩段落时，可针对不同的填土高度（1m、2m、3m 等）分别选取典型段落（长度约 100m）进行等载预压试验，观测工后沉降所得的沉降值用于其他相同填土高度段落路床填筑时预抬高。 </w:t>
      </w:r>
    </w:p>
    <w:p w14:paraId="57C0BB0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5.3.6 质量检测 </w:t>
      </w:r>
    </w:p>
    <w:p w14:paraId="7E5D970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（1）对碎石桩、砂垫层的质量检验应符合相关规范的技术标准。 </w:t>
      </w:r>
    </w:p>
    <w:p w14:paraId="06BCDC4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（2）在成桩 30d 后，采用重型（N63.5）动力触探检测桩身密实度和桩长，抽检频率应为总桩数的 1%～2%。要求贯入量 100mm 时，锤击数不应小于 5 击。 </w:t>
      </w:r>
    </w:p>
    <w:p w14:paraId="672CF6C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（3）预压期间，必须对垂直沉降绘制“沉降量-时间”关系曲线，发现异常应及时查明原因。并推算地基的最终固结变形量、不同时间的固结度和相应的变形量，以分析处理效果并为确定卸载时间提供依据。 </w:t>
      </w:r>
    </w:p>
    <w:p w14:paraId="60C5B34F">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（4）预压完成后，进行如下的检验，并同加固前进行对比：常规土工试验，检测含水量、土容重、孔隙比。静力触探强度试验，检测贯入阻力十字板抗剪强度试验。</w:t>
      </w:r>
    </w:p>
    <w:p w14:paraId="30568388">
      <w:pPr>
        <w:keepNext w:val="0"/>
        <w:keepLines w:val="0"/>
        <w:widowControl/>
        <w:suppressLineNumbers w:val="0"/>
        <w:ind w:firstLine="2880" w:firstLineChars="1200"/>
        <w:jc w:val="left"/>
      </w:pPr>
      <w:r>
        <w:rPr>
          <w:rFonts w:hint="eastAsia" w:ascii="宋体" w:hAnsi="宋体" w:eastAsia="宋体" w:cs="宋体"/>
          <w:color w:val="000000"/>
          <w:kern w:val="0"/>
          <w:sz w:val="24"/>
          <w:szCs w:val="24"/>
          <w:lang w:val="en-US" w:eastAsia="zh-CN" w:bidi="ar"/>
        </w:rPr>
        <w:t>表 8-3 碎石桩堆载预压质量标准</w:t>
      </w:r>
    </w:p>
    <w:p w14:paraId="341B00FC">
      <w:pPr>
        <w:keepNext w:val="0"/>
        <w:keepLines w:val="0"/>
        <w:widowControl/>
        <w:suppressLineNumbers w:val="0"/>
        <w:jc w:val="left"/>
      </w:pPr>
      <w:r>
        <w:drawing>
          <wp:inline distT="0" distB="0" distL="114300" distR="114300">
            <wp:extent cx="5273040" cy="2162175"/>
            <wp:effectExtent l="0" t="0" r="0" b="1905"/>
            <wp:docPr id="21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 name="图片 32"/>
                    <pic:cNvPicPr>
                      <a:picLocks noChangeAspect="1"/>
                    </pic:cNvPicPr>
                  </pic:nvPicPr>
                  <pic:blipFill>
                    <a:blip r:embed="rId91"/>
                    <a:srcRect t="5060" b="2814"/>
                    <a:stretch>
                      <a:fillRect/>
                    </a:stretch>
                  </pic:blipFill>
                  <pic:spPr>
                    <a:xfrm>
                      <a:off x="0" y="0"/>
                      <a:ext cx="5273040" cy="2162175"/>
                    </a:xfrm>
                    <a:prstGeom prst="rect">
                      <a:avLst/>
                    </a:prstGeom>
                    <a:noFill/>
                    <a:ln>
                      <a:noFill/>
                    </a:ln>
                  </pic:spPr>
                </pic:pic>
              </a:graphicData>
            </a:graphic>
          </wp:inline>
        </w:drawing>
      </w:r>
    </w:p>
    <w:p w14:paraId="6D3F895F">
      <w:pPr>
        <w:keepNext w:val="0"/>
        <w:keepLines w:val="0"/>
        <w:widowControl/>
        <w:suppressLineNumbers w:val="0"/>
        <w:jc w:val="left"/>
      </w:pPr>
    </w:p>
    <w:p w14:paraId="24F8AAEE">
      <w:pPr>
        <w:keepNext w:val="0"/>
        <w:keepLines w:val="0"/>
        <w:widowControl/>
        <w:suppressLineNumbers w:val="0"/>
        <w:jc w:val="left"/>
      </w:pPr>
    </w:p>
    <w:p w14:paraId="68DCB90D">
      <w:pPr>
        <w:keepNext w:val="0"/>
        <w:keepLines w:val="0"/>
        <w:widowControl/>
        <w:suppressLineNumbers w:val="0"/>
        <w:ind w:left="0" w:leftChars="0" w:firstLine="480" w:firstLineChars="200"/>
        <w:jc w:val="left"/>
      </w:pPr>
      <w:r>
        <w:rPr>
          <w:rFonts w:hint="eastAsia" w:ascii="宋体" w:hAnsi="宋体" w:eastAsia="宋体" w:cs="宋体"/>
          <w:color w:val="000000"/>
          <w:kern w:val="0"/>
          <w:sz w:val="24"/>
          <w:szCs w:val="24"/>
          <w:lang w:val="en-US" w:eastAsia="zh-CN" w:bidi="ar"/>
        </w:rPr>
        <w:t xml:space="preserve">8.1.7.2 </w:t>
      </w:r>
      <w:r>
        <w:rPr>
          <w:rFonts w:hint="eastAsia" w:ascii="宋体" w:hAnsi="宋体" w:eastAsia="宋体" w:cs="宋体"/>
          <w:b/>
          <w:bCs/>
          <w:color w:val="000000"/>
          <w:kern w:val="0"/>
          <w:sz w:val="24"/>
          <w:szCs w:val="24"/>
          <w:lang w:val="en-US" w:eastAsia="zh-CN" w:bidi="ar"/>
        </w:rPr>
        <w:t xml:space="preserve">预制竖向劲性体处理段落 </w:t>
      </w:r>
    </w:p>
    <w:p w14:paraId="207F157D">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K126+925~K127+160.2 </w:t>
      </w:r>
      <w:r>
        <w:rPr>
          <w:rFonts w:hint="eastAsia" w:ascii="宋体" w:hAnsi="宋体" w:eastAsia="宋体" w:cs="宋体"/>
          <w:color w:val="000000"/>
          <w:kern w:val="0"/>
          <w:sz w:val="24"/>
          <w:szCs w:val="24"/>
          <w:lang w:val="en-US" w:eastAsia="zh-CN" w:bidi="ar"/>
        </w:rPr>
        <w:t>段、</w:t>
      </w:r>
      <w:r>
        <w:rPr>
          <w:rFonts w:hint="default" w:ascii="Times New Roman" w:hAnsi="Times New Roman" w:eastAsia="宋体" w:cs="Times New Roman"/>
          <w:color w:val="000000"/>
          <w:kern w:val="0"/>
          <w:sz w:val="24"/>
          <w:szCs w:val="24"/>
          <w:lang w:val="en-US" w:eastAsia="zh-CN" w:bidi="ar"/>
        </w:rPr>
        <w:t xml:space="preserve">K127+770~K127+884.4 </w:t>
      </w:r>
      <w:r>
        <w:rPr>
          <w:rFonts w:hint="eastAsia" w:ascii="宋体" w:hAnsi="宋体" w:eastAsia="宋体" w:cs="宋体"/>
          <w:color w:val="000000"/>
          <w:kern w:val="0"/>
          <w:sz w:val="24"/>
          <w:szCs w:val="24"/>
          <w:lang w:val="en-US" w:eastAsia="zh-CN" w:bidi="ar"/>
        </w:rPr>
        <w:t>段</w:t>
      </w:r>
      <w:r>
        <w:rPr>
          <w:rFonts w:hint="default" w:ascii="Times New Roman" w:hAnsi="Times New Roman" w:eastAsia="宋体" w:cs="Times New Roman"/>
          <w:color w:val="000000"/>
          <w:kern w:val="0"/>
          <w:sz w:val="24"/>
          <w:szCs w:val="24"/>
          <w:lang w:val="en-US" w:eastAsia="zh-CN" w:bidi="ar"/>
        </w:rPr>
        <w:t xml:space="preserve">K127+170~K128+630 </w:t>
      </w:r>
      <w:r>
        <w:rPr>
          <w:rFonts w:hint="eastAsia" w:ascii="宋体" w:hAnsi="宋体" w:eastAsia="宋体" w:cs="宋体"/>
          <w:color w:val="000000"/>
          <w:kern w:val="0"/>
          <w:sz w:val="24"/>
          <w:szCs w:val="24"/>
          <w:lang w:val="en-US" w:eastAsia="zh-CN" w:bidi="ar"/>
        </w:rPr>
        <w:t>段、</w:t>
      </w:r>
      <w:r>
        <w:rPr>
          <w:rFonts w:hint="default" w:ascii="Times New Roman" w:hAnsi="Times New Roman" w:eastAsia="宋体" w:cs="Times New Roman"/>
          <w:color w:val="000000"/>
          <w:kern w:val="0"/>
          <w:sz w:val="24"/>
          <w:szCs w:val="24"/>
          <w:lang w:val="en-US" w:eastAsia="zh-CN" w:bidi="ar"/>
        </w:rPr>
        <w:t xml:space="preserve">K132+08 0~K132+130 </w:t>
      </w:r>
      <w:r>
        <w:rPr>
          <w:rFonts w:hint="eastAsia" w:ascii="宋体" w:hAnsi="宋体" w:eastAsia="宋体" w:cs="宋体"/>
          <w:color w:val="000000"/>
          <w:kern w:val="0"/>
          <w:sz w:val="24"/>
          <w:szCs w:val="24"/>
          <w:lang w:val="en-US" w:eastAsia="zh-CN" w:bidi="ar"/>
        </w:rPr>
        <w:t>段、</w:t>
      </w:r>
      <w:r>
        <w:rPr>
          <w:rFonts w:hint="default" w:ascii="Times New Roman" w:hAnsi="Times New Roman" w:eastAsia="宋体" w:cs="Times New Roman"/>
          <w:color w:val="000000"/>
          <w:kern w:val="0"/>
          <w:sz w:val="24"/>
          <w:szCs w:val="24"/>
          <w:lang w:val="en-US" w:eastAsia="zh-CN" w:bidi="ar"/>
        </w:rPr>
        <w:t xml:space="preserve">K132+183~132+580 </w:t>
      </w:r>
      <w:r>
        <w:rPr>
          <w:rFonts w:hint="eastAsia" w:ascii="宋体" w:hAnsi="宋体" w:eastAsia="宋体" w:cs="宋体"/>
          <w:color w:val="000000"/>
          <w:kern w:val="0"/>
          <w:sz w:val="24"/>
          <w:szCs w:val="24"/>
          <w:lang w:val="en-US" w:eastAsia="zh-CN" w:bidi="ar"/>
        </w:rPr>
        <w:t>段，因位于软基地质界线内，且路基填土高度大，同时为 扩建段，需采用预制竖向劲性体进行处理，在临近房屋、旧桥台的段落需进行引孔，防止挤土效应过大破坏相关建构筑物。具体参数详见相关设计图。</w:t>
      </w:r>
    </w:p>
    <w:p w14:paraId="33FB78A1">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预制竖向劲性体直径 500mm，壁厚为 70mm 的管状，采用静压法施工，开口型钢尖。施工的内容包括地表处理，压至设计深度后再浇注钢筋混凝土板，铺筑级配碎石砂加筋垫层。在施工过程中应充分发挥监理的职能作用，从而严格控制竖向劲性体的施工质量，做好施工记录及验收工作。 </w:t>
      </w:r>
    </w:p>
    <w:p w14:paraId="1BAA6E5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 </w:t>
      </w:r>
      <w:r>
        <w:rPr>
          <w:rFonts w:hint="eastAsia" w:ascii="宋体" w:hAnsi="宋体" w:eastAsia="宋体" w:cs="宋体"/>
          <w:b/>
          <w:bCs/>
          <w:color w:val="000000"/>
          <w:kern w:val="0"/>
          <w:sz w:val="24"/>
          <w:szCs w:val="24"/>
          <w:lang w:val="en-US" w:eastAsia="zh-CN" w:bidi="ar"/>
        </w:rPr>
        <w:t xml:space="preserve">准备工作 </w:t>
      </w:r>
    </w:p>
    <w:p w14:paraId="0608998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(1)路基地板的施工技术要求 </w:t>
      </w:r>
    </w:p>
    <w:p w14:paraId="33395CA2">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 xml:space="preserve">先清除地表的杂草，树根，耕植土等，整平地表。在路基外侧开挖临时排水沟。临时排水边沟不能和农田排灌沟渠共用，在施工期间不能长期积水。 </w:t>
      </w:r>
    </w:p>
    <w:p w14:paraId="120B837E">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在无地表水或地表水可疏干段落，可根据现场条件择优选择垫层土，压实厚度不小于25cm，压实度达到 90％，并形成不小于 2％的排水横坡。 </w:t>
      </w:r>
    </w:p>
    <w:p w14:paraId="12BAEFDD">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③</w:t>
      </w:r>
      <w:r>
        <w:rPr>
          <w:rFonts w:hint="eastAsia" w:ascii="宋体" w:hAnsi="宋体" w:eastAsia="宋体" w:cs="宋体"/>
          <w:color w:val="000000"/>
          <w:kern w:val="0"/>
          <w:sz w:val="24"/>
          <w:szCs w:val="24"/>
          <w:lang w:val="en-US" w:eastAsia="zh-CN" w:bidi="ar"/>
        </w:rPr>
        <w:t xml:space="preserve">当地表水不能疏干时，应填砂至高于水面不小于 50cm，整平后压实，压实密度达到 90％，并形成不小于 2％的排水横坡。 </w:t>
      </w:r>
    </w:p>
    <w:p w14:paraId="2DEF2E8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④对于临塘路段在拼接中必须严格控制地下水位的降低。沿河临塘路段地基存在软弱地层或浅层强透水层时，设围堰后，河塘不排水，单侧推进填砂挤淤，填砂经压实后再进行地基处理（填砂应高于水面不小于 50cm）。 </w:t>
      </w:r>
    </w:p>
    <w:p w14:paraId="4B0ED6D4">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⑤</w:t>
      </w:r>
      <w:r>
        <w:rPr>
          <w:rFonts w:hint="eastAsia" w:ascii="宋体" w:hAnsi="宋体" w:eastAsia="宋体" w:cs="宋体"/>
          <w:color w:val="000000"/>
          <w:kern w:val="0"/>
          <w:sz w:val="24"/>
          <w:szCs w:val="24"/>
          <w:lang w:val="en-US" w:eastAsia="zh-CN" w:bidi="ar"/>
        </w:rPr>
        <w:t xml:space="preserve">路基地板的施工质量及检验质量要求见下表 </w:t>
      </w:r>
    </w:p>
    <w:p w14:paraId="65F582F5">
      <w:pPr>
        <w:keepNext w:val="0"/>
        <w:keepLines w:val="0"/>
        <w:widowControl/>
        <w:suppressLineNumbers w:val="0"/>
        <w:ind w:left="0" w:leftChars="0" w:firstLine="0" w:firstLineChars="0"/>
        <w:jc w:val="left"/>
      </w:pPr>
      <w:r>
        <w:drawing>
          <wp:inline distT="0" distB="0" distL="114300" distR="114300">
            <wp:extent cx="5278120" cy="1062355"/>
            <wp:effectExtent l="0" t="0" r="10160" b="4445"/>
            <wp:docPr id="215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 name="图片 33"/>
                    <pic:cNvPicPr>
                      <a:picLocks noChangeAspect="1"/>
                    </pic:cNvPicPr>
                  </pic:nvPicPr>
                  <pic:blipFill>
                    <a:blip r:embed="rId92"/>
                    <a:stretch>
                      <a:fillRect/>
                    </a:stretch>
                  </pic:blipFill>
                  <pic:spPr>
                    <a:xfrm>
                      <a:off x="0" y="0"/>
                      <a:ext cx="5278120" cy="1062355"/>
                    </a:xfrm>
                    <a:prstGeom prst="rect">
                      <a:avLst/>
                    </a:prstGeom>
                    <a:noFill/>
                    <a:ln>
                      <a:noFill/>
                    </a:ln>
                  </pic:spPr>
                </pic:pic>
              </a:graphicData>
            </a:graphic>
          </wp:inline>
        </w:drawing>
      </w:r>
    </w:p>
    <w:p w14:paraId="27233347">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(2)设备要求 </w:t>
      </w:r>
    </w:p>
    <w:p w14:paraId="2D87BA82">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地基处理用预制竖向劲性体施工必须配备性能可靠，符合标准，种类齐全的施工机械和设备，在施工前做好机械设备的保养，试机工作，确保在施工期间正常作业。需要配备的主要施工机械和设备如下： </w:t>
      </w:r>
    </w:p>
    <w:p w14:paraId="18014304">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 xml:space="preserve">静力压入机：压入速度≥1m/min，一次压入行程 1.5～2m，静压机自带压力表并经过标定，并根据单根劲性体设计荷载选择合适的机型； </w:t>
      </w:r>
    </w:p>
    <w:p w14:paraId="13310B3A">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起重机（起吊重量≥3T）；长挂车； </w:t>
      </w:r>
    </w:p>
    <w:p w14:paraId="2FDC5BCD">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③</w:t>
      </w:r>
      <w:r>
        <w:rPr>
          <w:rFonts w:hint="eastAsia" w:ascii="宋体" w:hAnsi="宋体" w:eastAsia="宋体" w:cs="宋体"/>
          <w:color w:val="000000"/>
          <w:kern w:val="0"/>
          <w:sz w:val="24"/>
          <w:szCs w:val="24"/>
          <w:lang w:val="en-US" w:eastAsia="zh-CN" w:bidi="ar"/>
        </w:rPr>
        <w:t xml:space="preserve">水准仪、经纬仪、皮尺、直尺、3m 直尺、锤球绳。 </w:t>
      </w:r>
    </w:p>
    <w:p w14:paraId="29E53732">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以上机械和设备数量至少要满足每个工点每日连续正常施工及工期要求。 </w:t>
      </w:r>
    </w:p>
    <w:p w14:paraId="13D0B5ED">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(3)试压入 </w:t>
      </w:r>
    </w:p>
    <w:p w14:paraId="4FC3B48C">
      <w:pPr>
        <w:keepNext w:val="0"/>
        <w:keepLines w:val="0"/>
        <w:widowControl/>
        <w:suppressLineNumbers w:val="0"/>
        <w:jc w:val="left"/>
        <w:rPr>
          <w:b w:val="0"/>
          <w:bCs w:val="0"/>
        </w:rPr>
      </w:pPr>
      <w:r>
        <w:rPr>
          <w:rFonts w:hint="eastAsia" w:ascii="宋体" w:hAnsi="宋体" w:eastAsia="宋体" w:cs="宋体"/>
          <w:b w:val="0"/>
          <w:bCs w:val="0"/>
          <w:color w:val="000000"/>
          <w:kern w:val="0"/>
          <w:sz w:val="24"/>
          <w:szCs w:val="24"/>
          <w:lang w:val="en-US" w:eastAsia="zh-CN" w:bidi="ar"/>
        </w:rPr>
        <w:t xml:space="preserve">各段落施工前应首先按设计长度试压入，以获得正式施工时的控制压力： </w:t>
      </w:r>
    </w:p>
    <w:p w14:paraId="08456862">
      <w:pPr>
        <w:keepNext w:val="0"/>
        <w:keepLines w:val="0"/>
        <w:widowControl/>
        <w:suppressLineNumbers w:val="0"/>
        <w:jc w:val="left"/>
        <w:rPr>
          <w:b w:val="0"/>
          <w:bCs w:val="0"/>
        </w:rPr>
      </w:pPr>
      <w:r>
        <w:rPr>
          <w:rFonts w:hint="eastAsia" w:ascii="宋体" w:hAnsi="宋体" w:eastAsia="宋体" w:cs="宋体"/>
          <w:b w:val="0"/>
          <w:bCs w:val="0"/>
          <w:color w:val="000000"/>
          <w:kern w:val="0"/>
          <w:sz w:val="24"/>
          <w:szCs w:val="24"/>
          <w:lang w:val="en-US" w:eastAsia="zh-CN" w:bidi="ar"/>
        </w:rPr>
        <w:t xml:space="preserve">正式施工时控制压力＝单根劲性体设计承载力×（试压入时压力/试压入静载荷试验承载力）×2 </w:t>
      </w:r>
    </w:p>
    <w:p w14:paraId="5ED07F1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试压入的劲性体可结合工程劲性体施工进行，根据设计图纸，要求每段落试压入的劲性体不少于 4 根，试压入完成后应按有关标准对试入的单根劲性体进行承载力试验，确定压入力与实际承载力之间的关系。试验过程中对劲性体、土、垫层的应力和变形状态进行监测，考察设计文件是否满足工程承载力及沉降要求，及时调整设计。当试压入结果满足设计要求后方可进行大面积施工。 </w:t>
      </w:r>
    </w:p>
    <w:p w14:paraId="05BC36B4">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(4)其他工作 </w:t>
      </w:r>
    </w:p>
    <w:p w14:paraId="2D6679B9">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 xml:space="preserve">施工前根据地质资料和设计文件，了解现场地质、水文情况，土层土质情况，根据设计文件和施工组织计划的要求，确定合理可行的施工顺序。必要时可补充静力触探，以便进一步了解土的分层及其强度。 </w:t>
      </w:r>
    </w:p>
    <w:p w14:paraId="249D15FF">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做好施工时的排水措施。根据地基处理用预制竖向劲性体的堆放数量，选择若干靠近临时便道，开阔平整的场地作为地基处理用预制竖向劲性体的临时堆放场。 </w:t>
      </w:r>
    </w:p>
    <w:p w14:paraId="510E4131">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③</w:t>
      </w:r>
      <w:r>
        <w:rPr>
          <w:rFonts w:hint="eastAsia" w:ascii="宋体" w:hAnsi="宋体" w:eastAsia="宋体" w:cs="宋体"/>
          <w:color w:val="000000"/>
          <w:kern w:val="0"/>
          <w:sz w:val="24"/>
          <w:szCs w:val="24"/>
          <w:lang w:val="en-US" w:eastAsia="zh-CN" w:bidi="ar"/>
        </w:rPr>
        <w:t xml:space="preserve">施工前应清除地表地下一切障碍物，并注意压入施工是否影响空中高压电线等。 </w:t>
      </w:r>
    </w:p>
    <w:p w14:paraId="4BF9FEAC">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④</w:t>
      </w:r>
      <w:r>
        <w:rPr>
          <w:rFonts w:hint="eastAsia" w:ascii="宋体" w:hAnsi="宋体" w:eastAsia="宋体" w:cs="宋体"/>
          <w:color w:val="000000"/>
          <w:kern w:val="0"/>
          <w:sz w:val="24"/>
          <w:szCs w:val="24"/>
          <w:lang w:val="en-US" w:eastAsia="zh-CN" w:bidi="ar"/>
        </w:rPr>
        <w:t xml:space="preserve">各段落施工前应先试压入，以确定合适的劲性体长度及每节组合，避免大量截断。 </w:t>
      </w:r>
    </w:p>
    <w:p w14:paraId="40E6EEA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5.4.2 </w:t>
      </w:r>
      <w:r>
        <w:rPr>
          <w:rFonts w:hint="eastAsia" w:ascii="宋体" w:hAnsi="宋体" w:eastAsia="宋体" w:cs="宋体"/>
          <w:b/>
          <w:bCs/>
          <w:color w:val="000000"/>
          <w:kern w:val="0"/>
          <w:sz w:val="24"/>
          <w:szCs w:val="24"/>
          <w:lang w:val="en-US" w:eastAsia="zh-CN" w:bidi="ar"/>
        </w:rPr>
        <w:t xml:space="preserve">地基处理用预制竖向劲性体复合地基的施工 </w:t>
      </w:r>
    </w:p>
    <w:p w14:paraId="5D221B1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(1)施工流程 </w:t>
      </w:r>
    </w:p>
    <w:p w14:paraId="7D8CE64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控沉地基处理用预制竖向劲性体的施工流程图如下： </w:t>
      </w:r>
    </w:p>
    <w:p w14:paraId="24AA9228">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 xml:space="preserve">图 </w:t>
      </w:r>
      <w:r>
        <w:rPr>
          <w:rFonts w:hint="eastAsia" w:ascii="宋体" w:hAnsi="宋体" w:eastAsia="宋体" w:cs="宋体"/>
          <w:color w:val="000000"/>
          <w:kern w:val="0"/>
          <w:sz w:val="24"/>
          <w:szCs w:val="24"/>
          <w:lang w:val="en-US" w:eastAsia="zh-CN" w:bidi="ar"/>
        </w:rPr>
        <w:t>8-14</w:t>
      </w:r>
      <w:r>
        <w:rPr>
          <w:rFonts w:hint="eastAsia" w:ascii="宋体" w:hAnsi="宋体" w:eastAsia="宋体" w:cs="宋体"/>
          <w:b/>
          <w:bCs/>
          <w:color w:val="000000"/>
          <w:kern w:val="0"/>
          <w:sz w:val="24"/>
          <w:szCs w:val="24"/>
          <w:lang w:val="en-US" w:eastAsia="zh-CN" w:bidi="ar"/>
        </w:rPr>
        <w:t xml:space="preserve">地基处理用预制竖向劲性体施工流程图 </w:t>
      </w:r>
    </w:p>
    <w:p w14:paraId="18E0D52F">
      <w:pPr>
        <w:pStyle w:val="56"/>
        <w:rPr>
          <w:rFonts w:hint="eastAsia" w:ascii="宋体" w:hAnsi="宋体" w:eastAsia="宋体" w:cs="宋体"/>
          <w:b/>
          <w:bCs/>
          <w:color w:val="000000"/>
          <w:kern w:val="0"/>
          <w:sz w:val="24"/>
          <w:szCs w:val="24"/>
          <w:lang w:val="en-US" w:eastAsia="zh-CN" w:bidi="ar"/>
        </w:rPr>
      </w:pPr>
    </w:p>
    <w:p w14:paraId="57FEC69B">
      <w:pPr>
        <w:pStyle w:val="56"/>
        <w:rPr>
          <w:rFonts w:hint="eastAsia" w:ascii="宋体" w:hAnsi="宋体" w:eastAsia="宋体" w:cs="宋体"/>
          <w:b/>
          <w:bCs/>
          <w:color w:val="000000"/>
          <w:kern w:val="0"/>
          <w:sz w:val="24"/>
          <w:szCs w:val="24"/>
          <w:lang w:val="en-US" w:eastAsia="zh-CN" w:bidi="ar"/>
        </w:rPr>
      </w:pPr>
    </w:p>
    <w:p w14:paraId="1E67FFC9">
      <w:pPr>
        <w:pStyle w:val="56"/>
        <w:rPr>
          <w:rFonts w:hint="eastAsia" w:ascii="宋体" w:hAnsi="宋体" w:eastAsia="宋体" w:cs="宋体"/>
          <w:b/>
          <w:bCs/>
          <w:color w:val="000000"/>
          <w:kern w:val="0"/>
          <w:sz w:val="24"/>
          <w:szCs w:val="24"/>
          <w:lang w:val="en-US" w:eastAsia="zh-CN" w:bidi="ar"/>
        </w:rPr>
      </w:pPr>
      <w:r>
        <w:drawing>
          <wp:inline distT="0" distB="0" distL="114300" distR="114300">
            <wp:extent cx="5278120" cy="2406650"/>
            <wp:effectExtent l="0" t="0" r="10160" b="1270"/>
            <wp:docPr id="215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 name="图片 34"/>
                    <pic:cNvPicPr>
                      <a:picLocks noChangeAspect="1"/>
                    </pic:cNvPicPr>
                  </pic:nvPicPr>
                  <pic:blipFill>
                    <a:blip r:embed="rId93"/>
                    <a:stretch>
                      <a:fillRect/>
                    </a:stretch>
                  </pic:blipFill>
                  <pic:spPr>
                    <a:xfrm>
                      <a:off x="0" y="0"/>
                      <a:ext cx="5278120" cy="2406650"/>
                    </a:xfrm>
                    <a:prstGeom prst="rect">
                      <a:avLst/>
                    </a:prstGeom>
                    <a:noFill/>
                    <a:ln>
                      <a:noFill/>
                    </a:ln>
                  </pic:spPr>
                </pic:pic>
              </a:graphicData>
            </a:graphic>
          </wp:inline>
        </w:drawing>
      </w:r>
    </w:p>
    <w:p w14:paraId="54B38B75">
      <w:pPr>
        <w:pStyle w:val="56"/>
        <w:rPr>
          <w:rFonts w:hint="eastAsia" w:ascii="宋体" w:hAnsi="宋体" w:eastAsia="宋体" w:cs="宋体"/>
          <w:b/>
          <w:bCs/>
          <w:color w:val="000000"/>
          <w:kern w:val="0"/>
          <w:sz w:val="24"/>
          <w:szCs w:val="24"/>
          <w:lang w:val="en-US" w:eastAsia="zh-CN" w:bidi="ar"/>
        </w:rPr>
      </w:pPr>
    </w:p>
    <w:p w14:paraId="4052533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(2)地基处理用预制竖向劲性体的成品质量要求和检查标准 </w:t>
      </w:r>
    </w:p>
    <w:p w14:paraId="59B06FC1">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本工程中的地基处理用预制竖向劲性体，其外径为 400mm（壁厚 60mm）。 </w:t>
      </w:r>
    </w:p>
    <w:p w14:paraId="2ED059C7">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应根据施工图设计文件中的劲性体深度匹配长度进行组合。地基处理深度 &gt;24m 时， 不超过 3 节竖向劲性体组合；地基处理深度≤24m 时，不超过 2 节竖向劲性体组合。施工时按照“</w:t>
      </w:r>
      <w:r>
        <w:rPr>
          <w:rFonts w:hint="eastAsia" w:ascii="宋体" w:hAnsi="宋体" w:eastAsia="宋体" w:cs="宋体"/>
          <w:b/>
          <w:bCs/>
          <w:color w:val="000000"/>
          <w:kern w:val="0"/>
          <w:sz w:val="24"/>
          <w:szCs w:val="24"/>
          <w:lang w:val="en-US" w:eastAsia="zh-CN" w:bidi="ar"/>
        </w:rPr>
        <w:t>长竖向劲性体在下，短竖向劲性体在上</w:t>
      </w:r>
      <w:r>
        <w:rPr>
          <w:rFonts w:hint="eastAsia" w:ascii="宋体" w:hAnsi="宋体" w:eastAsia="宋体" w:cs="宋体"/>
          <w:color w:val="000000"/>
          <w:kern w:val="0"/>
          <w:sz w:val="24"/>
          <w:szCs w:val="24"/>
          <w:lang w:val="en-US" w:eastAsia="zh-CN" w:bidi="ar"/>
        </w:rPr>
        <w:t xml:space="preserve">”的顺序进行施工。 </w:t>
      </w:r>
    </w:p>
    <w:p w14:paraId="468AA578">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在每个工厂每批次的地基处理用预制竖向劲性体进场之前，应进行随机抽样检查，并附检查单，经验收合格后方可进场。 </w:t>
      </w:r>
    </w:p>
    <w:p w14:paraId="2F9908CC">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8-5 </w:t>
      </w:r>
      <w:r>
        <w:rPr>
          <w:rFonts w:hint="eastAsia" w:ascii="宋体" w:hAnsi="宋体" w:eastAsia="宋体" w:cs="宋体"/>
          <w:b/>
          <w:bCs/>
          <w:color w:val="000000"/>
          <w:kern w:val="0"/>
          <w:sz w:val="24"/>
          <w:szCs w:val="24"/>
          <w:lang w:val="en-US" w:eastAsia="zh-CN" w:bidi="ar"/>
        </w:rPr>
        <w:t>预制竖向劲性体的外观质量</w:t>
      </w:r>
    </w:p>
    <w:p w14:paraId="6BBF09E7">
      <w:pPr>
        <w:keepNext w:val="0"/>
        <w:keepLines w:val="0"/>
        <w:widowControl/>
        <w:suppressLineNumbers w:val="0"/>
        <w:ind w:left="0" w:leftChars="0" w:firstLine="0" w:firstLineChars="0"/>
        <w:jc w:val="left"/>
        <w:rPr>
          <w:rFonts w:hint="default" w:eastAsia="宋体"/>
          <w:lang w:val="en-US" w:eastAsia="zh-CN"/>
        </w:rPr>
      </w:pPr>
      <w:r>
        <w:drawing>
          <wp:inline distT="0" distB="0" distL="114300" distR="114300">
            <wp:extent cx="5272405" cy="1820545"/>
            <wp:effectExtent l="0" t="0" r="635" b="8255"/>
            <wp:docPr id="215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图片 35"/>
                    <pic:cNvPicPr>
                      <a:picLocks noChangeAspect="1"/>
                    </pic:cNvPicPr>
                  </pic:nvPicPr>
                  <pic:blipFill>
                    <a:blip r:embed="rId94"/>
                    <a:stretch>
                      <a:fillRect/>
                    </a:stretch>
                  </pic:blipFill>
                  <pic:spPr>
                    <a:xfrm>
                      <a:off x="0" y="0"/>
                      <a:ext cx="5272405" cy="1820545"/>
                    </a:xfrm>
                    <a:prstGeom prst="rect">
                      <a:avLst/>
                    </a:prstGeom>
                    <a:noFill/>
                    <a:ln>
                      <a:noFill/>
                    </a:ln>
                  </pic:spPr>
                </pic:pic>
              </a:graphicData>
            </a:graphic>
          </wp:inline>
        </w:drawing>
      </w:r>
    </w:p>
    <w:p w14:paraId="7D958848">
      <w:pPr>
        <w:keepNext w:val="0"/>
        <w:keepLines w:val="0"/>
        <w:widowControl/>
        <w:suppressLineNumbers w:val="0"/>
        <w:ind w:left="0" w:leftChars="0" w:firstLine="0" w:firstLineChars="0"/>
        <w:jc w:val="left"/>
      </w:pPr>
      <w:r>
        <w:drawing>
          <wp:inline distT="0" distB="0" distL="114300" distR="114300">
            <wp:extent cx="5272405" cy="1061085"/>
            <wp:effectExtent l="0" t="0" r="635" b="5715"/>
            <wp:docPr id="215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 name="图片 36"/>
                    <pic:cNvPicPr>
                      <a:picLocks noChangeAspect="1"/>
                    </pic:cNvPicPr>
                  </pic:nvPicPr>
                  <pic:blipFill>
                    <a:blip r:embed="rId95"/>
                    <a:stretch>
                      <a:fillRect/>
                    </a:stretch>
                  </pic:blipFill>
                  <pic:spPr>
                    <a:xfrm>
                      <a:off x="0" y="0"/>
                      <a:ext cx="5272405" cy="1061085"/>
                    </a:xfrm>
                    <a:prstGeom prst="rect">
                      <a:avLst/>
                    </a:prstGeom>
                    <a:noFill/>
                    <a:ln>
                      <a:noFill/>
                    </a:ln>
                  </pic:spPr>
                </pic:pic>
              </a:graphicData>
            </a:graphic>
          </wp:inline>
        </w:drawing>
      </w:r>
    </w:p>
    <w:p w14:paraId="13BFEDE8">
      <w:pPr>
        <w:pStyle w:val="56"/>
      </w:pPr>
    </w:p>
    <w:p w14:paraId="5AD084D6">
      <w:pPr>
        <w:pStyle w:val="56"/>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8-6 </w:t>
      </w:r>
      <w:r>
        <w:rPr>
          <w:rFonts w:hint="eastAsia" w:ascii="宋体" w:hAnsi="宋体" w:eastAsia="宋体" w:cs="宋体"/>
          <w:b/>
          <w:bCs/>
          <w:color w:val="000000"/>
          <w:kern w:val="0"/>
          <w:sz w:val="24"/>
          <w:szCs w:val="24"/>
          <w:lang w:val="en-US" w:eastAsia="zh-CN" w:bidi="ar"/>
        </w:rPr>
        <w:t>预制竖向劲性体的尺寸允许偏差</w:t>
      </w:r>
    </w:p>
    <w:p w14:paraId="7328F13E">
      <w:pPr>
        <w:keepNext w:val="0"/>
        <w:keepLines w:val="0"/>
        <w:widowControl/>
        <w:suppressLineNumbers w:val="0"/>
        <w:jc w:val="left"/>
      </w:pPr>
      <w:r>
        <w:drawing>
          <wp:inline distT="0" distB="0" distL="114300" distR="114300">
            <wp:extent cx="5275580" cy="2356485"/>
            <wp:effectExtent l="0" t="0" r="12700" b="5715"/>
            <wp:docPr id="21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 name="图片 37"/>
                    <pic:cNvPicPr>
                      <a:picLocks noChangeAspect="1"/>
                    </pic:cNvPicPr>
                  </pic:nvPicPr>
                  <pic:blipFill>
                    <a:blip r:embed="rId96"/>
                    <a:stretch>
                      <a:fillRect/>
                    </a:stretch>
                  </pic:blipFill>
                  <pic:spPr>
                    <a:xfrm>
                      <a:off x="0" y="0"/>
                      <a:ext cx="5275580" cy="2356485"/>
                    </a:xfrm>
                    <a:prstGeom prst="rect">
                      <a:avLst/>
                    </a:prstGeom>
                    <a:noFill/>
                    <a:ln>
                      <a:noFill/>
                    </a:ln>
                  </pic:spPr>
                </pic:pic>
              </a:graphicData>
            </a:graphic>
          </wp:inline>
        </w:drawing>
      </w:r>
    </w:p>
    <w:p w14:paraId="5305631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(3)地基处理用预制竖向劲性体的运输，起吊和堆放技术要求 </w:t>
      </w:r>
    </w:p>
    <w:p w14:paraId="655CB08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地基处理用预制竖向劲性体由于长细比大，自重大，在起吊，运输过程中过大的动荷载易使劲性体产生环裂。正确的起吊方式是两支点法或两头勾吊法，并在吊装过程中应轻吊轻放，禁止采用拖吊的方法，避免产生较大的动荷载，在工地现场起吊时，必须有安全人员在现场组织施工，监埋进行旁站监督。汽车运输时用长挂车，劲性体的悬臂不超过 1.0m，在汽车运输时，应该绑固，分层叠放并错位而置，不超过 5 层。在工地现场堆放时，必须选择密实平整的场地或垫木支承，堆高不应超过 5 层。其质量及检验要求见下表。 </w:t>
      </w:r>
    </w:p>
    <w:p w14:paraId="348D1F9E">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8-7 </w:t>
      </w:r>
      <w:r>
        <w:rPr>
          <w:rFonts w:hint="eastAsia" w:ascii="宋体" w:hAnsi="宋体" w:eastAsia="宋体" w:cs="宋体"/>
          <w:b/>
          <w:bCs/>
          <w:color w:val="000000"/>
          <w:kern w:val="0"/>
          <w:sz w:val="24"/>
          <w:szCs w:val="24"/>
          <w:lang w:val="en-US" w:eastAsia="zh-CN" w:bidi="ar"/>
        </w:rPr>
        <w:t>地基处理用预制竖向劲性体的运输，起吊和堆放质量及检验要求</w:t>
      </w:r>
    </w:p>
    <w:p w14:paraId="1AA39AF7">
      <w:pPr>
        <w:pStyle w:val="56"/>
      </w:pPr>
      <w:r>
        <w:drawing>
          <wp:inline distT="0" distB="0" distL="114300" distR="114300">
            <wp:extent cx="5270500" cy="1630680"/>
            <wp:effectExtent l="0" t="0" r="2540" b="0"/>
            <wp:docPr id="215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图片 38"/>
                    <pic:cNvPicPr>
                      <a:picLocks noChangeAspect="1"/>
                    </pic:cNvPicPr>
                  </pic:nvPicPr>
                  <pic:blipFill>
                    <a:blip r:embed="rId97"/>
                    <a:stretch>
                      <a:fillRect/>
                    </a:stretch>
                  </pic:blipFill>
                  <pic:spPr>
                    <a:xfrm>
                      <a:off x="0" y="0"/>
                      <a:ext cx="5270500" cy="1630680"/>
                    </a:xfrm>
                    <a:prstGeom prst="rect">
                      <a:avLst/>
                    </a:prstGeom>
                    <a:noFill/>
                    <a:ln>
                      <a:noFill/>
                    </a:ln>
                  </pic:spPr>
                </pic:pic>
              </a:graphicData>
            </a:graphic>
          </wp:inline>
        </w:drawing>
      </w:r>
    </w:p>
    <w:p w14:paraId="7A8B417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(4)地基处理用预制竖向劲性体的施工技术要求 </w:t>
      </w:r>
    </w:p>
    <w:p w14:paraId="36D96CB6">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 xml:space="preserve">劲性体位置放样 </w:t>
      </w:r>
    </w:p>
    <w:p w14:paraId="0462A01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根据设计文件和技术交底所取得确定底坐标控制点和水准点进行劲性体位置的放样。用消石灰作出劲性体位置的圆形标记，圆心位置用小木桩标记，并注意保护所作的标记。 </w:t>
      </w:r>
    </w:p>
    <w:p w14:paraId="436320D9">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静压 </w:t>
      </w:r>
    </w:p>
    <w:p w14:paraId="7C018E1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用钢绳绑住劲性体单点起吊，小心移入压入机，开动纵横两向油缸移动压入机调整对中，同时检查垂直度。第一节劲性体入土 30～50cm 后检查和校正垂直度，垂直度控制在 0.5％以内，开动压入装置，记录压入时间和各压力表读数，保持连续压入并控制压入速度 1m/min～2m/min，桥头附近应控制在 0.5m/min～1.0m/min，按设计控制压力进行压入施工，最大压入力不得大于单根劲性体强度的竖向承载力设计值。为防止压入机械对已压劲性体头底破坏，劲性体顶高程应低于地面 10cm。 若地表有砖、石块等障碍物导致劲性体难以直接压入则考虑采用引孔辅助沉入法，引孔的直径、孔深及数量应符合下列规定： </w:t>
      </w:r>
    </w:p>
    <w:p w14:paraId="3C0A31C4">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引孔直径不宜超过劲性体直径的 2/3，深度不宜超过劲性体长度的 2/3，并应采取防塌孔的措施，具体以设计图纸为准； 引孔宜采用长螺旋钻机引孔，垂直偏差不宜大于 0.5%，钻孔中有积水时，宜用开口型尖头； 引孔作业和沉入作业应连续进行，间隔时间不宜大于 12h； 采用引孔辅助沉入法的终压（锤）标准应根据相应的沉入工艺，按相关规范、规定执行。 </w:t>
      </w:r>
    </w:p>
    <w:p w14:paraId="75D151F0">
      <w:pPr>
        <w:keepNext w:val="0"/>
        <w:keepLines w:val="0"/>
        <w:widowControl/>
        <w:suppressLineNumbers w:val="0"/>
        <w:jc w:val="left"/>
      </w:pPr>
      <w:r>
        <w:rPr>
          <w:rFonts w:hint="eastAsia" w:ascii="宋体" w:hAnsi="宋体" w:eastAsia="宋体" w:cs="宋体"/>
          <w:color w:val="000000"/>
          <w:kern w:val="0"/>
          <w:sz w:val="24"/>
          <w:szCs w:val="24"/>
          <w:lang w:val="en-US" w:eastAsia="zh-CN" w:bidi="ar"/>
        </w:rPr>
        <w:t>遇下列特殊情况之一时应暂定沉入，应与设计、监理等有关人员研究处理后方可继续施工： 压入力或沉入时贯入度突变； 沉入时入土深度与设计要求差异大； 实际沉入情况与地质报告中的土层性质明显不符；劲性体头部混凝土剥落、破碎，或劲性体混凝土出现裂缝或破碎；劲性体身突然倾斜；地面明显隆起、相邻劲性体上浮或位移过大； 沉入过程出现异常声响；劲性体压入不到位，或总锤击数超过规定值。 如遇特殊情况，须采用其他沉入工艺如锤击法、植入法、中掘法等。</w:t>
      </w:r>
    </w:p>
    <w:p w14:paraId="7438CB3F">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③</w:t>
      </w:r>
      <w:r>
        <w:rPr>
          <w:rFonts w:hint="eastAsia" w:ascii="宋体" w:hAnsi="宋体" w:eastAsia="宋体" w:cs="宋体"/>
          <w:color w:val="000000"/>
          <w:kern w:val="0"/>
          <w:sz w:val="24"/>
          <w:szCs w:val="24"/>
          <w:lang w:val="en-US" w:eastAsia="zh-CN" w:bidi="ar"/>
        </w:rPr>
        <w:t xml:space="preserve">劲性体连接要求 </w:t>
      </w:r>
    </w:p>
    <w:p w14:paraId="34CDE6AC">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劲性体连接时其头部应高出地面 1.0m 左右；连接前下节劲性体底部加上定位板，然后将上节劲性体吊放在下节劲性体端板上，依靠定位板将上下劲性体接直，其错位偏差不应大于 2mm，上下劲性体如有空隙，用锲形铁片全部垫实焊接牢固； </w:t>
      </w:r>
    </w:p>
    <w:p w14:paraId="0B1AC485">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④</w:t>
      </w:r>
      <w:r>
        <w:rPr>
          <w:rFonts w:hint="eastAsia" w:ascii="宋体" w:hAnsi="宋体" w:eastAsia="宋体" w:cs="宋体"/>
          <w:color w:val="000000"/>
          <w:kern w:val="0"/>
          <w:sz w:val="24"/>
          <w:szCs w:val="24"/>
          <w:lang w:val="en-US" w:eastAsia="zh-CN" w:bidi="ar"/>
        </w:rPr>
        <w:t xml:space="preserve">劲性体输送 </w:t>
      </w:r>
    </w:p>
    <w:p w14:paraId="2DCF61A2">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劲性体输送前用水准仪确定地面高程，在劲性体输送杆上作记号，劲性体过程中进行跟踪，动态检查劲性体输送深度。输送器下端宜设置垫板，垫板厚度均匀并与劲性体顶全断面接触。 </w:t>
      </w:r>
    </w:p>
    <w:p w14:paraId="128961D3">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⑤</w:t>
      </w:r>
      <w:r>
        <w:rPr>
          <w:rFonts w:hint="eastAsia" w:ascii="宋体" w:hAnsi="宋体" w:eastAsia="宋体" w:cs="宋体"/>
          <w:color w:val="000000"/>
          <w:kern w:val="0"/>
          <w:sz w:val="24"/>
          <w:szCs w:val="24"/>
          <w:lang w:val="en-US" w:eastAsia="zh-CN" w:bidi="ar"/>
        </w:rPr>
        <w:t xml:space="preserve">终止劲性体压入 </w:t>
      </w:r>
    </w:p>
    <w:p w14:paraId="45643E48">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正常情况按设计压入力输送劲性体，达到设计高程后持荷（正常压力）10min 且每分钟沉降量不超过 2mm 后方可结束。在同一地质类型的地段，若出现静压力显著增加或输送劲性体时静压力显著减少等异常情况，需暂停施工并及时报告监理，分析和找出原因后提出措施。 </w:t>
      </w:r>
    </w:p>
    <w:p w14:paraId="7BFA8C78">
      <w:pPr>
        <w:pStyle w:val="56"/>
      </w:pPr>
    </w:p>
    <w:p w14:paraId="1FAED11F">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⑥</w:t>
      </w:r>
      <w:r>
        <w:rPr>
          <w:rFonts w:hint="eastAsia" w:ascii="宋体" w:hAnsi="宋体" w:eastAsia="宋体" w:cs="宋体"/>
          <w:color w:val="000000"/>
          <w:kern w:val="0"/>
          <w:sz w:val="24"/>
          <w:szCs w:val="24"/>
          <w:lang w:val="en-US" w:eastAsia="zh-CN" w:bidi="ar"/>
        </w:rPr>
        <w:t xml:space="preserve">地基处理用预制竖向劲性体的施工质量及检验要求见下表： </w:t>
      </w:r>
    </w:p>
    <w:p w14:paraId="3775D51E">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⑦</w:t>
      </w:r>
      <w:r>
        <w:rPr>
          <w:rFonts w:hint="eastAsia" w:ascii="宋体" w:hAnsi="宋体" w:eastAsia="宋体" w:cs="宋体"/>
          <w:color w:val="000000"/>
          <w:kern w:val="0"/>
          <w:sz w:val="24"/>
          <w:szCs w:val="24"/>
          <w:lang w:val="en-US" w:eastAsia="zh-CN" w:bidi="ar"/>
        </w:rPr>
        <w:t xml:space="preserve">截断 </w:t>
      </w:r>
    </w:p>
    <w:p w14:paraId="311BC4D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如需要截断，应有确保截断后劲性体质量的措施，严禁使用大锤硬砸，应先将不需要截除的劲性体用钢箍包紧，然后沿钢箍上沿凿槽打穿，用锤打下，用气割法切断钢筋。 </w:t>
      </w:r>
    </w:p>
    <w:p w14:paraId="51018B77">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(5)地基处理用预制竖向劲性体帽的施工 </w:t>
      </w:r>
    </w:p>
    <w:p w14:paraId="2533A687">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①</w:t>
      </w:r>
      <w:r>
        <w:rPr>
          <w:rFonts w:hint="eastAsia" w:ascii="宋体" w:hAnsi="宋体" w:eastAsia="宋体" w:cs="宋体"/>
          <w:color w:val="000000"/>
          <w:kern w:val="0"/>
          <w:sz w:val="24"/>
          <w:szCs w:val="24"/>
          <w:lang w:val="en-US" w:eastAsia="zh-CN" w:bidi="ar"/>
        </w:rPr>
        <w:t xml:space="preserve">地基处理用预制竖向劲性体施工结束后，报请监理验收合格后，才可进行劲性体顶部钢筋混凝土板的施工。 </w:t>
      </w:r>
    </w:p>
    <w:p w14:paraId="7188B5ED">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②</w:t>
      </w:r>
      <w:r>
        <w:rPr>
          <w:rFonts w:hint="eastAsia" w:ascii="宋体" w:hAnsi="宋体" w:eastAsia="宋体" w:cs="宋体"/>
          <w:color w:val="000000"/>
          <w:kern w:val="0"/>
          <w:sz w:val="24"/>
          <w:szCs w:val="24"/>
          <w:lang w:val="en-US" w:eastAsia="zh-CN" w:bidi="ar"/>
        </w:rPr>
        <w:t xml:space="preserve">在劲性体头部位置地面以上按钢筋混凝土板设计尺寸立模。 </w:t>
      </w:r>
    </w:p>
    <w:p w14:paraId="11F46BD5">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③</w:t>
      </w:r>
      <w:r>
        <w:rPr>
          <w:rFonts w:hint="eastAsia" w:ascii="宋体" w:hAnsi="宋体" w:eastAsia="宋体" w:cs="宋体"/>
          <w:color w:val="000000"/>
          <w:kern w:val="0"/>
          <w:sz w:val="24"/>
          <w:szCs w:val="24"/>
          <w:lang w:val="en-US" w:eastAsia="zh-CN" w:bidi="ar"/>
        </w:rPr>
        <w:t xml:space="preserve">按照设计要求绑扎钢筋，浇筑砼并养护。 </w:t>
      </w:r>
    </w:p>
    <w:p w14:paraId="0CF8F317">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④</w:t>
      </w:r>
      <w:r>
        <w:rPr>
          <w:rFonts w:hint="eastAsia" w:ascii="宋体" w:hAnsi="宋体" w:eastAsia="宋体" w:cs="宋体"/>
          <w:color w:val="000000"/>
          <w:kern w:val="0"/>
          <w:sz w:val="24"/>
          <w:szCs w:val="24"/>
          <w:lang w:val="en-US" w:eastAsia="zh-CN" w:bidi="ar"/>
        </w:rPr>
        <w:t xml:space="preserve">地基处理用预制竖向劲性体帽的施工质量及验收要求见下表。 </w:t>
      </w:r>
    </w:p>
    <w:p w14:paraId="44E976DF">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8-8 </w:t>
      </w:r>
      <w:r>
        <w:rPr>
          <w:rFonts w:hint="eastAsia" w:ascii="宋体" w:hAnsi="宋体" w:eastAsia="宋体" w:cs="宋体"/>
          <w:b/>
          <w:bCs/>
          <w:color w:val="000000"/>
          <w:kern w:val="0"/>
          <w:sz w:val="24"/>
          <w:szCs w:val="24"/>
          <w:lang w:val="en-US" w:eastAsia="zh-CN" w:bidi="ar"/>
        </w:rPr>
        <w:t>地基处理用预制竖向劲性体帽的施工质量及检验要求</w:t>
      </w:r>
    </w:p>
    <w:p w14:paraId="146AA252">
      <w:pPr>
        <w:keepNext w:val="0"/>
        <w:keepLines w:val="0"/>
        <w:widowControl/>
        <w:suppressLineNumbers w:val="0"/>
        <w:ind w:left="0" w:leftChars="0" w:firstLine="0" w:firstLineChars="0"/>
        <w:jc w:val="left"/>
      </w:pPr>
      <w:r>
        <w:drawing>
          <wp:inline distT="0" distB="0" distL="114300" distR="114300">
            <wp:extent cx="5269865" cy="2141220"/>
            <wp:effectExtent l="0" t="0" r="3175" b="7620"/>
            <wp:docPr id="215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图片 39"/>
                    <pic:cNvPicPr>
                      <a:picLocks noChangeAspect="1"/>
                    </pic:cNvPicPr>
                  </pic:nvPicPr>
                  <pic:blipFill>
                    <a:blip r:embed="rId98"/>
                    <a:stretch>
                      <a:fillRect/>
                    </a:stretch>
                  </pic:blipFill>
                  <pic:spPr>
                    <a:xfrm>
                      <a:off x="0" y="0"/>
                      <a:ext cx="5269865" cy="2141220"/>
                    </a:xfrm>
                    <a:prstGeom prst="rect">
                      <a:avLst/>
                    </a:prstGeom>
                    <a:noFill/>
                    <a:ln>
                      <a:noFill/>
                    </a:ln>
                  </pic:spPr>
                </pic:pic>
              </a:graphicData>
            </a:graphic>
          </wp:inline>
        </w:drawing>
      </w:r>
    </w:p>
    <w:p w14:paraId="6C6DB3E0">
      <w:pPr>
        <w:pStyle w:val="56"/>
      </w:pPr>
      <w:r>
        <w:drawing>
          <wp:inline distT="0" distB="0" distL="114300" distR="114300">
            <wp:extent cx="5273040" cy="6207125"/>
            <wp:effectExtent l="0" t="0" r="0" b="10795"/>
            <wp:docPr id="21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 name="图片 49"/>
                    <pic:cNvPicPr>
                      <a:picLocks noChangeAspect="1"/>
                    </pic:cNvPicPr>
                  </pic:nvPicPr>
                  <pic:blipFill>
                    <a:blip r:embed="rId99"/>
                    <a:stretch>
                      <a:fillRect/>
                    </a:stretch>
                  </pic:blipFill>
                  <pic:spPr>
                    <a:xfrm>
                      <a:off x="0" y="0"/>
                      <a:ext cx="5273040" cy="6207125"/>
                    </a:xfrm>
                    <a:prstGeom prst="rect">
                      <a:avLst/>
                    </a:prstGeom>
                    <a:noFill/>
                    <a:ln>
                      <a:noFill/>
                    </a:ln>
                  </pic:spPr>
                </pic:pic>
              </a:graphicData>
            </a:graphic>
          </wp:inline>
        </w:drawing>
      </w:r>
    </w:p>
    <w:p w14:paraId="7C7309E8">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14:paraId="387B814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 PHC </w:t>
      </w:r>
      <w:r>
        <w:rPr>
          <w:rFonts w:hint="eastAsia" w:ascii="宋体" w:hAnsi="宋体" w:eastAsia="宋体" w:cs="宋体"/>
          <w:b/>
          <w:bCs/>
          <w:color w:val="000000"/>
          <w:kern w:val="0"/>
          <w:sz w:val="24"/>
          <w:szCs w:val="24"/>
          <w:lang w:val="en-US" w:eastAsia="zh-CN" w:bidi="ar"/>
        </w:rPr>
        <w:t xml:space="preserve">桩处理段落 </w:t>
      </w:r>
    </w:p>
    <w:p w14:paraId="34F80906">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K132+580~132+983 </w:t>
      </w:r>
      <w:r>
        <w:rPr>
          <w:rFonts w:hint="eastAsia" w:ascii="宋体" w:hAnsi="宋体" w:eastAsia="宋体" w:cs="宋体"/>
          <w:color w:val="000000"/>
          <w:kern w:val="0"/>
          <w:sz w:val="24"/>
          <w:szCs w:val="24"/>
          <w:lang w:val="en-US" w:eastAsia="zh-CN" w:bidi="ar"/>
        </w:rPr>
        <w:t>段、</w:t>
      </w:r>
      <w:r>
        <w:rPr>
          <w:rFonts w:hint="default" w:ascii="Times New Roman" w:hAnsi="Times New Roman" w:eastAsia="宋体" w:cs="Times New Roman"/>
          <w:color w:val="000000"/>
          <w:kern w:val="0"/>
          <w:sz w:val="24"/>
          <w:szCs w:val="24"/>
          <w:lang w:val="en-US" w:eastAsia="zh-CN" w:bidi="ar"/>
        </w:rPr>
        <w:t xml:space="preserve">K133+314~K133+350 </w:t>
      </w:r>
      <w:r>
        <w:rPr>
          <w:rFonts w:hint="eastAsia" w:ascii="宋体" w:hAnsi="宋体" w:eastAsia="宋体" w:cs="宋体"/>
          <w:color w:val="000000"/>
          <w:kern w:val="0"/>
          <w:sz w:val="24"/>
          <w:szCs w:val="24"/>
          <w:lang w:val="en-US" w:eastAsia="zh-CN" w:bidi="ar"/>
        </w:rPr>
        <w:t>段，位于软基地质界线内，且路基填土高度大于 8m，同时为扩建段，为保证足够的抗剪强度，采用 PHC 桩进行处理，在临近房屋、旧桥台 的段落需进行引孔，防止挤土效应过大破坏相关建构筑物。PHC 管桩，选择直径为 600mm 的先张法预应力砼管桩，采用静压法施工，开口型桩尖。施工 的内容包括地表处理，压桩至设计深度后在浇注桩顶联系梁。</w:t>
      </w:r>
    </w:p>
    <w:p w14:paraId="1E24BD6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 </w:t>
      </w:r>
      <w:r>
        <w:rPr>
          <w:rFonts w:hint="eastAsia" w:ascii="宋体" w:hAnsi="宋体" w:eastAsia="宋体" w:cs="宋体"/>
          <w:b/>
          <w:bCs/>
          <w:color w:val="000000"/>
          <w:kern w:val="0"/>
          <w:sz w:val="24"/>
          <w:szCs w:val="24"/>
          <w:lang w:val="en-US" w:eastAsia="zh-CN" w:bidi="ar"/>
        </w:rPr>
        <w:t xml:space="preserve">准备工作 </w:t>
      </w:r>
    </w:p>
    <w:p w14:paraId="573EACEC">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1</w:t>
      </w:r>
      <w:r>
        <w:rPr>
          <w:rFonts w:hint="eastAsia" w:ascii="宋体" w:hAnsi="宋体" w:eastAsia="宋体" w:cs="宋体"/>
          <w:b/>
          <w:bCs/>
          <w:color w:val="000000"/>
          <w:kern w:val="0"/>
          <w:sz w:val="24"/>
          <w:szCs w:val="24"/>
          <w:lang w:val="en-US" w:eastAsia="zh-CN" w:bidi="ar"/>
        </w:rPr>
        <w:t xml:space="preserve">） 路 基地 板 的 施工 技 术 要 求 </w:t>
      </w:r>
    </w:p>
    <w:p w14:paraId="6A3DE89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（1）先清除地表的杂草，树根，耕植土等，整平地表。在路基外侧开挖临时排水沟。临时排水边沟不能和农田排灌沟渠共用，在施工期间不能长期积水。 </w:t>
      </w:r>
    </w:p>
    <w:p w14:paraId="25B4A22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（2）在无地表水或地表水可疏干段落，可根据现场条件择优选择垫层土，压实厚度不小于25cm，压实度达到 90％，并形成不小于 2％的排水横坡。 </w:t>
      </w:r>
    </w:p>
    <w:p w14:paraId="514DE22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（3）当地表水不能疏干时，应填砂至高于水面不小于 50cm，整平后压实，压实密度达到90％，并形成不小于 2％的排水横坡。 </w:t>
      </w:r>
    </w:p>
    <w:p w14:paraId="5608D8C1">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4）对于沿河临塘路段在拼接中必须严格控制地下水位的降低。沿河临塘路段地基存在软弱地层或浅层强透水层时，设围堰后，河塘不排水，单侧推进填砂挤淤，填砂经压实后再进行地基处理（填砂应高于水面不小于 50cm）； </w:t>
      </w:r>
    </w:p>
    <w:p w14:paraId="45481CA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（5）路基地板的施工质量及检验质量要求见下表 </w:t>
      </w:r>
    </w:p>
    <w:p w14:paraId="7CBE65CC">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8-9 </w:t>
      </w:r>
      <w:r>
        <w:rPr>
          <w:rFonts w:hint="eastAsia" w:ascii="宋体" w:hAnsi="宋体" w:eastAsia="宋体" w:cs="宋体"/>
          <w:b/>
          <w:bCs/>
          <w:color w:val="000000"/>
          <w:kern w:val="0"/>
          <w:sz w:val="24"/>
          <w:szCs w:val="24"/>
          <w:lang w:val="en-US" w:eastAsia="zh-CN" w:bidi="ar"/>
        </w:rPr>
        <w:t>路基地板的施工质量及检验质量要求</w:t>
      </w:r>
    </w:p>
    <w:p w14:paraId="339A8E72">
      <w:pPr>
        <w:pStyle w:val="56"/>
      </w:pPr>
      <w:r>
        <w:drawing>
          <wp:inline distT="0" distB="0" distL="114300" distR="114300">
            <wp:extent cx="5272405" cy="1253490"/>
            <wp:effectExtent l="0" t="0" r="635" b="11430"/>
            <wp:docPr id="215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 name="图片 40"/>
                    <pic:cNvPicPr>
                      <a:picLocks noChangeAspect="1"/>
                    </pic:cNvPicPr>
                  </pic:nvPicPr>
                  <pic:blipFill>
                    <a:blip r:embed="rId100"/>
                    <a:stretch>
                      <a:fillRect/>
                    </a:stretch>
                  </pic:blipFill>
                  <pic:spPr>
                    <a:xfrm>
                      <a:off x="0" y="0"/>
                      <a:ext cx="5272405" cy="1253490"/>
                    </a:xfrm>
                    <a:prstGeom prst="rect">
                      <a:avLst/>
                    </a:prstGeom>
                    <a:noFill/>
                    <a:ln>
                      <a:noFill/>
                    </a:ln>
                  </pic:spPr>
                </pic:pic>
              </a:graphicData>
            </a:graphic>
          </wp:inline>
        </w:drawing>
      </w:r>
    </w:p>
    <w:p w14:paraId="45F481BB">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2</w:t>
      </w:r>
      <w:r>
        <w:rPr>
          <w:rFonts w:hint="eastAsia" w:ascii="宋体" w:hAnsi="宋体" w:eastAsia="宋体" w:cs="宋体"/>
          <w:b/>
          <w:bCs/>
          <w:color w:val="000000"/>
          <w:kern w:val="0"/>
          <w:sz w:val="24"/>
          <w:szCs w:val="24"/>
          <w:lang w:val="en-US" w:eastAsia="zh-CN" w:bidi="ar"/>
        </w:rPr>
        <w:t xml:space="preserve">） 设 备要 求 </w:t>
      </w:r>
    </w:p>
    <w:p w14:paraId="712D7FB6">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PHC 桩底施工必须配备性能可靠，符合标准，种类齐全的施工机械和设备，在施工前做好机械设备的保养，试机工作，确保在施工期间正常作业。需要配备的主要施工机械和设备如下： </w:t>
      </w:r>
    </w:p>
    <w:p w14:paraId="1177434D">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（1）静力压桩机：压桩速度≥1m/min，一次压桩行程 1.5～2m，静压机自带压力表并经过标定，并根据单桩设计荷载选择合适的机型； </w:t>
      </w:r>
    </w:p>
    <w:p w14:paraId="06B9DA7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（2）起重机（起吊重量≥3T）；长挂车； </w:t>
      </w:r>
    </w:p>
    <w:p w14:paraId="32B667A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（3）水准仪；经纬仪；皮尺；直尺；3m 直尺；锤球绳。 </w:t>
      </w:r>
    </w:p>
    <w:p w14:paraId="797F73B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以上机械和设备数量至少要满足每个工点每日连续正常施工及工期要求。 </w:t>
      </w:r>
    </w:p>
    <w:p w14:paraId="389B7A69">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3</w:t>
      </w:r>
      <w:r>
        <w:rPr>
          <w:rFonts w:hint="eastAsia" w:ascii="宋体" w:hAnsi="宋体" w:eastAsia="宋体" w:cs="宋体"/>
          <w:b/>
          <w:bCs/>
          <w:color w:val="000000"/>
          <w:kern w:val="0"/>
          <w:sz w:val="24"/>
          <w:szCs w:val="24"/>
          <w:lang w:val="en-US" w:eastAsia="zh-CN" w:bidi="ar"/>
        </w:rPr>
        <w:t xml:space="preserve">） 试 桩 </w:t>
      </w:r>
    </w:p>
    <w:p w14:paraId="16C617C9">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各段落施工前应首先按设计桩长试桩，以获得正式施工时的控制压桩力： </w:t>
      </w:r>
    </w:p>
    <w:p w14:paraId="133EC901">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正式施工时控制压桩力＝单桩设计承载力×（试桩时压桩力</w:t>
      </w:r>
      <w:r>
        <w:rPr>
          <w:rFonts w:hint="eastAsia" w:ascii="宋体" w:hAnsi="宋体" w:eastAsia="宋体" w:cs="宋体"/>
          <w:color w:val="000000"/>
          <w:kern w:val="0"/>
          <w:sz w:val="24"/>
          <w:szCs w:val="24"/>
          <w:lang w:val="en-US" w:eastAsia="zh-CN" w:bidi="ar"/>
        </w:rPr>
        <w:t>/</w:t>
      </w:r>
      <w:r>
        <w:rPr>
          <w:rFonts w:hint="eastAsia" w:ascii="宋体" w:hAnsi="宋体" w:eastAsia="宋体" w:cs="宋体"/>
          <w:b/>
          <w:bCs/>
          <w:color w:val="000000"/>
          <w:kern w:val="0"/>
          <w:sz w:val="24"/>
          <w:szCs w:val="24"/>
          <w:lang w:val="en-US" w:eastAsia="zh-CN" w:bidi="ar"/>
        </w:rPr>
        <w:t xml:space="preserve">试桩静载荷试验承载力） </w:t>
      </w:r>
    </w:p>
    <w:p w14:paraId="0247D35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试桩可结合工程桩施工进行，根据设计图纸，要求每段落试桩不少于 4 根，试桩完成后应按有关标准对试桩进行单桩承载力试验，确定压桩力与实际承载力之间的关系。试验过程中对桩、土、垫层的应力和变形状态进行监测，考察设计文件是否满足工程承载力及沉降要求，及时调整设计。当试桩结果满足设计要求后方可进行大面积施工。 </w:t>
      </w:r>
    </w:p>
    <w:p w14:paraId="45E1D059">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4</w:t>
      </w:r>
      <w:r>
        <w:rPr>
          <w:rFonts w:hint="eastAsia" w:ascii="宋体" w:hAnsi="宋体" w:eastAsia="宋体" w:cs="宋体"/>
          <w:b/>
          <w:bCs/>
          <w:color w:val="000000"/>
          <w:kern w:val="0"/>
          <w:sz w:val="24"/>
          <w:szCs w:val="24"/>
          <w:lang w:val="en-US" w:eastAsia="zh-CN" w:bidi="ar"/>
        </w:rPr>
        <w:t xml:space="preserve">） 其 他工 作 </w:t>
      </w:r>
    </w:p>
    <w:p w14:paraId="561718CA">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（1）施工前根据地质资料和设计文件，了解现场地质、水文情况，土层土质情况，根据设 计文件和施工组织计划的要求，确定合理可行的施工顺序。必要时可补充静力触探，以便进一步了解土的分层及其强度。 </w:t>
      </w:r>
    </w:p>
    <w:p w14:paraId="761392C0">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（2）做好施工时的排水措施。根据 PHC 桩的堆放数量，选择若干靠近临时便道，开阔平整的场地作为 PHC 桩的临时堆放场。 </w:t>
      </w:r>
    </w:p>
    <w:p w14:paraId="786B1FA5">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（3）施工前应清除地表地下一切障碍物，并注意压桩施工是否影响空中高压电线等。 </w:t>
      </w:r>
    </w:p>
    <w:p w14:paraId="1CC92504">
      <w:pPr>
        <w:keepNext w:val="0"/>
        <w:keepLines w:val="0"/>
        <w:widowControl/>
        <w:suppressLineNumbers w:val="0"/>
        <w:jc w:val="left"/>
      </w:pPr>
      <w:r>
        <w:rPr>
          <w:rFonts w:hint="eastAsia" w:ascii="宋体" w:hAnsi="宋体" w:eastAsia="宋体" w:cs="宋体"/>
          <w:color w:val="000000"/>
          <w:kern w:val="0"/>
          <w:sz w:val="24"/>
          <w:szCs w:val="24"/>
          <w:lang w:val="en-US" w:eastAsia="zh-CN" w:bidi="ar"/>
        </w:rPr>
        <w:t>（4）各段落施工前应先试桩，以确定合适的桩长及桩节组合，避免大量截桩。</w:t>
      </w:r>
    </w:p>
    <w:p w14:paraId="6ED6298C">
      <w:pPr>
        <w:pStyle w:val="56"/>
        <w:rPr>
          <w:rFonts w:hint="default" w:eastAsia="宋体"/>
          <w:lang w:val="en-US" w:eastAsia="zh-CN"/>
        </w:rPr>
      </w:pPr>
      <w:r>
        <w:rPr>
          <w:rFonts w:hint="eastAsia"/>
          <w:lang w:val="en-US" w:eastAsia="zh-CN"/>
        </w:rPr>
        <w:t xml:space="preserve">    </w:t>
      </w:r>
    </w:p>
    <w:p w14:paraId="2FB5F01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 PHC </w:t>
      </w:r>
      <w:r>
        <w:rPr>
          <w:rFonts w:hint="eastAsia" w:ascii="宋体" w:hAnsi="宋体" w:eastAsia="宋体" w:cs="宋体"/>
          <w:b/>
          <w:bCs/>
          <w:color w:val="000000"/>
          <w:kern w:val="0"/>
          <w:sz w:val="24"/>
          <w:szCs w:val="24"/>
          <w:lang w:val="en-US" w:eastAsia="zh-CN" w:bidi="ar"/>
        </w:rPr>
        <w:t xml:space="preserve">桩复合地基的施工 </w:t>
      </w:r>
    </w:p>
    <w:p w14:paraId="65B22C5C">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1</w:t>
      </w:r>
      <w:r>
        <w:rPr>
          <w:rFonts w:hint="eastAsia" w:ascii="宋体" w:hAnsi="宋体" w:eastAsia="宋体" w:cs="宋体"/>
          <w:b/>
          <w:bCs/>
          <w:color w:val="000000"/>
          <w:kern w:val="0"/>
          <w:sz w:val="24"/>
          <w:szCs w:val="24"/>
          <w:lang w:val="en-US" w:eastAsia="zh-CN" w:bidi="ar"/>
        </w:rPr>
        <w:t xml:space="preserve">）施工流程 </w:t>
      </w:r>
    </w:p>
    <w:p w14:paraId="21454E08">
      <w:pPr>
        <w:keepNext w:val="0"/>
        <w:keepLines w:val="0"/>
        <w:widowControl/>
        <w:suppressLineNumbers w:val="0"/>
        <w:jc w:val="left"/>
      </w:pPr>
      <w:r>
        <w:rPr>
          <w:rFonts w:hint="eastAsia" w:ascii="宋体" w:hAnsi="宋体" w:eastAsia="宋体" w:cs="宋体"/>
          <w:color w:val="000000"/>
          <w:kern w:val="0"/>
          <w:sz w:val="24"/>
          <w:szCs w:val="24"/>
          <w:lang w:val="en-US" w:eastAsia="zh-CN" w:bidi="ar"/>
        </w:rPr>
        <w:t>控沉 PHC 桩的施工流程图如下：</w:t>
      </w:r>
    </w:p>
    <w:p w14:paraId="4C40A97F">
      <w:pPr>
        <w:keepNext w:val="0"/>
        <w:keepLines w:val="0"/>
        <w:widowControl/>
        <w:suppressLineNumbers w:val="0"/>
        <w:ind w:left="0" w:leftChars="0" w:firstLine="0" w:firstLineChars="0"/>
        <w:jc w:val="left"/>
        <w:rPr>
          <w:rFonts w:hint="eastAsia" w:ascii="宋体" w:hAnsi="宋体" w:eastAsia="宋体" w:cs="宋体"/>
          <w:color w:val="000000"/>
          <w:kern w:val="0"/>
          <w:sz w:val="24"/>
          <w:szCs w:val="24"/>
          <w:lang w:val="en-US" w:eastAsia="zh-CN" w:bidi="ar"/>
        </w:rPr>
      </w:pPr>
      <w:r>
        <w:drawing>
          <wp:inline distT="0" distB="0" distL="114300" distR="114300">
            <wp:extent cx="5274310" cy="2339340"/>
            <wp:effectExtent l="0" t="0" r="13970" b="7620"/>
            <wp:docPr id="21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 name="图片 41"/>
                    <pic:cNvPicPr>
                      <a:picLocks noChangeAspect="1"/>
                    </pic:cNvPicPr>
                  </pic:nvPicPr>
                  <pic:blipFill>
                    <a:blip r:embed="rId101"/>
                    <a:stretch>
                      <a:fillRect/>
                    </a:stretch>
                  </pic:blipFill>
                  <pic:spPr>
                    <a:xfrm>
                      <a:off x="0" y="0"/>
                      <a:ext cx="5274310" cy="2339340"/>
                    </a:xfrm>
                    <a:prstGeom prst="rect">
                      <a:avLst/>
                    </a:prstGeom>
                    <a:noFill/>
                    <a:ln>
                      <a:noFill/>
                    </a:ln>
                  </pic:spPr>
                </pic:pic>
              </a:graphicData>
            </a:graphic>
          </wp:inline>
        </w:drawing>
      </w:r>
    </w:p>
    <w:p w14:paraId="0F50E6B0">
      <w:pPr>
        <w:pStyle w:val="56"/>
      </w:pPr>
    </w:p>
    <w:p w14:paraId="5B31C1E9">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2</w:t>
      </w:r>
      <w:r>
        <w:rPr>
          <w:rFonts w:hint="eastAsia" w:ascii="宋体" w:hAnsi="宋体" w:eastAsia="宋体" w:cs="宋体"/>
          <w:b/>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PHC </w:t>
      </w:r>
      <w:r>
        <w:rPr>
          <w:rFonts w:hint="eastAsia" w:ascii="宋体" w:hAnsi="宋体" w:eastAsia="宋体" w:cs="宋体"/>
          <w:b/>
          <w:bCs/>
          <w:color w:val="000000"/>
          <w:kern w:val="0"/>
          <w:sz w:val="24"/>
          <w:szCs w:val="24"/>
          <w:lang w:val="en-US" w:eastAsia="zh-CN" w:bidi="ar"/>
        </w:rPr>
        <w:t xml:space="preserve">桩 的 成 品质量要求 和 检查 标准 </w:t>
      </w:r>
    </w:p>
    <w:p w14:paraId="76D5585E">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本工程中的 PHC 桩，其外径为 600mm，壁厚 130mm。 </w:t>
      </w:r>
    </w:p>
    <w:p w14:paraId="15F600C7">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（1）应根据施工图设计文件中的桩基深度匹配长度进行组合。桩基处理深度 &gt;24m 时， 不超过 3 节桩组合；桩基深度≤24m 时，不超过 2 节桩组合。施工时按照“长桩在下，短桩在上”的顺序进行施工。 </w:t>
      </w:r>
    </w:p>
    <w:p w14:paraId="7F766FC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（2）在每个工厂每批次的 PHC 桩进场之前，应进行随机抽样检查，并附检查单，经验收合格后方可进场。 </w:t>
      </w:r>
    </w:p>
    <w:p w14:paraId="4C6D79E4">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8-10 </w:t>
      </w:r>
      <w:r>
        <w:rPr>
          <w:rFonts w:hint="eastAsia" w:ascii="宋体" w:hAnsi="宋体" w:eastAsia="宋体" w:cs="宋体"/>
          <w:b/>
          <w:bCs/>
          <w:color w:val="000000"/>
          <w:kern w:val="0"/>
          <w:sz w:val="24"/>
          <w:szCs w:val="24"/>
          <w:lang w:val="en-US" w:eastAsia="zh-CN" w:bidi="ar"/>
        </w:rPr>
        <w:t>管桩的外观质量</w:t>
      </w:r>
      <w:r>
        <w:drawing>
          <wp:inline distT="0" distB="0" distL="114300" distR="114300">
            <wp:extent cx="5276215" cy="3336925"/>
            <wp:effectExtent l="0" t="0" r="12065" b="635"/>
            <wp:docPr id="216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 name="图片 42"/>
                    <pic:cNvPicPr>
                      <a:picLocks noChangeAspect="1"/>
                    </pic:cNvPicPr>
                  </pic:nvPicPr>
                  <pic:blipFill>
                    <a:blip r:embed="rId102"/>
                    <a:stretch>
                      <a:fillRect/>
                    </a:stretch>
                  </pic:blipFill>
                  <pic:spPr>
                    <a:xfrm>
                      <a:off x="0" y="0"/>
                      <a:ext cx="5276215" cy="3336925"/>
                    </a:xfrm>
                    <a:prstGeom prst="rect">
                      <a:avLst/>
                    </a:prstGeom>
                    <a:noFill/>
                    <a:ln>
                      <a:noFill/>
                    </a:ln>
                  </pic:spPr>
                </pic:pic>
              </a:graphicData>
            </a:graphic>
          </wp:inline>
        </w:drawing>
      </w:r>
    </w:p>
    <w:p w14:paraId="049A4C2B">
      <w:pPr>
        <w:keepNext w:val="0"/>
        <w:keepLines w:val="0"/>
        <w:widowControl/>
        <w:suppressLineNumbers w:val="0"/>
        <w:ind w:left="2400" w:leftChars="200" w:hanging="1920" w:hangingChars="800"/>
        <w:jc w:val="left"/>
      </w:pPr>
      <w:r>
        <w:drawing>
          <wp:inline distT="0" distB="0" distL="114300" distR="114300">
            <wp:extent cx="4694555" cy="2515235"/>
            <wp:effectExtent l="0" t="0" r="14605" b="14605"/>
            <wp:docPr id="216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图片 43"/>
                    <pic:cNvPicPr>
                      <a:picLocks noChangeAspect="1"/>
                    </pic:cNvPicPr>
                  </pic:nvPicPr>
                  <pic:blipFill>
                    <a:blip r:embed="rId103"/>
                    <a:stretch>
                      <a:fillRect/>
                    </a:stretch>
                  </pic:blipFill>
                  <pic:spPr>
                    <a:xfrm>
                      <a:off x="0" y="0"/>
                      <a:ext cx="4694555" cy="2515235"/>
                    </a:xfrm>
                    <a:prstGeom prst="rect">
                      <a:avLst/>
                    </a:prstGeom>
                    <a:noFill/>
                    <a:ln>
                      <a:noFill/>
                    </a:ln>
                  </pic:spPr>
                </pic:pic>
              </a:graphicData>
            </a:graphic>
          </wp:inline>
        </w:drawing>
      </w: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8-11 </w:t>
      </w:r>
      <w:r>
        <w:rPr>
          <w:rFonts w:hint="eastAsia" w:ascii="宋体" w:hAnsi="宋体" w:eastAsia="宋体" w:cs="宋体"/>
          <w:b/>
          <w:bCs/>
          <w:color w:val="000000"/>
          <w:kern w:val="0"/>
          <w:sz w:val="24"/>
          <w:szCs w:val="24"/>
          <w:lang w:val="en-US" w:eastAsia="zh-CN" w:bidi="ar"/>
        </w:rPr>
        <w:t>管桩的尺寸允许偏差</w:t>
      </w:r>
    </w:p>
    <w:p w14:paraId="5D5157B2">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3</w:t>
      </w:r>
      <w:r>
        <w:rPr>
          <w:rFonts w:hint="eastAsia" w:ascii="宋体" w:hAnsi="宋体" w:eastAsia="宋体" w:cs="宋体"/>
          <w:b/>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PHC </w:t>
      </w:r>
      <w:r>
        <w:rPr>
          <w:rFonts w:hint="eastAsia" w:ascii="宋体" w:hAnsi="宋体" w:eastAsia="宋体" w:cs="宋体"/>
          <w:b/>
          <w:bCs/>
          <w:color w:val="000000"/>
          <w:kern w:val="0"/>
          <w:sz w:val="24"/>
          <w:szCs w:val="24"/>
          <w:lang w:val="en-US" w:eastAsia="zh-CN" w:bidi="ar"/>
        </w:rPr>
        <w:t xml:space="preserve">桩 的 运 输， 起吊和 堆 放技 术要 求 </w:t>
      </w:r>
    </w:p>
    <w:p w14:paraId="793BACB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PHC 桩由于长细比大，自重大，在起吊，运输过程中过大的动荷载易使 PHC 桩产生环裂。正确的起吊方式是两支点法或两头勾吊法，并在吊装过程中应轻吊轻放，禁止采用拖吊的方法，避免产生较大的动荷载，在工地现场起吊时，必须有安全人员在现场组织施工，监埋进行旁站监督。汽车运输时用长挂车，桩的悬臂不超过 1.0m，在汽车运输时，应该绑固，分层叠放并错位而置，不超过 5 层。在工地现场堆放时，必须选择密实平整的场地或垫木支承，堆高不应超过 5 层。其质量及检验要求见下表。 </w:t>
      </w:r>
    </w:p>
    <w:p w14:paraId="3B90937D">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表 </w:t>
      </w:r>
      <w:r>
        <w:rPr>
          <w:rFonts w:hint="eastAsia" w:ascii="宋体" w:hAnsi="宋体" w:eastAsia="宋体" w:cs="宋体"/>
          <w:color w:val="000000"/>
          <w:kern w:val="0"/>
          <w:sz w:val="24"/>
          <w:szCs w:val="24"/>
          <w:lang w:val="en-US" w:eastAsia="zh-CN" w:bidi="ar"/>
        </w:rPr>
        <w:t xml:space="preserve">8-12 PHC </w:t>
      </w:r>
      <w:r>
        <w:rPr>
          <w:rFonts w:hint="eastAsia" w:ascii="宋体" w:hAnsi="宋体" w:eastAsia="宋体" w:cs="宋体"/>
          <w:b/>
          <w:bCs/>
          <w:color w:val="000000"/>
          <w:kern w:val="0"/>
          <w:sz w:val="24"/>
          <w:szCs w:val="24"/>
          <w:lang w:val="en-US" w:eastAsia="zh-CN" w:bidi="ar"/>
        </w:rPr>
        <w:t>桩的运输，起吊和堆放质量及检验要求</w:t>
      </w:r>
    </w:p>
    <w:p w14:paraId="08566AEB">
      <w:pPr>
        <w:keepNext w:val="0"/>
        <w:keepLines w:val="0"/>
        <w:widowControl/>
        <w:suppressLineNumbers w:val="0"/>
        <w:ind w:left="0" w:leftChars="0" w:firstLine="0" w:firstLineChars="0"/>
        <w:jc w:val="left"/>
      </w:pPr>
      <w:r>
        <w:drawing>
          <wp:inline distT="0" distB="0" distL="114300" distR="114300">
            <wp:extent cx="5271770" cy="1631315"/>
            <wp:effectExtent l="0" t="0" r="1270" b="14605"/>
            <wp:docPr id="216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 name="图片 44"/>
                    <pic:cNvPicPr>
                      <a:picLocks noChangeAspect="1"/>
                    </pic:cNvPicPr>
                  </pic:nvPicPr>
                  <pic:blipFill>
                    <a:blip r:embed="rId104"/>
                    <a:stretch>
                      <a:fillRect/>
                    </a:stretch>
                  </pic:blipFill>
                  <pic:spPr>
                    <a:xfrm>
                      <a:off x="0" y="0"/>
                      <a:ext cx="5271770" cy="1631315"/>
                    </a:xfrm>
                    <a:prstGeom prst="rect">
                      <a:avLst/>
                    </a:prstGeom>
                    <a:noFill/>
                    <a:ln>
                      <a:noFill/>
                    </a:ln>
                  </pic:spPr>
                </pic:pic>
              </a:graphicData>
            </a:graphic>
          </wp:inline>
        </w:drawing>
      </w:r>
    </w:p>
    <w:p w14:paraId="12D9A94A">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4</w:t>
      </w:r>
      <w:r>
        <w:rPr>
          <w:rFonts w:hint="eastAsia" w:ascii="宋体" w:hAnsi="宋体" w:eastAsia="宋体" w:cs="宋体"/>
          <w:b/>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 xml:space="preserve">PHC </w:t>
      </w:r>
      <w:r>
        <w:rPr>
          <w:rFonts w:hint="eastAsia" w:ascii="宋体" w:hAnsi="宋体" w:eastAsia="宋体" w:cs="宋体"/>
          <w:b/>
          <w:bCs/>
          <w:color w:val="000000"/>
          <w:kern w:val="0"/>
          <w:sz w:val="24"/>
          <w:szCs w:val="24"/>
          <w:lang w:val="en-US" w:eastAsia="zh-CN" w:bidi="ar"/>
        </w:rPr>
        <w:t xml:space="preserve">桩 的施工技 术 要 求 </w:t>
      </w:r>
    </w:p>
    <w:p w14:paraId="2D376DBB">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桩位放样：根据设计文件和技术交底所取得确定底坐标控制点和水准点进行桩位的放样。用消石灰作出桩位的圆形标记，圆心位置用小木桩标记，并注意保护所作的标记。 </w:t>
      </w:r>
    </w:p>
    <w:p w14:paraId="012CE7F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压桩：用钢绳绑住桩身单点起吊，小心移入桩机，开动纵横两向油缸移动桩机调整对中， 同时检查垂直度。第一节桩入土 30～50cm 后检查和校正垂直度，垂直度控制在 0.5％以内，开 动压桩装置，记录压桩时间和各压力表读数，保持连续压桩并控制压桩速度 1m/min～2m/min，桥头附近应控制在 0.5m/min～1.0m/min，按设计压桩力进行压桩，最大压桩力不得大于单桩桩 身强度的竖向承载力设计值。为防止压桩机机械对已压桩桩头底破坏，桩顶高程应低于地面 </w:t>
      </w:r>
    </w:p>
    <w:p w14:paraId="7AA14F46">
      <w:pPr>
        <w:keepNext w:val="0"/>
        <w:keepLines w:val="0"/>
        <w:widowControl/>
        <w:suppressLineNumbers w:val="0"/>
        <w:ind w:left="0" w:leftChars="0" w:firstLine="0" w:firstLineChars="0"/>
        <w:jc w:val="left"/>
      </w:pPr>
      <w:r>
        <w:rPr>
          <w:rFonts w:hint="eastAsia" w:ascii="宋体" w:hAnsi="宋体" w:eastAsia="宋体" w:cs="宋体"/>
          <w:color w:val="000000"/>
          <w:kern w:val="0"/>
          <w:sz w:val="24"/>
          <w:szCs w:val="24"/>
          <w:lang w:val="en-US" w:eastAsia="zh-CN" w:bidi="ar"/>
        </w:rPr>
        <w:t xml:space="preserve">10cm。 </w:t>
      </w:r>
    </w:p>
    <w:p w14:paraId="714A5D8F">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接桩要求：桩与桩的连接可以使用焊接连接或插销式机械连接。若采用焊接连接，接桩时其桩头应高出地面 1.0m 左右；接桩前下节桩底桩头加上定位板，然后将上节桩吊放在下节桩端板上，依靠定位板将上下桩接直，其错位偏差不应大于 2mm，上下桩如有空隙，用锲形铁片全部垫实焊接牢固。 </w:t>
      </w:r>
    </w:p>
    <w:p w14:paraId="0745A070">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送桩：送桩前用水准仪确定地面高程，在送桩杆上作记号，送桩过程中进行跟踪，动态检查送桩深度。送桩器下端宜设置桩垫，桩垫厚度均匀并与桩顶全断面接触。 </w:t>
      </w:r>
    </w:p>
    <w:p w14:paraId="4700C802">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终止压桩：正常情况按设计压桩力送桩，达到设计高程后持荷（正常压力）10min 且每分钟沉降量不超过 2mm 后方可结束送桩。在同一地质类型的地段，若出现静压力显著增加或送桩时静压力显著减少等异常情况，需暂停施工并及时报告监理，分析和找出原因后提出措施。 </w:t>
      </w:r>
    </w:p>
    <w:p w14:paraId="35C6ECC7">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截桩：如需要截桩，应有确保截桩后管桩质量的措施，严禁使用大锤硬砸，应先将不需要截除的桩身部用钢箍包紧，然后沿钢箍上沿凿槽打穿，用锤打下，用气割法切断钢筋。 </w:t>
      </w:r>
    </w:p>
    <w:p w14:paraId="67BF0186">
      <w:pPr>
        <w:keepNext w:val="0"/>
        <w:keepLines w:val="0"/>
        <w:widowControl/>
        <w:suppressLineNumbers w:val="0"/>
        <w:jc w:val="left"/>
      </w:pPr>
      <w:r>
        <w:rPr>
          <w:rFonts w:hint="eastAsia" w:ascii="宋体" w:hAnsi="宋体" w:eastAsia="宋体" w:cs="宋体"/>
          <w:color w:val="000000"/>
          <w:kern w:val="0"/>
          <w:sz w:val="24"/>
          <w:szCs w:val="24"/>
          <w:lang w:val="en-US" w:eastAsia="zh-CN" w:bidi="ar"/>
        </w:rPr>
        <w:t>PHC 桩的施工质量及检验要求见下表</w:t>
      </w:r>
    </w:p>
    <w:p w14:paraId="70DE0CF7">
      <w:pPr>
        <w:pStyle w:val="56"/>
      </w:pPr>
      <w:r>
        <w:drawing>
          <wp:inline distT="0" distB="0" distL="114300" distR="114300">
            <wp:extent cx="5273040" cy="2215515"/>
            <wp:effectExtent l="0" t="0" r="0" b="9525"/>
            <wp:docPr id="216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 name="图片 45"/>
                    <pic:cNvPicPr>
                      <a:picLocks noChangeAspect="1"/>
                    </pic:cNvPicPr>
                  </pic:nvPicPr>
                  <pic:blipFill>
                    <a:blip r:embed="rId105"/>
                    <a:stretch>
                      <a:fillRect/>
                    </a:stretch>
                  </pic:blipFill>
                  <pic:spPr>
                    <a:xfrm>
                      <a:off x="0" y="0"/>
                      <a:ext cx="5273040" cy="2215515"/>
                    </a:xfrm>
                    <a:prstGeom prst="rect">
                      <a:avLst/>
                    </a:prstGeom>
                    <a:noFill/>
                    <a:ln>
                      <a:noFill/>
                    </a:ln>
                  </pic:spPr>
                </pic:pic>
              </a:graphicData>
            </a:graphic>
          </wp:inline>
        </w:drawing>
      </w:r>
    </w:p>
    <w:p w14:paraId="2CA1354E">
      <w:pPr>
        <w:keepNext w:val="0"/>
        <w:keepLines w:val="0"/>
        <w:widowControl/>
        <w:suppressLineNumbers w:val="0"/>
        <w:jc w:val="left"/>
      </w:pPr>
      <w:r>
        <w:rPr>
          <w:rFonts w:hint="eastAsia" w:ascii="宋体" w:hAnsi="宋体" w:eastAsia="宋体" w:cs="宋体"/>
          <w:b/>
          <w:bCs/>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5</w:t>
      </w:r>
      <w:r>
        <w:rPr>
          <w:rFonts w:hint="eastAsia" w:ascii="宋体" w:hAnsi="宋体" w:eastAsia="宋体" w:cs="宋体"/>
          <w:b/>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PHC</w:t>
      </w:r>
      <w:r>
        <w:rPr>
          <w:rFonts w:hint="eastAsia" w:ascii="宋体" w:hAnsi="宋体" w:eastAsia="宋体" w:cs="宋体"/>
          <w:b/>
          <w:bCs/>
          <w:color w:val="000000"/>
          <w:kern w:val="0"/>
          <w:sz w:val="24"/>
          <w:szCs w:val="24"/>
          <w:lang w:val="en-US" w:eastAsia="zh-CN" w:bidi="ar"/>
        </w:rPr>
        <w:t xml:space="preserve">桩顶联系梁的施工 </w:t>
      </w:r>
    </w:p>
    <w:p w14:paraId="6C606173">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PHC 桩施工结束后，报请监理验收合格后，才可进行桩顶联系梁的施工。 在桩头位置地面以上按桩顶联系梁设计尺寸立模。 按照设计要求绑扎钢筋，浇筑砼并养护。 PHC 桩顶联系梁的施工质量及验收要求见下表。 </w:t>
      </w:r>
    </w:p>
    <w:p w14:paraId="37A983DF">
      <w:pPr>
        <w:keepNext w:val="0"/>
        <w:keepLines w:val="0"/>
        <w:widowControl/>
        <w:suppressLineNumbers w:val="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表8</w:t>
      </w:r>
      <w:r>
        <w:rPr>
          <w:rFonts w:hint="eastAsia" w:ascii="宋体" w:hAnsi="宋体" w:eastAsia="宋体" w:cs="宋体"/>
          <w:color w:val="000000"/>
          <w:kern w:val="0"/>
          <w:sz w:val="24"/>
          <w:szCs w:val="24"/>
          <w:lang w:val="en-US" w:eastAsia="zh-CN" w:bidi="ar"/>
        </w:rPr>
        <w:t xml:space="preserve">-14 PHC </w:t>
      </w:r>
      <w:r>
        <w:rPr>
          <w:rFonts w:hint="eastAsia" w:ascii="宋体" w:hAnsi="宋体" w:eastAsia="宋体" w:cs="宋体"/>
          <w:b/>
          <w:bCs/>
          <w:color w:val="000000"/>
          <w:kern w:val="0"/>
          <w:sz w:val="24"/>
          <w:szCs w:val="24"/>
          <w:lang w:val="en-US" w:eastAsia="zh-CN" w:bidi="ar"/>
        </w:rPr>
        <w:t>桩顶联系梁的施工质量及检验要求</w:t>
      </w:r>
    </w:p>
    <w:p w14:paraId="4BF2E772">
      <w:pPr>
        <w:pStyle w:val="56"/>
        <w:rPr>
          <w:rFonts w:hint="eastAsia" w:ascii="宋体" w:hAnsi="宋体" w:eastAsia="宋体" w:cs="宋体"/>
          <w:b/>
          <w:bCs/>
          <w:color w:val="000000"/>
          <w:kern w:val="0"/>
          <w:sz w:val="24"/>
          <w:szCs w:val="24"/>
          <w:lang w:val="en-US" w:eastAsia="zh-CN" w:bidi="ar"/>
        </w:rPr>
      </w:pPr>
      <w:r>
        <w:drawing>
          <wp:inline distT="0" distB="0" distL="114300" distR="114300">
            <wp:extent cx="5271135" cy="2129155"/>
            <wp:effectExtent l="0" t="0" r="1905" b="4445"/>
            <wp:docPr id="216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 name="图片 46"/>
                    <pic:cNvPicPr>
                      <a:picLocks noChangeAspect="1"/>
                    </pic:cNvPicPr>
                  </pic:nvPicPr>
                  <pic:blipFill>
                    <a:blip r:embed="rId106"/>
                    <a:stretch>
                      <a:fillRect/>
                    </a:stretch>
                  </pic:blipFill>
                  <pic:spPr>
                    <a:xfrm>
                      <a:off x="0" y="0"/>
                      <a:ext cx="5271135" cy="2129155"/>
                    </a:xfrm>
                    <a:prstGeom prst="rect">
                      <a:avLst/>
                    </a:prstGeom>
                    <a:noFill/>
                    <a:ln>
                      <a:noFill/>
                    </a:ln>
                  </pic:spPr>
                </pic:pic>
              </a:graphicData>
            </a:graphic>
          </wp:inline>
        </w:drawing>
      </w:r>
    </w:p>
    <w:p w14:paraId="38D7A27C">
      <w:pPr>
        <w:pStyle w:val="5"/>
        <w:numPr>
          <w:ilvl w:val="2"/>
          <w:numId w:val="0"/>
        </w:numPr>
        <w:spacing w:line="360" w:lineRule="auto"/>
        <w:ind w:left="758" w:leftChars="65" w:hanging="602" w:hangingChars="200"/>
        <w:rPr>
          <w:rFonts w:hint="eastAsia" w:ascii="宋体" w:hAnsi="宋体" w:eastAsia="宋体" w:cs="宋体"/>
          <w:color w:val="auto"/>
        </w:rPr>
      </w:pPr>
      <w:bookmarkStart w:id="807" w:name="_Toc4649"/>
      <w:bookmarkStart w:id="808" w:name="_Toc17444"/>
      <w:bookmarkStart w:id="809" w:name="_Toc25688"/>
      <w:bookmarkStart w:id="810" w:name="_Toc16590"/>
      <w:bookmarkStart w:id="811" w:name="_Toc18110"/>
      <w:bookmarkStart w:id="812" w:name="_Toc5929"/>
      <w:bookmarkStart w:id="813" w:name="_Toc14069"/>
      <w:bookmarkStart w:id="814" w:name="_Toc10964"/>
      <w:bookmarkStart w:id="815" w:name="_Toc13852"/>
      <w:r>
        <w:rPr>
          <w:rFonts w:hint="eastAsia" w:ascii="宋体" w:hAnsi="宋体" w:cs="Times New Roman"/>
          <w:b/>
          <w:bCs/>
          <w:color w:val="auto"/>
          <w:kern w:val="2"/>
          <w:sz w:val="30"/>
          <w:szCs w:val="32"/>
          <w:lang w:val="en-US" w:eastAsia="zh-CN" w:bidi="ar-SA"/>
        </w:rPr>
        <w:t xml:space="preserve">8.1.8 </w:t>
      </w:r>
      <w:r>
        <w:rPr>
          <w:rFonts w:hint="eastAsia" w:ascii="宋体" w:hAnsi="宋体" w:eastAsia="宋体" w:cs="宋体"/>
          <w:color w:val="auto"/>
        </w:rPr>
        <w:t>台（墙）背回填</w:t>
      </w:r>
      <w:bookmarkEnd w:id="807"/>
      <w:bookmarkEnd w:id="808"/>
      <w:bookmarkEnd w:id="809"/>
      <w:bookmarkEnd w:id="810"/>
      <w:bookmarkEnd w:id="811"/>
    </w:p>
    <w:p w14:paraId="0C596D36">
      <w:pPr>
        <w:ind w:firstLine="48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1 \* GB2 </w:instrText>
      </w:r>
      <w:r>
        <w:rPr>
          <w:rFonts w:hint="eastAsia" w:ascii="宋体" w:hAnsi="宋体" w:eastAsia="宋体" w:cs="宋体"/>
        </w:rPr>
        <w:fldChar w:fldCharType="separate"/>
      </w:r>
      <w:r>
        <w:rPr>
          <w:rFonts w:hint="eastAsia" w:ascii="宋体" w:hAnsi="宋体" w:eastAsia="宋体" w:cs="宋体"/>
        </w:rPr>
        <w:t>⑴</w:t>
      </w:r>
      <w:r>
        <w:rPr>
          <w:rFonts w:hint="eastAsia" w:ascii="宋体" w:hAnsi="宋体" w:eastAsia="宋体" w:cs="宋体"/>
        </w:rPr>
        <w:fldChar w:fldCharType="end"/>
      </w:r>
      <w:r>
        <w:rPr>
          <w:rFonts w:hint="eastAsia" w:ascii="宋体" w:hAnsi="宋体" w:eastAsia="宋体" w:cs="宋体"/>
        </w:rPr>
        <w:t>桥头路基的回填，应按图纸和监理工程师的指示进行。回填时圬工强度的具体要求及回填时间，应按《公路桥涵施工技术规范》（JTJ041-2000）有关规定执行。</w:t>
      </w:r>
    </w:p>
    <w:p w14:paraId="423D7EEF">
      <w:pPr>
        <w:tabs>
          <w:tab w:val="left" w:pos="0"/>
        </w:tabs>
        <w:ind w:left="480" w:leftChars="200" w:firstLine="0" w:firstLineChars="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2 \* GB2 </w:instrText>
      </w:r>
      <w:r>
        <w:rPr>
          <w:rFonts w:hint="eastAsia" w:ascii="宋体" w:hAnsi="宋体" w:eastAsia="宋体" w:cs="宋体"/>
        </w:rPr>
        <w:fldChar w:fldCharType="separate"/>
      </w:r>
      <w:r>
        <w:rPr>
          <w:rFonts w:hint="eastAsia" w:ascii="宋体" w:hAnsi="宋体" w:eastAsia="宋体" w:cs="宋体"/>
        </w:rPr>
        <w:t>⑵</w:t>
      </w:r>
      <w:r>
        <w:rPr>
          <w:rFonts w:hint="eastAsia" w:ascii="宋体" w:hAnsi="宋体" w:eastAsia="宋体" w:cs="宋体"/>
        </w:rPr>
        <w:fldChar w:fldCharType="end"/>
      </w:r>
      <w:r>
        <w:rPr>
          <w:rFonts w:hint="eastAsia" w:ascii="宋体" w:hAnsi="宋体" w:eastAsia="宋体" w:cs="宋体"/>
        </w:rPr>
        <w:t>挖成厚1米宽度不小于1.5米台阶，并向内侧倾斜2%，回填材料选用4:6</w:t>
      </w:r>
    </w:p>
    <w:p w14:paraId="6F721EB0">
      <w:pPr>
        <w:tabs>
          <w:tab w:val="left" w:pos="0"/>
        </w:tabs>
        <w:ind w:left="0" w:leftChars="0" w:firstLine="0" w:firstLineChars="0"/>
        <w:rPr>
          <w:rFonts w:hint="eastAsia" w:ascii="宋体" w:hAnsi="宋体" w:eastAsia="宋体" w:cs="宋体"/>
        </w:rPr>
      </w:pPr>
      <w:r>
        <w:rPr>
          <w:rFonts w:hint="eastAsia" w:ascii="宋体" w:hAnsi="宋体" w:eastAsia="宋体" w:cs="宋体"/>
        </w:rPr>
        <w:t>砂碎。</w:t>
      </w:r>
    </w:p>
    <w:p w14:paraId="00CBD0A5">
      <w:pPr>
        <w:ind w:firstLine="48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3 \* GB2 </w:instrText>
      </w:r>
      <w:r>
        <w:rPr>
          <w:rFonts w:hint="eastAsia" w:ascii="宋体" w:hAnsi="宋体" w:eastAsia="宋体" w:cs="宋体"/>
        </w:rPr>
        <w:fldChar w:fldCharType="separate"/>
      </w:r>
      <w:r>
        <w:rPr>
          <w:rFonts w:hint="eastAsia" w:ascii="宋体" w:hAnsi="宋体" w:eastAsia="宋体" w:cs="宋体"/>
        </w:rPr>
        <w:t>⑶</w:t>
      </w:r>
      <w:r>
        <w:rPr>
          <w:rFonts w:hint="eastAsia" w:ascii="宋体" w:hAnsi="宋体" w:eastAsia="宋体" w:cs="宋体"/>
        </w:rPr>
        <w:fldChar w:fldCharType="end"/>
      </w:r>
      <w:r>
        <w:rPr>
          <w:rFonts w:hint="eastAsia" w:ascii="宋体" w:hAnsi="宋体" w:eastAsia="宋体" w:cs="宋体"/>
        </w:rPr>
        <w:t>桥梁台后及涵洞两侧处理范围应符合设计要求。</w:t>
      </w:r>
    </w:p>
    <w:p w14:paraId="21779312">
      <w:pPr>
        <w:ind w:firstLine="48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4 \* GB2 </w:instrText>
      </w:r>
      <w:r>
        <w:rPr>
          <w:rFonts w:hint="eastAsia" w:ascii="宋体" w:hAnsi="宋体" w:eastAsia="宋体" w:cs="宋体"/>
        </w:rPr>
        <w:fldChar w:fldCharType="separate"/>
      </w:r>
      <w:r>
        <w:rPr>
          <w:rFonts w:hint="eastAsia" w:ascii="宋体" w:hAnsi="宋体" w:eastAsia="宋体" w:cs="宋体"/>
        </w:rPr>
        <w:t>⑷</w:t>
      </w:r>
      <w:r>
        <w:rPr>
          <w:rFonts w:hint="eastAsia" w:ascii="宋体" w:hAnsi="宋体" w:eastAsia="宋体" w:cs="宋体"/>
        </w:rPr>
        <w:fldChar w:fldCharType="end"/>
      </w:r>
      <w:r>
        <w:rPr>
          <w:rFonts w:hint="eastAsia" w:ascii="宋体" w:hAnsi="宋体" w:eastAsia="宋体" w:cs="宋体"/>
        </w:rPr>
        <w:t>台背填筑应自台前向台后分层碾压，每层松铺厚度不宜超过200mm，结构物处的压实度要求从填方基底至路床顶不小于96%。</w:t>
      </w:r>
    </w:p>
    <w:p w14:paraId="31A3F358">
      <w:pPr>
        <w:ind w:firstLine="48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5 \* GB2 </w:instrText>
      </w:r>
      <w:r>
        <w:rPr>
          <w:rFonts w:hint="eastAsia" w:ascii="宋体" w:hAnsi="宋体" w:eastAsia="宋体" w:cs="宋体"/>
        </w:rPr>
        <w:fldChar w:fldCharType="separate"/>
      </w:r>
      <w:r>
        <w:rPr>
          <w:rFonts w:hint="eastAsia" w:ascii="宋体" w:hAnsi="宋体" w:eastAsia="宋体" w:cs="宋体"/>
        </w:rPr>
        <w:t>⑸</w:t>
      </w:r>
      <w:r>
        <w:rPr>
          <w:rFonts w:hint="eastAsia" w:ascii="宋体" w:hAnsi="宋体" w:eastAsia="宋体" w:cs="宋体"/>
        </w:rPr>
        <w:fldChar w:fldCharType="end"/>
      </w:r>
      <w:r>
        <w:rPr>
          <w:rFonts w:hint="eastAsia" w:ascii="宋体" w:hAnsi="宋体" w:eastAsia="宋体" w:cs="宋体"/>
        </w:rPr>
        <w:t>在回填压实施工中，应保持结构物完好无损，压路机达不到的地方，应使用小型机动夯具或监理工程师同意的其它方法压实。</w:t>
      </w:r>
    </w:p>
    <w:p w14:paraId="126A6D5D">
      <w:pPr>
        <w:ind w:firstLine="48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6 \* GB2 </w:instrText>
      </w:r>
      <w:r>
        <w:rPr>
          <w:rFonts w:hint="eastAsia" w:ascii="宋体" w:hAnsi="宋体" w:eastAsia="宋体" w:cs="宋体"/>
        </w:rPr>
        <w:fldChar w:fldCharType="separate"/>
      </w:r>
      <w:r>
        <w:rPr>
          <w:rFonts w:hint="eastAsia" w:ascii="宋体" w:hAnsi="宋体" w:eastAsia="宋体" w:cs="宋体"/>
        </w:rPr>
        <w:t>⑹</w:t>
      </w:r>
      <w:r>
        <w:rPr>
          <w:rFonts w:hint="eastAsia" w:ascii="宋体" w:hAnsi="宋体" w:eastAsia="宋体" w:cs="宋体"/>
        </w:rPr>
        <w:fldChar w:fldCharType="end"/>
      </w:r>
      <w:r>
        <w:rPr>
          <w:rFonts w:hint="eastAsia" w:ascii="宋体" w:hAnsi="宋体" w:eastAsia="宋体" w:cs="宋体"/>
        </w:rPr>
        <w:t>涵顶填土大于50cm方可通过施工机械和汽车。</w:t>
      </w:r>
    </w:p>
    <w:bookmarkEnd w:id="812"/>
    <w:bookmarkEnd w:id="813"/>
    <w:bookmarkEnd w:id="814"/>
    <w:bookmarkEnd w:id="815"/>
    <w:p w14:paraId="2F2C6E46">
      <w:pPr>
        <w:pStyle w:val="5"/>
        <w:bidi w:val="0"/>
        <w:rPr>
          <w:rFonts w:hint="eastAsia"/>
          <w:color w:val="auto"/>
        </w:rPr>
      </w:pPr>
      <w:bookmarkStart w:id="816" w:name="_Toc8888"/>
      <w:bookmarkStart w:id="817" w:name="_Toc24087"/>
      <w:bookmarkStart w:id="818" w:name="_Toc23854"/>
      <w:bookmarkStart w:id="819" w:name="_Toc5856"/>
      <w:bookmarkStart w:id="820" w:name="_Toc22280"/>
      <w:r>
        <w:rPr>
          <w:rFonts w:hint="eastAsia"/>
          <w:color w:val="auto"/>
          <w:lang w:val="en-US" w:eastAsia="zh-CN"/>
        </w:rPr>
        <w:t>8.1.9 挡土墙</w:t>
      </w:r>
      <w:r>
        <w:rPr>
          <w:rFonts w:hint="eastAsia"/>
          <w:color w:val="auto"/>
        </w:rPr>
        <w:t>防护工程</w:t>
      </w:r>
      <w:bookmarkEnd w:id="816"/>
      <w:bookmarkEnd w:id="817"/>
      <w:bookmarkEnd w:id="818"/>
      <w:bookmarkEnd w:id="819"/>
      <w:bookmarkEnd w:id="820"/>
    </w:p>
    <w:p w14:paraId="1F680105">
      <w:pPr>
        <w:keepNext w:val="0"/>
        <w:keepLines w:val="0"/>
        <w:widowControl/>
        <w:suppressLineNumbers w:val="0"/>
        <w:jc w:val="left"/>
        <w:rPr>
          <w:rFonts w:hint="eastAsia" w:ascii="宋体" w:hAnsi="宋体" w:eastAsia="宋体" w:cs="宋体"/>
          <w:lang w:val="en-US" w:eastAsia="zh-CN"/>
        </w:rPr>
      </w:pPr>
      <w:r>
        <w:rPr>
          <w:rFonts w:hint="eastAsia" w:ascii="宋体" w:hAnsi="宋体" w:eastAsia="宋体" w:cs="宋体"/>
          <w:color w:val="000000"/>
          <w:kern w:val="0"/>
          <w:sz w:val="24"/>
          <w:szCs w:val="24"/>
          <w:lang w:val="en-US" w:eastAsia="zh-CN" w:bidi="ar"/>
        </w:rPr>
        <w:t xml:space="preserve">挡土墙材料采用 </w:t>
      </w:r>
      <w:r>
        <w:rPr>
          <w:rFonts w:hint="default" w:ascii="Times New Roman" w:hAnsi="Times New Roman" w:eastAsia="宋体" w:cs="Times New Roman"/>
          <w:color w:val="000000"/>
          <w:kern w:val="0"/>
          <w:sz w:val="24"/>
          <w:szCs w:val="24"/>
          <w:lang w:val="en-US" w:eastAsia="zh-CN" w:bidi="ar"/>
        </w:rPr>
        <w:t xml:space="preserve">C20 </w:t>
      </w:r>
      <w:r>
        <w:rPr>
          <w:rFonts w:hint="eastAsia" w:ascii="宋体" w:hAnsi="宋体" w:eastAsia="宋体" w:cs="宋体"/>
          <w:color w:val="000000"/>
          <w:kern w:val="0"/>
          <w:sz w:val="24"/>
          <w:szCs w:val="24"/>
          <w:lang w:val="en-US" w:eastAsia="zh-CN" w:bidi="ar"/>
        </w:rPr>
        <w:t>片石混凝土。挡墙主要形式有衡重式及重力式两种</w:t>
      </w:r>
      <w:r>
        <w:rPr>
          <w:rFonts w:hint="eastAsia" w:ascii="宋体" w:hAnsi="宋体" w:eastAsia="宋体" w:cs="宋体"/>
          <w:lang w:val="en-US" w:eastAsia="zh-CN"/>
        </w:rPr>
        <w:t>防护。</w:t>
      </w:r>
    </w:p>
    <w:p w14:paraId="568221E0">
      <w:pPr>
        <w:adjustRightInd w:val="0"/>
        <w:snapToGrid w:val="0"/>
        <w:ind w:firstLine="480"/>
        <w:rPr>
          <w:rFonts w:hint="eastAsia" w:ascii="宋体" w:hAnsi="宋体" w:eastAsia="宋体" w:cs="宋体"/>
          <w:snapToGrid w:val="0"/>
          <w:kern w:val="28"/>
          <w:szCs w:val="24"/>
        </w:rPr>
      </w:pPr>
      <w:bookmarkStart w:id="821" w:name="_Toc8396"/>
      <w:r>
        <w:rPr>
          <w:rFonts w:hint="eastAsia" w:ascii="宋体" w:hAnsi="宋体" w:eastAsia="宋体" w:cs="宋体"/>
          <w:snapToGrid w:val="0"/>
          <w:kern w:val="28"/>
          <w:szCs w:val="24"/>
        </w:rPr>
        <w:t>1、基坑开挖</w:t>
      </w:r>
    </w:p>
    <w:p w14:paraId="0E20D3BE">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采用明挖施工。人工配合挖掘机开挖，视地质情况适当放坡。挖机开挖至设计基底高程以上10cm时改为人工挖基。基坑开挖不能间断，达到设计高程后及时夯实验基，基坑不能暴露太久。为防止雨水，开挖基坑时在其基坑以外周边挖一排水沟并保持畅通。基坑开挖后，若发现地基与设计情况有出入，须及时通知设计、监理单位进行调整。</w:t>
      </w:r>
    </w:p>
    <w:p w14:paraId="72CBDCE1">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2、基础施工</w:t>
      </w:r>
    </w:p>
    <w:p w14:paraId="0FE44FAB">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地基承载力检测合格后，进行挡土墙基础片石混凝土的施工。</w:t>
      </w:r>
    </w:p>
    <w:p w14:paraId="238FA0F7">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(1)片石混凝土采用沿槽浇筑，浇筑过程中，混凝土由砼罐车运送到现场，砼中片石的掺量控制在25%范围以内。片石用人工摆放，均匀布置。</w:t>
      </w:r>
    </w:p>
    <w:p w14:paraId="0AA2D1A0">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(2)采用插入式50型振动棒进行振捣，砼振捣密实，振捣过程中快插慢提。无漏振，无蜂窝麻面等。</w:t>
      </w:r>
    </w:p>
    <w:p w14:paraId="69A208E5">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(3)基础施工完成后必须留有接茬石。</w:t>
      </w:r>
    </w:p>
    <w:p w14:paraId="7F718653">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(4)砼浇筑完成后及时养护，防止由于内外温差过大而产生砼收缩开裂。</w:t>
      </w:r>
    </w:p>
    <w:p w14:paraId="12B48874">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3、墙身浇筑</w:t>
      </w:r>
    </w:p>
    <w:p w14:paraId="32642050">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(1)放挡墙浇筑边线</w:t>
      </w:r>
    </w:p>
    <w:p w14:paraId="600AFCF4">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基础浇筑完成后，根据设计图及现场高程放出挡墙浇筑边线。</w:t>
      </w:r>
    </w:p>
    <w:p w14:paraId="12FF8B24">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(2)模板安装</w:t>
      </w:r>
    </w:p>
    <w:p w14:paraId="26639F48">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模板采用钢模板，禁止使用有缺角、破损的模板。</w:t>
      </w:r>
    </w:p>
    <w:p w14:paraId="7D277981">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保证混凝土结构和构件各部分设计形状尺寸和相互间位置正确。</w:t>
      </w:r>
    </w:p>
    <w:p w14:paraId="725EBE01">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具有足够的强度、刚度和稳定性，能承受新浇筑混凝土的重力侧压力及施工中可能产生的各项负荷。</w:t>
      </w:r>
    </w:p>
    <w:p w14:paraId="664B1340">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模板的接缝不得漏浆，模板与砼的接触面必须清理干净并涂刷脱模剂，但不得影响模板结构性能，模板使用后按规定修整保存。</w:t>
      </w:r>
    </w:p>
    <w:p w14:paraId="2D6FC21F">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支架结构的立面或平面均须安装牢固，并能抵抗振动或偶然撞击作用。同时在两个互相垂直的方向对支架的立柱加以固定。</w:t>
      </w:r>
    </w:p>
    <w:p w14:paraId="3E2A25FF">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(3)浇筑砼</w:t>
      </w:r>
    </w:p>
    <w:p w14:paraId="1CDE04EF">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混凝土分层进行浇筑，浇筑一段墙身混凝土填筑一段路基，每次混凝土强度达到75%以上才能进行路基填筑。</w:t>
      </w:r>
    </w:p>
    <w:p w14:paraId="1C866317">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每个浇筑段的混凝土连续进行。当因故间歇时，其间歇时间小于前层混凝土的初凝时间或能重塑的时间。不同混凝土的允许间歇时间根据环境温度、水泥性能确定。</w:t>
      </w:r>
    </w:p>
    <w:p w14:paraId="7B273BBF">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墙身混凝土浇筑的同时抛扔片石，片石与片石之间必须有混凝土包裹，抛扔片石时严禁片石与模板直接接触，砼中片石的掺量控制在25%范围以内。</w:t>
      </w:r>
    </w:p>
    <w:p w14:paraId="096EDA57">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浇筑混凝土其间，设专人检查模板稳定情况，发现有松动、变形、移位时及时处理。</w:t>
      </w:r>
    </w:p>
    <w:p w14:paraId="7F7F3FA9">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自高处向模板内倾卸混凝土时，为防止混凝土离析，一般混凝土倾落高度不超过2m，超过2m时采用滑槽、串筒、漏斗等器具浇筑。</w:t>
      </w:r>
    </w:p>
    <w:p w14:paraId="43C6438A">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(4)混凝土振捣</w:t>
      </w:r>
    </w:p>
    <w:p w14:paraId="10BBCF11">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混凝土浇筑过程中，必须随时对混凝土进行振捣并使其均匀密实，振捣采用插入式振捣器垂直点振。</w:t>
      </w:r>
    </w:p>
    <w:p w14:paraId="2AE7F795">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混凝土振捣过程中，避免重复振捣，防止过振。加强检查模板支撑的稳定性和接缝的密合情况，防止在振捣混凝土过程中产生漏浆。</w:t>
      </w:r>
    </w:p>
    <w:p w14:paraId="6CB44159">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采用机械振捣混凝土时，必须符合下列规定：</w:t>
      </w:r>
    </w:p>
    <w:p w14:paraId="47E2DAF3">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采用插入式振捣器振捣混凝土时，插入式振捣器的移动间距不大于振捣器作用半径的1.5倍，且插入下层混凝土内的深度为50～100mm，与侧模保持50～100mm的距离。</w:t>
      </w:r>
    </w:p>
    <w:p w14:paraId="32E94D8B">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当振捣完毕需要变换振捣棒在混凝土拌和物中的水平位置时，边振动边竖向缓慢提出振动棒，不得将振动棒放在拌和物内平拖，不得用振动棒驱赶混凝土。</w:t>
      </w:r>
    </w:p>
    <w:p w14:paraId="69044394">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表面振动器的移动距离须能覆盖已振动部分的边缘，避免撞击模板。</w:t>
      </w:r>
    </w:p>
    <w:p w14:paraId="0C3E2F46">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每一振点的振捣延续时间为20～30s，以混凝土不再沉落、不出现气泡、表面呈现浮浆为度，防止过振、漏振。</w:t>
      </w:r>
    </w:p>
    <w:p w14:paraId="3CE0C267">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混凝土振捣完成后，及时修整、抹平混凝土裸露面。抹面时严禁洒水，并防止过渡操作影响表面混凝土的质量。尤其要注意施工工序的质量保证。</w:t>
      </w:r>
    </w:p>
    <w:p w14:paraId="50A8F326">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(5)填放于混凝土中的片石必须符合以下要求：</w:t>
      </w:r>
    </w:p>
    <w:p w14:paraId="364366EF">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片石在填放前用水冲洗干净，其强度等级不小于60Mpa，最大尺寸不大于结构尺寸的1/4，最小尺寸不小于15cm。片石均匀分布安放稳妥，片石间净间距不得小于15cm，片石与模板间的净间距不小于25cm。最上层片石顶面覆盖不小于25cm的混凝土层，片石体积不得超过片石混凝土总体积的25%。</w:t>
      </w:r>
    </w:p>
    <w:p w14:paraId="18610A42">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4、施工接缝处理</w:t>
      </w:r>
    </w:p>
    <w:p w14:paraId="10C48656">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在每道施工连接缝处，均匀埋设石笋，以增加混凝土在施工接缝处的粘结能力。</w:t>
      </w:r>
    </w:p>
    <w:p w14:paraId="042A1171">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施工接缝光面处，进行人工凿毛，凿毛面积大于总面积的80%。</w:t>
      </w:r>
    </w:p>
    <w:p w14:paraId="466A9E94">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5、墙背回填及泄水孔、沉降缝设置</w:t>
      </w:r>
    </w:p>
    <w:p w14:paraId="49899D9C">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挡土墙沿纵向每隔10～15m设伸缩缝，缝宽0.02m，缝内沿墙的内、外、顶三边填塞沥青麻筋，塞入深度不小于0.2m。</w:t>
      </w:r>
    </w:p>
    <w:p w14:paraId="4CFB1C7D">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在地面以上，沿墙长、墙高每隔2m交错布置设置泄水孔，孔径0.1m，内设PVC管，进水口用透水土工布(400g/m</w:t>
      </w:r>
      <w:r>
        <w:rPr>
          <w:rFonts w:hint="eastAsia" w:ascii="宋体" w:hAnsi="宋体" w:eastAsia="宋体" w:cs="宋体"/>
          <w:snapToGrid w:val="0"/>
          <w:kern w:val="28"/>
          <w:szCs w:val="24"/>
          <w:vertAlign w:val="superscript"/>
        </w:rPr>
        <w:t>2</w:t>
      </w:r>
      <w:r>
        <w:rPr>
          <w:rFonts w:hint="eastAsia" w:ascii="宋体" w:hAnsi="宋体" w:eastAsia="宋体" w:cs="宋体"/>
          <w:snapToGrid w:val="0"/>
          <w:kern w:val="28"/>
          <w:szCs w:val="24"/>
        </w:rPr>
        <w:t>)包裹。在最低排泄水孔下部设置0.3m厚粘土隔水层。当墙身片石混凝土达到设计强度75%以上时进行挡墙墙背回填，以确保片石混凝土墙体的的质量。</w:t>
      </w:r>
    </w:p>
    <w:p w14:paraId="177A909B">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6、片石混凝土养护</w:t>
      </w:r>
    </w:p>
    <w:p w14:paraId="0270D73B">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混凝土养护期间，重点加强混凝土的湿度和温度控制，及时对混凝土暴露面进行洒水养护，并保持暴露面持续湿润，直至混凝土终凝为止。</w:t>
      </w:r>
    </w:p>
    <w:p w14:paraId="493CAD90">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混凝土带模养护期间，采取带模包裹、浇水。通过喷淋洒水措施进行保湿、潮湿养护，保证模板接缝处不至失水干燥。为了保证顺利拆模，可在混凝土浇筑24～48h后略微松开模板，并继续浇水养护至模板后。</w:t>
      </w:r>
    </w:p>
    <w:p w14:paraId="5DA75D73">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混凝土养护期间，对混凝土的养护过程做详细记录，并建立严格的岗位责任制。</w:t>
      </w:r>
    </w:p>
    <w:p w14:paraId="71DBBA49">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7、混凝土拆模</w:t>
      </w:r>
    </w:p>
    <w:p w14:paraId="7AFBCE7F">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混凝土拆模时的强度必须符合设计要求。当设计未提出要求时，须符合下列规定：</w:t>
      </w:r>
    </w:p>
    <w:p w14:paraId="6B38C353">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(1)拆模须在混凝土强度达到2.5MPa以上，且表面棱角不因拆模面损失，方可拆模。</w:t>
      </w:r>
    </w:p>
    <w:p w14:paraId="5E003123">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(2)混凝土的拆模时间除需考虑拆模时的混凝土强度满足规定外，还必须考虑拆模时混凝土的温度(由水泥水化热引起)不能过高，以免混凝土接触空气时降温过快而开裂，更不能在此时浇筑凉水养护。混凝土内部开始降温以前及混凝土内部温度最高时不得拆模。</w:t>
      </w:r>
    </w:p>
    <w:p w14:paraId="7C495CBB">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(3)模板的拆除顺序按设计的顺序进行。设计无规定时，遵循先支后拆、后支先拆的顺序进行。</w:t>
      </w:r>
    </w:p>
    <w:p w14:paraId="0EDAE9E7">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(4)拆模不得损伤混凝土，并减少模板损伤。当模板与混凝土脱离后，方可拆卸、调运模板。</w:t>
      </w:r>
    </w:p>
    <w:p w14:paraId="08D28865">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(5)拆除临时埋设与混凝土中其他预埋部件时，不得损伤混凝土。</w:t>
      </w:r>
    </w:p>
    <w:p w14:paraId="3B4C367A">
      <w:pPr>
        <w:adjustRightInd w:val="0"/>
        <w:snapToGrid w:val="0"/>
        <w:ind w:firstLine="480"/>
        <w:rPr>
          <w:rFonts w:hint="eastAsia" w:ascii="宋体" w:hAnsi="宋体" w:eastAsia="宋体" w:cs="宋体"/>
          <w:snapToGrid w:val="0"/>
          <w:kern w:val="28"/>
          <w:szCs w:val="24"/>
        </w:rPr>
      </w:pPr>
      <w:r>
        <w:rPr>
          <w:rFonts w:hint="eastAsia" w:ascii="宋体" w:hAnsi="宋体" w:eastAsia="宋体" w:cs="宋体"/>
          <w:snapToGrid w:val="0"/>
          <w:kern w:val="28"/>
          <w:szCs w:val="24"/>
        </w:rPr>
        <w:t>(6)拆除模板时，不得影响或中断混凝土的养护工作。</w:t>
      </w:r>
    </w:p>
    <w:p w14:paraId="4F4B3381">
      <w:pPr>
        <w:pStyle w:val="5"/>
        <w:bidi w:val="0"/>
        <w:rPr>
          <w:rFonts w:hint="eastAsia"/>
          <w:color w:val="auto"/>
        </w:rPr>
      </w:pPr>
      <w:bookmarkStart w:id="822" w:name="_Toc8592"/>
      <w:bookmarkStart w:id="823" w:name="_Toc17542"/>
      <w:bookmarkStart w:id="824" w:name="_Toc19249"/>
      <w:bookmarkStart w:id="825" w:name="_Toc31249"/>
      <w:bookmarkStart w:id="826" w:name="_Toc12513"/>
      <w:bookmarkStart w:id="827" w:name="_Toc11462"/>
      <w:bookmarkStart w:id="828" w:name="_Toc21111"/>
      <w:bookmarkStart w:id="829" w:name="_Toc6203"/>
      <w:r>
        <w:rPr>
          <w:rFonts w:hint="eastAsia"/>
          <w:color w:val="auto"/>
          <w:lang w:val="en-US" w:eastAsia="zh-CN"/>
        </w:rPr>
        <w:t>8.1</w:t>
      </w:r>
      <w:r>
        <w:rPr>
          <w:rFonts w:hint="default"/>
          <w:color w:val="auto"/>
          <w:lang w:val="en-US" w:eastAsia="zh-CN"/>
        </w:rPr>
        <w:t>.1</w:t>
      </w:r>
      <w:r>
        <w:rPr>
          <w:rFonts w:hint="eastAsia"/>
          <w:color w:val="auto"/>
          <w:lang w:val="en-US" w:eastAsia="zh-CN"/>
        </w:rPr>
        <w:t xml:space="preserve">0 </w:t>
      </w:r>
      <w:r>
        <w:rPr>
          <w:rFonts w:hint="eastAsia"/>
          <w:color w:val="auto"/>
        </w:rPr>
        <w:t>路基、路面排水工程</w:t>
      </w:r>
      <w:bookmarkEnd w:id="821"/>
      <w:bookmarkEnd w:id="822"/>
      <w:bookmarkEnd w:id="823"/>
      <w:bookmarkEnd w:id="824"/>
      <w:bookmarkEnd w:id="825"/>
      <w:bookmarkEnd w:id="826"/>
      <w:bookmarkEnd w:id="827"/>
      <w:bookmarkEnd w:id="828"/>
      <w:bookmarkEnd w:id="829"/>
    </w:p>
    <w:p w14:paraId="72D67FC7">
      <w:pPr>
        <w:ind w:firstLine="480"/>
        <w:rPr>
          <w:rFonts w:hint="eastAsia" w:ascii="宋体" w:hAnsi="宋体" w:eastAsia="宋体" w:cs="宋体"/>
          <w:color w:val="000000"/>
          <w:kern w:val="0"/>
          <w:sz w:val="24"/>
          <w:szCs w:val="24"/>
          <w:lang w:val="en-US" w:eastAsia="zh-CN" w:bidi="ar"/>
        </w:rPr>
      </w:pPr>
      <w:r>
        <w:rPr>
          <w:rFonts w:hint="eastAsia" w:ascii="宋体" w:hAnsi="宋体" w:eastAsia="宋体" w:cs="宋体"/>
        </w:rPr>
        <w:t>为防止道路汇集雨水对路基冲刷，保证路基稳定，排水主要方式有</w:t>
      </w:r>
      <w:r>
        <w:rPr>
          <w:rFonts w:hint="eastAsia" w:ascii="宋体" w:hAnsi="宋体" w:eastAsia="宋体" w:cs="宋体"/>
          <w:kern w:val="10"/>
        </w:rPr>
        <w:t>边沟、排水沟、截水沟等。</w:t>
      </w:r>
      <w:r>
        <w:rPr>
          <w:rFonts w:hint="eastAsia" w:ascii="宋体" w:hAnsi="宋体" w:eastAsia="宋体" w:cs="宋体"/>
        </w:rPr>
        <w:t>在道路周边地块开发以前，为防止道路两侧水流对路基边坡的冲刷，本道路通过设置排水边沟收集两侧雨水集中排放。</w:t>
      </w:r>
      <w:bookmarkStart w:id="830" w:name="_Toc27092"/>
      <w:bookmarkStart w:id="831" w:name="_Toc21969"/>
      <w:bookmarkStart w:id="832" w:name="_Toc10652"/>
      <w:bookmarkStart w:id="833" w:name="_Toc22660"/>
      <w:bookmarkStart w:id="834" w:name="_Toc16593"/>
      <w:bookmarkStart w:id="835" w:name="_Toc23167"/>
      <w:bookmarkStart w:id="836" w:name="_Toc2214"/>
      <w:bookmarkStart w:id="837" w:name="_Toc14909"/>
      <w:bookmarkStart w:id="838" w:name="_Toc8588"/>
      <w:bookmarkStart w:id="839" w:name="_Toc8983"/>
      <w:bookmarkStart w:id="840" w:name="_Toc13830"/>
      <w:bookmarkStart w:id="841" w:name="_Toc17718"/>
      <w:r>
        <w:rPr>
          <w:rFonts w:hint="eastAsia" w:ascii="宋体" w:hAnsi="宋体" w:eastAsia="宋体" w:cs="宋体"/>
          <w:color w:val="000000"/>
          <w:kern w:val="0"/>
          <w:sz w:val="24"/>
          <w:szCs w:val="24"/>
          <w:lang w:val="en-US" w:eastAsia="zh-CN" w:bidi="ar"/>
        </w:rPr>
        <w:t>路基排水有边沟、截水沟、排水沟、急流槽；路基地下排水有盲沟、渗沟、检查井等地下排水设施。盲沟和渗沟用于降低地下水位或排除路基范围内地下水或渗水，施工时应根据现场地下水情况酌情设置。</w:t>
      </w:r>
    </w:p>
    <w:p w14:paraId="19DE70AB">
      <w:pPr>
        <w:keepNext w:val="0"/>
        <w:keepLines w:val="0"/>
        <w:widowControl/>
        <w:suppressLineNumbers w:val="0"/>
        <w:jc w:val="left"/>
      </w:pPr>
      <w:r>
        <w:rPr>
          <w:rFonts w:ascii="TimesNewRomanPS-BoldMT" w:hAnsi="TimesNewRomanPS-BoldMT" w:eastAsia="TimesNewRomanPS-BoldMT" w:cs="TimesNewRomanPS-BoldMT"/>
          <w:b/>
          <w:bCs/>
          <w:color w:val="000000"/>
          <w:kern w:val="0"/>
          <w:sz w:val="24"/>
          <w:szCs w:val="24"/>
          <w:lang w:val="en-US" w:eastAsia="zh-CN" w:bidi="ar"/>
        </w:rPr>
        <w:t>1</w:t>
      </w:r>
      <w:r>
        <w:rPr>
          <w:rFonts w:hint="eastAsia" w:ascii="TimesNewRomanPS-BoldMT" w:hAnsi="TimesNewRomanPS-BoldMT" w:eastAsia="TimesNewRomanPS-BoldMT" w:cs="TimesNewRomanPS-BoldMT"/>
          <w:b/>
          <w:bCs/>
          <w:color w:val="000000"/>
          <w:kern w:val="0"/>
          <w:sz w:val="24"/>
          <w:szCs w:val="24"/>
          <w:lang w:val="en-US" w:eastAsia="zh-CN" w:bidi="ar"/>
        </w:rPr>
        <w:t>、</w:t>
      </w:r>
      <w:r>
        <w:rPr>
          <w:rFonts w:ascii="TimesNewRomanPS-BoldMT" w:hAnsi="TimesNewRomanPS-BoldMT" w:eastAsia="TimesNewRomanPS-BoldMT" w:cs="TimesNewRomanPS-BoldMT"/>
          <w:b/>
          <w:bCs/>
          <w:color w:val="000000"/>
          <w:kern w:val="0"/>
          <w:sz w:val="24"/>
          <w:szCs w:val="24"/>
          <w:lang w:val="en-US" w:eastAsia="zh-CN" w:bidi="ar"/>
        </w:rPr>
        <w:t xml:space="preserve"> </w:t>
      </w:r>
      <w:r>
        <w:rPr>
          <w:rFonts w:hint="eastAsia" w:ascii="宋体" w:hAnsi="宋体" w:eastAsia="宋体" w:cs="宋体"/>
          <w:b/>
          <w:bCs/>
          <w:color w:val="000000"/>
          <w:kern w:val="0"/>
          <w:sz w:val="24"/>
          <w:szCs w:val="24"/>
          <w:lang w:val="en-US" w:eastAsia="zh-CN" w:bidi="ar"/>
        </w:rPr>
        <w:t xml:space="preserve">路堤边沟 </w:t>
      </w:r>
    </w:p>
    <w:p w14:paraId="16D7E427">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根据路堤排水需求设置路堤边沟，与路基两侧的桥涵进出水口或路堑边沟相连，路堤边沟从外观形态、标准化、模块化施工的角度拟采用预制块梯形沟，根据汇水面积确定尺寸一 般为 </w:t>
      </w:r>
      <w:r>
        <w:rPr>
          <w:rFonts w:hint="default" w:ascii="Times New Roman" w:hAnsi="Times New Roman" w:eastAsia="宋体" w:cs="Times New Roman"/>
          <w:color w:val="000000"/>
          <w:kern w:val="0"/>
          <w:sz w:val="24"/>
          <w:szCs w:val="24"/>
          <w:lang w:val="en-US" w:eastAsia="zh-CN" w:bidi="ar"/>
        </w:rPr>
        <w:t>50cm×50 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60cm×60 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60cm×80cm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80cm×80cm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120</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80cm</w:t>
      </w:r>
      <w:r>
        <w:rPr>
          <w:rFonts w:hint="eastAsia" w:ascii="宋体" w:hAnsi="宋体" w:eastAsia="宋体" w:cs="宋体"/>
          <w:color w:val="000000"/>
          <w:kern w:val="0"/>
          <w:sz w:val="24"/>
          <w:szCs w:val="24"/>
          <w:lang w:val="en-US" w:eastAsia="zh-CN" w:bidi="ar"/>
        </w:rPr>
        <w:t xml:space="preserve">、。与农田排灌沟渠发生冲突时，应改移沟渠，并与排水沟或涵洞出水口顺接，以确保公路排水设施与当地农业灌溉设施畅通。边沟纵坡不宜小于 </w:t>
      </w:r>
      <w:r>
        <w:rPr>
          <w:rFonts w:hint="default" w:ascii="Times New Roman" w:hAnsi="Times New Roman" w:eastAsia="宋体" w:cs="Times New Roman"/>
          <w:color w:val="000000"/>
          <w:kern w:val="0"/>
          <w:sz w:val="24"/>
          <w:szCs w:val="24"/>
          <w:lang w:val="en-US" w:eastAsia="zh-CN" w:bidi="ar"/>
        </w:rPr>
        <w:t>0.3%</w:t>
      </w:r>
      <w:r>
        <w:rPr>
          <w:rFonts w:hint="eastAsia" w:ascii="宋体" w:hAnsi="宋体" w:eastAsia="宋体" w:cs="宋体"/>
          <w:color w:val="000000"/>
          <w:kern w:val="0"/>
          <w:sz w:val="24"/>
          <w:szCs w:val="24"/>
          <w:lang w:val="en-US" w:eastAsia="zh-CN" w:bidi="ar"/>
        </w:rPr>
        <w:t xml:space="preserve">，出水口间距不宜超过 </w:t>
      </w:r>
      <w:r>
        <w:rPr>
          <w:rFonts w:hint="default" w:ascii="Times New Roman" w:hAnsi="Times New Roman" w:eastAsia="宋体" w:cs="Times New Roman"/>
          <w:color w:val="000000"/>
          <w:kern w:val="0"/>
          <w:sz w:val="24"/>
          <w:szCs w:val="24"/>
          <w:lang w:val="en-US" w:eastAsia="zh-CN" w:bidi="ar"/>
        </w:rPr>
        <w:t>300m</w:t>
      </w:r>
      <w:r>
        <w:rPr>
          <w:rFonts w:hint="eastAsia" w:ascii="宋体" w:hAnsi="宋体" w:eastAsia="宋体" w:cs="宋体"/>
          <w:color w:val="000000"/>
          <w:kern w:val="0"/>
          <w:sz w:val="24"/>
          <w:szCs w:val="24"/>
          <w:lang w:val="en-US" w:eastAsia="zh-CN" w:bidi="ar"/>
        </w:rPr>
        <w:t xml:space="preserve">。 </w:t>
      </w:r>
    </w:p>
    <w:p w14:paraId="145D17AE">
      <w:pPr>
        <w:keepNext w:val="0"/>
        <w:keepLines w:val="0"/>
        <w:widowControl/>
        <w:suppressLineNumbers w:val="0"/>
        <w:jc w:val="left"/>
      </w:pPr>
      <w:r>
        <w:rPr>
          <w:rFonts w:hint="default" w:ascii="TimesNewRomanPS-BoldMT" w:hAnsi="TimesNewRomanPS-BoldMT" w:eastAsia="TimesNewRomanPS-BoldMT" w:cs="TimesNewRomanPS-BoldMT"/>
          <w:b/>
          <w:bCs/>
          <w:color w:val="000000"/>
          <w:kern w:val="0"/>
          <w:sz w:val="24"/>
          <w:szCs w:val="24"/>
          <w:lang w:val="en-US" w:eastAsia="zh-CN" w:bidi="ar"/>
        </w:rPr>
        <w:t>2</w:t>
      </w:r>
      <w:r>
        <w:rPr>
          <w:rFonts w:hint="eastAsia" w:ascii="TimesNewRomanPS-BoldMT" w:hAnsi="TimesNewRomanPS-BoldMT" w:eastAsia="TimesNewRomanPS-BoldMT" w:cs="TimesNewRomanPS-BoldMT"/>
          <w:b/>
          <w:bCs/>
          <w:color w:val="000000"/>
          <w:kern w:val="0"/>
          <w:sz w:val="24"/>
          <w:szCs w:val="24"/>
          <w:lang w:val="en-US" w:eastAsia="zh-CN" w:bidi="ar"/>
        </w:rPr>
        <w:t>、</w:t>
      </w:r>
      <w:r>
        <w:rPr>
          <w:rFonts w:hint="default" w:ascii="TimesNewRomanPS-BoldMT" w:hAnsi="TimesNewRomanPS-BoldMT" w:eastAsia="TimesNewRomanPS-BoldMT" w:cs="TimesNewRomanPS-BoldMT"/>
          <w:b/>
          <w:bCs/>
          <w:color w:val="000000"/>
          <w:kern w:val="0"/>
          <w:sz w:val="24"/>
          <w:szCs w:val="24"/>
          <w:lang w:val="en-US" w:eastAsia="zh-CN" w:bidi="ar"/>
        </w:rPr>
        <w:t xml:space="preserve"> </w:t>
      </w:r>
      <w:r>
        <w:rPr>
          <w:rFonts w:hint="eastAsia" w:ascii="宋体" w:hAnsi="宋体" w:eastAsia="宋体" w:cs="宋体"/>
          <w:b/>
          <w:bCs/>
          <w:color w:val="000000"/>
          <w:kern w:val="0"/>
          <w:sz w:val="24"/>
          <w:szCs w:val="24"/>
          <w:lang w:val="en-US" w:eastAsia="zh-CN" w:bidi="ar"/>
        </w:rPr>
        <w:t xml:space="preserve">路堑边沟 </w:t>
      </w:r>
    </w:p>
    <w:p w14:paraId="69793641">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路堑边沟形式采用矩形边沟，根据汇水面积确定尺寸一般为 </w:t>
      </w:r>
      <w:r>
        <w:rPr>
          <w:rFonts w:hint="default" w:ascii="Times New Roman" w:hAnsi="Times New Roman" w:eastAsia="宋体" w:cs="Times New Roman"/>
          <w:color w:val="000000"/>
          <w:kern w:val="0"/>
          <w:sz w:val="24"/>
          <w:szCs w:val="24"/>
          <w:lang w:val="en-US" w:eastAsia="zh-CN" w:bidi="ar"/>
        </w:rPr>
        <w:t>40cm×80cm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60cm×80cm</w:t>
      </w:r>
      <w:r>
        <w:rPr>
          <w:rFonts w:hint="eastAsia" w:ascii="宋体" w:hAnsi="宋体" w:eastAsia="宋体" w:cs="宋体"/>
          <w:color w:val="000000"/>
          <w:kern w:val="0"/>
          <w:sz w:val="24"/>
          <w:szCs w:val="24"/>
          <w:lang w:val="en-US" w:eastAsia="zh-CN" w:bidi="ar"/>
        </w:rPr>
        <w:t xml:space="preserve">、 </w:t>
      </w:r>
      <w:r>
        <w:rPr>
          <w:rFonts w:hint="default" w:ascii="Times New Roman" w:hAnsi="Times New Roman" w:eastAsia="宋体" w:cs="Times New Roman"/>
          <w:color w:val="000000"/>
          <w:kern w:val="0"/>
          <w:sz w:val="24"/>
          <w:szCs w:val="24"/>
          <w:lang w:val="en-US" w:eastAsia="zh-CN" w:bidi="ar"/>
        </w:rPr>
        <w:t>80cm×80cm</w:t>
      </w:r>
      <w:r>
        <w:rPr>
          <w:rFonts w:hint="eastAsia" w:ascii="宋体" w:hAnsi="宋体" w:eastAsia="宋体" w:cs="宋体"/>
          <w:color w:val="000000"/>
          <w:kern w:val="0"/>
          <w:sz w:val="24"/>
          <w:szCs w:val="24"/>
          <w:lang w:val="en-US" w:eastAsia="zh-CN" w:bidi="ar"/>
        </w:rPr>
        <w:t xml:space="preserve">；路面及边坡汇水直接流入边沟。 </w:t>
      </w:r>
    </w:p>
    <w:p w14:paraId="2EE064EB">
      <w:pPr>
        <w:keepNext w:val="0"/>
        <w:keepLines w:val="0"/>
        <w:widowControl/>
        <w:suppressLineNumbers w:val="0"/>
        <w:jc w:val="left"/>
      </w:pPr>
      <w:r>
        <w:rPr>
          <w:rFonts w:hint="eastAsia" w:ascii="TimesNewRomanPS-BoldMT" w:hAnsi="TimesNewRomanPS-BoldMT" w:eastAsia="TimesNewRomanPS-BoldMT" w:cs="TimesNewRomanPS-BoldMT"/>
          <w:b/>
          <w:bCs/>
          <w:color w:val="000000"/>
          <w:kern w:val="0"/>
          <w:sz w:val="24"/>
          <w:szCs w:val="24"/>
          <w:lang w:val="en-US" w:eastAsia="zh-CN" w:bidi="ar"/>
        </w:rPr>
        <w:t>3、</w:t>
      </w:r>
      <w:r>
        <w:rPr>
          <w:rFonts w:hint="default" w:ascii="TimesNewRomanPS-BoldMT" w:hAnsi="TimesNewRomanPS-BoldMT" w:eastAsia="TimesNewRomanPS-BoldMT" w:cs="TimesNewRomanPS-BoldMT"/>
          <w:b/>
          <w:bCs/>
          <w:color w:val="000000"/>
          <w:kern w:val="0"/>
          <w:sz w:val="24"/>
          <w:szCs w:val="24"/>
          <w:lang w:val="en-US" w:eastAsia="zh-CN" w:bidi="ar"/>
        </w:rPr>
        <w:t xml:space="preserve"> </w:t>
      </w:r>
      <w:r>
        <w:rPr>
          <w:rFonts w:hint="eastAsia" w:ascii="宋体" w:hAnsi="宋体" w:eastAsia="宋体" w:cs="宋体"/>
          <w:b/>
          <w:bCs/>
          <w:color w:val="000000"/>
          <w:kern w:val="0"/>
          <w:sz w:val="24"/>
          <w:szCs w:val="24"/>
          <w:lang w:val="en-US" w:eastAsia="zh-CN" w:bidi="ar"/>
        </w:rPr>
        <w:t xml:space="preserve">坡顶截水沟 </w:t>
      </w:r>
    </w:p>
    <w:p w14:paraId="5E400CB8">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坡顶截水沟一般设于汇水面积较大的挖方边坡坡口以外至少 </w:t>
      </w:r>
      <w:r>
        <w:rPr>
          <w:rFonts w:hint="default" w:ascii="Times New Roman" w:hAnsi="Times New Roman" w:eastAsia="宋体" w:cs="Times New Roman"/>
          <w:color w:val="000000"/>
          <w:kern w:val="0"/>
          <w:sz w:val="24"/>
          <w:szCs w:val="24"/>
          <w:lang w:val="en-US" w:eastAsia="zh-CN" w:bidi="ar"/>
        </w:rPr>
        <w:t xml:space="preserve">5m </w:t>
      </w:r>
      <w:r>
        <w:rPr>
          <w:rFonts w:hint="eastAsia" w:ascii="宋体" w:hAnsi="宋体" w:eastAsia="宋体" w:cs="宋体"/>
          <w:color w:val="000000"/>
          <w:kern w:val="0"/>
          <w:sz w:val="24"/>
          <w:szCs w:val="24"/>
          <w:lang w:val="en-US" w:eastAsia="zh-CN" w:bidi="ar"/>
        </w:rPr>
        <w:t xml:space="preserve">的位置，用于拦截边坡上部的坡面水。坡顶截水沟可视汇水面积与地质、地形情况采用矩形、梯形断面或拦水梗， 沟身尺寸采用 </w:t>
      </w:r>
      <w:r>
        <w:rPr>
          <w:rFonts w:hint="default" w:ascii="Times New Roman" w:hAnsi="Times New Roman" w:eastAsia="宋体" w:cs="Times New Roman"/>
          <w:color w:val="000000"/>
          <w:kern w:val="0"/>
          <w:sz w:val="24"/>
          <w:szCs w:val="24"/>
          <w:lang w:val="en-US" w:eastAsia="zh-CN" w:bidi="ar"/>
        </w:rPr>
        <w:t xml:space="preserve">50cm×50cm </w:t>
      </w:r>
      <w:r>
        <w:rPr>
          <w:rFonts w:hint="eastAsia" w:ascii="宋体" w:hAnsi="宋体" w:eastAsia="宋体" w:cs="宋体"/>
          <w:color w:val="000000"/>
          <w:kern w:val="0"/>
          <w:sz w:val="24"/>
          <w:szCs w:val="24"/>
          <w:lang w:val="en-US" w:eastAsia="zh-CN" w:bidi="ar"/>
        </w:rPr>
        <w:t xml:space="preserve">或 </w:t>
      </w:r>
      <w:r>
        <w:rPr>
          <w:rFonts w:hint="default" w:ascii="Times New Roman" w:hAnsi="Times New Roman" w:eastAsia="宋体" w:cs="Times New Roman"/>
          <w:color w:val="000000"/>
          <w:kern w:val="0"/>
          <w:sz w:val="24"/>
          <w:szCs w:val="24"/>
          <w:lang w:val="en-US" w:eastAsia="zh-CN" w:bidi="ar"/>
        </w:rPr>
        <w:t>60cm×60cm</w:t>
      </w:r>
      <w:r>
        <w:rPr>
          <w:rFonts w:hint="eastAsia" w:ascii="宋体" w:hAnsi="宋体" w:eastAsia="宋体" w:cs="宋体"/>
          <w:color w:val="000000"/>
          <w:kern w:val="0"/>
          <w:sz w:val="24"/>
          <w:szCs w:val="24"/>
          <w:lang w:val="en-US" w:eastAsia="zh-CN" w:bidi="ar"/>
        </w:rPr>
        <w:t xml:space="preserve">，沟长不应大于 </w:t>
      </w:r>
      <w:r>
        <w:rPr>
          <w:rFonts w:hint="default" w:ascii="Times New Roman" w:hAnsi="Times New Roman" w:eastAsia="宋体" w:cs="Times New Roman"/>
          <w:color w:val="000000"/>
          <w:kern w:val="0"/>
          <w:sz w:val="24"/>
          <w:szCs w:val="24"/>
          <w:lang w:val="en-US" w:eastAsia="zh-CN" w:bidi="ar"/>
        </w:rPr>
        <w:t>500m</w:t>
      </w:r>
      <w:r>
        <w:rPr>
          <w:rFonts w:hint="eastAsia" w:ascii="宋体" w:hAnsi="宋体" w:eastAsia="宋体" w:cs="宋体"/>
          <w:color w:val="000000"/>
          <w:kern w:val="0"/>
          <w:sz w:val="24"/>
          <w:szCs w:val="24"/>
          <w:lang w:val="en-US" w:eastAsia="zh-CN" w:bidi="ar"/>
        </w:rPr>
        <w:t xml:space="preserve">。截水沟的水流一般不引入边沟。 </w:t>
      </w:r>
    </w:p>
    <w:p w14:paraId="6B451C71">
      <w:pPr>
        <w:keepNext w:val="0"/>
        <w:keepLines w:val="0"/>
        <w:widowControl/>
        <w:suppressLineNumbers w:val="0"/>
        <w:jc w:val="left"/>
      </w:pPr>
      <w:r>
        <w:rPr>
          <w:rFonts w:hint="default" w:ascii="TimesNewRomanPS-BoldMT" w:hAnsi="TimesNewRomanPS-BoldMT" w:eastAsia="TimesNewRomanPS-BoldMT" w:cs="TimesNewRomanPS-BoldMT"/>
          <w:b/>
          <w:bCs/>
          <w:color w:val="000000"/>
          <w:kern w:val="0"/>
          <w:sz w:val="24"/>
          <w:szCs w:val="24"/>
          <w:lang w:val="en-US" w:eastAsia="zh-CN" w:bidi="ar"/>
        </w:rPr>
        <w:t>4</w:t>
      </w:r>
      <w:r>
        <w:rPr>
          <w:rFonts w:hint="eastAsia" w:ascii="TimesNewRomanPS-BoldMT" w:hAnsi="TimesNewRomanPS-BoldMT" w:eastAsia="TimesNewRomanPS-BoldMT" w:cs="TimesNewRomanPS-BoldMT"/>
          <w:b/>
          <w:bCs/>
          <w:color w:val="000000"/>
          <w:kern w:val="0"/>
          <w:sz w:val="24"/>
          <w:szCs w:val="24"/>
          <w:lang w:val="en-US" w:eastAsia="zh-CN" w:bidi="ar"/>
        </w:rPr>
        <w:t>、</w:t>
      </w:r>
      <w:r>
        <w:rPr>
          <w:rFonts w:hint="default" w:ascii="TimesNewRomanPS-BoldMT" w:hAnsi="TimesNewRomanPS-BoldMT" w:eastAsia="TimesNewRomanPS-BoldMT" w:cs="TimesNewRomanPS-BoldMT"/>
          <w:b/>
          <w:bCs/>
          <w:color w:val="000000"/>
          <w:kern w:val="0"/>
          <w:sz w:val="24"/>
          <w:szCs w:val="24"/>
          <w:lang w:val="en-US" w:eastAsia="zh-CN" w:bidi="ar"/>
        </w:rPr>
        <w:t xml:space="preserve"> </w:t>
      </w:r>
      <w:r>
        <w:rPr>
          <w:rFonts w:hint="eastAsia" w:ascii="宋体" w:hAnsi="宋体" w:eastAsia="宋体" w:cs="宋体"/>
          <w:b/>
          <w:bCs/>
          <w:color w:val="000000"/>
          <w:kern w:val="0"/>
          <w:sz w:val="24"/>
          <w:szCs w:val="24"/>
          <w:lang w:val="en-US" w:eastAsia="zh-CN" w:bidi="ar"/>
        </w:rPr>
        <w:t xml:space="preserve">排水沟 </w:t>
      </w:r>
    </w:p>
    <w:p w14:paraId="6E1A8B87">
      <w:pPr>
        <w:keepNext w:val="0"/>
        <w:keepLines w:val="0"/>
        <w:widowControl/>
        <w:suppressLineNumbers w:val="0"/>
        <w:jc w:val="left"/>
      </w:pPr>
      <w:r>
        <w:rPr>
          <w:rFonts w:hint="eastAsia" w:ascii="宋体" w:hAnsi="宋体" w:eastAsia="宋体" w:cs="宋体"/>
          <w:color w:val="000000"/>
          <w:kern w:val="0"/>
          <w:sz w:val="24"/>
          <w:szCs w:val="24"/>
          <w:lang w:val="en-US" w:eastAsia="zh-CN" w:bidi="ar"/>
        </w:rPr>
        <w:t xml:space="preserve">将边沟、截水沟、取土坑、边坡和路基附近积水引入桥涵或路基以外，排水沟纵坡不宜小于 </w:t>
      </w:r>
      <w:r>
        <w:rPr>
          <w:rFonts w:hint="default" w:ascii="Times New Roman" w:hAnsi="Times New Roman" w:eastAsia="宋体" w:cs="Times New Roman"/>
          <w:color w:val="000000"/>
          <w:kern w:val="0"/>
          <w:sz w:val="24"/>
          <w:szCs w:val="24"/>
          <w:lang w:val="en-US" w:eastAsia="zh-CN" w:bidi="ar"/>
        </w:rPr>
        <w:t>0.5</w:t>
      </w:r>
      <w:r>
        <w:rPr>
          <w:rFonts w:hint="eastAsia" w:ascii="宋体" w:hAnsi="宋体" w:eastAsia="宋体" w:cs="宋体"/>
          <w:color w:val="000000"/>
          <w:kern w:val="0"/>
          <w:sz w:val="24"/>
          <w:szCs w:val="24"/>
          <w:lang w:val="en-US" w:eastAsia="zh-CN" w:bidi="ar"/>
        </w:rPr>
        <w:t xml:space="preserve">％，长度不超过 </w:t>
      </w:r>
      <w:r>
        <w:rPr>
          <w:rFonts w:hint="default" w:ascii="Times New Roman" w:hAnsi="Times New Roman" w:eastAsia="宋体" w:cs="Times New Roman"/>
          <w:color w:val="000000"/>
          <w:kern w:val="0"/>
          <w:sz w:val="24"/>
          <w:szCs w:val="24"/>
          <w:lang w:val="en-US" w:eastAsia="zh-CN" w:bidi="ar"/>
        </w:rPr>
        <w:t>300m</w:t>
      </w:r>
      <w:r>
        <w:rPr>
          <w:rFonts w:hint="eastAsia" w:ascii="宋体" w:hAnsi="宋体" w:eastAsia="宋体" w:cs="宋体"/>
          <w:color w:val="000000"/>
          <w:kern w:val="0"/>
          <w:sz w:val="24"/>
          <w:szCs w:val="24"/>
          <w:lang w:val="en-US" w:eastAsia="zh-CN" w:bidi="ar"/>
        </w:rPr>
        <w:t xml:space="preserve">。排水沟根据流量采用矩形沟或梯形沟，根据汇水面积确定尺寸一般为 </w:t>
      </w:r>
      <w:r>
        <w:rPr>
          <w:rFonts w:hint="default" w:ascii="Times New Roman" w:hAnsi="Times New Roman" w:eastAsia="宋体" w:cs="Times New Roman"/>
          <w:color w:val="000000"/>
          <w:kern w:val="0"/>
          <w:sz w:val="24"/>
          <w:szCs w:val="24"/>
          <w:lang w:val="en-US" w:eastAsia="zh-CN" w:bidi="ar"/>
        </w:rPr>
        <w:t>60cm×60 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60cm×80cm</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80cm×80cm</w:t>
      </w:r>
      <w:r>
        <w:rPr>
          <w:rFonts w:hint="eastAsia" w:ascii="宋体" w:hAnsi="宋体" w:eastAsia="宋体" w:cs="宋体"/>
          <w:color w:val="000000"/>
          <w:kern w:val="0"/>
          <w:sz w:val="24"/>
          <w:szCs w:val="24"/>
          <w:lang w:val="en-US" w:eastAsia="zh-CN" w:bidi="ar"/>
        </w:rPr>
        <w:t xml:space="preserve">。 </w:t>
      </w:r>
    </w:p>
    <w:p w14:paraId="4D1551E0">
      <w:pPr>
        <w:keepNext w:val="0"/>
        <w:keepLines w:val="0"/>
        <w:widowControl/>
        <w:numPr>
          <w:ilvl w:val="0"/>
          <w:numId w:val="3"/>
        </w:numPr>
        <w:suppressLineNumbers w:val="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 xml:space="preserve">跌水、急流槽 </w:t>
      </w:r>
    </w:p>
    <w:p w14:paraId="0187A4A4">
      <w:pPr>
        <w:keepNext w:val="0"/>
        <w:keepLines w:val="0"/>
        <w:widowControl/>
        <w:numPr>
          <w:ilvl w:val="0"/>
          <w:numId w:val="0"/>
        </w:numPr>
        <w:suppressLineNumbers w:val="0"/>
        <w:ind w:firstLine="480" w:firstLineChars="200"/>
        <w:jc w:val="left"/>
      </w:pPr>
      <w:r>
        <w:rPr>
          <w:rFonts w:hint="eastAsia" w:ascii="宋体" w:hAnsi="宋体" w:eastAsia="宋体" w:cs="宋体"/>
          <w:color w:val="000000"/>
          <w:kern w:val="0"/>
          <w:sz w:val="24"/>
          <w:szCs w:val="24"/>
          <w:lang w:val="en-US" w:eastAsia="zh-CN" w:bidi="ar"/>
        </w:rPr>
        <w:t xml:space="preserve">进、出口采用设消力池等消力措施以防止冲刷。急流槽纵坡不宜陡于 </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1.5</w:t>
      </w:r>
      <w:r>
        <w:rPr>
          <w:rFonts w:hint="eastAsia" w:ascii="宋体" w:hAnsi="宋体" w:eastAsia="宋体" w:cs="宋体"/>
          <w:color w:val="000000"/>
          <w:kern w:val="0"/>
          <w:sz w:val="24"/>
          <w:szCs w:val="24"/>
          <w:lang w:val="en-US" w:eastAsia="zh-CN" w:bidi="ar"/>
        </w:rPr>
        <w:t xml:space="preserve">。急流槽出 水口接排水沟或自然山沟，一般采用 </w:t>
      </w:r>
      <w:r>
        <w:rPr>
          <w:rFonts w:hint="default" w:ascii="Times New Roman" w:hAnsi="Times New Roman" w:eastAsia="宋体" w:cs="Times New Roman"/>
          <w:color w:val="000000"/>
          <w:kern w:val="0"/>
          <w:sz w:val="24"/>
          <w:szCs w:val="24"/>
          <w:lang w:val="en-US" w:eastAsia="zh-CN" w:bidi="ar"/>
        </w:rPr>
        <w:t xml:space="preserve">C25 </w:t>
      </w:r>
      <w:r>
        <w:rPr>
          <w:rFonts w:hint="eastAsia" w:ascii="宋体" w:hAnsi="宋体" w:eastAsia="宋体" w:cs="宋体"/>
          <w:color w:val="000000"/>
          <w:kern w:val="0"/>
          <w:sz w:val="24"/>
          <w:szCs w:val="24"/>
          <w:lang w:val="en-US" w:eastAsia="zh-CN" w:bidi="ar"/>
        </w:rPr>
        <w:t xml:space="preserve">混凝土预制块或 </w:t>
      </w:r>
      <w:r>
        <w:rPr>
          <w:rFonts w:hint="default" w:ascii="Times New Roman" w:hAnsi="Times New Roman" w:eastAsia="宋体" w:cs="Times New Roman"/>
          <w:color w:val="000000"/>
          <w:kern w:val="0"/>
          <w:sz w:val="24"/>
          <w:szCs w:val="24"/>
          <w:lang w:val="en-US" w:eastAsia="zh-CN" w:bidi="ar"/>
        </w:rPr>
        <w:t xml:space="preserve">C20 </w:t>
      </w:r>
      <w:r>
        <w:rPr>
          <w:rFonts w:hint="eastAsia" w:ascii="宋体" w:hAnsi="宋体" w:eastAsia="宋体" w:cs="宋体"/>
          <w:color w:val="000000"/>
          <w:kern w:val="0"/>
          <w:sz w:val="24"/>
          <w:szCs w:val="24"/>
          <w:lang w:val="en-US" w:eastAsia="zh-CN" w:bidi="ar"/>
        </w:rPr>
        <w:t xml:space="preserve">现浇砼。 </w:t>
      </w:r>
    </w:p>
    <w:p w14:paraId="468FED3E">
      <w:pPr>
        <w:keepNext w:val="0"/>
        <w:keepLines w:val="0"/>
        <w:widowControl/>
        <w:suppressLineNumbers w:val="0"/>
        <w:jc w:val="left"/>
      </w:pPr>
      <w:r>
        <w:rPr>
          <w:rFonts w:hint="default" w:ascii="TimesNewRomanPS-BoldMT" w:hAnsi="TimesNewRomanPS-BoldMT" w:eastAsia="TimesNewRomanPS-BoldMT" w:cs="TimesNewRomanPS-BoldMT"/>
          <w:b/>
          <w:bCs/>
          <w:color w:val="000000"/>
          <w:kern w:val="0"/>
          <w:sz w:val="24"/>
          <w:szCs w:val="24"/>
          <w:lang w:val="en-US" w:eastAsia="zh-CN" w:bidi="ar"/>
        </w:rPr>
        <w:t xml:space="preserve">6 </w:t>
      </w:r>
      <w:r>
        <w:rPr>
          <w:rFonts w:hint="eastAsia" w:ascii="TimesNewRomanPS-BoldMT" w:hAnsi="TimesNewRomanPS-BoldMT" w:eastAsia="TimesNewRomanPS-BoldMT" w:cs="TimesNewRomanPS-BoldMT"/>
          <w:b/>
          <w:bCs/>
          <w:color w:val="000000"/>
          <w:kern w:val="0"/>
          <w:sz w:val="24"/>
          <w:szCs w:val="24"/>
          <w:lang w:val="en-US" w:eastAsia="zh-CN" w:bidi="ar"/>
        </w:rPr>
        <w:t>、</w:t>
      </w:r>
      <w:r>
        <w:rPr>
          <w:rFonts w:hint="eastAsia" w:ascii="宋体" w:hAnsi="宋体" w:eastAsia="宋体" w:cs="宋体"/>
          <w:b/>
          <w:bCs/>
          <w:color w:val="000000"/>
          <w:kern w:val="0"/>
          <w:sz w:val="24"/>
          <w:szCs w:val="24"/>
          <w:lang w:val="en-US" w:eastAsia="zh-CN" w:bidi="ar"/>
        </w:rPr>
        <w:t xml:space="preserve">盲沟、渗沟、管式渗沟、截水管式渗沟等 </w:t>
      </w:r>
    </w:p>
    <w:p w14:paraId="433DE978">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在路基地下水位较高的挖填方过渡段设置横向碎石盲沟，用于截断挖方段路基的纵坡渗水；在边坡岩体裂隙水发育路段设置纵向碎石盲沟，用于截断边坡的横向渗水，同时在泉眼出露点设置盲沟、渗沟引排地下水，且在地下水丰富路段设置盲沟、渗沟、管式渗沟、截水管式渗沟等措施，把地下水位降低并引排出路基，以保证路基的稳定。</w:t>
      </w:r>
    </w:p>
    <w:p w14:paraId="21754084">
      <w:pPr>
        <w:pStyle w:val="5"/>
        <w:numPr>
          <w:ilvl w:val="1"/>
          <w:numId w:val="0"/>
        </w:numPr>
        <w:tabs>
          <w:tab w:val="left" w:pos="113"/>
          <w:tab w:val="left" w:pos="283"/>
          <w:tab w:val="left" w:pos="1506"/>
        </w:tabs>
        <w:spacing w:line="360" w:lineRule="auto"/>
        <w:ind w:firstLine="0" w:firstLineChars="0"/>
        <w:rPr>
          <w:rFonts w:hint="eastAsia" w:ascii="宋体" w:hAnsi="宋体" w:eastAsia="宋体" w:cs="宋体"/>
          <w:color w:val="auto"/>
        </w:rPr>
      </w:pPr>
      <w:bookmarkStart w:id="842" w:name="_Toc21935"/>
      <w:r>
        <w:rPr>
          <w:rFonts w:hint="eastAsia" w:ascii="宋体" w:hAnsi="宋体" w:cs="Times New Roman"/>
          <w:b/>
          <w:bCs/>
          <w:color w:val="auto"/>
          <w:kern w:val="2"/>
          <w:sz w:val="32"/>
          <w:szCs w:val="32"/>
          <w:lang w:val="en-US" w:eastAsia="zh-CN" w:bidi="ar-SA"/>
        </w:rPr>
        <w:t>8</w:t>
      </w:r>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.11</w:t>
      </w:r>
      <w:r>
        <w:rPr>
          <w:rFonts w:hint="default" w:ascii="宋体" w:hAnsi="宋体" w:eastAsia="宋体" w:cs="Times New Roman"/>
          <w:b/>
          <w:bCs/>
          <w:color w:val="auto"/>
          <w:kern w:val="2"/>
          <w:sz w:val="32"/>
          <w:szCs w:val="32"/>
          <w:lang w:val="en-US" w:eastAsia="zh-CN" w:bidi="ar-SA"/>
        </w:rPr>
        <w:t>.</w:t>
      </w:r>
      <w:r>
        <w:rPr>
          <w:rFonts w:hint="eastAsia" w:ascii="宋体" w:hAnsi="宋体" w:eastAsia="宋体" w:cs="宋体"/>
          <w:color w:val="auto"/>
        </w:rPr>
        <w:t>涵洞工程</w:t>
      </w:r>
      <w:bookmarkEnd w:id="830"/>
      <w:bookmarkEnd w:id="831"/>
      <w:bookmarkEnd w:id="832"/>
      <w:bookmarkEnd w:id="833"/>
      <w:bookmarkEnd w:id="834"/>
      <w:bookmarkEnd w:id="835"/>
      <w:bookmarkEnd w:id="836"/>
      <w:bookmarkEnd w:id="837"/>
      <w:bookmarkEnd w:id="838"/>
      <w:bookmarkEnd w:id="839"/>
      <w:bookmarkEnd w:id="842"/>
    </w:p>
    <w:p w14:paraId="06803110">
      <w:pPr>
        <w:keepNext w:val="0"/>
        <w:keepLines w:val="0"/>
        <w:widowControl/>
        <w:suppressLineNumbers w:val="0"/>
        <w:jc w:val="left"/>
        <w:rPr>
          <w:rFonts w:hint="default"/>
          <w:lang w:val="en-US"/>
        </w:rPr>
      </w:pPr>
      <w:bookmarkStart w:id="843" w:name="_Toc3801"/>
      <w:bookmarkStart w:id="844" w:name="_Toc20759"/>
      <w:bookmarkStart w:id="845" w:name="_Toc14140"/>
      <w:bookmarkStart w:id="846" w:name="_Toc10860"/>
      <w:bookmarkStart w:id="847" w:name="_Toc14567"/>
      <w:bookmarkStart w:id="848" w:name="_Toc18129"/>
      <w:bookmarkStart w:id="849" w:name="_Toc18520"/>
      <w:bookmarkStart w:id="850" w:name="_Toc2397"/>
      <w:bookmarkStart w:id="851" w:name="_Toc18681"/>
      <w:bookmarkStart w:id="852" w:name="_Toc30289"/>
      <w:bookmarkStart w:id="853" w:name="_Toc1635"/>
      <w:bookmarkStart w:id="854" w:name="_Toc7162"/>
      <w:bookmarkStart w:id="855" w:name="_Toc21539"/>
      <w:bookmarkStart w:id="856" w:name="_Toc1840"/>
      <w:bookmarkStart w:id="857" w:name="_Toc11017"/>
      <w:bookmarkStart w:id="858" w:name="_Toc12980"/>
      <w:r>
        <w:rPr>
          <w:rFonts w:hint="eastAsia" w:ascii="宋体" w:hAnsi="宋体" w:eastAsia="宋体" w:cs="宋体"/>
          <w:color w:val="000000"/>
          <w:kern w:val="0"/>
          <w:sz w:val="24"/>
          <w:szCs w:val="24"/>
          <w:lang w:val="en-US" w:eastAsia="zh-CN" w:bidi="ar"/>
        </w:rPr>
        <w:t xml:space="preserve">本合同 </w:t>
      </w:r>
      <w:r>
        <w:rPr>
          <w:rFonts w:hint="default" w:ascii="Times New Roman" w:hAnsi="Times New Roman" w:eastAsia="宋体" w:cs="Times New Roman"/>
          <w:color w:val="000000"/>
          <w:kern w:val="0"/>
          <w:sz w:val="24"/>
          <w:szCs w:val="24"/>
          <w:lang w:val="en-US" w:eastAsia="zh-CN" w:bidi="ar"/>
        </w:rPr>
        <w:t xml:space="preserve">A12 </w:t>
      </w:r>
      <w:r>
        <w:rPr>
          <w:rFonts w:hint="eastAsia" w:ascii="宋体" w:hAnsi="宋体" w:eastAsia="宋体" w:cs="宋体"/>
          <w:color w:val="000000"/>
          <w:kern w:val="0"/>
          <w:sz w:val="24"/>
          <w:szCs w:val="24"/>
          <w:lang w:val="en-US" w:eastAsia="zh-CN" w:bidi="ar"/>
        </w:rPr>
        <w:t xml:space="preserve">段主线涵洞共 </w:t>
      </w:r>
      <w:r>
        <w:rPr>
          <w:rFonts w:hint="default" w:ascii="Times New Roman" w:hAnsi="Times New Roman" w:eastAsia="宋体" w:cs="Times New Roman"/>
          <w:color w:val="000000"/>
          <w:kern w:val="0"/>
          <w:sz w:val="24"/>
          <w:szCs w:val="24"/>
          <w:lang w:val="en-US" w:eastAsia="zh-CN" w:bidi="ar"/>
        </w:rPr>
        <w:t xml:space="preserve">45 </w:t>
      </w:r>
      <w:r>
        <w:rPr>
          <w:rFonts w:hint="eastAsia" w:ascii="宋体" w:hAnsi="宋体" w:eastAsia="宋体" w:cs="宋体"/>
          <w:color w:val="000000"/>
          <w:kern w:val="0"/>
          <w:sz w:val="24"/>
          <w:szCs w:val="24"/>
          <w:lang w:val="en-US" w:eastAsia="zh-CN" w:bidi="ar"/>
        </w:rPr>
        <w:t xml:space="preserve">道，共长 </w:t>
      </w:r>
      <w:r>
        <w:rPr>
          <w:rFonts w:hint="default" w:ascii="Times New Roman" w:hAnsi="Times New Roman" w:eastAsia="宋体" w:cs="Times New Roman"/>
          <w:color w:val="000000"/>
          <w:kern w:val="0"/>
          <w:sz w:val="24"/>
          <w:szCs w:val="24"/>
          <w:lang w:val="en-US" w:eastAsia="zh-CN" w:bidi="ar"/>
        </w:rPr>
        <w:t>940.95m</w:t>
      </w:r>
      <w:r>
        <w:rPr>
          <w:rFonts w:hint="eastAsia" w:ascii="宋体" w:hAnsi="宋体" w:eastAsia="宋体" w:cs="宋体"/>
          <w:color w:val="000000"/>
          <w:kern w:val="0"/>
          <w:sz w:val="24"/>
          <w:szCs w:val="24"/>
          <w:lang w:val="en-US" w:eastAsia="zh-CN" w:bidi="ar"/>
        </w:rPr>
        <w:t xml:space="preserve">。其中拆除旧涵重建钢筋砼盖板涵 </w:t>
      </w:r>
      <w:r>
        <w:rPr>
          <w:rFonts w:hint="default" w:ascii="Times New Roman" w:hAnsi="Times New Roman" w:eastAsia="宋体" w:cs="Times New Roman"/>
          <w:color w:val="000000"/>
          <w:kern w:val="0"/>
          <w:sz w:val="24"/>
          <w:szCs w:val="24"/>
          <w:lang w:val="en-US" w:eastAsia="zh-CN" w:bidi="ar"/>
        </w:rPr>
        <w:t xml:space="preserve">1 </w:t>
      </w:r>
      <w:r>
        <w:rPr>
          <w:rFonts w:hint="eastAsia" w:ascii="宋体" w:hAnsi="宋体" w:eastAsia="宋体" w:cs="宋体"/>
          <w:color w:val="000000"/>
          <w:kern w:val="0"/>
          <w:sz w:val="24"/>
          <w:szCs w:val="24"/>
          <w:lang w:val="en-US" w:eastAsia="zh-CN" w:bidi="ar"/>
        </w:rPr>
        <w:t xml:space="preserve">道 </w:t>
      </w:r>
      <w:r>
        <w:rPr>
          <w:rFonts w:hint="default" w:ascii="Times New Roman" w:hAnsi="Times New Roman" w:eastAsia="宋体" w:cs="Times New Roman"/>
          <w:color w:val="000000"/>
          <w:kern w:val="0"/>
          <w:sz w:val="24"/>
          <w:szCs w:val="24"/>
          <w:lang w:val="en-US" w:eastAsia="zh-CN" w:bidi="ar"/>
        </w:rPr>
        <w:t>/49.65m</w:t>
      </w:r>
      <w:r>
        <w:rPr>
          <w:rFonts w:hint="eastAsia" w:ascii="宋体" w:hAnsi="宋体" w:eastAsia="宋体" w:cs="宋体"/>
          <w:color w:val="000000"/>
          <w:kern w:val="0"/>
          <w:sz w:val="24"/>
          <w:szCs w:val="24"/>
          <w:lang w:val="en-US" w:eastAsia="zh-CN" w:bidi="ar"/>
        </w:rPr>
        <w:t xml:space="preserve">。旧涵做拼宽钢筋砼盖板涵处理，共 </w:t>
      </w:r>
      <w:r>
        <w:rPr>
          <w:rFonts w:hint="default" w:ascii="Times New Roman" w:hAnsi="Times New Roman" w:eastAsia="宋体" w:cs="Times New Roman"/>
          <w:color w:val="000000"/>
          <w:kern w:val="0"/>
          <w:sz w:val="24"/>
          <w:szCs w:val="24"/>
          <w:lang w:val="en-US" w:eastAsia="zh-CN" w:bidi="ar"/>
        </w:rPr>
        <w:t xml:space="preserve">44 </w:t>
      </w:r>
      <w:r>
        <w:rPr>
          <w:rFonts w:hint="eastAsia" w:ascii="宋体" w:hAnsi="宋体" w:eastAsia="宋体" w:cs="宋体"/>
          <w:color w:val="000000"/>
          <w:kern w:val="0"/>
          <w:sz w:val="24"/>
          <w:szCs w:val="24"/>
          <w:lang w:val="en-US" w:eastAsia="zh-CN" w:bidi="ar"/>
        </w:rPr>
        <w:t>道</w:t>
      </w:r>
      <w:r>
        <w:rPr>
          <w:rFonts w:hint="default" w:ascii="Times New Roman" w:hAnsi="Times New Roman" w:eastAsia="宋体" w:cs="Times New Roman"/>
          <w:color w:val="000000"/>
          <w:kern w:val="0"/>
          <w:sz w:val="24"/>
          <w:szCs w:val="24"/>
          <w:lang w:val="en-US" w:eastAsia="zh-CN" w:bidi="ar"/>
        </w:rPr>
        <w:t>/921.3m</w:t>
      </w:r>
      <w:r>
        <w:rPr>
          <w:rFonts w:hint="eastAsia" w:ascii="宋体" w:hAnsi="宋体" w:eastAsia="宋体" w:cs="宋体"/>
          <w:color w:val="000000"/>
          <w:kern w:val="0"/>
          <w:sz w:val="24"/>
          <w:szCs w:val="24"/>
          <w:lang w:val="en-US" w:eastAsia="zh-CN" w:bidi="ar"/>
        </w:rPr>
        <w:t>。线外涵盖板涵1道 /9.84m，圆管涵6道 /37.5m。金星互通盖板涵</w:t>
      </w:r>
      <w:r>
        <w:rPr>
          <w:rFonts w:hint="eastAsia" w:ascii="宋体" w:hAnsi="宋体" w:cs="宋体"/>
          <w:color w:val="000000"/>
          <w:kern w:val="0"/>
          <w:sz w:val="24"/>
          <w:szCs w:val="24"/>
          <w:lang w:val="en-US" w:eastAsia="zh-CN" w:bidi="ar"/>
        </w:rPr>
        <w:t>4</w:t>
      </w:r>
      <w:r>
        <w:rPr>
          <w:rFonts w:hint="eastAsia" w:ascii="宋体" w:hAnsi="宋体" w:eastAsia="宋体" w:cs="宋体"/>
          <w:color w:val="000000"/>
          <w:kern w:val="0"/>
          <w:sz w:val="24"/>
          <w:szCs w:val="24"/>
          <w:lang w:val="en-US" w:eastAsia="zh-CN" w:bidi="ar"/>
        </w:rPr>
        <w:t>道 /</w:t>
      </w:r>
      <w:r>
        <w:rPr>
          <w:rFonts w:hint="eastAsia" w:ascii="宋体" w:hAnsi="宋体" w:cs="宋体"/>
          <w:color w:val="000000"/>
          <w:kern w:val="0"/>
          <w:sz w:val="24"/>
          <w:szCs w:val="24"/>
          <w:lang w:val="en-US" w:eastAsia="zh-CN" w:bidi="ar"/>
        </w:rPr>
        <w:t>88.62</w:t>
      </w:r>
      <w:r>
        <w:rPr>
          <w:rFonts w:hint="eastAsia" w:ascii="宋体" w:hAnsi="宋体" w:eastAsia="宋体" w:cs="宋体"/>
          <w:color w:val="000000"/>
          <w:kern w:val="0"/>
          <w:sz w:val="24"/>
          <w:szCs w:val="24"/>
          <w:lang w:val="en-US" w:eastAsia="zh-CN" w:bidi="ar"/>
        </w:rPr>
        <w:t>m，</w:t>
      </w:r>
      <w:r>
        <w:rPr>
          <w:rFonts w:hint="eastAsia" w:ascii="宋体" w:hAnsi="宋体" w:cs="宋体"/>
          <w:color w:val="000000"/>
          <w:kern w:val="0"/>
          <w:sz w:val="24"/>
          <w:szCs w:val="24"/>
          <w:lang w:val="en-US" w:eastAsia="zh-CN" w:bidi="ar"/>
        </w:rPr>
        <w:t>通道</w:t>
      </w:r>
      <w:r>
        <w:rPr>
          <w:rFonts w:hint="eastAsia" w:ascii="宋体" w:hAnsi="宋体" w:eastAsia="宋体" w:cs="宋体"/>
          <w:color w:val="000000"/>
          <w:kern w:val="0"/>
          <w:sz w:val="24"/>
          <w:szCs w:val="24"/>
          <w:lang w:val="en-US" w:eastAsia="zh-CN" w:bidi="ar"/>
        </w:rPr>
        <w:t>涵</w:t>
      </w:r>
      <w:r>
        <w:rPr>
          <w:rFonts w:hint="eastAsia" w:ascii="宋体" w:hAnsi="宋体" w:cs="宋体"/>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道 /</w:t>
      </w:r>
      <w:r>
        <w:rPr>
          <w:rFonts w:hint="eastAsia" w:ascii="宋体" w:hAnsi="宋体" w:cs="宋体"/>
          <w:color w:val="000000"/>
          <w:kern w:val="0"/>
          <w:sz w:val="24"/>
          <w:szCs w:val="24"/>
          <w:lang w:val="en-US" w:eastAsia="zh-CN" w:bidi="ar"/>
        </w:rPr>
        <w:t>23.78</w:t>
      </w:r>
      <w:r>
        <w:rPr>
          <w:rFonts w:hint="eastAsia" w:ascii="宋体" w:hAnsi="宋体" w:eastAsia="宋体" w:cs="宋体"/>
          <w:color w:val="000000"/>
          <w:kern w:val="0"/>
          <w:sz w:val="24"/>
          <w:szCs w:val="24"/>
          <w:lang w:val="en-US" w:eastAsia="zh-CN" w:bidi="ar"/>
        </w:rPr>
        <w:t>m</w:t>
      </w:r>
      <w:r>
        <w:rPr>
          <w:rFonts w:hint="eastAsia" w:ascii="宋体" w:hAnsi="宋体" w:cs="宋体"/>
          <w:color w:val="000000"/>
          <w:kern w:val="0"/>
          <w:sz w:val="24"/>
          <w:szCs w:val="24"/>
          <w:lang w:val="en-US" w:eastAsia="zh-CN" w:bidi="ar"/>
        </w:rPr>
        <w:t>。诏安东互通</w:t>
      </w:r>
      <w:r>
        <w:rPr>
          <w:rFonts w:hint="eastAsia" w:ascii="宋体" w:hAnsi="宋体" w:eastAsia="宋体" w:cs="宋体"/>
          <w:color w:val="000000"/>
          <w:kern w:val="0"/>
          <w:sz w:val="24"/>
          <w:szCs w:val="24"/>
          <w:lang w:val="en-US" w:eastAsia="zh-CN" w:bidi="ar"/>
        </w:rPr>
        <w:t>盖板涵</w:t>
      </w:r>
      <w:r>
        <w:rPr>
          <w:rFonts w:hint="eastAsia" w:ascii="宋体" w:hAnsi="宋体" w:cs="宋体"/>
          <w:color w:val="000000"/>
          <w:kern w:val="0"/>
          <w:sz w:val="24"/>
          <w:szCs w:val="24"/>
          <w:lang w:val="en-US" w:eastAsia="zh-CN" w:bidi="ar"/>
        </w:rPr>
        <w:t>4</w:t>
      </w:r>
      <w:r>
        <w:rPr>
          <w:rFonts w:hint="eastAsia" w:ascii="宋体" w:hAnsi="宋体" w:eastAsia="宋体" w:cs="宋体"/>
          <w:color w:val="000000"/>
          <w:kern w:val="0"/>
          <w:sz w:val="24"/>
          <w:szCs w:val="24"/>
          <w:lang w:val="en-US" w:eastAsia="zh-CN" w:bidi="ar"/>
        </w:rPr>
        <w:t>道 /</w:t>
      </w:r>
      <w:r>
        <w:rPr>
          <w:rFonts w:hint="eastAsia" w:ascii="宋体" w:hAnsi="宋体" w:cs="宋体"/>
          <w:color w:val="000000"/>
          <w:kern w:val="0"/>
          <w:sz w:val="24"/>
          <w:szCs w:val="24"/>
          <w:lang w:val="en-US" w:eastAsia="zh-CN" w:bidi="ar"/>
        </w:rPr>
        <w:t>75.22</w:t>
      </w:r>
      <w:r>
        <w:rPr>
          <w:rFonts w:hint="eastAsia" w:ascii="宋体" w:hAnsi="宋体" w:eastAsia="宋体" w:cs="宋体"/>
          <w:color w:val="000000"/>
          <w:kern w:val="0"/>
          <w:sz w:val="24"/>
          <w:szCs w:val="24"/>
          <w:lang w:val="en-US" w:eastAsia="zh-CN" w:bidi="ar"/>
        </w:rPr>
        <w:t>m，圆管涵</w:t>
      </w:r>
      <w:r>
        <w:rPr>
          <w:rFonts w:hint="eastAsia" w:ascii="宋体" w:hAnsi="宋体" w:cs="宋体"/>
          <w:color w:val="000000"/>
          <w:kern w:val="0"/>
          <w:sz w:val="24"/>
          <w:szCs w:val="24"/>
          <w:lang w:val="en-US" w:eastAsia="zh-CN" w:bidi="ar"/>
        </w:rPr>
        <w:t>4</w:t>
      </w:r>
      <w:r>
        <w:rPr>
          <w:rFonts w:hint="eastAsia" w:ascii="宋体" w:hAnsi="宋体" w:eastAsia="宋体" w:cs="宋体"/>
          <w:color w:val="000000"/>
          <w:kern w:val="0"/>
          <w:sz w:val="24"/>
          <w:szCs w:val="24"/>
          <w:lang w:val="en-US" w:eastAsia="zh-CN" w:bidi="ar"/>
        </w:rPr>
        <w:t>道 /</w:t>
      </w:r>
      <w:r>
        <w:rPr>
          <w:rFonts w:hint="eastAsia" w:ascii="宋体" w:hAnsi="宋体" w:cs="宋体"/>
          <w:color w:val="000000"/>
          <w:kern w:val="0"/>
          <w:sz w:val="24"/>
          <w:szCs w:val="24"/>
          <w:lang w:val="en-US" w:eastAsia="zh-CN" w:bidi="ar"/>
        </w:rPr>
        <w:t>51.5</w:t>
      </w:r>
      <w:r>
        <w:rPr>
          <w:rFonts w:hint="eastAsia" w:ascii="宋体" w:hAnsi="宋体" w:eastAsia="宋体" w:cs="宋体"/>
          <w:color w:val="000000"/>
          <w:kern w:val="0"/>
          <w:sz w:val="24"/>
          <w:szCs w:val="24"/>
          <w:lang w:val="en-US" w:eastAsia="zh-CN" w:bidi="ar"/>
        </w:rPr>
        <w:t>m</w:t>
      </w:r>
      <w:r>
        <w:rPr>
          <w:rFonts w:hint="eastAsia" w:ascii="宋体" w:hAnsi="宋体" w:cs="宋体"/>
          <w:color w:val="000000"/>
          <w:kern w:val="0"/>
          <w:sz w:val="24"/>
          <w:szCs w:val="24"/>
          <w:lang w:val="en-US" w:eastAsia="zh-CN" w:bidi="ar"/>
        </w:rPr>
        <w:t>，通道</w:t>
      </w:r>
      <w:r>
        <w:rPr>
          <w:rFonts w:hint="eastAsia" w:ascii="宋体" w:hAnsi="宋体" w:eastAsia="宋体" w:cs="宋体"/>
          <w:color w:val="000000"/>
          <w:kern w:val="0"/>
          <w:sz w:val="24"/>
          <w:szCs w:val="24"/>
          <w:lang w:val="en-US" w:eastAsia="zh-CN" w:bidi="ar"/>
        </w:rPr>
        <w:t>涵</w:t>
      </w:r>
      <w:r>
        <w:rPr>
          <w:rFonts w:hint="eastAsia" w:ascii="宋体" w:hAnsi="宋体" w:cs="宋体"/>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道 /</w:t>
      </w:r>
      <w:r>
        <w:rPr>
          <w:rFonts w:hint="eastAsia" w:ascii="宋体" w:hAnsi="宋体" w:cs="宋体"/>
          <w:color w:val="000000"/>
          <w:kern w:val="0"/>
          <w:sz w:val="24"/>
          <w:szCs w:val="24"/>
          <w:lang w:val="en-US" w:eastAsia="zh-CN" w:bidi="ar"/>
        </w:rPr>
        <w:t>106.98</w:t>
      </w:r>
      <w:r>
        <w:rPr>
          <w:rFonts w:hint="eastAsia" w:ascii="宋体" w:hAnsi="宋体" w:eastAsia="宋体" w:cs="宋体"/>
          <w:color w:val="000000"/>
          <w:kern w:val="0"/>
          <w:sz w:val="24"/>
          <w:szCs w:val="24"/>
          <w:lang w:val="en-US" w:eastAsia="zh-CN" w:bidi="ar"/>
        </w:rPr>
        <w:t>m</w:t>
      </w:r>
      <w:r>
        <w:rPr>
          <w:rFonts w:hint="eastAsia" w:ascii="宋体" w:hAnsi="宋体" w:cs="宋体"/>
          <w:color w:val="000000"/>
          <w:kern w:val="0"/>
          <w:sz w:val="24"/>
          <w:szCs w:val="24"/>
          <w:lang w:val="en-US" w:eastAsia="zh-CN" w:bidi="ar"/>
        </w:rPr>
        <w:t>。主要施工方法如下：</w:t>
      </w:r>
    </w:p>
    <w:p w14:paraId="1EC7E311">
      <w:pPr>
        <w:adjustRightInd w:val="0"/>
        <w:snapToGrid w:val="0"/>
        <w:spacing w:line="360" w:lineRule="auto"/>
        <w:ind w:firstLine="482" w:firstLineChars="200"/>
        <w:rPr>
          <w:rFonts w:hint="eastAsia" w:ascii="宋体" w:hAnsi="宋体"/>
          <w:b/>
          <w:sz w:val="24"/>
        </w:rPr>
      </w:pPr>
      <w:r>
        <w:rPr>
          <w:rFonts w:hint="eastAsia" w:ascii="宋体" w:hAnsi="宋体"/>
          <w:b/>
          <w:sz w:val="24"/>
        </w:rPr>
        <w:t>1、圆管涵</w:t>
      </w:r>
    </w:p>
    <w:p w14:paraId="399F23C1">
      <w:pPr>
        <w:spacing w:line="360" w:lineRule="auto"/>
        <w:ind w:firstLine="482" w:firstLineChars="200"/>
        <w:rPr>
          <w:rFonts w:hint="eastAsia" w:ascii="宋体" w:hAnsi="宋体"/>
          <w:b/>
          <w:bCs/>
          <w:sz w:val="24"/>
        </w:rPr>
      </w:pPr>
      <w:r>
        <w:rPr>
          <w:rFonts w:hint="eastAsia" w:ascii="宋体" w:hAnsi="宋体"/>
          <w:b/>
          <w:bCs/>
          <w:sz w:val="24"/>
        </w:rPr>
        <w:t>（一）施工准备</w:t>
      </w:r>
    </w:p>
    <w:p w14:paraId="5A84CE8E">
      <w:pPr>
        <w:spacing w:line="360" w:lineRule="auto"/>
        <w:ind w:firstLine="480" w:firstLineChars="200"/>
        <w:rPr>
          <w:rFonts w:hint="eastAsia" w:ascii="宋体" w:hAnsi="宋体"/>
          <w:sz w:val="24"/>
        </w:rPr>
      </w:pPr>
      <w:r>
        <w:rPr>
          <w:rFonts w:hint="eastAsia" w:ascii="宋体" w:hAnsi="宋体"/>
          <w:sz w:val="24"/>
        </w:rPr>
        <w:t>现场进行水系调查，对于流水高程、交角、桩位与实地有差异的报请监理工程师现场核实后进行适当的调整和变更。</w:t>
      </w:r>
    </w:p>
    <w:p w14:paraId="09A1DEE4">
      <w:pPr>
        <w:spacing w:line="360" w:lineRule="auto"/>
        <w:ind w:firstLine="480" w:firstLineChars="200"/>
        <w:rPr>
          <w:rFonts w:hint="eastAsia" w:ascii="宋体" w:hAnsi="宋体"/>
          <w:sz w:val="24"/>
        </w:rPr>
      </w:pPr>
      <w:r>
        <w:rPr>
          <w:rFonts w:hint="eastAsia" w:ascii="宋体" w:hAnsi="宋体"/>
          <w:sz w:val="24"/>
        </w:rPr>
        <w:t>组织人员学习图纸、规范。对参与施工的全员进行施工技术交底和安全技术交底。</w:t>
      </w:r>
    </w:p>
    <w:p w14:paraId="0B20DD5B">
      <w:pPr>
        <w:spacing w:line="360" w:lineRule="auto"/>
        <w:ind w:firstLine="482" w:firstLineChars="200"/>
        <w:rPr>
          <w:rFonts w:hint="eastAsia" w:ascii="宋体" w:hAnsi="宋体"/>
          <w:b/>
          <w:bCs/>
          <w:sz w:val="24"/>
        </w:rPr>
      </w:pPr>
      <w:r>
        <w:rPr>
          <w:rFonts w:hint="eastAsia" w:ascii="宋体" w:hAnsi="宋体"/>
          <w:b/>
          <w:bCs/>
          <w:sz w:val="24"/>
        </w:rPr>
        <w:t>（二）备料、测量放样</w:t>
      </w:r>
    </w:p>
    <w:p w14:paraId="0992103F">
      <w:pPr>
        <w:spacing w:line="360" w:lineRule="auto"/>
        <w:ind w:firstLine="480" w:firstLineChars="200"/>
        <w:rPr>
          <w:rFonts w:hint="eastAsia" w:ascii="宋体" w:hAnsi="宋体"/>
          <w:sz w:val="24"/>
        </w:rPr>
      </w:pPr>
      <w:r>
        <w:rPr>
          <w:rFonts w:hint="eastAsia" w:ascii="宋体" w:hAnsi="宋体"/>
          <w:sz w:val="24"/>
        </w:rPr>
        <w:t>砂（砾）石材料、水泥及涵管管节在开工前运至施工现场，并分别堆放整齐。测量人员按照设计图纸在现场放出圆管涵轴线及基坑开挖线，基坑开挖可超出边线0</w:t>
      </w:r>
      <w:r>
        <w:rPr>
          <w:rFonts w:ascii="宋体" w:hAnsi="宋体"/>
          <w:sz w:val="24"/>
        </w:rPr>
        <w:t>.</w:t>
      </w:r>
      <w:r>
        <w:rPr>
          <w:rFonts w:hint="eastAsia" w:ascii="宋体" w:hAnsi="宋体"/>
          <w:sz w:val="24"/>
        </w:rPr>
        <w:t>5m，测出原地面高程后计算各控制点的开挖深度。</w:t>
      </w:r>
    </w:p>
    <w:p w14:paraId="2D2EEAE1">
      <w:pPr>
        <w:spacing w:line="360" w:lineRule="auto"/>
        <w:ind w:firstLine="482" w:firstLineChars="200"/>
        <w:rPr>
          <w:rFonts w:hint="eastAsia" w:ascii="宋体" w:hAnsi="宋体"/>
          <w:b/>
          <w:bCs/>
          <w:sz w:val="24"/>
        </w:rPr>
      </w:pPr>
      <w:r>
        <w:rPr>
          <w:rFonts w:hint="eastAsia" w:ascii="宋体" w:hAnsi="宋体"/>
          <w:b/>
          <w:bCs/>
          <w:sz w:val="24"/>
        </w:rPr>
        <w:t>（三）开挖基槽、铺垫层</w:t>
      </w:r>
    </w:p>
    <w:p w14:paraId="39DBFE9E">
      <w:pPr>
        <w:spacing w:line="360" w:lineRule="auto"/>
        <w:ind w:firstLine="480" w:firstLineChars="200"/>
        <w:rPr>
          <w:rFonts w:hint="eastAsia" w:ascii="宋体" w:hAnsi="宋体"/>
          <w:sz w:val="24"/>
        </w:rPr>
      </w:pPr>
      <w:r>
        <w:rPr>
          <w:rFonts w:hint="eastAsia" w:ascii="宋体" w:hAnsi="宋体"/>
          <w:sz w:val="24"/>
        </w:rPr>
        <w:t>用挖掘机按基坑开挖的宽度和深度进行基坑开挖，人工对基坑进行修整，挖出的材料运至弃土场堆放。基坑开挖完成后，如开挖后发现实际地基土质与设计地质资料不符，地基承载力不满足设计设计要求，须采取换填级配碎石等措施进行处理，以满足要求。基底检测达到地基承载力要求后铺20cm碎石垫层，人工夯实。</w:t>
      </w:r>
    </w:p>
    <w:p w14:paraId="5DD22DB1">
      <w:pPr>
        <w:spacing w:line="360" w:lineRule="auto"/>
        <w:ind w:firstLine="241" w:firstLineChars="100"/>
        <w:rPr>
          <w:rFonts w:hint="eastAsia" w:ascii="宋体" w:hAnsi="宋体"/>
          <w:b/>
          <w:bCs/>
          <w:sz w:val="24"/>
        </w:rPr>
      </w:pPr>
      <w:r>
        <w:rPr>
          <w:rFonts w:hint="eastAsia" w:ascii="宋体" w:hAnsi="宋体"/>
          <w:b/>
          <w:bCs/>
          <w:sz w:val="24"/>
        </w:rPr>
        <w:t>（四）管基浇筑、安装圆管涵</w:t>
      </w:r>
    </w:p>
    <w:p w14:paraId="26EDBF87">
      <w:pPr>
        <w:spacing w:line="360" w:lineRule="auto"/>
        <w:ind w:firstLine="480" w:firstLineChars="200"/>
        <w:rPr>
          <w:rFonts w:hint="eastAsia" w:ascii="宋体" w:hAnsi="宋体"/>
          <w:sz w:val="24"/>
        </w:rPr>
      </w:pPr>
      <w:r>
        <w:rPr>
          <w:rFonts w:hint="eastAsia" w:ascii="宋体" w:hAnsi="宋体"/>
          <w:sz w:val="24"/>
        </w:rPr>
        <w:t>管基施工前，在铺筑好的碎石垫层上钉钢筋桩，并带上标高控制线，安装模板；模板支撑要稳固、严密，板面顺直，无错台现象；在路中心线和行车道外侧处用2cm木板隔开，做成沉降缝。管基混凝土分两次浇筑，先浇筑管底以下部分，注意预留管壁厚度及要放管节坐浆混凝土2-3cm。采用汽车式起重机进行圆管涵的安装；安装工作从下游开始，接头面向上游，每节涵管紧贴于基座上，保持管内清洁无杂物。在管座下部混凝土强度达到80%后，再进行管底以上部分混凝土浇筑，并保证新旧混凝土及管基混凝土与管壁的有效结合。</w:t>
      </w:r>
    </w:p>
    <w:p w14:paraId="62DE9262">
      <w:pPr>
        <w:spacing w:line="360" w:lineRule="auto"/>
        <w:ind w:firstLine="480" w:firstLineChars="200"/>
        <w:rPr>
          <w:rFonts w:hint="eastAsia" w:ascii="宋体" w:hAnsi="宋体"/>
          <w:color w:val="000000"/>
          <w:sz w:val="24"/>
        </w:rPr>
      </w:pPr>
      <w:r>
        <w:rPr>
          <w:rFonts w:hint="eastAsia" w:ascii="宋体" w:hAnsi="宋体"/>
          <w:color w:val="000000"/>
          <w:sz w:val="24"/>
        </w:rPr>
        <w:t>钢筋混凝土圆管采用外购的方式进行，管节须采用离心旋转成型工艺，钢筋型号、长度、保护层厚度需符合设计要求，管节成型后，要标注型号，尤其是斜管节，要注明角度，以便施工。</w:t>
      </w:r>
    </w:p>
    <w:p w14:paraId="3E65C2AB">
      <w:pPr>
        <w:spacing w:line="360" w:lineRule="auto"/>
        <w:ind w:firstLine="480" w:firstLineChars="200"/>
        <w:rPr>
          <w:rFonts w:hint="eastAsia" w:ascii="宋体" w:hAnsi="宋体"/>
          <w:color w:val="000000"/>
          <w:sz w:val="24"/>
        </w:rPr>
      </w:pPr>
      <w:r>
        <w:rPr>
          <w:rFonts w:hint="eastAsia" w:ascii="宋体" w:hAnsi="宋体"/>
          <w:color w:val="000000"/>
          <w:sz w:val="24"/>
        </w:rPr>
        <w:t>圆管涵进场后应及时验收，其指标应满足下表要求：</w:t>
      </w:r>
    </w:p>
    <w:tbl>
      <w:tblPr>
        <w:tblStyle w:val="47"/>
        <w:tblW w:w="90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938"/>
        <w:gridCol w:w="2378"/>
        <w:gridCol w:w="2712"/>
        <w:gridCol w:w="1170"/>
      </w:tblGrid>
      <w:tr w14:paraId="4D801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28" w:type="dxa"/>
            <w:noWrap w:val="0"/>
            <w:vAlign w:val="top"/>
          </w:tcPr>
          <w:p w14:paraId="2912EFD2">
            <w:pPr>
              <w:adjustRightInd w:val="0"/>
              <w:snapToGrid w:val="0"/>
              <w:spacing w:line="360" w:lineRule="auto"/>
              <w:ind w:left="0" w:leftChars="0" w:firstLine="0" w:firstLineChars="0"/>
              <w:jc w:val="center"/>
              <w:rPr>
                <w:rFonts w:hint="eastAsia" w:ascii="宋体" w:hAnsi="宋体"/>
                <w:szCs w:val="21"/>
              </w:rPr>
            </w:pPr>
            <w:r>
              <w:rPr>
                <w:rFonts w:hint="eastAsia" w:ascii="宋体" w:hAnsi="宋体"/>
                <w:szCs w:val="21"/>
              </w:rPr>
              <w:t>项次</w:t>
            </w:r>
          </w:p>
        </w:tc>
        <w:tc>
          <w:tcPr>
            <w:tcW w:w="1938" w:type="dxa"/>
            <w:noWrap w:val="0"/>
            <w:vAlign w:val="center"/>
          </w:tcPr>
          <w:p w14:paraId="0724EE06">
            <w:pPr>
              <w:adjustRightInd w:val="0"/>
              <w:snapToGrid w:val="0"/>
              <w:spacing w:line="360" w:lineRule="auto"/>
              <w:jc w:val="center"/>
              <w:rPr>
                <w:rFonts w:hint="eastAsia" w:ascii="宋体" w:hAnsi="宋体"/>
                <w:szCs w:val="21"/>
              </w:rPr>
            </w:pPr>
            <w:r>
              <w:rPr>
                <w:rFonts w:hint="eastAsia" w:ascii="宋体" w:hAnsi="宋体"/>
                <w:szCs w:val="21"/>
              </w:rPr>
              <w:t>检查项目</w:t>
            </w:r>
          </w:p>
        </w:tc>
        <w:tc>
          <w:tcPr>
            <w:tcW w:w="2378" w:type="dxa"/>
            <w:noWrap w:val="0"/>
            <w:vAlign w:val="center"/>
          </w:tcPr>
          <w:p w14:paraId="2A885DA9">
            <w:pPr>
              <w:adjustRightInd w:val="0"/>
              <w:snapToGrid w:val="0"/>
              <w:spacing w:line="360" w:lineRule="auto"/>
              <w:jc w:val="center"/>
              <w:rPr>
                <w:rFonts w:hint="eastAsia" w:ascii="宋体" w:hAnsi="宋体"/>
                <w:szCs w:val="21"/>
              </w:rPr>
            </w:pPr>
            <w:r>
              <w:rPr>
                <w:rFonts w:hint="eastAsia" w:ascii="宋体" w:hAnsi="宋体"/>
                <w:szCs w:val="21"/>
              </w:rPr>
              <w:t>规定值或允许偏差(mm)</w:t>
            </w:r>
          </w:p>
        </w:tc>
        <w:tc>
          <w:tcPr>
            <w:tcW w:w="2712" w:type="dxa"/>
            <w:noWrap w:val="0"/>
            <w:vAlign w:val="top"/>
          </w:tcPr>
          <w:p w14:paraId="2493AB3E">
            <w:pPr>
              <w:adjustRightInd w:val="0"/>
              <w:snapToGrid w:val="0"/>
              <w:spacing w:line="360" w:lineRule="auto"/>
              <w:jc w:val="center"/>
              <w:rPr>
                <w:rFonts w:hint="eastAsia" w:ascii="宋体" w:hAnsi="宋体"/>
                <w:szCs w:val="21"/>
              </w:rPr>
            </w:pPr>
            <w:r>
              <w:rPr>
                <w:rFonts w:hint="eastAsia" w:ascii="宋体" w:hAnsi="宋体"/>
                <w:szCs w:val="21"/>
              </w:rPr>
              <w:t>检查方法和频率</w:t>
            </w:r>
          </w:p>
        </w:tc>
        <w:tc>
          <w:tcPr>
            <w:tcW w:w="1170" w:type="dxa"/>
            <w:noWrap w:val="0"/>
            <w:vAlign w:val="top"/>
          </w:tcPr>
          <w:p w14:paraId="1124978C">
            <w:pPr>
              <w:adjustRightInd w:val="0"/>
              <w:snapToGrid w:val="0"/>
              <w:spacing w:line="360" w:lineRule="auto"/>
              <w:ind w:left="0" w:leftChars="0" w:firstLine="240" w:firstLineChars="100"/>
              <w:jc w:val="both"/>
              <w:rPr>
                <w:rFonts w:hint="eastAsia" w:ascii="宋体" w:hAnsi="宋体"/>
                <w:szCs w:val="21"/>
              </w:rPr>
            </w:pPr>
            <w:r>
              <w:rPr>
                <w:rFonts w:hint="eastAsia" w:ascii="宋体" w:hAnsi="宋体"/>
                <w:szCs w:val="21"/>
              </w:rPr>
              <w:t>权值</w:t>
            </w:r>
          </w:p>
        </w:tc>
      </w:tr>
      <w:tr w14:paraId="6B649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28" w:type="dxa"/>
            <w:noWrap w:val="0"/>
            <w:vAlign w:val="top"/>
          </w:tcPr>
          <w:p w14:paraId="147A65AC">
            <w:pPr>
              <w:adjustRightInd w:val="0"/>
              <w:snapToGrid w:val="0"/>
              <w:spacing w:line="360" w:lineRule="auto"/>
              <w:ind w:left="0" w:leftChars="0" w:firstLine="0" w:firstLineChars="0"/>
              <w:jc w:val="center"/>
              <w:rPr>
                <w:rFonts w:hint="eastAsia" w:ascii="宋体" w:hAnsi="宋体"/>
                <w:szCs w:val="21"/>
              </w:rPr>
            </w:pPr>
            <w:r>
              <w:rPr>
                <w:rFonts w:hint="eastAsia" w:ascii="宋体" w:hAnsi="宋体"/>
                <w:szCs w:val="21"/>
              </w:rPr>
              <w:t>1</w:t>
            </w:r>
          </w:p>
        </w:tc>
        <w:tc>
          <w:tcPr>
            <w:tcW w:w="1938" w:type="dxa"/>
            <w:noWrap w:val="0"/>
            <w:vAlign w:val="center"/>
          </w:tcPr>
          <w:p w14:paraId="4880C67B">
            <w:pPr>
              <w:adjustRightInd w:val="0"/>
              <w:snapToGrid w:val="0"/>
              <w:spacing w:line="360" w:lineRule="auto"/>
              <w:jc w:val="center"/>
              <w:rPr>
                <w:rFonts w:hint="eastAsia" w:ascii="宋体" w:hAnsi="宋体"/>
                <w:szCs w:val="21"/>
              </w:rPr>
            </w:pPr>
            <w:r>
              <w:rPr>
                <w:rFonts w:hint="eastAsia" w:ascii="宋体" w:hAnsi="宋体"/>
                <w:szCs w:val="21"/>
              </w:rPr>
              <w:t>混凝土强度（MPa）</w:t>
            </w:r>
          </w:p>
        </w:tc>
        <w:tc>
          <w:tcPr>
            <w:tcW w:w="2378" w:type="dxa"/>
            <w:noWrap w:val="0"/>
            <w:vAlign w:val="center"/>
          </w:tcPr>
          <w:p w14:paraId="7EF4F155">
            <w:pPr>
              <w:adjustRightInd w:val="0"/>
              <w:snapToGrid w:val="0"/>
              <w:spacing w:line="360" w:lineRule="auto"/>
              <w:jc w:val="center"/>
              <w:rPr>
                <w:rFonts w:hint="eastAsia" w:ascii="宋体" w:hAnsi="宋体"/>
                <w:szCs w:val="21"/>
              </w:rPr>
            </w:pPr>
            <w:r>
              <w:rPr>
                <w:rFonts w:hint="eastAsia" w:ascii="宋体" w:hAnsi="宋体"/>
                <w:szCs w:val="21"/>
              </w:rPr>
              <w:t>在合格标准内</w:t>
            </w:r>
          </w:p>
        </w:tc>
        <w:tc>
          <w:tcPr>
            <w:tcW w:w="2712" w:type="dxa"/>
            <w:noWrap w:val="0"/>
            <w:vAlign w:val="top"/>
          </w:tcPr>
          <w:p w14:paraId="08977644">
            <w:pPr>
              <w:adjustRightInd w:val="0"/>
              <w:snapToGrid w:val="0"/>
              <w:spacing w:line="360" w:lineRule="auto"/>
              <w:jc w:val="center"/>
              <w:rPr>
                <w:rFonts w:hint="eastAsia" w:ascii="宋体" w:hAnsi="宋体"/>
                <w:szCs w:val="21"/>
              </w:rPr>
            </w:pPr>
            <w:r>
              <w:rPr>
                <w:rFonts w:hint="eastAsia" w:ascii="宋体" w:hAnsi="宋体"/>
                <w:szCs w:val="21"/>
              </w:rPr>
              <w:t>按附录D检查</w:t>
            </w:r>
          </w:p>
        </w:tc>
        <w:tc>
          <w:tcPr>
            <w:tcW w:w="1170" w:type="dxa"/>
            <w:noWrap w:val="0"/>
            <w:vAlign w:val="top"/>
          </w:tcPr>
          <w:p w14:paraId="4B5BA673">
            <w:pPr>
              <w:adjustRightInd w:val="0"/>
              <w:snapToGrid w:val="0"/>
              <w:spacing w:line="360" w:lineRule="auto"/>
              <w:jc w:val="both"/>
              <w:rPr>
                <w:rFonts w:hint="eastAsia" w:ascii="宋体" w:hAnsi="宋体"/>
                <w:szCs w:val="21"/>
              </w:rPr>
            </w:pPr>
            <w:r>
              <w:rPr>
                <w:rFonts w:hint="eastAsia" w:ascii="宋体" w:hAnsi="宋体"/>
                <w:szCs w:val="21"/>
              </w:rPr>
              <w:t>3</w:t>
            </w:r>
          </w:p>
        </w:tc>
      </w:tr>
      <w:tr w14:paraId="7DFB4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28" w:type="dxa"/>
            <w:noWrap w:val="0"/>
            <w:vAlign w:val="top"/>
          </w:tcPr>
          <w:p w14:paraId="2F0CF7D8">
            <w:pPr>
              <w:adjustRightInd w:val="0"/>
              <w:snapToGrid w:val="0"/>
              <w:spacing w:line="360" w:lineRule="auto"/>
              <w:ind w:left="0" w:leftChars="0" w:firstLine="0" w:firstLineChars="0"/>
              <w:jc w:val="center"/>
              <w:rPr>
                <w:rFonts w:hint="eastAsia" w:ascii="宋体" w:hAnsi="宋体"/>
                <w:szCs w:val="21"/>
              </w:rPr>
            </w:pPr>
            <w:r>
              <w:rPr>
                <w:rFonts w:hint="eastAsia" w:ascii="宋体" w:hAnsi="宋体"/>
                <w:szCs w:val="21"/>
              </w:rPr>
              <w:t>2</w:t>
            </w:r>
          </w:p>
        </w:tc>
        <w:tc>
          <w:tcPr>
            <w:tcW w:w="1938" w:type="dxa"/>
            <w:noWrap w:val="0"/>
            <w:vAlign w:val="center"/>
          </w:tcPr>
          <w:p w14:paraId="08ED7F14">
            <w:pPr>
              <w:adjustRightInd w:val="0"/>
              <w:snapToGrid w:val="0"/>
              <w:spacing w:line="360" w:lineRule="auto"/>
              <w:jc w:val="center"/>
              <w:rPr>
                <w:rFonts w:hint="eastAsia" w:ascii="宋体" w:hAnsi="宋体"/>
                <w:szCs w:val="21"/>
              </w:rPr>
            </w:pPr>
            <w:r>
              <w:rPr>
                <w:rFonts w:hint="eastAsia" w:ascii="宋体" w:hAnsi="宋体"/>
                <w:szCs w:val="21"/>
              </w:rPr>
              <w:t>内径（mm）</w:t>
            </w:r>
          </w:p>
        </w:tc>
        <w:tc>
          <w:tcPr>
            <w:tcW w:w="2378" w:type="dxa"/>
            <w:noWrap w:val="0"/>
            <w:vAlign w:val="center"/>
          </w:tcPr>
          <w:p w14:paraId="4F6F9E74">
            <w:pPr>
              <w:adjustRightInd w:val="0"/>
              <w:snapToGrid w:val="0"/>
              <w:spacing w:line="360" w:lineRule="auto"/>
              <w:jc w:val="center"/>
              <w:rPr>
                <w:rFonts w:hint="eastAsia" w:ascii="宋体" w:hAnsi="宋体"/>
                <w:szCs w:val="21"/>
              </w:rPr>
            </w:pPr>
            <w:r>
              <w:rPr>
                <w:rFonts w:hint="eastAsia" w:ascii="宋体" w:hAnsi="宋体"/>
                <w:szCs w:val="21"/>
              </w:rPr>
              <w:t>不小于设计</w:t>
            </w:r>
          </w:p>
        </w:tc>
        <w:tc>
          <w:tcPr>
            <w:tcW w:w="2712" w:type="dxa"/>
            <w:noWrap w:val="0"/>
            <w:vAlign w:val="top"/>
          </w:tcPr>
          <w:p w14:paraId="4B81AD60">
            <w:pPr>
              <w:adjustRightInd w:val="0"/>
              <w:snapToGrid w:val="0"/>
              <w:spacing w:line="360" w:lineRule="auto"/>
              <w:jc w:val="center"/>
              <w:rPr>
                <w:rFonts w:hint="eastAsia" w:ascii="宋体" w:hAnsi="宋体"/>
                <w:szCs w:val="21"/>
              </w:rPr>
            </w:pPr>
            <w:r>
              <w:rPr>
                <w:rFonts w:hint="eastAsia" w:ascii="宋体" w:hAnsi="宋体"/>
                <w:szCs w:val="21"/>
              </w:rPr>
              <w:t>尺量：2个断面</w:t>
            </w:r>
          </w:p>
        </w:tc>
        <w:tc>
          <w:tcPr>
            <w:tcW w:w="1170" w:type="dxa"/>
            <w:noWrap w:val="0"/>
            <w:vAlign w:val="top"/>
          </w:tcPr>
          <w:p w14:paraId="7B268769">
            <w:pPr>
              <w:adjustRightInd w:val="0"/>
              <w:snapToGrid w:val="0"/>
              <w:spacing w:line="360" w:lineRule="auto"/>
              <w:jc w:val="both"/>
              <w:rPr>
                <w:rFonts w:hint="eastAsia" w:ascii="宋体" w:hAnsi="宋体"/>
                <w:szCs w:val="21"/>
              </w:rPr>
            </w:pPr>
            <w:r>
              <w:rPr>
                <w:rFonts w:hint="eastAsia" w:ascii="宋体" w:hAnsi="宋体"/>
                <w:szCs w:val="21"/>
              </w:rPr>
              <w:t>2</w:t>
            </w:r>
          </w:p>
        </w:tc>
      </w:tr>
      <w:tr w14:paraId="6E25E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28" w:type="dxa"/>
            <w:noWrap w:val="0"/>
            <w:vAlign w:val="top"/>
          </w:tcPr>
          <w:p w14:paraId="720F3CEA">
            <w:pPr>
              <w:adjustRightInd w:val="0"/>
              <w:snapToGrid w:val="0"/>
              <w:spacing w:line="360" w:lineRule="auto"/>
              <w:ind w:left="0" w:leftChars="0" w:firstLine="0" w:firstLineChars="0"/>
              <w:jc w:val="center"/>
              <w:rPr>
                <w:rFonts w:hint="eastAsia" w:ascii="宋体" w:hAnsi="宋体"/>
                <w:szCs w:val="21"/>
              </w:rPr>
            </w:pPr>
            <w:r>
              <w:rPr>
                <w:rFonts w:hint="eastAsia" w:ascii="宋体" w:hAnsi="宋体"/>
                <w:szCs w:val="21"/>
              </w:rPr>
              <w:t>3</w:t>
            </w:r>
          </w:p>
        </w:tc>
        <w:tc>
          <w:tcPr>
            <w:tcW w:w="1938" w:type="dxa"/>
            <w:noWrap w:val="0"/>
            <w:vAlign w:val="center"/>
          </w:tcPr>
          <w:p w14:paraId="67B4AABD">
            <w:pPr>
              <w:adjustRightInd w:val="0"/>
              <w:snapToGrid w:val="0"/>
              <w:spacing w:line="360" w:lineRule="auto"/>
              <w:jc w:val="center"/>
              <w:rPr>
                <w:rFonts w:hint="eastAsia" w:ascii="宋体" w:hAnsi="宋体"/>
                <w:szCs w:val="21"/>
              </w:rPr>
            </w:pPr>
            <w:r>
              <w:rPr>
                <w:rFonts w:hint="eastAsia" w:ascii="宋体" w:hAnsi="宋体"/>
                <w:szCs w:val="21"/>
              </w:rPr>
              <w:t>壁厚（mm）</w:t>
            </w:r>
          </w:p>
        </w:tc>
        <w:tc>
          <w:tcPr>
            <w:tcW w:w="2378" w:type="dxa"/>
            <w:noWrap w:val="0"/>
            <w:vAlign w:val="center"/>
          </w:tcPr>
          <w:p w14:paraId="16FBC672">
            <w:pPr>
              <w:adjustRightInd w:val="0"/>
              <w:snapToGrid w:val="0"/>
              <w:spacing w:line="360" w:lineRule="auto"/>
              <w:jc w:val="center"/>
              <w:rPr>
                <w:rFonts w:hint="eastAsia" w:ascii="宋体" w:hAnsi="宋体"/>
                <w:szCs w:val="21"/>
              </w:rPr>
            </w:pPr>
            <w:r>
              <w:rPr>
                <w:rFonts w:hint="eastAsia" w:ascii="宋体" w:hAnsi="宋体"/>
                <w:szCs w:val="21"/>
              </w:rPr>
              <w:t>不小于设计壁厚-3</w:t>
            </w:r>
          </w:p>
        </w:tc>
        <w:tc>
          <w:tcPr>
            <w:tcW w:w="2712" w:type="dxa"/>
            <w:noWrap w:val="0"/>
            <w:vAlign w:val="top"/>
          </w:tcPr>
          <w:p w14:paraId="7440FF75">
            <w:pPr>
              <w:adjustRightInd w:val="0"/>
              <w:snapToGrid w:val="0"/>
              <w:spacing w:line="360" w:lineRule="auto"/>
              <w:jc w:val="center"/>
              <w:rPr>
                <w:rFonts w:hint="eastAsia" w:ascii="宋体" w:hAnsi="宋体"/>
                <w:szCs w:val="21"/>
              </w:rPr>
            </w:pPr>
            <w:r>
              <w:rPr>
                <w:rFonts w:hint="eastAsia" w:ascii="宋体" w:hAnsi="宋体"/>
                <w:szCs w:val="21"/>
              </w:rPr>
              <w:t>尺量：2个断面</w:t>
            </w:r>
          </w:p>
        </w:tc>
        <w:tc>
          <w:tcPr>
            <w:tcW w:w="1170" w:type="dxa"/>
            <w:noWrap w:val="0"/>
            <w:vAlign w:val="top"/>
          </w:tcPr>
          <w:p w14:paraId="0607A7F6">
            <w:pPr>
              <w:adjustRightInd w:val="0"/>
              <w:snapToGrid w:val="0"/>
              <w:spacing w:line="360" w:lineRule="auto"/>
              <w:jc w:val="both"/>
              <w:rPr>
                <w:rFonts w:hint="eastAsia" w:ascii="宋体" w:hAnsi="宋体"/>
                <w:szCs w:val="21"/>
              </w:rPr>
            </w:pPr>
            <w:r>
              <w:rPr>
                <w:rFonts w:hint="eastAsia" w:ascii="宋体" w:hAnsi="宋体"/>
                <w:szCs w:val="21"/>
              </w:rPr>
              <w:t>2</w:t>
            </w:r>
          </w:p>
        </w:tc>
      </w:tr>
      <w:tr w14:paraId="2DBD2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28" w:type="dxa"/>
            <w:noWrap w:val="0"/>
            <w:vAlign w:val="top"/>
          </w:tcPr>
          <w:p w14:paraId="07F9938B">
            <w:pPr>
              <w:adjustRightInd w:val="0"/>
              <w:snapToGrid w:val="0"/>
              <w:spacing w:line="360" w:lineRule="auto"/>
              <w:ind w:left="0" w:leftChars="0" w:firstLine="0" w:firstLineChars="0"/>
              <w:jc w:val="center"/>
              <w:rPr>
                <w:rFonts w:hint="eastAsia" w:ascii="宋体" w:hAnsi="宋体"/>
                <w:szCs w:val="21"/>
              </w:rPr>
            </w:pPr>
            <w:r>
              <w:rPr>
                <w:rFonts w:hint="eastAsia" w:ascii="宋体" w:hAnsi="宋体"/>
                <w:szCs w:val="21"/>
              </w:rPr>
              <w:t>4</w:t>
            </w:r>
          </w:p>
        </w:tc>
        <w:tc>
          <w:tcPr>
            <w:tcW w:w="1938" w:type="dxa"/>
            <w:noWrap w:val="0"/>
            <w:vAlign w:val="center"/>
          </w:tcPr>
          <w:p w14:paraId="5C2C3B7E">
            <w:pPr>
              <w:adjustRightInd w:val="0"/>
              <w:snapToGrid w:val="0"/>
              <w:spacing w:line="360" w:lineRule="auto"/>
              <w:jc w:val="center"/>
              <w:rPr>
                <w:rFonts w:hint="eastAsia" w:ascii="宋体" w:hAnsi="宋体"/>
                <w:szCs w:val="21"/>
              </w:rPr>
            </w:pPr>
            <w:r>
              <w:rPr>
                <w:rFonts w:hint="eastAsia" w:ascii="宋体" w:hAnsi="宋体"/>
                <w:szCs w:val="21"/>
              </w:rPr>
              <w:t>顺直度</w:t>
            </w:r>
          </w:p>
        </w:tc>
        <w:tc>
          <w:tcPr>
            <w:tcW w:w="2378" w:type="dxa"/>
            <w:noWrap w:val="0"/>
            <w:vAlign w:val="center"/>
          </w:tcPr>
          <w:p w14:paraId="390965E0">
            <w:pPr>
              <w:adjustRightInd w:val="0"/>
              <w:snapToGrid w:val="0"/>
              <w:spacing w:line="360" w:lineRule="auto"/>
              <w:jc w:val="center"/>
              <w:rPr>
                <w:rFonts w:hint="eastAsia" w:ascii="宋体" w:hAnsi="宋体"/>
                <w:szCs w:val="21"/>
              </w:rPr>
            </w:pPr>
            <w:r>
              <w:rPr>
                <w:rFonts w:hint="eastAsia" w:ascii="宋体" w:hAnsi="宋体"/>
                <w:szCs w:val="21"/>
              </w:rPr>
              <w:t>矢度不大于0.2%管节长</w:t>
            </w:r>
          </w:p>
        </w:tc>
        <w:tc>
          <w:tcPr>
            <w:tcW w:w="2712" w:type="dxa"/>
            <w:noWrap w:val="0"/>
            <w:vAlign w:val="top"/>
          </w:tcPr>
          <w:p w14:paraId="3A48D36A">
            <w:pPr>
              <w:adjustRightInd w:val="0"/>
              <w:snapToGrid w:val="0"/>
              <w:spacing w:line="360" w:lineRule="auto"/>
              <w:jc w:val="center"/>
              <w:rPr>
                <w:rFonts w:hint="eastAsia" w:ascii="宋体" w:hAnsi="宋体"/>
                <w:szCs w:val="21"/>
              </w:rPr>
            </w:pPr>
            <w:r>
              <w:rPr>
                <w:rFonts w:hint="eastAsia" w:ascii="宋体" w:hAnsi="宋体"/>
                <w:szCs w:val="21"/>
              </w:rPr>
              <w:t>沿管节拉线量：取最大矢高</w:t>
            </w:r>
          </w:p>
        </w:tc>
        <w:tc>
          <w:tcPr>
            <w:tcW w:w="1170" w:type="dxa"/>
            <w:noWrap w:val="0"/>
            <w:vAlign w:val="top"/>
          </w:tcPr>
          <w:p w14:paraId="218DC5E0">
            <w:pPr>
              <w:adjustRightInd w:val="0"/>
              <w:snapToGrid w:val="0"/>
              <w:spacing w:line="360" w:lineRule="auto"/>
              <w:jc w:val="both"/>
              <w:rPr>
                <w:rFonts w:hint="eastAsia" w:ascii="宋体" w:hAnsi="宋体"/>
                <w:szCs w:val="21"/>
              </w:rPr>
            </w:pPr>
            <w:r>
              <w:rPr>
                <w:rFonts w:hint="eastAsia" w:ascii="宋体" w:hAnsi="宋体"/>
                <w:szCs w:val="21"/>
              </w:rPr>
              <w:t>1</w:t>
            </w:r>
          </w:p>
        </w:tc>
      </w:tr>
      <w:tr w14:paraId="0EBFC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exact"/>
          <w:jc w:val="center"/>
        </w:trPr>
        <w:tc>
          <w:tcPr>
            <w:tcW w:w="828" w:type="dxa"/>
            <w:noWrap w:val="0"/>
            <w:vAlign w:val="top"/>
          </w:tcPr>
          <w:p w14:paraId="7823843E">
            <w:pPr>
              <w:adjustRightInd w:val="0"/>
              <w:snapToGrid w:val="0"/>
              <w:spacing w:line="360" w:lineRule="auto"/>
              <w:ind w:left="0" w:leftChars="0" w:firstLine="0" w:firstLineChars="0"/>
              <w:jc w:val="center"/>
              <w:rPr>
                <w:rFonts w:hint="eastAsia" w:ascii="宋体" w:hAnsi="宋体"/>
                <w:szCs w:val="21"/>
              </w:rPr>
            </w:pPr>
            <w:r>
              <w:rPr>
                <w:rFonts w:hint="eastAsia" w:ascii="宋体" w:hAnsi="宋体"/>
                <w:szCs w:val="21"/>
              </w:rPr>
              <w:t>5</w:t>
            </w:r>
          </w:p>
        </w:tc>
        <w:tc>
          <w:tcPr>
            <w:tcW w:w="1938" w:type="dxa"/>
            <w:noWrap w:val="0"/>
            <w:vAlign w:val="center"/>
          </w:tcPr>
          <w:p w14:paraId="0AFC2519">
            <w:pPr>
              <w:adjustRightInd w:val="0"/>
              <w:snapToGrid w:val="0"/>
              <w:spacing w:line="360" w:lineRule="auto"/>
              <w:jc w:val="center"/>
              <w:rPr>
                <w:rFonts w:hint="eastAsia" w:ascii="宋体" w:hAnsi="宋体"/>
                <w:szCs w:val="21"/>
              </w:rPr>
            </w:pPr>
            <w:r>
              <w:rPr>
                <w:rFonts w:hint="eastAsia" w:ascii="宋体" w:hAnsi="宋体"/>
                <w:szCs w:val="21"/>
              </w:rPr>
              <w:t>长度（mm）</w:t>
            </w:r>
          </w:p>
        </w:tc>
        <w:tc>
          <w:tcPr>
            <w:tcW w:w="2378" w:type="dxa"/>
            <w:noWrap w:val="0"/>
            <w:vAlign w:val="center"/>
          </w:tcPr>
          <w:p w14:paraId="0758978E">
            <w:pPr>
              <w:adjustRightInd w:val="0"/>
              <w:snapToGrid w:val="0"/>
              <w:spacing w:line="360" w:lineRule="auto"/>
              <w:jc w:val="center"/>
              <w:rPr>
                <w:rFonts w:hint="eastAsia" w:ascii="宋体" w:hAnsi="宋体"/>
                <w:szCs w:val="21"/>
              </w:rPr>
            </w:pPr>
            <w:r>
              <w:rPr>
                <w:rFonts w:ascii="宋体" w:hAnsi="宋体" w:cs="TimesNewRomanPSMT-Identity-H"/>
                <w:kern w:val="0"/>
                <w:szCs w:val="21"/>
              </w:rPr>
              <w:t>+5</w:t>
            </w:r>
            <w:r>
              <w:rPr>
                <w:rFonts w:hint="eastAsia" w:ascii="宋体" w:hAnsi="宋体" w:cs="SimSun-Identity-H"/>
                <w:kern w:val="0"/>
                <w:szCs w:val="21"/>
              </w:rPr>
              <w:t>，－</w:t>
            </w:r>
            <w:r>
              <w:rPr>
                <w:rFonts w:ascii="宋体" w:hAnsi="宋体" w:cs="TimesNewRomanPSMT-Identity-H"/>
                <w:kern w:val="0"/>
                <w:szCs w:val="21"/>
              </w:rPr>
              <w:t>0</w:t>
            </w:r>
          </w:p>
        </w:tc>
        <w:tc>
          <w:tcPr>
            <w:tcW w:w="2712" w:type="dxa"/>
            <w:noWrap w:val="0"/>
            <w:vAlign w:val="top"/>
          </w:tcPr>
          <w:p w14:paraId="0CDDBFEC">
            <w:pPr>
              <w:adjustRightInd w:val="0"/>
              <w:snapToGrid w:val="0"/>
              <w:spacing w:line="360" w:lineRule="auto"/>
              <w:jc w:val="center"/>
              <w:rPr>
                <w:rFonts w:hint="eastAsia" w:ascii="宋体" w:hAnsi="宋体" w:cs="TimesNewRomanPSMT-Identity-H"/>
                <w:kern w:val="0"/>
                <w:szCs w:val="21"/>
              </w:rPr>
            </w:pPr>
            <w:r>
              <w:rPr>
                <w:rFonts w:hint="eastAsia" w:ascii="宋体" w:hAnsi="宋体" w:cs="TimesNewRomanPSMT-Identity-H"/>
                <w:kern w:val="0"/>
                <w:szCs w:val="21"/>
              </w:rPr>
              <w:t>尺量</w:t>
            </w:r>
          </w:p>
        </w:tc>
        <w:tc>
          <w:tcPr>
            <w:tcW w:w="1170" w:type="dxa"/>
            <w:noWrap w:val="0"/>
            <w:vAlign w:val="top"/>
          </w:tcPr>
          <w:p w14:paraId="749F3287">
            <w:pPr>
              <w:adjustRightInd w:val="0"/>
              <w:snapToGrid w:val="0"/>
              <w:spacing w:line="360" w:lineRule="auto"/>
              <w:jc w:val="both"/>
              <w:rPr>
                <w:rFonts w:hint="eastAsia" w:ascii="宋体" w:hAnsi="宋体" w:cs="TimesNewRomanPSMT-Identity-H"/>
                <w:kern w:val="0"/>
                <w:szCs w:val="21"/>
              </w:rPr>
            </w:pPr>
            <w:r>
              <w:rPr>
                <w:rFonts w:hint="eastAsia" w:ascii="宋体" w:hAnsi="宋体" w:cs="TimesNewRomanPSMT-Identity-H"/>
                <w:kern w:val="0"/>
                <w:szCs w:val="21"/>
              </w:rPr>
              <w:t>1</w:t>
            </w:r>
          </w:p>
        </w:tc>
      </w:tr>
    </w:tbl>
    <w:p w14:paraId="43005B57">
      <w:pPr>
        <w:adjustRightInd w:val="0"/>
        <w:snapToGrid w:val="0"/>
        <w:spacing w:line="360" w:lineRule="auto"/>
        <w:ind w:firstLine="480" w:firstLineChars="200"/>
        <w:rPr>
          <w:rFonts w:hint="eastAsia" w:ascii="宋体" w:hAnsi="宋体"/>
          <w:sz w:val="24"/>
        </w:rPr>
      </w:pPr>
      <w:r>
        <w:rPr>
          <w:rFonts w:hint="eastAsia" w:ascii="宋体" w:hAnsi="宋体"/>
          <w:sz w:val="24"/>
        </w:rPr>
        <w:t>混凝土采用搅拌站集中拌制，混凝土运输车运输，汽车吊或混凝土输送泵泵送入模，插入式震动棒捣固。</w:t>
      </w:r>
      <w:r>
        <w:rPr>
          <w:rFonts w:hint="eastAsia" w:ascii="宋体" w:hAnsi="宋体"/>
          <w:spacing w:val="20"/>
          <w:sz w:val="24"/>
        </w:rPr>
        <w:t>浇筑完后，要及时覆盖洒水养生，养生不少于</w:t>
      </w:r>
      <w:r>
        <w:rPr>
          <w:rFonts w:ascii="宋体" w:hAnsi="宋体"/>
          <w:spacing w:val="20"/>
          <w:sz w:val="24"/>
        </w:rPr>
        <w:t xml:space="preserve"> 7</w:t>
      </w:r>
      <w:r>
        <w:rPr>
          <w:rFonts w:hint="eastAsia" w:ascii="宋体" w:hAnsi="宋体"/>
          <w:spacing w:val="20"/>
          <w:sz w:val="24"/>
        </w:rPr>
        <w:t>天。</w:t>
      </w:r>
    </w:p>
    <w:p w14:paraId="49A1119E">
      <w:pPr>
        <w:spacing w:line="360" w:lineRule="auto"/>
        <w:ind w:firstLine="482" w:firstLineChars="200"/>
        <w:rPr>
          <w:rFonts w:hint="eastAsia" w:ascii="宋体" w:hAnsi="宋体"/>
          <w:sz w:val="24"/>
        </w:rPr>
      </w:pPr>
      <w:r>
        <w:rPr>
          <w:rFonts w:hint="eastAsia" w:ascii="宋体" w:hAnsi="宋体"/>
          <w:b/>
          <w:bCs/>
          <w:sz w:val="24"/>
        </w:rPr>
        <w:t>（五）制作管节砂浆抹带，涂刷沥青防水层</w:t>
      </w:r>
      <w:r>
        <w:rPr>
          <w:rFonts w:hint="eastAsia" w:ascii="宋体" w:hAnsi="宋体"/>
          <w:sz w:val="24"/>
        </w:rPr>
        <w:t>。</w:t>
      </w:r>
    </w:p>
    <w:p w14:paraId="77BA8E14">
      <w:pPr>
        <w:spacing w:line="360" w:lineRule="auto"/>
        <w:ind w:firstLine="480" w:firstLineChars="200"/>
        <w:rPr>
          <w:rFonts w:hint="eastAsia" w:ascii="宋体" w:hAnsi="宋体"/>
          <w:sz w:val="24"/>
        </w:rPr>
      </w:pPr>
      <w:r>
        <w:rPr>
          <w:rFonts w:hint="eastAsia" w:ascii="宋体" w:hAnsi="宋体"/>
          <w:sz w:val="24"/>
        </w:rPr>
        <w:t>待管座砼强度达到</w:t>
      </w:r>
      <w:r>
        <w:rPr>
          <w:rFonts w:ascii="宋体" w:hAnsi="宋体"/>
          <w:sz w:val="24"/>
        </w:rPr>
        <w:t>80%</w:t>
      </w:r>
      <w:r>
        <w:rPr>
          <w:rFonts w:hint="eastAsia" w:ascii="宋体" w:hAnsi="宋体"/>
          <w:sz w:val="24"/>
        </w:rPr>
        <w:t>以上时，按设计要求制作管节砂浆抹带并涂刷两层沥青防水层。</w:t>
      </w:r>
    </w:p>
    <w:p w14:paraId="5A188581">
      <w:pPr>
        <w:spacing w:line="360" w:lineRule="auto"/>
        <w:ind w:firstLine="482" w:firstLineChars="200"/>
        <w:rPr>
          <w:rFonts w:hint="eastAsia" w:ascii="宋体" w:hAnsi="宋体"/>
          <w:b/>
          <w:bCs/>
          <w:sz w:val="24"/>
        </w:rPr>
      </w:pPr>
      <w:r>
        <w:rPr>
          <w:rFonts w:hint="eastAsia" w:ascii="宋体" w:hAnsi="宋体"/>
          <w:b/>
          <w:bCs/>
          <w:sz w:val="24"/>
        </w:rPr>
        <w:t>（七）回填土</w:t>
      </w:r>
    </w:p>
    <w:p w14:paraId="5972FA83">
      <w:pPr>
        <w:spacing w:line="360" w:lineRule="auto"/>
        <w:ind w:firstLine="480" w:firstLineChars="200"/>
        <w:rPr>
          <w:rFonts w:hint="eastAsia" w:ascii="宋体" w:hAnsi="宋体"/>
          <w:sz w:val="24"/>
        </w:rPr>
      </w:pPr>
      <w:r>
        <w:rPr>
          <w:rFonts w:hint="eastAsia" w:ascii="宋体" w:hAnsi="宋体"/>
          <w:sz w:val="24"/>
        </w:rPr>
        <w:t>待砼强度符合要求后在涵洞顶及涵身两侧不小于两倍孔径范围内的填土，须采用5%石灰改善土同时对称、水平、分层进行填筑，分层填筑厚度按压实厚度15cm控制，采用人工或小型震动机具对称夯实，压实度不小于96%。施工过程中，涵顶填土厚度小于0.5m时，严禁任何重型机械通过。</w:t>
      </w:r>
    </w:p>
    <w:p w14:paraId="3FEB8B9D">
      <w:pPr>
        <w:spacing w:line="360" w:lineRule="auto"/>
        <w:ind w:firstLine="482" w:firstLineChars="200"/>
        <w:rPr>
          <w:rFonts w:hint="eastAsia" w:ascii="宋体" w:hAnsi="宋体"/>
          <w:b/>
          <w:bCs/>
          <w:color w:val="000000"/>
          <w:sz w:val="24"/>
        </w:rPr>
      </w:pPr>
      <w:r>
        <w:rPr>
          <w:rFonts w:hint="eastAsia" w:ascii="宋体" w:hAnsi="宋体"/>
          <w:b/>
          <w:bCs/>
          <w:sz w:val="24"/>
        </w:rPr>
        <w:t>（八）</w:t>
      </w:r>
      <w:r>
        <w:rPr>
          <w:rFonts w:hint="eastAsia" w:ascii="宋体" w:hAnsi="宋体"/>
          <w:b/>
          <w:bCs/>
          <w:color w:val="000000"/>
          <w:sz w:val="24"/>
        </w:rPr>
        <w:t>圆管涵的质量标准见下表</w:t>
      </w:r>
    </w:p>
    <w:p w14:paraId="0B129D49">
      <w:pPr>
        <w:spacing w:line="360" w:lineRule="auto"/>
        <w:ind w:firstLine="482" w:firstLineChars="200"/>
        <w:rPr>
          <w:rFonts w:hint="eastAsia" w:ascii="宋体" w:hAnsi="宋体"/>
          <w:b/>
          <w:bCs/>
          <w:color w:val="000000"/>
          <w:sz w:val="24"/>
        </w:rPr>
      </w:pP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597"/>
        <w:gridCol w:w="3379"/>
      </w:tblGrid>
      <w:tr w14:paraId="4BF04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194" w:type="dxa"/>
            <w:gridSpan w:val="2"/>
            <w:noWrap w:val="0"/>
            <w:vAlign w:val="center"/>
          </w:tcPr>
          <w:p w14:paraId="55504AAC">
            <w:pPr>
              <w:adjustRightInd w:val="0"/>
              <w:snapToGrid w:val="0"/>
              <w:spacing w:line="360" w:lineRule="auto"/>
              <w:jc w:val="center"/>
              <w:rPr>
                <w:rFonts w:hint="eastAsia" w:ascii="宋体" w:hAnsi="宋体"/>
                <w:szCs w:val="21"/>
              </w:rPr>
            </w:pPr>
            <w:r>
              <w:rPr>
                <w:rFonts w:hint="eastAsia" w:ascii="宋体" w:hAnsi="宋体"/>
                <w:szCs w:val="21"/>
              </w:rPr>
              <w:t>项   目</w:t>
            </w:r>
          </w:p>
        </w:tc>
        <w:tc>
          <w:tcPr>
            <w:tcW w:w="3379" w:type="dxa"/>
            <w:noWrap w:val="0"/>
            <w:vAlign w:val="center"/>
          </w:tcPr>
          <w:p w14:paraId="793CFBC5">
            <w:pPr>
              <w:adjustRightInd w:val="0"/>
              <w:snapToGrid w:val="0"/>
              <w:spacing w:line="360" w:lineRule="auto"/>
              <w:jc w:val="center"/>
              <w:rPr>
                <w:rFonts w:hint="eastAsia" w:ascii="宋体" w:hAnsi="宋体"/>
                <w:szCs w:val="21"/>
              </w:rPr>
            </w:pPr>
            <w:r>
              <w:rPr>
                <w:rFonts w:hint="eastAsia" w:ascii="宋体" w:hAnsi="宋体"/>
                <w:szCs w:val="21"/>
              </w:rPr>
              <w:t>允许偏差(</w:t>
            </w:r>
            <w:r>
              <w:rPr>
                <w:rFonts w:ascii="宋体" w:hAnsi="宋体"/>
                <w:szCs w:val="21"/>
              </w:rPr>
              <w:t>mm</w:t>
            </w:r>
            <w:r>
              <w:rPr>
                <w:rFonts w:hint="eastAsia" w:ascii="宋体" w:hAnsi="宋体"/>
                <w:szCs w:val="21"/>
              </w:rPr>
              <w:t>)</w:t>
            </w:r>
          </w:p>
        </w:tc>
      </w:tr>
      <w:tr w14:paraId="531E2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194" w:type="dxa"/>
            <w:gridSpan w:val="2"/>
            <w:noWrap w:val="0"/>
            <w:vAlign w:val="center"/>
          </w:tcPr>
          <w:p w14:paraId="5368AB24">
            <w:pPr>
              <w:adjustRightInd w:val="0"/>
              <w:snapToGrid w:val="0"/>
              <w:spacing w:line="360" w:lineRule="auto"/>
              <w:jc w:val="center"/>
              <w:rPr>
                <w:rFonts w:hint="eastAsia" w:ascii="宋体" w:hAnsi="宋体"/>
                <w:szCs w:val="21"/>
              </w:rPr>
            </w:pPr>
            <w:r>
              <w:rPr>
                <w:rFonts w:hint="eastAsia" w:ascii="宋体" w:hAnsi="宋体"/>
                <w:szCs w:val="21"/>
              </w:rPr>
              <w:t>轴线偏位</w:t>
            </w:r>
          </w:p>
        </w:tc>
        <w:tc>
          <w:tcPr>
            <w:tcW w:w="3379" w:type="dxa"/>
            <w:noWrap w:val="0"/>
            <w:vAlign w:val="center"/>
          </w:tcPr>
          <w:p w14:paraId="56101387">
            <w:pPr>
              <w:adjustRightInd w:val="0"/>
              <w:snapToGrid w:val="0"/>
              <w:spacing w:line="360" w:lineRule="auto"/>
              <w:jc w:val="center"/>
              <w:rPr>
                <w:rFonts w:hint="eastAsia" w:ascii="宋体" w:hAnsi="宋体"/>
                <w:szCs w:val="21"/>
              </w:rPr>
            </w:pPr>
            <w:r>
              <w:rPr>
                <w:rFonts w:hint="eastAsia" w:ascii="宋体" w:hAnsi="宋体"/>
                <w:szCs w:val="21"/>
              </w:rPr>
              <w:t>50</w:t>
            </w:r>
          </w:p>
        </w:tc>
      </w:tr>
      <w:tr w14:paraId="1A09D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194" w:type="dxa"/>
            <w:gridSpan w:val="2"/>
            <w:noWrap w:val="0"/>
            <w:vAlign w:val="center"/>
          </w:tcPr>
          <w:p w14:paraId="321D0B49">
            <w:pPr>
              <w:adjustRightInd w:val="0"/>
              <w:snapToGrid w:val="0"/>
              <w:spacing w:line="360" w:lineRule="auto"/>
              <w:jc w:val="center"/>
              <w:rPr>
                <w:rFonts w:hint="eastAsia" w:ascii="宋体" w:hAnsi="宋体"/>
                <w:szCs w:val="21"/>
              </w:rPr>
            </w:pPr>
            <w:r>
              <w:rPr>
                <w:rFonts w:hint="eastAsia" w:ascii="宋体" w:hAnsi="宋体"/>
                <w:szCs w:val="21"/>
              </w:rPr>
              <w:t>流水面高程</w:t>
            </w:r>
          </w:p>
        </w:tc>
        <w:tc>
          <w:tcPr>
            <w:tcW w:w="3379" w:type="dxa"/>
            <w:noWrap w:val="0"/>
            <w:vAlign w:val="center"/>
          </w:tcPr>
          <w:p w14:paraId="215E9C08">
            <w:pPr>
              <w:adjustRightInd w:val="0"/>
              <w:snapToGrid w:val="0"/>
              <w:spacing w:line="360" w:lineRule="auto"/>
              <w:jc w:val="center"/>
              <w:rPr>
                <w:rFonts w:hint="eastAsia" w:ascii="宋体" w:hAnsi="宋体"/>
                <w:szCs w:val="21"/>
              </w:rPr>
            </w:pPr>
            <w:r>
              <w:rPr>
                <w:rFonts w:hint="eastAsia" w:ascii="宋体" w:hAnsi="宋体"/>
                <w:szCs w:val="21"/>
              </w:rPr>
              <w:t>±20</w:t>
            </w:r>
          </w:p>
        </w:tc>
      </w:tr>
      <w:tr w14:paraId="6764B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194" w:type="dxa"/>
            <w:gridSpan w:val="2"/>
            <w:noWrap w:val="0"/>
            <w:vAlign w:val="center"/>
          </w:tcPr>
          <w:p w14:paraId="23606D2F">
            <w:pPr>
              <w:adjustRightInd w:val="0"/>
              <w:snapToGrid w:val="0"/>
              <w:spacing w:line="360" w:lineRule="auto"/>
              <w:jc w:val="center"/>
              <w:rPr>
                <w:rFonts w:hint="eastAsia" w:ascii="宋体" w:hAnsi="宋体"/>
                <w:szCs w:val="21"/>
              </w:rPr>
            </w:pPr>
            <w:r>
              <w:rPr>
                <w:rFonts w:hint="eastAsia" w:ascii="宋体" w:hAnsi="宋体"/>
                <w:szCs w:val="21"/>
              </w:rPr>
              <w:t>涵管长度</w:t>
            </w:r>
          </w:p>
        </w:tc>
        <w:tc>
          <w:tcPr>
            <w:tcW w:w="3379" w:type="dxa"/>
            <w:noWrap w:val="0"/>
            <w:vAlign w:val="center"/>
          </w:tcPr>
          <w:p w14:paraId="5DEF908A">
            <w:pPr>
              <w:adjustRightInd w:val="0"/>
              <w:snapToGrid w:val="0"/>
              <w:spacing w:line="360" w:lineRule="auto"/>
              <w:jc w:val="center"/>
              <w:rPr>
                <w:rFonts w:hint="eastAsia" w:ascii="宋体" w:hAnsi="宋体"/>
                <w:szCs w:val="21"/>
              </w:rPr>
            </w:pPr>
            <w:r>
              <w:rPr>
                <w:rFonts w:hint="eastAsia" w:ascii="宋体" w:hAnsi="宋体"/>
                <w:szCs w:val="21"/>
              </w:rPr>
              <w:t>+l00，-50</w:t>
            </w:r>
          </w:p>
        </w:tc>
      </w:tr>
      <w:tr w14:paraId="4315D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194" w:type="dxa"/>
            <w:gridSpan w:val="2"/>
            <w:noWrap w:val="0"/>
            <w:vAlign w:val="center"/>
          </w:tcPr>
          <w:p w14:paraId="0B6A0CCA">
            <w:pPr>
              <w:adjustRightInd w:val="0"/>
              <w:snapToGrid w:val="0"/>
              <w:spacing w:line="360" w:lineRule="auto"/>
              <w:jc w:val="center"/>
              <w:rPr>
                <w:rFonts w:hint="eastAsia" w:ascii="宋体" w:hAnsi="宋体"/>
                <w:szCs w:val="21"/>
              </w:rPr>
            </w:pPr>
            <w:r>
              <w:rPr>
                <w:rFonts w:hint="eastAsia" w:ascii="宋体" w:hAnsi="宋体"/>
                <w:szCs w:val="21"/>
              </w:rPr>
              <w:t>管座或垫层混凝土强度（MPa）</w:t>
            </w:r>
          </w:p>
        </w:tc>
        <w:tc>
          <w:tcPr>
            <w:tcW w:w="3379" w:type="dxa"/>
            <w:noWrap w:val="0"/>
            <w:vAlign w:val="center"/>
          </w:tcPr>
          <w:p w14:paraId="6A5D98E6">
            <w:pPr>
              <w:adjustRightInd w:val="0"/>
              <w:snapToGrid w:val="0"/>
              <w:spacing w:line="360" w:lineRule="auto"/>
              <w:jc w:val="center"/>
              <w:rPr>
                <w:rFonts w:hint="eastAsia" w:ascii="宋体" w:hAnsi="宋体"/>
                <w:szCs w:val="21"/>
              </w:rPr>
            </w:pPr>
            <w:r>
              <w:rPr>
                <w:rFonts w:hint="eastAsia" w:ascii="宋体" w:hAnsi="宋体"/>
                <w:szCs w:val="21"/>
              </w:rPr>
              <w:t>在合格标准内</w:t>
            </w:r>
          </w:p>
        </w:tc>
      </w:tr>
      <w:tr w14:paraId="33BF9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194" w:type="dxa"/>
            <w:gridSpan w:val="2"/>
            <w:noWrap w:val="0"/>
            <w:vAlign w:val="center"/>
          </w:tcPr>
          <w:p w14:paraId="3D0F7DBF">
            <w:pPr>
              <w:adjustRightInd w:val="0"/>
              <w:snapToGrid w:val="0"/>
              <w:spacing w:line="360" w:lineRule="auto"/>
              <w:jc w:val="center"/>
              <w:rPr>
                <w:rFonts w:hint="eastAsia" w:ascii="宋体" w:hAnsi="宋体"/>
                <w:szCs w:val="21"/>
              </w:rPr>
            </w:pPr>
            <w:r>
              <w:rPr>
                <w:rFonts w:hint="eastAsia" w:ascii="宋体" w:hAnsi="宋体"/>
                <w:szCs w:val="21"/>
              </w:rPr>
              <w:t>管座或垫层宽度、厚度</w:t>
            </w:r>
          </w:p>
        </w:tc>
        <w:tc>
          <w:tcPr>
            <w:tcW w:w="3379" w:type="dxa"/>
            <w:noWrap w:val="0"/>
            <w:vAlign w:val="center"/>
          </w:tcPr>
          <w:p w14:paraId="624B667E">
            <w:pPr>
              <w:adjustRightInd w:val="0"/>
              <w:snapToGrid w:val="0"/>
              <w:spacing w:line="360" w:lineRule="auto"/>
              <w:jc w:val="center"/>
              <w:rPr>
                <w:rFonts w:hint="eastAsia" w:ascii="宋体" w:hAnsi="宋体"/>
                <w:szCs w:val="21"/>
              </w:rPr>
            </w:pPr>
            <w:r>
              <w:rPr>
                <w:rFonts w:hint="eastAsia" w:ascii="宋体" w:hAnsi="宋体"/>
                <w:szCs w:val="21"/>
              </w:rPr>
              <w:t>≥设计值</w:t>
            </w:r>
          </w:p>
        </w:tc>
      </w:tr>
      <w:tr w14:paraId="04035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exact"/>
          <w:jc w:val="center"/>
        </w:trPr>
        <w:tc>
          <w:tcPr>
            <w:tcW w:w="1597" w:type="dxa"/>
            <w:vMerge w:val="restart"/>
            <w:noWrap w:val="0"/>
            <w:vAlign w:val="center"/>
          </w:tcPr>
          <w:p w14:paraId="14684268">
            <w:pPr>
              <w:adjustRightInd w:val="0"/>
              <w:snapToGrid w:val="0"/>
              <w:spacing w:line="360" w:lineRule="auto"/>
              <w:ind w:left="0" w:leftChars="0" w:firstLine="0" w:firstLineChars="0"/>
              <w:jc w:val="both"/>
              <w:rPr>
                <w:rFonts w:hint="eastAsia" w:ascii="宋体" w:hAnsi="宋体"/>
                <w:szCs w:val="21"/>
              </w:rPr>
            </w:pPr>
            <w:r>
              <w:rPr>
                <w:rFonts w:hint="eastAsia" w:ascii="宋体" w:hAnsi="宋体"/>
                <w:szCs w:val="21"/>
              </w:rPr>
              <w:t>相邻管节底面错台(mm)</w:t>
            </w:r>
          </w:p>
        </w:tc>
        <w:tc>
          <w:tcPr>
            <w:tcW w:w="1597" w:type="dxa"/>
            <w:noWrap w:val="0"/>
            <w:vAlign w:val="center"/>
          </w:tcPr>
          <w:p w14:paraId="29441DF0">
            <w:pPr>
              <w:adjustRightInd w:val="0"/>
              <w:snapToGrid w:val="0"/>
              <w:spacing w:line="360" w:lineRule="auto"/>
              <w:ind w:left="0" w:leftChars="0" w:firstLine="0" w:firstLineChars="0"/>
              <w:jc w:val="both"/>
              <w:rPr>
                <w:rFonts w:hint="eastAsia" w:ascii="宋体" w:hAnsi="宋体"/>
                <w:szCs w:val="21"/>
              </w:rPr>
            </w:pPr>
            <w:r>
              <w:rPr>
                <w:rFonts w:hint="eastAsia" w:ascii="宋体" w:hAnsi="宋体"/>
                <w:szCs w:val="21"/>
              </w:rPr>
              <w:t>管径≤1.0m</w:t>
            </w:r>
          </w:p>
        </w:tc>
        <w:tc>
          <w:tcPr>
            <w:tcW w:w="3379" w:type="dxa"/>
            <w:noWrap w:val="0"/>
            <w:vAlign w:val="center"/>
          </w:tcPr>
          <w:p w14:paraId="19DC4EE2">
            <w:pPr>
              <w:adjustRightInd w:val="0"/>
              <w:snapToGrid w:val="0"/>
              <w:spacing w:line="360" w:lineRule="auto"/>
              <w:jc w:val="center"/>
              <w:rPr>
                <w:rFonts w:hint="eastAsia" w:ascii="宋体" w:hAnsi="宋体"/>
                <w:szCs w:val="21"/>
              </w:rPr>
            </w:pPr>
            <w:r>
              <w:rPr>
                <w:rFonts w:hint="eastAsia" w:ascii="宋体" w:hAnsi="宋体"/>
                <w:szCs w:val="21"/>
              </w:rPr>
              <w:t>3</w:t>
            </w:r>
          </w:p>
        </w:tc>
      </w:tr>
      <w:tr w14:paraId="72016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exact"/>
          <w:jc w:val="center"/>
        </w:trPr>
        <w:tc>
          <w:tcPr>
            <w:tcW w:w="1597" w:type="dxa"/>
            <w:vMerge w:val="continue"/>
            <w:noWrap w:val="0"/>
            <w:vAlign w:val="center"/>
          </w:tcPr>
          <w:p w14:paraId="7AB37E38">
            <w:pPr>
              <w:adjustRightInd w:val="0"/>
              <w:snapToGrid w:val="0"/>
              <w:spacing w:line="360" w:lineRule="auto"/>
              <w:jc w:val="center"/>
              <w:rPr>
                <w:rFonts w:hint="eastAsia" w:ascii="宋体" w:hAnsi="宋体"/>
                <w:sz w:val="24"/>
              </w:rPr>
            </w:pPr>
          </w:p>
        </w:tc>
        <w:tc>
          <w:tcPr>
            <w:tcW w:w="1597" w:type="dxa"/>
            <w:noWrap w:val="0"/>
            <w:vAlign w:val="center"/>
          </w:tcPr>
          <w:p w14:paraId="4D154852">
            <w:pPr>
              <w:adjustRightInd w:val="0"/>
              <w:snapToGrid w:val="0"/>
              <w:spacing w:line="360" w:lineRule="auto"/>
              <w:ind w:left="0" w:leftChars="0" w:firstLine="0" w:firstLineChars="0"/>
              <w:jc w:val="both"/>
              <w:rPr>
                <w:rFonts w:hint="eastAsia" w:ascii="宋体" w:hAnsi="宋体"/>
                <w:szCs w:val="21"/>
              </w:rPr>
            </w:pPr>
            <w:r>
              <w:rPr>
                <w:rFonts w:hint="eastAsia" w:ascii="宋体" w:hAnsi="宋体"/>
                <w:szCs w:val="21"/>
              </w:rPr>
              <w:t>管径＞1.0m</w:t>
            </w:r>
          </w:p>
        </w:tc>
        <w:tc>
          <w:tcPr>
            <w:tcW w:w="3379" w:type="dxa"/>
            <w:noWrap w:val="0"/>
            <w:vAlign w:val="center"/>
          </w:tcPr>
          <w:p w14:paraId="0DF8429F">
            <w:pPr>
              <w:adjustRightInd w:val="0"/>
              <w:snapToGrid w:val="0"/>
              <w:spacing w:line="360" w:lineRule="auto"/>
              <w:jc w:val="center"/>
              <w:rPr>
                <w:rFonts w:hint="eastAsia" w:ascii="宋体" w:hAnsi="宋体"/>
                <w:szCs w:val="21"/>
              </w:rPr>
            </w:pPr>
            <w:r>
              <w:rPr>
                <w:rFonts w:hint="eastAsia" w:ascii="宋体" w:hAnsi="宋体"/>
                <w:szCs w:val="21"/>
              </w:rPr>
              <w:t>5</w:t>
            </w:r>
          </w:p>
        </w:tc>
      </w:tr>
    </w:tbl>
    <w:p w14:paraId="4ABE3924">
      <w:pPr>
        <w:spacing w:line="360" w:lineRule="auto"/>
        <w:ind w:firstLine="482" w:firstLineChars="200"/>
        <w:rPr>
          <w:rFonts w:hint="eastAsia" w:ascii="宋体" w:hAnsi="宋体"/>
          <w:b/>
          <w:bCs/>
          <w:sz w:val="24"/>
        </w:rPr>
      </w:pPr>
      <w:r>
        <w:rPr>
          <w:rFonts w:hint="eastAsia" w:ascii="宋体" w:hAnsi="宋体"/>
          <w:b/>
          <w:bCs/>
          <w:sz w:val="24"/>
        </w:rPr>
        <w:t>（九）洞口制作</w:t>
      </w:r>
    </w:p>
    <w:p w14:paraId="402488CD">
      <w:pPr>
        <w:spacing w:line="360" w:lineRule="auto"/>
        <w:ind w:firstLine="480" w:firstLineChars="200"/>
        <w:rPr>
          <w:rFonts w:hint="eastAsia" w:ascii="宋体" w:hAnsi="宋体"/>
          <w:sz w:val="24"/>
        </w:rPr>
      </w:pPr>
      <w:r>
        <w:rPr>
          <w:rFonts w:hint="eastAsia" w:ascii="宋体" w:hAnsi="宋体"/>
          <w:sz w:val="24"/>
        </w:rPr>
        <w:t>洞口制作在涵洞安装完成后进行，洞口八字翼墙采用</w:t>
      </w:r>
      <w:r>
        <w:rPr>
          <w:rFonts w:hint="eastAsia" w:ascii="宋体" w:hAnsi="宋体"/>
          <w:sz w:val="24"/>
          <w:lang w:val="en-US" w:eastAsia="zh-CN"/>
        </w:rPr>
        <w:t>C25片石砼</w:t>
      </w:r>
      <w:r>
        <w:rPr>
          <w:rFonts w:hint="eastAsia" w:ascii="宋体" w:hAnsi="宋体"/>
          <w:sz w:val="24"/>
        </w:rPr>
        <w:t>。洞口砼浇筑使用竹胶板做模板。</w:t>
      </w:r>
    </w:p>
    <w:p w14:paraId="381EAE4C">
      <w:pPr>
        <w:spacing w:line="360" w:lineRule="auto"/>
        <w:ind w:firstLine="482" w:firstLineChars="200"/>
        <w:rPr>
          <w:rFonts w:hint="eastAsia" w:ascii="宋体" w:hAnsi="宋体"/>
          <w:b/>
          <w:bCs/>
          <w:sz w:val="24"/>
        </w:rPr>
      </w:pPr>
      <w:r>
        <w:rPr>
          <w:rFonts w:hint="eastAsia" w:ascii="宋体" w:hAnsi="宋体"/>
          <w:b/>
          <w:bCs/>
          <w:sz w:val="24"/>
        </w:rPr>
        <w:t>（十）圆管涵施工工艺框图</w:t>
      </w:r>
    </w:p>
    <w:p w14:paraId="42EE367C">
      <w:pPr>
        <w:spacing w:line="360" w:lineRule="auto"/>
        <w:ind w:firstLine="480" w:firstLineChars="200"/>
        <w:rPr>
          <w:rFonts w:hint="eastAsia" w:ascii="宋体" w:hAnsi="宋体"/>
          <w:sz w:val="24"/>
        </w:rPr>
      </w:pPr>
      <w:r>
        <w:rPr>
          <w:rFonts w:hint="eastAsia" w:ascii="宋体" w:hAnsi="宋体"/>
          <w:sz w:val="24"/>
        </w:rPr>
        <mc:AlternateContent>
          <mc:Choice Requires="wps">
            <w:drawing>
              <wp:anchor distT="0" distB="0" distL="114300" distR="114300" simplePos="0" relativeHeight="251698176" behindDoc="0" locked="0" layoutInCell="1" allowOverlap="1">
                <wp:simplePos x="0" y="0"/>
                <wp:positionH relativeFrom="column">
                  <wp:posOffset>1891665</wp:posOffset>
                </wp:positionH>
                <wp:positionV relativeFrom="paragraph">
                  <wp:posOffset>157480</wp:posOffset>
                </wp:positionV>
                <wp:extent cx="1371600" cy="298450"/>
                <wp:effectExtent l="6350" t="6350" r="8890" b="15240"/>
                <wp:wrapNone/>
                <wp:docPr id="2222" name="文本框 2222"/>
                <wp:cNvGraphicFramePr/>
                <a:graphic xmlns:a="http://schemas.openxmlformats.org/drawingml/2006/main">
                  <a:graphicData uri="http://schemas.microsoft.com/office/word/2010/wordprocessingShape">
                    <wps:wsp>
                      <wps:cNvSpPr txBox="1"/>
                      <wps:spPr>
                        <a:xfrm>
                          <a:off x="0" y="0"/>
                          <a:ext cx="1371600" cy="2984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28192210">
                            <w:pPr>
                              <w:rPr>
                                <w:rFonts w:hint="eastAsia"/>
                              </w:rPr>
                            </w:pPr>
                            <w:r>
                              <w:rPr>
                                <w:rFonts w:hint="eastAsia"/>
                              </w:rPr>
                              <w:t xml:space="preserve">     施工准备</w:t>
                            </w:r>
                          </w:p>
                        </w:txbxContent>
                      </wps:txbx>
                      <wps:bodyPr upright="1"/>
                    </wps:wsp>
                  </a:graphicData>
                </a:graphic>
              </wp:anchor>
            </w:drawing>
          </mc:Choice>
          <mc:Fallback>
            <w:pict>
              <v:shape id="_x0000_s1026" o:spid="_x0000_s1026" o:spt="202" type="#_x0000_t202" style="position:absolute;left:0pt;margin-left:148.95pt;margin-top:12.4pt;height:23.5pt;width:108pt;z-index:251698176;mso-width-relative:page;mso-height-relative:page;" fillcolor="#FFCC00" filled="t" stroked="t" coordsize="21600,21600" o:gfxdata="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CHTv3XAAAACQEAAA8AAAAAAAAAAQAg&#10;AAAAIgAAAGRycy9kb3ducmV2LnhtbFBLAQIUABQAAAAIAIdO4kA59CKlDwIAAD0EAAAOAAAAAAAA&#10;AAEAIAAAACYBAABkcnMvZTJvRG9jLnhtbFBLBQYAAAAABgAGAFkBAACnBQAAAAA=&#10;">
                <v:fill on="t" focussize="0,0"/>
                <v:stroke weight="1pt" color="#FF0000" joinstyle="miter"/>
                <v:imagedata o:title=""/>
                <o:lock v:ext="edit" aspectratio="f"/>
                <v:textbox>
                  <w:txbxContent>
                    <w:p w14:paraId="28192210">
                      <w:pPr>
                        <w:rPr>
                          <w:rFonts w:hint="eastAsia"/>
                        </w:rPr>
                      </w:pPr>
                      <w:r>
                        <w:rPr>
                          <w:rFonts w:hint="eastAsia"/>
                        </w:rPr>
                        <w:t xml:space="preserve">     施工准备</w:t>
                      </w:r>
                    </w:p>
                  </w:txbxContent>
                </v:textbox>
              </v:shape>
            </w:pict>
          </mc:Fallback>
        </mc:AlternateContent>
      </w:r>
    </w:p>
    <w:p w14:paraId="49E4F255">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691008" behindDoc="0" locked="0" layoutInCell="0" allowOverlap="1">
                <wp:simplePos x="0" y="0"/>
                <wp:positionH relativeFrom="column">
                  <wp:posOffset>2525395</wp:posOffset>
                </wp:positionH>
                <wp:positionV relativeFrom="paragraph">
                  <wp:posOffset>93345</wp:posOffset>
                </wp:positionV>
                <wp:extent cx="5080" cy="316865"/>
                <wp:effectExtent l="34290" t="0" r="36830" b="3175"/>
                <wp:wrapNone/>
                <wp:docPr id="2224" name="直接连接符 2224"/>
                <wp:cNvGraphicFramePr/>
                <a:graphic xmlns:a="http://schemas.openxmlformats.org/drawingml/2006/main">
                  <a:graphicData uri="http://schemas.microsoft.com/office/word/2010/wordprocessingShape">
                    <wps:wsp>
                      <wps:cNvCnPr/>
                      <wps:spPr>
                        <a:xfrm>
                          <a:off x="0" y="0"/>
                          <a:ext cx="5080" cy="31686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8.85pt;margin-top:7.35pt;height:24.95pt;width:0.4pt;z-index:251691008;mso-width-relative:page;mso-height-relative:page;" filled="f" stroked="t" coordsize="21600,21600" o:allowincell="f" o:gfxdata="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QHDg9kAAAAJAQAADwAAAAAAAAABACAAAAAiAAAAZHJz&#10;L2Rvd25yZXYueG1sUEsBAhQAFAAAAAgAh07iQOnVS0gDAgAA8QMAAA4AAAAAAAAAAQAgAAAAKAEA&#10;AGRycy9lMm9Eb2MueG1sUEsFBgAAAAAGAAYAWQEAAJ0FAAAAAA==&#10;">
                <v:fill on="f" focussize="0,0"/>
                <v:stroke weight="1pt" color="#FF0000" joinstyle="round" endarrow="block"/>
                <v:imagedata o:title=""/>
                <o:lock v:ext="edit" aspectratio="f"/>
              </v:line>
            </w:pict>
          </mc:Fallback>
        </mc:AlternateContent>
      </w:r>
    </w:p>
    <w:p w14:paraId="5FB98C21">
      <w:pPr>
        <w:ind w:firstLine="624"/>
        <w:jc w:val="center"/>
        <w:rPr>
          <w:rFonts w:hint="eastAsia" w:ascii="宋体" w:hAnsi="宋体"/>
          <w:sz w:val="24"/>
        </w:rPr>
      </w:pPr>
    </w:p>
    <w:p w14:paraId="782DFAF5">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699200" behindDoc="0" locked="0" layoutInCell="1" allowOverlap="1">
                <wp:simplePos x="0" y="0"/>
                <wp:positionH relativeFrom="column">
                  <wp:posOffset>1828165</wp:posOffset>
                </wp:positionH>
                <wp:positionV relativeFrom="paragraph">
                  <wp:posOffset>6985</wp:posOffset>
                </wp:positionV>
                <wp:extent cx="1371600" cy="332105"/>
                <wp:effectExtent l="6350" t="6350" r="8890" b="12065"/>
                <wp:wrapNone/>
                <wp:docPr id="2223" name="文本框 2223"/>
                <wp:cNvGraphicFramePr/>
                <a:graphic xmlns:a="http://schemas.openxmlformats.org/drawingml/2006/main">
                  <a:graphicData uri="http://schemas.microsoft.com/office/word/2010/wordprocessingShape">
                    <wps:wsp>
                      <wps:cNvSpPr txBox="1"/>
                      <wps:spPr>
                        <a:xfrm>
                          <a:off x="0" y="0"/>
                          <a:ext cx="1371600" cy="332105"/>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2A9159BA">
                            <w:pPr>
                              <w:rPr>
                                <w:rFonts w:hint="eastAsia"/>
                              </w:rPr>
                            </w:pPr>
                            <w:r>
                              <w:rPr>
                                <w:rFonts w:hint="eastAsia"/>
                              </w:rPr>
                              <w:t xml:space="preserve">     定位放线</w:t>
                            </w:r>
                          </w:p>
                        </w:txbxContent>
                      </wps:txbx>
                      <wps:bodyPr upright="1"/>
                    </wps:wsp>
                  </a:graphicData>
                </a:graphic>
              </wp:anchor>
            </w:drawing>
          </mc:Choice>
          <mc:Fallback>
            <w:pict>
              <v:shape id="_x0000_s1026" o:spid="_x0000_s1026" o:spt="202" type="#_x0000_t202" style="position:absolute;left:0pt;margin-left:143.95pt;margin-top:0.55pt;height:26.15pt;width:108pt;z-index:251699200;mso-width-relative:page;mso-height-relative:page;" fillcolor="#FFCC00" filled="t" stroked="t" coordsize="21600,21600" o:gfxdata="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xjAy/VAAAACAEAAA8AAAAAAAAAAQAgAAAA&#10;IgAAAGRycy9kb3ducmV2LnhtbFBLAQIUABQAAAAIAIdO4kCUgV4mDgIAAD0EAAAOAAAAAAAAAAEA&#10;IAAAACQBAABkcnMvZTJvRG9jLnhtbFBLBQYAAAAABgAGAFkBAACkBQAAAAA=&#10;">
                <v:fill on="t" focussize="0,0"/>
                <v:stroke weight="1pt" color="#FF0000" joinstyle="miter"/>
                <v:imagedata o:title=""/>
                <o:lock v:ext="edit" aspectratio="f"/>
                <v:textbox>
                  <w:txbxContent>
                    <w:p w14:paraId="2A9159BA">
                      <w:pPr>
                        <w:rPr>
                          <w:rFonts w:hint="eastAsia"/>
                        </w:rPr>
                      </w:pPr>
                      <w:r>
                        <w:rPr>
                          <w:rFonts w:hint="eastAsia"/>
                        </w:rPr>
                        <w:t xml:space="preserve">     定位放线</w:t>
                      </w:r>
                    </w:p>
                  </w:txbxContent>
                </v:textbox>
              </v:shape>
            </w:pict>
          </mc:Fallback>
        </mc:AlternateContent>
      </w:r>
      <w:r>
        <w:rPr>
          <w:rFonts w:hint="eastAsia" w:ascii="宋体" w:hAnsi="宋体"/>
          <w:sz w:val="24"/>
        </w:rPr>
        <mc:AlternateContent>
          <mc:Choice Requires="wps">
            <w:drawing>
              <wp:anchor distT="0" distB="0" distL="114300" distR="114300" simplePos="0" relativeHeight="251710464" behindDoc="0" locked="0" layoutInCell="1" allowOverlap="1">
                <wp:simplePos x="0" y="0"/>
                <wp:positionH relativeFrom="column">
                  <wp:posOffset>862965</wp:posOffset>
                </wp:positionH>
                <wp:positionV relativeFrom="paragraph">
                  <wp:posOffset>150495</wp:posOffset>
                </wp:positionV>
                <wp:extent cx="635" cy="133350"/>
                <wp:effectExtent l="38100" t="0" r="37465" b="3810"/>
                <wp:wrapNone/>
                <wp:docPr id="2225" name="直接连接符 2225"/>
                <wp:cNvGraphicFramePr/>
                <a:graphic xmlns:a="http://schemas.openxmlformats.org/drawingml/2006/main">
                  <a:graphicData uri="http://schemas.microsoft.com/office/word/2010/wordprocessingShape">
                    <wps:wsp>
                      <wps:cNvCnPr/>
                      <wps:spPr>
                        <a:xfrm>
                          <a:off x="0" y="0"/>
                          <a:ext cx="635" cy="1333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67.95pt;margin-top:11.85pt;height:10.5pt;width:0.05pt;z-index:251710464;mso-width-relative:page;mso-height-relative:page;" filled="f" stroked="t" coordsize="21600,21600" o:gfxdata="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PaFR1wAAAAkBAAAPAAAAAAAAAAEAIAAAACIAAABkcnMv&#10;ZG93bnJldi54bWxQSwECFAAUAAAACACHTuJA1SzgTQQCAADwAwAADgAAAAAAAAABACAAAAAmAQAA&#10;ZHJzL2Uyb0RvYy54bWxQSwUGAAAAAAYABgBZAQAAnAUAAAAA&#10;">
                <v:fill on="f" focussize="0,0"/>
                <v:stroke weight="1pt" color="#FF0000" joinstyle="round" endarrow="block"/>
                <v:imagedata o:title=""/>
                <o:lock v:ext="edit" aspectratio="f"/>
              </v:line>
            </w:pict>
          </mc:Fallback>
        </mc:AlternateContent>
      </w:r>
      <w:r>
        <w:rPr>
          <w:rFonts w:hint="eastAsia" w:ascii="宋体" w:hAnsi="宋体"/>
          <w:sz w:val="24"/>
        </w:rPr>
        <mc:AlternateContent>
          <mc:Choice Requires="wps">
            <w:drawing>
              <wp:anchor distT="0" distB="0" distL="114300" distR="114300" simplePos="0" relativeHeight="251709440" behindDoc="0" locked="0" layoutInCell="1" allowOverlap="1">
                <wp:simplePos x="0" y="0"/>
                <wp:positionH relativeFrom="column">
                  <wp:posOffset>862965</wp:posOffset>
                </wp:positionH>
                <wp:positionV relativeFrom="paragraph">
                  <wp:posOffset>150495</wp:posOffset>
                </wp:positionV>
                <wp:extent cx="965200" cy="635"/>
                <wp:effectExtent l="0" t="0" r="0" b="0"/>
                <wp:wrapNone/>
                <wp:docPr id="2226" name="直接连接符 2226"/>
                <wp:cNvGraphicFramePr/>
                <a:graphic xmlns:a="http://schemas.openxmlformats.org/drawingml/2006/main">
                  <a:graphicData uri="http://schemas.microsoft.com/office/word/2010/wordprocessingShape">
                    <wps:wsp>
                      <wps:cNvCnPr/>
                      <wps:spPr>
                        <a:xfrm flipH="1">
                          <a:off x="0" y="0"/>
                          <a:ext cx="965200" cy="635"/>
                        </a:xfrm>
                        <a:prstGeom prst="line">
                          <a:avLst/>
                        </a:prstGeom>
                        <a:ln w="127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67.95pt;margin-top:11.85pt;height:0.05pt;width:76pt;z-index:251709440;mso-width-relative:page;mso-height-relative:page;" filled="f" stroked="t" coordsize="21600,21600" o:gfxdata="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KSCsnWAAAACQEAAA8AAAAAAAAAAQAgAAAAIgAAAGRycy9kb3du&#10;cmV2LnhtbFBLAQIUABQAAAAIAIdO4kB3eo8AAQIAAPYDAAAOAAAAAAAAAAEAIAAAACUBAABkcnMv&#10;ZTJvRG9jLnhtbFBLBQYAAAAABgAGAFkBAACYBQAAAAA=&#10;">
                <v:fill on="f" focussize="0,0"/>
                <v:stroke weight="1pt" color="#FF0000" joinstyle="round"/>
                <v:imagedata o:title=""/>
                <o:lock v:ext="edit" aspectratio="f"/>
              </v:line>
            </w:pict>
          </mc:Fallback>
        </mc:AlternateContent>
      </w:r>
      <w:r>
        <w:rPr>
          <w:rFonts w:hint="eastAsia" w:ascii="宋体" w:hAnsi="宋体"/>
          <w:sz w:val="24"/>
        </w:rPr>
        <mc:AlternateContent>
          <mc:Choice Requires="wps">
            <w:drawing>
              <wp:anchor distT="0" distB="0" distL="114300" distR="114300" simplePos="0" relativeHeight="251692032" behindDoc="0" locked="0" layoutInCell="0" allowOverlap="1">
                <wp:simplePos x="0" y="0"/>
                <wp:positionH relativeFrom="column">
                  <wp:posOffset>1828800</wp:posOffset>
                </wp:positionH>
                <wp:positionV relativeFrom="paragraph">
                  <wp:posOffset>15240</wp:posOffset>
                </wp:positionV>
                <wp:extent cx="1371600" cy="297180"/>
                <wp:effectExtent l="4445" t="4445" r="10795" b="18415"/>
                <wp:wrapNone/>
                <wp:docPr id="2227" name="文本框 2227"/>
                <wp:cNvGraphicFramePr/>
                <a:graphic xmlns:a="http://schemas.openxmlformats.org/drawingml/2006/main">
                  <a:graphicData uri="http://schemas.microsoft.com/office/word/2010/wordprocessingShape">
                    <wps:wsp>
                      <wps:cNvSpPr txBox="1"/>
                      <wps:spPr>
                        <a:xfrm>
                          <a:off x="0" y="0"/>
                          <a:ext cx="1371600" cy="297180"/>
                        </a:xfrm>
                        <a:prstGeom prst="rect">
                          <a:avLst/>
                        </a:prstGeom>
                        <a:noFill/>
                        <a:ln w="9525" cap="flat" cmpd="sng">
                          <a:solidFill>
                            <a:srgbClr val="000000"/>
                          </a:solidFill>
                          <a:prstDash val="solid"/>
                          <a:miter/>
                          <a:headEnd type="none" w="med" len="med"/>
                          <a:tailEnd type="none" w="med" len="med"/>
                        </a:ln>
                      </wps:spPr>
                      <wps:txbx>
                        <w:txbxContent>
                          <w:p w14:paraId="7071D635">
                            <w:pPr>
                              <w:jc w:val="center"/>
                            </w:pPr>
                            <w:r>
                              <w:rPr>
                                <w:rFonts w:hint="eastAsia"/>
                              </w:rPr>
                              <w:t>施工测量放样</w:t>
                            </w:r>
                          </w:p>
                        </w:txbxContent>
                      </wps:txbx>
                      <wps:bodyPr upright="1"/>
                    </wps:wsp>
                  </a:graphicData>
                </a:graphic>
              </wp:anchor>
            </w:drawing>
          </mc:Choice>
          <mc:Fallback>
            <w:pict>
              <v:shape id="_x0000_s1026" o:spid="_x0000_s1026" o:spt="202" type="#_x0000_t202" style="position:absolute;left:0pt;margin-left:144pt;margin-top:1.2pt;height:23.4pt;width:108pt;z-index:251692032;mso-width-relative:page;mso-height-relative:page;" filled="f" stroked="t" coordsize="21600,21600" o:allowincell="f" o:gfxdata="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6YRG3NYAAAAIAQAADwAAAAAAAAABACAAAAAiAAAA&#10;ZHJzL2Rvd25yZXYueG1sUEsBAhQAFAAAAAgAh07iQLOKnp0JAgAAEwQAAA4AAAAAAAAAAQAgAAAA&#10;JQEAAGRycy9lMm9Eb2MueG1sUEsFBgAAAAAGAAYAWQEAAKAFAAAAAA==&#10;">
                <v:fill on="f" focussize="0,0"/>
                <v:stroke color="#000000" joinstyle="miter"/>
                <v:imagedata o:title=""/>
                <o:lock v:ext="edit" aspectratio="f"/>
                <v:textbox>
                  <w:txbxContent>
                    <w:p w14:paraId="7071D635">
                      <w:pPr>
                        <w:jc w:val="center"/>
                      </w:pPr>
                      <w:r>
                        <w:rPr>
                          <w:rFonts w:hint="eastAsia"/>
                        </w:rPr>
                        <w:t>施工测量放样</w:t>
                      </w:r>
                    </w:p>
                  </w:txbxContent>
                </v:textbox>
              </v:shape>
            </w:pict>
          </mc:Fallback>
        </mc:AlternateContent>
      </w:r>
    </w:p>
    <w:p w14:paraId="21281329">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07392" behindDoc="0" locked="0" layoutInCell="1" allowOverlap="1">
                <wp:simplePos x="0" y="0"/>
                <wp:positionH relativeFrom="column">
                  <wp:posOffset>374015</wp:posOffset>
                </wp:positionH>
                <wp:positionV relativeFrom="paragraph">
                  <wp:posOffset>93345</wp:posOffset>
                </wp:positionV>
                <wp:extent cx="1047750" cy="285750"/>
                <wp:effectExtent l="6350" t="6350" r="12700" b="12700"/>
                <wp:wrapNone/>
                <wp:docPr id="2228" name="文本框 2228"/>
                <wp:cNvGraphicFramePr/>
                <a:graphic xmlns:a="http://schemas.openxmlformats.org/drawingml/2006/main">
                  <a:graphicData uri="http://schemas.microsoft.com/office/word/2010/wordprocessingShape">
                    <wps:wsp>
                      <wps:cNvSpPr txBox="1"/>
                      <wps:spPr>
                        <a:xfrm>
                          <a:off x="0" y="0"/>
                          <a:ext cx="1047750" cy="2857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3BBAE04E">
                            <w:pPr>
                              <w:rPr>
                                <w:rFonts w:hint="eastAsia"/>
                              </w:rPr>
                            </w:pPr>
                            <w:r>
                              <w:rPr>
                                <w:rFonts w:hint="eastAsia"/>
                              </w:rPr>
                              <w:t xml:space="preserve"> </w:t>
                            </w:r>
                            <w:r>
                              <w:rPr>
                                <w:rFonts w:hint="eastAsia"/>
                                <w:color w:val="0000FF"/>
                              </w:rPr>
                              <w:t xml:space="preserve"> </w:t>
                            </w:r>
                            <w:r>
                              <w:rPr>
                                <w:rFonts w:hint="eastAsia"/>
                              </w:rPr>
                              <w:t>成果报验</w:t>
                            </w:r>
                          </w:p>
                        </w:txbxContent>
                      </wps:txbx>
                      <wps:bodyPr upright="1"/>
                    </wps:wsp>
                  </a:graphicData>
                </a:graphic>
              </wp:anchor>
            </w:drawing>
          </mc:Choice>
          <mc:Fallback>
            <w:pict>
              <v:shape id="_x0000_s1026" o:spid="_x0000_s1026" o:spt="202" type="#_x0000_t202" style="position:absolute;left:0pt;margin-left:29.45pt;margin-top:7.35pt;height:22.5pt;width:82.5pt;z-index:251707392;mso-width-relative:page;mso-height-relative:page;" fillcolor="#FFCC00" filled="t" stroked="t" coordsize="21600,21600" o:gfxdata="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bFKhe1QAAAAgBAAAPAAAAAAAAAAEAIAAA&#10;ACIAAABkcnMvZG93bnJldi54bWxQSwECFAAUAAAACACHTuJAJHCPGw8CAAA9BAAADgAAAAAAAAAB&#10;ACAAAAAkAQAAZHJzL2Uyb0RvYy54bWxQSwUGAAAAAAYABgBZAQAApQUAAAAA&#10;">
                <v:fill on="t" focussize="0,0"/>
                <v:stroke weight="1pt" color="#FF0000" joinstyle="miter"/>
                <v:imagedata o:title=""/>
                <o:lock v:ext="edit" aspectratio="f"/>
                <v:textbox>
                  <w:txbxContent>
                    <w:p w14:paraId="3BBAE04E">
                      <w:pPr>
                        <w:rPr>
                          <w:rFonts w:hint="eastAsia"/>
                        </w:rPr>
                      </w:pPr>
                      <w:r>
                        <w:rPr>
                          <w:rFonts w:hint="eastAsia"/>
                        </w:rPr>
                        <w:t xml:space="preserve"> </w:t>
                      </w:r>
                      <w:r>
                        <w:rPr>
                          <w:rFonts w:hint="eastAsia"/>
                          <w:color w:val="0000FF"/>
                        </w:rPr>
                        <w:t xml:space="preserve"> </w:t>
                      </w:r>
                      <w:r>
                        <w:rPr>
                          <w:rFonts w:hint="eastAsia"/>
                        </w:rPr>
                        <w:t>成果报验</w:t>
                      </w:r>
                    </w:p>
                  </w:txbxContent>
                </v:textbox>
              </v:shape>
            </w:pict>
          </mc:Fallback>
        </mc:AlternateContent>
      </w:r>
      <w:r>
        <w:rPr>
          <w:rFonts w:hint="eastAsia" w:ascii="宋体" w:hAnsi="宋体"/>
          <w:sz w:val="24"/>
        </w:rPr>
        <mc:AlternateContent>
          <mc:Choice Requires="wps">
            <w:drawing>
              <wp:anchor distT="0" distB="0" distL="114300" distR="114300" simplePos="0" relativeHeight="251693056" behindDoc="0" locked="0" layoutInCell="1" allowOverlap="1">
                <wp:simplePos x="0" y="0"/>
                <wp:positionH relativeFrom="column">
                  <wp:posOffset>2520315</wp:posOffset>
                </wp:positionH>
                <wp:positionV relativeFrom="paragraph">
                  <wp:posOffset>107950</wp:posOffset>
                </wp:positionV>
                <wp:extent cx="635" cy="254000"/>
                <wp:effectExtent l="37465" t="0" r="38100" b="5080"/>
                <wp:wrapNone/>
                <wp:docPr id="2229" name="直接连接符 2229"/>
                <wp:cNvGraphicFramePr/>
                <a:graphic xmlns:a="http://schemas.openxmlformats.org/drawingml/2006/main">
                  <a:graphicData uri="http://schemas.microsoft.com/office/word/2010/wordprocessingShape">
                    <wps:wsp>
                      <wps:cNvCnPr/>
                      <wps:spPr>
                        <a:xfrm>
                          <a:off x="0" y="0"/>
                          <a:ext cx="635" cy="25400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8.45pt;margin-top:8.5pt;height:20pt;width:0.05pt;z-index:251693056;mso-width-relative:page;mso-height-relative:page;" filled="f" stroked="t" coordsize="21600,21600" o:gfxdata="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szkQf1wAAAAkBAAAPAAAAAAAAAAEAIAAAACIAAABkcnMvZG93&#10;bnJldi54bWxQSwECFAAUAAAACACHTuJA1O+bGAECAADwAwAADgAAAAAAAAABACAAAAAmAQAAZHJz&#10;L2Uyb0RvYy54bWxQSwUGAAAAAAYABgBZAQAAmQUAAAAA&#10;">
                <v:fill on="f" focussize="0,0"/>
                <v:stroke weight="1pt" color="#FF0000" joinstyle="round" endarrow="block"/>
                <v:imagedata o:title=""/>
                <o:lock v:ext="edit" aspectratio="f"/>
              </v:line>
            </w:pict>
          </mc:Fallback>
        </mc:AlternateContent>
      </w:r>
    </w:p>
    <w:p w14:paraId="241D4EC0">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1488" behindDoc="0" locked="0" layoutInCell="1" allowOverlap="1">
                <wp:simplePos x="0" y="0"/>
                <wp:positionH relativeFrom="column">
                  <wp:posOffset>862965</wp:posOffset>
                </wp:positionH>
                <wp:positionV relativeFrom="paragraph">
                  <wp:posOffset>177800</wp:posOffset>
                </wp:positionV>
                <wp:extent cx="635" cy="133350"/>
                <wp:effectExtent l="6350" t="0" r="8255" b="3810"/>
                <wp:wrapNone/>
                <wp:docPr id="2230" name="直接连接符 2230"/>
                <wp:cNvGraphicFramePr/>
                <a:graphic xmlns:a="http://schemas.openxmlformats.org/drawingml/2006/main">
                  <a:graphicData uri="http://schemas.microsoft.com/office/word/2010/wordprocessingShape">
                    <wps:wsp>
                      <wps:cNvCnPr/>
                      <wps:spPr>
                        <a:xfrm>
                          <a:off x="0" y="0"/>
                          <a:ext cx="635" cy="133350"/>
                        </a:xfrm>
                        <a:prstGeom prst="line">
                          <a:avLst/>
                        </a:prstGeom>
                        <a:ln w="1270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67.95pt;margin-top:14pt;height:10.5pt;width:0.05pt;z-index:251711488;mso-width-relative:page;mso-height-relative:page;" filled="f" stroked="t" coordsize="21600,21600" o:gfxdata="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EdfGTXAAAACQEAAA8AAAAAAAAAAQAgAAAAIgAAAGRycy9kb3ducmV2&#10;LnhtbFBLAQIUABQAAAAIAIdO4kBUpNzJ/QEAAOwDAAAOAAAAAAAAAAEAIAAAACYBAABkcnMvZTJv&#10;RG9jLnhtbFBLBQYAAAAABgAGAFkBAACVBQAAAAA=&#10;">
                <v:fill on="f" focussize="0,0"/>
                <v:stroke weight="1pt" color="#FF0000" joinstyle="round"/>
                <v:imagedata o:title=""/>
                <o:lock v:ext="edit" aspectratio="f"/>
              </v:line>
            </w:pict>
          </mc:Fallback>
        </mc:AlternateContent>
      </w:r>
      <w:r>
        <w:rPr>
          <w:rFonts w:hint="eastAsia" w:ascii="宋体" w:hAnsi="宋体"/>
          <w:sz w:val="24"/>
        </w:rPr>
        <mc:AlternateContent>
          <mc:Choice Requires="wps">
            <w:drawing>
              <wp:anchor distT="0" distB="0" distL="114300" distR="114300" simplePos="0" relativeHeight="251700224" behindDoc="0" locked="0" layoutInCell="1" allowOverlap="1">
                <wp:simplePos x="0" y="0"/>
                <wp:positionH relativeFrom="column">
                  <wp:posOffset>1840865</wp:posOffset>
                </wp:positionH>
                <wp:positionV relativeFrom="paragraph">
                  <wp:posOffset>159385</wp:posOffset>
                </wp:positionV>
                <wp:extent cx="1371600" cy="292100"/>
                <wp:effectExtent l="6350" t="6350" r="8890" b="6350"/>
                <wp:wrapNone/>
                <wp:docPr id="2231" name="文本框 2231"/>
                <wp:cNvGraphicFramePr/>
                <a:graphic xmlns:a="http://schemas.openxmlformats.org/drawingml/2006/main">
                  <a:graphicData uri="http://schemas.microsoft.com/office/word/2010/wordprocessingShape">
                    <wps:wsp>
                      <wps:cNvSpPr txBox="1"/>
                      <wps:spPr>
                        <a:xfrm>
                          <a:off x="0" y="0"/>
                          <a:ext cx="1371600" cy="29210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71B06C73">
                            <w:pPr>
                              <w:rPr>
                                <w:rFonts w:hint="eastAsia"/>
                              </w:rPr>
                            </w:pPr>
                            <w:r>
                              <w:rPr>
                                <w:rFonts w:hint="eastAsia"/>
                              </w:rPr>
                              <w:t xml:space="preserve">     基槽开挖</w:t>
                            </w:r>
                          </w:p>
                        </w:txbxContent>
                      </wps:txbx>
                      <wps:bodyPr upright="1"/>
                    </wps:wsp>
                  </a:graphicData>
                </a:graphic>
              </wp:anchor>
            </w:drawing>
          </mc:Choice>
          <mc:Fallback>
            <w:pict>
              <v:shape id="_x0000_s1026" o:spid="_x0000_s1026" o:spt="202" type="#_x0000_t202" style="position:absolute;left:0pt;margin-left:144.95pt;margin-top:12.55pt;height:23pt;width:108pt;z-index:251700224;mso-width-relative:page;mso-height-relative:page;" fillcolor="#FFCC00" filled="t" stroked="t" coordsize="21600,21600" o:gfxdata="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NiC881gAAAAkBAAAPAAAAAAAAAAEAIAAA&#10;ACIAAABkcnMvZG93bnJldi54bWxQSwECFAAUAAAACACHTuJA+He7dA4CAAA9BAAADgAAAAAAAAAB&#10;ACAAAAAlAQAAZHJzL2Uyb0RvYy54bWxQSwUGAAAAAAYABgBZAQAApQUAAAAA&#10;">
                <v:fill on="t" focussize="0,0"/>
                <v:stroke weight="1pt" color="#FF0000" joinstyle="miter"/>
                <v:imagedata o:title=""/>
                <o:lock v:ext="edit" aspectratio="f"/>
                <v:textbox>
                  <w:txbxContent>
                    <w:p w14:paraId="71B06C73">
                      <w:pPr>
                        <w:rPr>
                          <w:rFonts w:hint="eastAsia"/>
                        </w:rPr>
                      </w:pPr>
                      <w:r>
                        <w:rPr>
                          <w:rFonts w:hint="eastAsia"/>
                        </w:rPr>
                        <w:t xml:space="preserve">     基槽开挖</w:t>
                      </w:r>
                    </w:p>
                  </w:txbxContent>
                </v:textbox>
              </v:shape>
            </w:pict>
          </mc:Fallback>
        </mc:AlternateContent>
      </w:r>
    </w:p>
    <w:p w14:paraId="5258529D">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2512" behindDoc="0" locked="0" layoutInCell="1" allowOverlap="1">
                <wp:simplePos x="0" y="0"/>
                <wp:positionH relativeFrom="column">
                  <wp:posOffset>862965</wp:posOffset>
                </wp:positionH>
                <wp:positionV relativeFrom="paragraph">
                  <wp:posOffset>101600</wp:posOffset>
                </wp:positionV>
                <wp:extent cx="965200" cy="635"/>
                <wp:effectExtent l="0" t="37465" r="10160" b="38100"/>
                <wp:wrapNone/>
                <wp:docPr id="2256" name="直接连接符 2256"/>
                <wp:cNvGraphicFramePr/>
                <a:graphic xmlns:a="http://schemas.openxmlformats.org/drawingml/2006/main">
                  <a:graphicData uri="http://schemas.microsoft.com/office/word/2010/wordprocessingShape">
                    <wps:wsp>
                      <wps:cNvCnPr/>
                      <wps:spPr>
                        <a:xfrm>
                          <a:off x="0" y="0"/>
                          <a:ext cx="965200" cy="63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67.95pt;margin-top:8pt;height:0.05pt;width:76pt;z-index:251712512;mso-width-relative:page;mso-height-relative:page;" filled="f" stroked="t" coordsize="21600,21600" o:gfxdata="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0h6lltUAAAAJAQAADwAAAAAAAAABACAAAAAiAAAAZHJzL2Rvd25y&#10;ZXYueG1sUEsBAhQAFAAAAAgAh07iQFSvq8wBAgAA8AMAAA4AAAAAAAAAAQAgAAAAJAEAAGRycy9l&#10;Mm9Eb2MueG1sUEsFBgAAAAAGAAYAWQEAAJcFAAAAAA==&#10;">
                <v:fill on="f" focussize="0,0"/>
                <v:stroke weight="1pt" color="#FF0000" joinstyle="round" endarrow="block"/>
                <v:imagedata o:title=""/>
                <o:lock v:ext="edit" aspectratio="f"/>
              </v:line>
            </w:pict>
          </mc:Fallback>
        </mc:AlternateContent>
      </w:r>
    </w:p>
    <w:p w14:paraId="2201F97A">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21728" behindDoc="0" locked="0" layoutInCell="1" allowOverlap="1">
                <wp:simplePos x="0" y="0"/>
                <wp:positionH relativeFrom="column">
                  <wp:posOffset>2515235</wp:posOffset>
                </wp:positionH>
                <wp:positionV relativeFrom="paragraph">
                  <wp:posOffset>30480</wp:posOffset>
                </wp:positionV>
                <wp:extent cx="0" cy="222885"/>
                <wp:effectExtent l="38100" t="0" r="38100" b="5715"/>
                <wp:wrapNone/>
                <wp:docPr id="2239" name="直接连接符 2239"/>
                <wp:cNvGraphicFramePr/>
                <a:graphic xmlns:a="http://schemas.openxmlformats.org/drawingml/2006/main">
                  <a:graphicData uri="http://schemas.microsoft.com/office/word/2010/wordprocessingShape">
                    <wps:wsp>
                      <wps:cNvCnPr/>
                      <wps:spPr>
                        <a:xfrm flipH="1">
                          <a:off x="0" y="0"/>
                          <a:ext cx="0" cy="22288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98.05pt;margin-top:2.4pt;height:17.55pt;width:0pt;z-index:251721728;mso-width-relative:page;mso-height-relative:page;" filled="f" stroked="t" coordsize="21600,21600" o:gfxdata="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yY7qdIAAAAIAQAADwAAAAAAAAABACAAAAAiAAAAZHJzL2Rv&#10;d25yZXYueG1sUEsBAhQAFAAAAAgAh07iQGFdlwYHAgAA9wMAAA4AAAAAAAAAAQAgAAAAIQEAAGRy&#10;cy9lMm9Eb2MueG1sUEsFBgAAAAAGAAYAWQEAAJoFAAAAAA==&#10;">
                <v:fill on="f" focussize="0,0"/>
                <v:stroke color="#FF0000" joinstyle="round" endarrow="block"/>
                <v:imagedata o:title=""/>
                <o:lock v:ext="edit" aspectratio="f"/>
              </v:line>
            </w:pict>
          </mc:Fallback>
        </mc:AlternateContent>
      </w:r>
    </w:p>
    <w:p w14:paraId="6F728E16">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02272" behindDoc="0" locked="0" layoutInCell="1" allowOverlap="1">
                <wp:simplePos x="0" y="0"/>
                <wp:positionH relativeFrom="column">
                  <wp:posOffset>3823335</wp:posOffset>
                </wp:positionH>
                <wp:positionV relativeFrom="paragraph">
                  <wp:posOffset>93980</wp:posOffset>
                </wp:positionV>
                <wp:extent cx="1047750" cy="298450"/>
                <wp:effectExtent l="6350" t="6350" r="12700" b="15240"/>
                <wp:wrapNone/>
                <wp:docPr id="2240" name="文本框 2240"/>
                <wp:cNvGraphicFramePr/>
                <a:graphic xmlns:a="http://schemas.openxmlformats.org/drawingml/2006/main">
                  <a:graphicData uri="http://schemas.microsoft.com/office/word/2010/wordprocessingShape">
                    <wps:wsp>
                      <wps:cNvSpPr txBox="1"/>
                      <wps:spPr>
                        <a:xfrm>
                          <a:off x="0" y="0"/>
                          <a:ext cx="1047750" cy="2984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21B784FA">
                            <w:pPr>
                              <w:rPr>
                                <w:rFonts w:hint="eastAsia"/>
                              </w:rPr>
                            </w:pPr>
                            <w:r>
                              <w:rPr>
                                <w:rFonts w:hint="eastAsia"/>
                              </w:rPr>
                              <w:t xml:space="preserve">  试块制作</w:t>
                            </w:r>
                          </w:p>
                        </w:txbxContent>
                      </wps:txbx>
                      <wps:bodyPr upright="1"/>
                    </wps:wsp>
                  </a:graphicData>
                </a:graphic>
              </wp:anchor>
            </w:drawing>
          </mc:Choice>
          <mc:Fallback>
            <w:pict>
              <v:shape id="_x0000_s1026" o:spid="_x0000_s1026" o:spt="202" type="#_x0000_t202" style="position:absolute;left:0pt;margin-left:301.05pt;margin-top:7.4pt;height:23.5pt;width:82.5pt;z-index:251702272;mso-width-relative:page;mso-height-relative:page;" fillcolor="#FFCC00" filled="t" stroked="t" coordsize="21600,21600" o:gfxdata="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YzxHi1AAAAAkBAAAPAAAAAAAAAAEAIAAA&#10;ACIAAABkcnMvZG93bnJldi54bWxQSwECFAAUAAAACACHTuJAn2UDQxACAAA9BAAADgAAAAAAAAAB&#10;ACAAAAAjAQAAZHJzL2Uyb0RvYy54bWxQSwUGAAAAAAYABgBZAQAApQUAAAAA&#10;">
                <v:fill on="t" focussize="0,0"/>
                <v:stroke weight="1pt" color="#FF0000" joinstyle="miter"/>
                <v:imagedata o:title=""/>
                <o:lock v:ext="edit" aspectratio="f"/>
                <v:textbox>
                  <w:txbxContent>
                    <w:p w14:paraId="21B784FA">
                      <w:pPr>
                        <w:rPr>
                          <w:rFonts w:hint="eastAsia"/>
                        </w:rPr>
                      </w:pPr>
                      <w:r>
                        <w:rPr>
                          <w:rFonts w:hint="eastAsia"/>
                        </w:rPr>
                        <w:t xml:space="preserve">  试块制作</w:t>
                      </w:r>
                    </w:p>
                  </w:txbxContent>
                </v:textbox>
              </v:shape>
            </w:pict>
          </mc:Fallback>
        </mc:AlternateContent>
      </w:r>
      <w:r>
        <w:rPr>
          <w:rFonts w:hint="eastAsia" w:ascii="宋体" w:hAnsi="宋体"/>
          <w:sz w:val="24"/>
        </w:rPr>
        <mc:AlternateContent>
          <mc:Choice Requires="wps">
            <w:drawing>
              <wp:anchor distT="0" distB="0" distL="114300" distR="114300" simplePos="0" relativeHeight="251708416" behindDoc="0" locked="0" layoutInCell="1" allowOverlap="1">
                <wp:simplePos x="0" y="0"/>
                <wp:positionH relativeFrom="column">
                  <wp:posOffset>1828165</wp:posOffset>
                </wp:positionH>
                <wp:positionV relativeFrom="paragraph">
                  <wp:posOffset>50165</wp:posOffset>
                </wp:positionV>
                <wp:extent cx="1365250" cy="482600"/>
                <wp:effectExtent l="6350" t="6350" r="15240" b="13970"/>
                <wp:wrapNone/>
                <wp:docPr id="2235" name="文本框 2235"/>
                <wp:cNvGraphicFramePr/>
                <a:graphic xmlns:a="http://schemas.openxmlformats.org/drawingml/2006/main">
                  <a:graphicData uri="http://schemas.microsoft.com/office/word/2010/wordprocessingShape">
                    <wps:wsp>
                      <wps:cNvSpPr txBox="1"/>
                      <wps:spPr>
                        <a:xfrm>
                          <a:off x="0" y="0"/>
                          <a:ext cx="1365250" cy="48260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36CB36A6">
                            <w:pPr>
                              <w:rPr>
                                <w:rFonts w:hint="eastAsia"/>
                              </w:rPr>
                            </w:pPr>
                            <w:r>
                              <w:rPr>
                                <w:rFonts w:hint="eastAsia"/>
                              </w:rPr>
                              <w:t>基础处理（碎石垫层、管基浇筑  ）</w:t>
                            </w:r>
                          </w:p>
                        </w:txbxContent>
                      </wps:txbx>
                      <wps:bodyPr upright="1"/>
                    </wps:wsp>
                  </a:graphicData>
                </a:graphic>
              </wp:anchor>
            </w:drawing>
          </mc:Choice>
          <mc:Fallback>
            <w:pict>
              <v:shape id="_x0000_s1026" o:spid="_x0000_s1026" o:spt="202" type="#_x0000_t202" style="position:absolute;left:0pt;margin-left:143.95pt;margin-top:3.95pt;height:38pt;width:107.5pt;z-index:251708416;mso-width-relative:page;mso-height-relative:page;" fillcolor="#FFCC00" filled="t" stroked="t" coordsize="21600,21600" o:gfxdata="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TTy511QAAAAgBAAAPAAAAAAAAAAEA&#10;IAAAACIAAABkcnMvZG93bnJldi54bWxQSwECFAAUAAAACACHTuJAqZWkfRICAAA9BAAADgAAAAAA&#10;AAABACAAAAAkAQAAZHJzL2Uyb0RvYy54bWxQSwUGAAAAAAYABgBZAQAAqAUAAAAA&#10;">
                <v:fill on="t" focussize="0,0"/>
                <v:stroke weight="1pt" color="#FF0000" joinstyle="miter"/>
                <v:imagedata o:title=""/>
                <o:lock v:ext="edit" aspectratio="f"/>
                <v:textbox>
                  <w:txbxContent>
                    <w:p w14:paraId="36CB36A6">
                      <w:pPr>
                        <w:rPr>
                          <w:rFonts w:hint="eastAsia"/>
                        </w:rPr>
                      </w:pPr>
                      <w:r>
                        <w:rPr>
                          <w:rFonts w:hint="eastAsia"/>
                        </w:rPr>
                        <w:t>基础处理（碎石垫层、管基浇筑  ）</w:t>
                      </w:r>
                    </w:p>
                  </w:txbxContent>
                </v:textbox>
              </v:shape>
            </w:pict>
          </mc:Fallback>
        </mc:AlternateContent>
      </w:r>
    </w:p>
    <w:p w14:paraId="42326D88">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03296" behindDoc="0" locked="0" layoutInCell="1" allowOverlap="1">
                <wp:simplePos x="0" y="0"/>
                <wp:positionH relativeFrom="column">
                  <wp:posOffset>3200400</wp:posOffset>
                </wp:positionH>
                <wp:positionV relativeFrom="paragraph">
                  <wp:posOffset>36195</wp:posOffset>
                </wp:positionV>
                <wp:extent cx="622935" cy="0"/>
                <wp:effectExtent l="0" t="38100" r="1905" b="38100"/>
                <wp:wrapNone/>
                <wp:docPr id="2241" name="直接连接符 2241"/>
                <wp:cNvGraphicFramePr/>
                <a:graphic xmlns:a="http://schemas.openxmlformats.org/drawingml/2006/main">
                  <a:graphicData uri="http://schemas.microsoft.com/office/word/2010/wordprocessingShape">
                    <wps:wsp>
                      <wps:cNvCnPr/>
                      <wps:spPr>
                        <a:xfrm>
                          <a:off x="0" y="0"/>
                          <a:ext cx="622935" cy="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52pt;margin-top:2.85pt;height:0pt;width:49.05pt;z-index:251703296;mso-width-relative:page;mso-height-relative:page;" filled="f" stroked="t" coordsize="21600,21600" o:gfxdata="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q7qPJ1AAAAAcBAAAPAAAAAAAAAAEAIAAAACIAAABkcnMvZG93bnJl&#10;di54bWxQSwECFAAUAAAACACHTuJAvG10tgECAADtAwAADgAAAAAAAAABACAAAAAjAQAAZHJzL2Uy&#10;b0RvYy54bWxQSwUGAAAAAAYABgBZAQAAlgUAAAAA&#10;">
                <v:fill on="f" focussize="0,0"/>
                <v:stroke color="#FF0000" joinstyle="round" endarrow="block"/>
                <v:imagedata o:title=""/>
                <o:lock v:ext="edit" aspectratio="f"/>
              </v:line>
            </w:pict>
          </mc:Fallback>
        </mc:AlternateContent>
      </w:r>
    </w:p>
    <w:p w14:paraId="5DE12855">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694080" behindDoc="0" locked="0" layoutInCell="1" allowOverlap="1">
                <wp:simplePos x="0" y="0"/>
                <wp:positionH relativeFrom="column">
                  <wp:posOffset>2527935</wp:posOffset>
                </wp:positionH>
                <wp:positionV relativeFrom="paragraph">
                  <wp:posOffset>151765</wp:posOffset>
                </wp:positionV>
                <wp:extent cx="635" cy="163195"/>
                <wp:effectExtent l="38100" t="0" r="37465" b="4445"/>
                <wp:wrapNone/>
                <wp:docPr id="2233" name="直接连接符 2233"/>
                <wp:cNvGraphicFramePr/>
                <a:graphic xmlns:a="http://schemas.openxmlformats.org/drawingml/2006/main">
                  <a:graphicData uri="http://schemas.microsoft.com/office/word/2010/wordprocessingShape">
                    <wps:wsp>
                      <wps:cNvCnPr/>
                      <wps:spPr>
                        <a:xfrm flipH="1">
                          <a:off x="0" y="0"/>
                          <a:ext cx="635" cy="16319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99.05pt;margin-top:11.95pt;height:12.85pt;width:0.05pt;z-index:251694080;mso-width-relative:page;mso-height-relative:page;" filled="f" stroked="t" coordsize="21600,21600" o:gfxdata="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lvFVXdcAAAAJAQAADwAAAAAAAAABACAAAAAi&#10;AAAAZHJzL2Rvd25yZXYueG1sUEsBAhQAFAAAAAgAh07iQEP3LFkLAgAA+gMAAA4AAAAAAAAAAQAg&#10;AAAAJgEAAGRycy9lMm9Eb2MueG1sUEsFBgAAAAAGAAYAWQEAAKMFAAAAAA==&#10;">
                <v:fill on="f" focussize="0,0"/>
                <v:stroke weight="1pt" color="#FF0000" joinstyle="round" endarrow="block"/>
                <v:imagedata o:title=""/>
                <o:lock v:ext="edit" aspectratio="f"/>
              </v:line>
            </w:pict>
          </mc:Fallback>
        </mc:AlternateContent>
      </w:r>
    </w:p>
    <w:p w14:paraId="38CF44EB">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01248" behindDoc="0" locked="0" layoutInCell="1" allowOverlap="1">
                <wp:simplePos x="0" y="0"/>
                <wp:positionH relativeFrom="column">
                  <wp:posOffset>1834515</wp:posOffset>
                </wp:positionH>
                <wp:positionV relativeFrom="paragraph">
                  <wp:posOffset>111760</wp:posOffset>
                </wp:positionV>
                <wp:extent cx="1358900" cy="317500"/>
                <wp:effectExtent l="6350" t="6350" r="6350" b="11430"/>
                <wp:wrapNone/>
                <wp:docPr id="2244" name="文本框 2244"/>
                <wp:cNvGraphicFramePr/>
                <a:graphic xmlns:a="http://schemas.openxmlformats.org/drawingml/2006/main">
                  <a:graphicData uri="http://schemas.microsoft.com/office/word/2010/wordprocessingShape">
                    <wps:wsp>
                      <wps:cNvSpPr txBox="1"/>
                      <wps:spPr>
                        <a:xfrm>
                          <a:off x="0" y="0"/>
                          <a:ext cx="1358900" cy="31750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57002358">
                            <w:pPr>
                              <w:rPr>
                                <w:rFonts w:hint="eastAsia"/>
                              </w:rPr>
                            </w:pPr>
                            <w:r>
                              <w:rPr>
                                <w:rFonts w:hint="eastAsia"/>
                                <w:color w:val="0000FF"/>
                              </w:rPr>
                              <w:t xml:space="preserve">     </w:t>
                            </w:r>
                            <w:r>
                              <w:rPr>
                                <w:rFonts w:hint="eastAsia"/>
                              </w:rPr>
                              <w:t xml:space="preserve"> 养 护</w:t>
                            </w:r>
                          </w:p>
                        </w:txbxContent>
                      </wps:txbx>
                      <wps:bodyPr upright="1"/>
                    </wps:wsp>
                  </a:graphicData>
                </a:graphic>
              </wp:anchor>
            </w:drawing>
          </mc:Choice>
          <mc:Fallback>
            <w:pict>
              <v:shape id="_x0000_s1026" o:spid="_x0000_s1026" o:spt="202" type="#_x0000_t202" style="position:absolute;left:0pt;margin-left:144.45pt;margin-top:8.8pt;height:25pt;width:107pt;z-index:251701248;mso-width-relative:page;mso-height-relative:page;" fillcolor="#FFCC00" filled="t" stroked="t" coordsize="21600,21600" o:gfxdata="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jzb4B1AAAAAkBAAAPAAAAAAAAAAEAIAAA&#10;ACIAAABkcnMvZG93bnJldi54bWxQSwECFAAUAAAACACHTuJAxjr5kxACAAA9BAAADgAAAAAAAAAB&#10;ACAAAAAjAQAAZHJzL2Uyb0RvYy54bWxQSwUGAAAAAAYABgBZAQAApQUAAAAA&#10;">
                <v:fill on="t" focussize="0,0"/>
                <v:stroke weight="1pt" color="#FF0000" joinstyle="miter"/>
                <v:imagedata o:title=""/>
                <o:lock v:ext="edit" aspectratio="f"/>
                <v:textbox>
                  <w:txbxContent>
                    <w:p w14:paraId="57002358">
                      <w:pPr>
                        <w:rPr>
                          <w:rFonts w:hint="eastAsia"/>
                        </w:rPr>
                      </w:pPr>
                      <w:r>
                        <w:rPr>
                          <w:rFonts w:hint="eastAsia"/>
                          <w:color w:val="0000FF"/>
                        </w:rPr>
                        <w:t xml:space="preserve">     </w:t>
                      </w:r>
                      <w:r>
                        <w:rPr>
                          <w:rFonts w:hint="eastAsia"/>
                        </w:rPr>
                        <w:t xml:space="preserve"> 养 护</w:t>
                      </w:r>
                    </w:p>
                  </w:txbxContent>
                </v:textbox>
              </v:shape>
            </w:pict>
          </mc:Fallback>
        </mc:AlternateContent>
      </w:r>
    </w:p>
    <w:p w14:paraId="373F4CBE">
      <w:pPr>
        <w:ind w:firstLine="624"/>
        <w:jc w:val="center"/>
        <w:rPr>
          <w:rFonts w:hint="eastAsia" w:ascii="宋体" w:hAnsi="宋体"/>
          <w:sz w:val="24"/>
        </w:rPr>
      </w:pPr>
    </w:p>
    <w:p w14:paraId="5ACCD715">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695104" behindDoc="0" locked="0" layoutInCell="1" allowOverlap="1">
                <wp:simplePos x="0" y="0"/>
                <wp:positionH relativeFrom="column">
                  <wp:posOffset>2514600</wp:posOffset>
                </wp:positionH>
                <wp:positionV relativeFrom="paragraph">
                  <wp:posOffset>33655</wp:posOffset>
                </wp:positionV>
                <wp:extent cx="635" cy="261620"/>
                <wp:effectExtent l="38100" t="0" r="37465" b="12700"/>
                <wp:wrapNone/>
                <wp:docPr id="2254" name="直接连接符 2254"/>
                <wp:cNvGraphicFramePr/>
                <a:graphic xmlns:a="http://schemas.openxmlformats.org/drawingml/2006/main">
                  <a:graphicData uri="http://schemas.microsoft.com/office/word/2010/wordprocessingShape">
                    <wps:wsp>
                      <wps:cNvCnPr/>
                      <wps:spPr>
                        <a:xfrm flipH="1">
                          <a:off x="0" y="0"/>
                          <a:ext cx="635" cy="26162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98pt;margin-top:2.65pt;height:20.6pt;width:0.05pt;z-index:251695104;mso-width-relative:page;mso-height-relative:page;" filled="f" stroked="t" coordsize="21600,21600" o:gfxdata="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RdF3t9YAAAAIAQAADwAAAAAAAAABACAAAAAi&#10;AAAAZHJzL2Rvd25yZXYueG1sUEsBAhQAFAAAAAgAh07iQGQOrzcMAgAA+gMAAA4AAAAAAAAAAQAg&#10;AAAAJQEAAGRycy9lMm9Eb2MueG1sUEsFBgAAAAAGAAYAWQEAAKMFAAAAAA==&#10;">
                <v:fill on="f" focussize="0,0"/>
                <v:stroke weight="1pt" color="#FF0000" joinstyle="round" endarrow="block"/>
                <v:imagedata o:title=""/>
                <o:lock v:ext="edit" aspectratio="f"/>
              </v:line>
            </w:pict>
          </mc:Fallback>
        </mc:AlternateContent>
      </w:r>
    </w:p>
    <w:p w14:paraId="644EB729">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05344" behindDoc="0" locked="0" layoutInCell="1" allowOverlap="1">
                <wp:simplePos x="0" y="0"/>
                <wp:positionH relativeFrom="column">
                  <wp:posOffset>132715</wp:posOffset>
                </wp:positionH>
                <wp:positionV relativeFrom="paragraph">
                  <wp:posOffset>109220</wp:posOffset>
                </wp:positionV>
                <wp:extent cx="1377950" cy="298450"/>
                <wp:effectExtent l="6350" t="6350" r="17780" b="15240"/>
                <wp:wrapNone/>
                <wp:docPr id="2242" name="文本框 2242"/>
                <wp:cNvGraphicFramePr/>
                <a:graphic xmlns:a="http://schemas.openxmlformats.org/drawingml/2006/main">
                  <a:graphicData uri="http://schemas.microsoft.com/office/word/2010/wordprocessingShape">
                    <wps:wsp>
                      <wps:cNvSpPr txBox="1"/>
                      <wps:spPr>
                        <a:xfrm>
                          <a:off x="0" y="0"/>
                          <a:ext cx="1377950" cy="2984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5C218429">
                            <w:pPr>
                              <w:rPr>
                                <w:rFonts w:hint="eastAsia"/>
                              </w:rPr>
                            </w:pPr>
                            <w:r>
                              <w:rPr>
                                <w:rFonts w:hint="eastAsia"/>
                              </w:rPr>
                              <w:t xml:space="preserve">  涵管运输检验</w:t>
                            </w:r>
                          </w:p>
                        </w:txbxContent>
                      </wps:txbx>
                      <wps:bodyPr upright="1"/>
                    </wps:wsp>
                  </a:graphicData>
                </a:graphic>
              </wp:anchor>
            </w:drawing>
          </mc:Choice>
          <mc:Fallback>
            <w:pict>
              <v:shape id="_x0000_s1026" o:spid="_x0000_s1026" o:spt="202" type="#_x0000_t202" style="position:absolute;left:0pt;margin-left:10.45pt;margin-top:8.6pt;height:23.5pt;width:108.5pt;z-index:251705344;mso-width-relative:page;mso-height-relative:page;" fillcolor="#FFCC00" filled="t" stroked="t" coordsize="21600,21600" o:gfxdata="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IWF4fVAAAACAEAAA8AAAAAAAAAAQAg&#10;AAAAIgAAAGRycy9kb3ducmV2LnhtbFBLAQIUABQAAAAIAIdO4kDdY0o3EQIAAD0EAAAOAAAAAAAA&#10;AAEAIAAAACQBAABkcnMvZTJvRG9jLnhtbFBLBQYAAAAABgAGAFkBAACnBQAAAAA=&#10;">
                <v:fill on="t" focussize="0,0"/>
                <v:stroke weight="1pt" color="#FF0000" joinstyle="miter"/>
                <v:imagedata o:title=""/>
                <o:lock v:ext="edit" aspectratio="f"/>
                <v:textbox>
                  <w:txbxContent>
                    <w:p w14:paraId="5C218429">
                      <w:pPr>
                        <w:rPr>
                          <w:rFonts w:hint="eastAsia"/>
                        </w:rPr>
                      </w:pPr>
                      <w:r>
                        <w:rPr>
                          <w:rFonts w:hint="eastAsia"/>
                        </w:rPr>
                        <w:t xml:space="preserve">  涵管运输检验</w:t>
                      </w:r>
                    </w:p>
                  </w:txbxContent>
                </v:textbox>
              </v:shape>
            </w:pict>
          </mc:Fallback>
        </mc:AlternateContent>
      </w:r>
      <w:r>
        <w:rPr>
          <w:rFonts w:hint="eastAsia" w:ascii="宋体" w:hAnsi="宋体"/>
          <w:sz w:val="24"/>
        </w:rPr>
        <mc:AlternateContent>
          <mc:Choice Requires="wps">
            <w:drawing>
              <wp:anchor distT="0" distB="0" distL="114300" distR="114300" simplePos="0" relativeHeight="251704320" behindDoc="0" locked="0" layoutInCell="1" allowOverlap="1">
                <wp:simplePos x="0" y="0"/>
                <wp:positionH relativeFrom="column">
                  <wp:posOffset>1847215</wp:posOffset>
                </wp:positionH>
                <wp:positionV relativeFrom="paragraph">
                  <wp:posOffset>93980</wp:posOffset>
                </wp:positionV>
                <wp:extent cx="1377950" cy="323850"/>
                <wp:effectExtent l="6350" t="6350" r="17780" b="20320"/>
                <wp:wrapNone/>
                <wp:docPr id="2243" name="文本框 2243"/>
                <wp:cNvGraphicFramePr/>
                <a:graphic xmlns:a="http://schemas.openxmlformats.org/drawingml/2006/main">
                  <a:graphicData uri="http://schemas.microsoft.com/office/word/2010/wordprocessingShape">
                    <wps:wsp>
                      <wps:cNvSpPr txBox="1"/>
                      <wps:spPr>
                        <a:xfrm>
                          <a:off x="0" y="0"/>
                          <a:ext cx="1377950" cy="3238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21ED086D">
                            <w:pPr>
                              <w:rPr>
                                <w:rFonts w:hint="eastAsia"/>
                              </w:rPr>
                            </w:pPr>
                            <w:r>
                              <w:rPr>
                                <w:rFonts w:hint="eastAsia"/>
                                <w:color w:val="0000FF"/>
                              </w:rPr>
                              <w:t xml:space="preserve">    </w:t>
                            </w:r>
                            <w:r>
                              <w:rPr>
                                <w:rFonts w:hint="eastAsia"/>
                              </w:rPr>
                              <w:t xml:space="preserve"> 涵管安装</w:t>
                            </w:r>
                          </w:p>
                        </w:txbxContent>
                      </wps:txbx>
                      <wps:bodyPr upright="1"/>
                    </wps:wsp>
                  </a:graphicData>
                </a:graphic>
              </wp:anchor>
            </w:drawing>
          </mc:Choice>
          <mc:Fallback>
            <w:pict>
              <v:shape id="_x0000_s1026" o:spid="_x0000_s1026" o:spt="202" type="#_x0000_t202" style="position:absolute;left:0pt;margin-left:145.45pt;margin-top:7.4pt;height:25.5pt;width:108.5pt;z-index:251704320;mso-width-relative:page;mso-height-relative:page;" fillcolor="#FFCC00" filled="t" stroked="t" coordsize="21600,21600" o:gfxdata="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WF0HY1gAAAAkBAAAPAAAAAAAAAAEA&#10;IAAAACIAAABkcnMvZG93bnJldi54bWxQSwECFAAUAAAACACHTuJAN7I3vBECAAA9BAAADgAAAAAA&#10;AAABACAAAAAlAQAAZHJzL2Uyb0RvYy54bWxQSwUGAAAAAAYABgBZAQAAqAUAAAAA&#10;">
                <v:fill on="t" focussize="0,0"/>
                <v:stroke weight="1pt" color="#FF0000" joinstyle="miter"/>
                <v:imagedata o:title=""/>
                <o:lock v:ext="edit" aspectratio="f"/>
                <v:textbox>
                  <w:txbxContent>
                    <w:p w14:paraId="21ED086D">
                      <w:pPr>
                        <w:rPr>
                          <w:rFonts w:hint="eastAsia"/>
                        </w:rPr>
                      </w:pPr>
                      <w:r>
                        <w:rPr>
                          <w:rFonts w:hint="eastAsia"/>
                          <w:color w:val="0000FF"/>
                        </w:rPr>
                        <w:t xml:space="preserve">    </w:t>
                      </w:r>
                      <w:r>
                        <w:rPr>
                          <w:rFonts w:hint="eastAsia"/>
                        </w:rPr>
                        <w:t xml:space="preserve"> 涵管安装</w:t>
                      </w:r>
                    </w:p>
                  </w:txbxContent>
                </v:textbox>
              </v:shape>
            </w:pict>
          </mc:Fallback>
        </mc:AlternateContent>
      </w:r>
    </w:p>
    <w:p w14:paraId="21760C1A">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06368" behindDoc="0" locked="0" layoutInCell="1" allowOverlap="1">
                <wp:simplePos x="0" y="0"/>
                <wp:positionH relativeFrom="column">
                  <wp:posOffset>1523365</wp:posOffset>
                </wp:positionH>
                <wp:positionV relativeFrom="paragraph">
                  <wp:posOffset>52070</wp:posOffset>
                </wp:positionV>
                <wp:extent cx="317500" cy="635"/>
                <wp:effectExtent l="0" t="37465" r="2540" b="38100"/>
                <wp:wrapNone/>
                <wp:docPr id="2245" name="直接连接符 2245"/>
                <wp:cNvGraphicFramePr/>
                <a:graphic xmlns:a="http://schemas.openxmlformats.org/drawingml/2006/main">
                  <a:graphicData uri="http://schemas.microsoft.com/office/word/2010/wordprocessingShape">
                    <wps:wsp>
                      <wps:cNvCnPr/>
                      <wps:spPr>
                        <a:xfrm>
                          <a:off x="0" y="0"/>
                          <a:ext cx="317500" cy="63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19.95pt;margin-top:4.1pt;height:0.05pt;width:25pt;z-index:251706368;mso-width-relative:page;mso-height-relative:page;" filled="f" stroked="t" coordsize="21600,21600" o:gfxdata="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fiK3dQAAAAHAQAADwAAAAAAAAABACAAAAAiAAAAZHJzL2Rvd25y&#10;ZXYueG1sUEsBAhQAFAAAAAgAh07iQG62EEECAgAA8AMAAA4AAAAAAAAAAQAgAAAAIwEAAGRycy9l&#10;Mm9Eb2MueG1sUEsFBgAAAAAGAAYAWQEAAJcFAAAAAA==&#10;">
                <v:fill on="f" focussize="0,0"/>
                <v:stroke weight="1pt" color="#FF0000" joinstyle="round" endarrow="block"/>
                <v:imagedata o:title=""/>
                <o:lock v:ext="edit" aspectratio="f"/>
              </v:line>
            </w:pict>
          </mc:Fallback>
        </mc:AlternateContent>
      </w:r>
    </w:p>
    <w:p w14:paraId="7E4C3E72">
      <w:pPr>
        <w:ind w:firstLine="624"/>
        <w:jc w:val="center"/>
        <w:rPr>
          <w:rFonts w:hint="eastAsia" w:ascii="宋体" w:hAnsi="宋体"/>
          <w:sz w:val="24"/>
        </w:rPr>
      </w:pPr>
      <w:r>
        <w:rPr>
          <w:rFonts w:hint="eastAsia" w:ascii="宋体" w:hAnsi="宋体"/>
          <w:sz w:val="24"/>
        </w:rPr>
        <w:t xml:space="preserve">       </w:t>
      </w:r>
      <w:r>
        <w:rPr>
          <w:rFonts w:hint="eastAsia" w:ascii="宋体" w:hAnsi="宋体"/>
          <w:sz w:val="24"/>
        </w:rPr>
        <mc:AlternateContent>
          <mc:Choice Requires="wps">
            <w:drawing>
              <wp:anchor distT="0" distB="0" distL="114300" distR="114300" simplePos="0" relativeHeight="251722752" behindDoc="0" locked="0" layoutInCell="1" allowOverlap="1">
                <wp:simplePos x="0" y="0"/>
                <wp:positionH relativeFrom="column">
                  <wp:posOffset>2508885</wp:posOffset>
                </wp:positionH>
                <wp:positionV relativeFrom="paragraph">
                  <wp:posOffset>13335</wp:posOffset>
                </wp:positionV>
                <wp:extent cx="5080" cy="247650"/>
                <wp:effectExtent l="34290" t="0" r="36830" b="11430"/>
                <wp:wrapNone/>
                <wp:docPr id="2246" name="直接连接符 2246"/>
                <wp:cNvGraphicFramePr/>
                <a:graphic xmlns:a="http://schemas.openxmlformats.org/drawingml/2006/main">
                  <a:graphicData uri="http://schemas.microsoft.com/office/word/2010/wordprocessingShape">
                    <wps:wsp>
                      <wps:cNvCnPr/>
                      <wps:spPr>
                        <a:xfrm>
                          <a:off x="0" y="0"/>
                          <a:ext cx="5080" cy="2476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7.55pt;margin-top:1.05pt;height:19.5pt;width:0.4pt;z-index:251722752;mso-width-relative:page;mso-height-relative:page;" filled="f" stroked="t" coordsize="21600,21600" o:gfxdata="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7c0ntYAAAAIAQAADwAAAAAAAAABACAAAAAiAAAAZHJz&#10;L2Rvd25yZXYueG1sUEsBAhQAFAAAAAgAh07iQDpxoSMGAgAA8QMAAA4AAAAAAAAAAQAgAAAAJQEA&#10;AGRycy9lMm9Eb2MueG1sUEsFBgAAAAAGAAYAWQEAAJ0FAAAAAA==&#10;">
                <v:fill on="f" focussize="0,0"/>
                <v:stroke weight="1pt" color="#FF0000" joinstyle="round" endarrow="block"/>
                <v:imagedata o:title=""/>
                <o:lock v:ext="edit" aspectratio="f"/>
              </v:line>
            </w:pict>
          </mc:Fallback>
        </mc:AlternateContent>
      </w:r>
    </w:p>
    <w:p w14:paraId="6274EEE4">
      <w:pPr>
        <w:ind w:firstLine="624"/>
        <w:rPr>
          <w:rFonts w:hint="eastAsia" w:ascii="宋体" w:hAnsi="宋体"/>
          <w:sz w:val="24"/>
        </w:rPr>
      </w:pPr>
      <w:r>
        <w:rPr>
          <w:rFonts w:hint="eastAsia" w:ascii="宋体" w:hAnsi="宋体"/>
          <w:sz w:val="24"/>
        </w:rPr>
        <mc:AlternateContent>
          <mc:Choice Requires="wps">
            <w:drawing>
              <wp:anchor distT="0" distB="0" distL="114300" distR="114300" simplePos="0" relativeHeight="251725824" behindDoc="0" locked="0" layoutInCell="1" allowOverlap="1">
                <wp:simplePos x="0" y="0"/>
                <wp:positionH relativeFrom="column">
                  <wp:posOffset>3823335</wp:posOffset>
                </wp:positionH>
                <wp:positionV relativeFrom="paragraph">
                  <wp:posOffset>63500</wp:posOffset>
                </wp:positionV>
                <wp:extent cx="1047750" cy="298450"/>
                <wp:effectExtent l="6350" t="6350" r="12700" b="15240"/>
                <wp:wrapNone/>
                <wp:docPr id="2251" name="文本框 2251"/>
                <wp:cNvGraphicFramePr/>
                <a:graphic xmlns:a="http://schemas.openxmlformats.org/drawingml/2006/main">
                  <a:graphicData uri="http://schemas.microsoft.com/office/word/2010/wordprocessingShape">
                    <wps:wsp>
                      <wps:cNvSpPr txBox="1"/>
                      <wps:spPr>
                        <a:xfrm>
                          <a:off x="0" y="0"/>
                          <a:ext cx="1047750" cy="2984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441840B2">
                            <w:pPr>
                              <w:rPr>
                                <w:rFonts w:hint="eastAsia"/>
                              </w:rPr>
                            </w:pPr>
                            <w:r>
                              <w:rPr>
                                <w:rFonts w:hint="eastAsia"/>
                              </w:rPr>
                              <w:t xml:space="preserve">  试块制作</w:t>
                            </w:r>
                          </w:p>
                        </w:txbxContent>
                      </wps:txbx>
                      <wps:bodyPr upright="1"/>
                    </wps:wsp>
                  </a:graphicData>
                </a:graphic>
              </wp:anchor>
            </w:drawing>
          </mc:Choice>
          <mc:Fallback>
            <w:pict>
              <v:shape id="_x0000_s1026" o:spid="_x0000_s1026" o:spt="202" type="#_x0000_t202" style="position:absolute;left:0pt;margin-left:301.05pt;margin-top:5pt;height:23.5pt;width:82.5pt;z-index:251725824;mso-width-relative:page;mso-height-relative:page;" fillcolor="#FFCC00" filled="t" stroked="t" coordsize="21600,21600" o:gfxdata="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oqfgrVAAAACQEAAA8AAAAAAAAAAQAg&#10;AAAAIgAAAGRycy9kb3ducmV2LnhtbFBLAQIUABQAAAAIAIdO4kArLWtGEQIAAD0EAAAOAAAAAAAA&#10;AAEAIAAAACQBAABkcnMvZTJvRG9jLnhtbFBLBQYAAAAABgAGAFkBAACnBQAAAAA=&#10;">
                <v:fill on="t" focussize="0,0"/>
                <v:stroke weight="1pt" color="#FF0000" joinstyle="miter"/>
                <v:imagedata o:title=""/>
                <o:lock v:ext="edit" aspectratio="f"/>
                <v:textbox>
                  <w:txbxContent>
                    <w:p w14:paraId="441840B2">
                      <w:pPr>
                        <w:rPr>
                          <w:rFonts w:hint="eastAsia"/>
                        </w:rPr>
                      </w:pPr>
                      <w:r>
                        <w:rPr>
                          <w:rFonts w:hint="eastAsia"/>
                        </w:rPr>
                        <w:t xml:space="preserve">  试块制作</w:t>
                      </w:r>
                    </w:p>
                  </w:txbxContent>
                </v:textbox>
              </v:shape>
            </w:pict>
          </mc:Fallback>
        </mc:AlternateContent>
      </w:r>
      <w:r>
        <w:rPr>
          <w:rFonts w:hint="eastAsia" w:ascii="宋体" w:hAnsi="宋体"/>
          <w:sz w:val="24"/>
        </w:rPr>
        <mc:AlternateContent>
          <mc:Choice Requires="wps">
            <w:drawing>
              <wp:anchor distT="0" distB="0" distL="114300" distR="114300" simplePos="0" relativeHeight="251723776" behindDoc="0" locked="0" layoutInCell="1" allowOverlap="1">
                <wp:simplePos x="0" y="0"/>
                <wp:positionH relativeFrom="column">
                  <wp:posOffset>1853565</wp:posOffset>
                </wp:positionH>
                <wp:positionV relativeFrom="paragraph">
                  <wp:posOffset>57785</wp:posOffset>
                </wp:positionV>
                <wp:extent cx="1371600" cy="304165"/>
                <wp:effectExtent l="6350" t="6350" r="8890" b="9525"/>
                <wp:wrapNone/>
                <wp:docPr id="2238" name="文本框 2238"/>
                <wp:cNvGraphicFramePr/>
                <a:graphic xmlns:a="http://schemas.openxmlformats.org/drawingml/2006/main">
                  <a:graphicData uri="http://schemas.microsoft.com/office/word/2010/wordprocessingShape">
                    <wps:wsp>
                      <wps:cNvSpPr txBox="1"/>
                      <wps:spPr>
                        <a:xfrm>
                          <a:off x="0" y="0"/>
                          <a:ext cx="1371600" cy="304165"/>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6356A428">
                            <w:pPr>
                              <w:jc w:val="center"/>
                            </w:pPr>
                            <w:r>
                              <w:rPr>
                                <w:rFonts w:hint="eastAsia"/>
                              </w:rPr>
                              <w:t>管底上部砼浇筑</w:t>
                            </w:r>
                          </w:p>
                        </w:txbxContent>
                      </wps:txbx>
                      <wps:bodyPr upright="1"/>
                    </wps:wsp>
                  </a:graphicData>
                </a:graphic>
              </wp:anchor>
            </w:drawing>
          </mc:Choice>
          <mc:Fallback>
            <w:pict>
              <v:shape id="_x0000_s1026" o:spid="_x0000_s1026" o:spt="202" type="#_x0000_t202" style="position:absolute;left:0pt;margin-left:145.95pt;margin-top:4.55pt;height:23.95pt;width:108pt;z-index:251723776;mso-width-relative:page;mso-height-relative:page;" fillcolor="#FFCC00" filled="t" stroked="t" coordsize="21600,21600" o:gfxdata="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1lkQ3VAAAACAEAAA8AAAAAAAAAAQAgAAAA&#10;IgAAAGRycy9kb3ducmV2LnhtbFBLAQIUABQAAAAIAIdO4kDyu81eDgIAAD0EAAAOAAAAAAAAAAEA&#10;IAAAACQBAABkcnMvZTJvRG9jLnhtbFBLBQYAAAAABgAGAFkBAACkBQAAAAA=&#10;">
                <v:fill on="t" focussize="0,0"/>
                <v:stroke weight="1pt" color="#FF0000" joinstyle="miter"/>
                <v:imagedata o:title=""/>
                <o:lock v:ext="edit" aspectratio="f"/>
                <v:textbox>
                  <w:txbxContent>
                    <w:p w14:paraId="6356A428">
                      <w:pPr>
                        <w:jc w:val="center"/>
                      </w:pPr>
                      <w:r>
                        <w:rPr>
                          <w:rFonts w:hint="eastAsia"/>
                        </w:rPr>
                        <w:t>管底上部砼浇筑</w:t>
                      </w:r>
                    </w:p>
                  </w:txbxContent>
                </v:textbox>
              </v:shape>
            </w:pict>
          </mc:Fallback>
        </mc:AlternateContent>
      </w:r>
    </w:p>
    <w:p w14:paraId="45DBCAD1">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24800" behindDoc="0" locked="0" layoutInCell="1" allowOverlap="1">
                <wp:simplePos x="0" y="0"/>
                <wp:positionH relativeFrom="column">
                  <wp:posOffset>3225165</wp:posOffset>
                </wp:positionH>
                <wp:positionV relativeFrom="paragraph">
                  <wp:posOffset>22225</wp:posOffset>
                </wp:positionV>
                <wp:extent cx="598170" cy="0"/>
                <wp:effectExtent l="0" t="38100" r="11430" b="38100"/>
                <wp:wrapNone/>
                <wp:docPr id="2232" name="直接连接符 2232"/>
                <wp:cNvGraphicFramePr/>
                <a:graphic xmlns:a="http://schemas.openxmlformats.org/drawingml/2006/main">
                  <a:graphicData uri="http://schemas.microsoft.com/office/word/2010/wordprocessingShape">
                    <wps:wsp>
                      <wps:cNvCnPr/>
                      <wps:spPr>
                        <a:xfrm>
                          <a:off x="0" y="0"/>
                          <a:ext cx="598170" cy="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53.95pt;margin-top:1.75pt;height:0pt;width:47.1pt;z-index:251724800;mso-width-relative:page;mso-height-relative:page;" filled="f" stroked="t" coordsize="21600,21600" o:gfxdata="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3AC/V1AAAAAcBAAAPAAAAAAAAAAEAIAAAACIAAABkcnMvZG93bnJl&#10;di54bWxQSwECFAAUAAAACACHTuJAuvGs3wECAADtAwAADgAAAAAAAAABACAAAAAjAQAAZHJzL2Uy&#10;b0RvYy54bWxQSwUGAAAAAAYABgBZAQAAlgUAAAAA&#10;">
                <v:fill on="f" focussize="0,0"/>
                <v:stroke color="#FF0000" joinstyle="round" endarrow="block"/>
                <v:imagedata o:title=""/>
                <o:lock v:ext="edit" aspectratio="f"/>
              </v:line>
            </w:pict>
          </mc:Fallback>
        </mc:AlternateContent>
      </w:r>
    </w:p>
    <w:p w14:paraId="02F56175">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696128" behindDoc="0" locked="0" layoutInCell="1" allowOverlap="1">
                <wp:simplePos x="0" y="0"/>
                <wp:positionH relativeFrom="column">
                  <wp:posOffset>2508885</wp:posOffset>
                </wp:positionH>
                <wp:positionV relativeFrom="paragraph">
                  <wp:posOffset>13335</wp:posOffset>
                </wp:positionV>
                <wp:extent cx="5080" cy="247650"/>
                <wp:effectExtent l="34290" t="0" r="36830" b="11430"/>
                <wp:wrapNone/>
                <wp:docPr id="2255" name="直接连接符 2255"/>
                <wp:cNvGraphicFramePr/>
                <a:graphic xmlns:a="http://schemas.openxmlformats.org/drawingml/2006/main">
                  <a:graphicData uri="http://schemas.microsoft.com/office/word/2010/wordprocessingShape">
                    <wps:wsp>
                      <wps:cNvCnPr/>
                      <wps:spPr>
                        <a:xfrm>
                          <a:off x="0" y="0"/>
                          <a:ext cx="5080" cy="2476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7.55pt;margin-top:1.05pt;height:19.5pt;width:0.4pt;z-index:251696128;mso-width-relative:page;mso-height-relative:page;" filled="f" stroked="t" coordsize="21600,21600" o:gfxdata="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TtzSe1gAAAAgBAAAPAAAAAAAAAAEAIAAAACIAAABkcnMv&#10;ZG93bnJldi54bWxQSwECFAAUAAAACACHTuJAT4Sn0gUCAADxAwAADgAAAAAAAAABACAAAAAlAQAA&#10;ZHJzL2Uyb0RvYy54bWxQSwUGAAAAAAYABgBZAQAAnAUAAAAA&#10;">
                <v:fill on="f" focussize="0,0"/>
                <v:stroke weight="1pt" color="#FF0000" joinstyle="round" endarrow="block"/>
                <v:imagedata o:title=""/>
                <o:lock v:ext="edit" aspectratio="f"/>
              </v:line>
            </w:pict>
          </mc:Fallback>
        </mc:AlternateContent>
      </w:r>
    </w:p>
    <w:p w14:paraId="2217F00A">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697152" behindDoc="0" locked="0" layoutInCell="1" allowOverlap="1">
                <wp:simplePos x="0" y="0"/>
                <wp:positionH relativeFrom="column">
                  <wp:posOffset>1854200</wp:posOffset>
                </wp:positionH>
                <wp:positionV relativeFrom="paragraph">
                  <wp:posOffset>63500</wp:posOffset>
                </wp:positionV>
                <wp:extent cx="1371600" cy="304165"/>
                <wp:effectExtent l="6350" t="6350" r="8890" b="9525"/>
                <wp:wrapNone/>
                <wp:docPr id="2248" name="文本框 2248"/>
                <wp:cNvGraphicFramePr/>
                <a:graphic xmlns:a="http://schemas.openxmlformats.org/drawingml/2006/main">
                  <a:graphicData uri="http://schemas.microsoft.com/office/word/2010/wordprocessingShape">
                    <wps:wsp>
                      <wps:cNvSpPr txBox="1"/>
                      <wps:spPr>
                        <a:xfrm>
                          <a:off x="0" y="0"/>
                          <a:ext cx="1371600" cy="304165"/>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2CFF034F">
                            <w:pPr>
                              <w:jc w:val="center"/>
                            </w:pPr>
                            <w:r>
                              <w:rPr>
                                <w:rFonts w:hint="eastAsia"/>
                              </w:rPr>
                              <w:t>涵管线性校正</w:t>
                            </w:r>
                          </w:p>
                        </w:txbxContent>
                      </wps:txbx>
                      <wps:bodyPr upright="1"/>
                    </wps:wsp>
                  </a:graphicData>
                </a:graphic>
              </wp:anchor>
            </w:drawing>
          </mc:Choice>
          <mc:Fallback>
            <w:pict>
              <v:shape id="_x0000_s1026" o:spid="_x0000_s1026" o:spt="202" type="#_x0000_t202" style="position:absolute;left:0pt;margin-left:146pt;margin-top:5pt;height:23.95pt;width:108pt;z-index:251697152;mso-width-relative:page;mso-height-relative:page;" fillcolor="#FFCC00" filled="t" stroked="t" coordsize="21600,21600" o:gfxdata="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vltOdMAAAAJAQAADwAAAAAAAAABACAAAAAi&#10;AAAAZHJzL2Rvd25yZXYueG1sUEsBAhQAFAAAAAgAh07iQFWHkh8PAgAAPQQAAA4AAAAAAAAAAQAg&#10;AAAAIgEAAGRycy9lMm9Eb2MueG1sUEsFBgAAAAAGAAYAWQEAAKMFAAAAAA==&#10;">
                <v:fill on="t" focussize="0,0"/>
                <v:stroke weight="1pt" color="#FF0000" joinstyle="miter"/>
                <v:imagedata o:title=""/>
                <o:lock v:ext="edit" aspectratio="f"/>
                <v:textbox>
                  <w:txbxContent>
                    <w:p w14:paraId="2CFF034F">
                      <w:pPr>
                        <w:jc w:val="center"/>
                      </w:pPr>
                      <w:r>
                        <w:rPr>
                          <w:rFonts w:hint="eastAsia"/>
                        </w:rPr>
                        <w:t>涵管线性校正</w:t>
                      </w:r>
                    </w:p>
                  </w:txbxContent>
                </v:textbox>
              </v:shape>
            </w:pict>
          </mc:Fallback>
        </mc:AlternateContent>
      </w:r>
    </w:p>
    <w:p w14:paraId="3E7AF519">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3536" behindDoc="0" locked="0" layoutInCell="1" allowOverlap="1">
                <wp:simplePos x="0" y="0"/>
                <wp:positionH relativeFrom="column">
                  <wp:posOffset>2521585</wp:posOffset>
                </wp:positionH>
                <wp:positionV relativeFrom="paragraph">
                  <wp:posOffset>172085</wp:posOffset>
                </wp:positionV>
                <wp:extent cx="5080" cy="247650"/>
                <wp:effectExtent l="34290" t="0" r="36830" b="11430"/>
                <wp:wrapNone/>
                <wp:docPr id="2247" name="直接连接符 2247"/>
                <wp:cNvGraphicFramePr/>
                <a:graphic xmlns:a="http://schemas.openxmlformats.org/drawingml/2006/main">
                  <a:graphicData uri="http://schemas.microsoft.com/office/word/2010/wordprocessingShape">
                    <wps:wsp>
                      <wps:cNvCnPr/>
                      <wps:spPr>
                        <a:xfrm>
                          <a:off x="0" y="0"/>
                          <a:ext cx="5080" cy="2476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8.55pt;margin-top:13.55pt;height:19.5pt;width:0.4pt;z-index:251713536;mso-width-relative:page;mso-height-relative:page;" filled="f" stroked="t" coordsize="21600,21600" o:gfxdata="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UD74vXAAAACQEAAA8AAAAAAAAAAQAgAAAAIgAAAGRycy9k&#10;b3ducmV2LnhtbFBLAQIUABQAAAAIAIdO4kDMN8hAAwIAAPEDAAAOAAAAAAAAAAEAIAAAACYBAABk&#10;cnMvZTJvRG9jLnhtbFBLBQYAAAAABgAGAFkBAACbBQAAAAA=&#10;">
                <v:fill on="f" focussize="0,0"/>
                <v:stroke weight="1pt" color="#FF0000" joinstyle="round" endarrow="block"/>
                <v:imagedata o:title=""/>
                <o:lock v:ext="edit" aspectratio="f"/>
              </v:line>
            </w:pict>
          </mc:Fallback>
        </mc:AlternateContent>
      </w:r>
    </w:p>
    <w:p w14:paraId="02FBD5EA">
      <w:pPr>
        <w:ind w:firstLine="624"/>
        <w:jc w:val="center"/>
        <w:rPr>
          <w:rFonts w:hint="eastAsia" w:ascii="宋体" w:hAnsi="宋体"/>
          <w:sz w:val="24"/>
        </w:rPr>
      </w:pPr>
    </w:p>
    <w:p w14:paraId="3E8DE9A8">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4560" behindDoc="0" locked="0" layoutInCell="1" allowOverlap="1">
                <wp:simplePos x="0" y="0"/>
                <wp:positionH relativeFrom="column">
                  <wp:posOffset>1828165</wp:posOffset>
                </wp:positionH>
                <wp:positionV relativeFrom="paragraph">
                  <wp:posOffset>13335</wp:posOffset>
                </wp:positionV>
                <wp:extent cx="1485900" cy="311150"/>
                <wp:effectExtent l="6350" t="6350" r="16510" b="17780"/>
                <wp:wrapNone/>
                <wp:docPr id="2234" name="文本框 2234"/>
                <wp:cNvGraphicFramePr/>
                <a:graphic xmlns:a="http://schemas.openxmlformats.org/drawingml/2006/main">
                  <a:graphicData uri="http://schemas.microsoft.com/office/word/2010/wordprocessingShape">
                    <wps:wsp>
                      <wps:cNvSpPr txBox="1"/>
                      <wps:spPr>
                        <a:xfrm>
                          <a:off x="0" y="0"/>
                          <a:ext cx="1485900" cy="31115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256F3724">
                            <w:pPr>
                              <w:rPr>
                                <w:rFonts w:hint="eastAsia"/>
                              </w:rPr>
                            </w:pPr>
                            <w:r>
                              <w:rPr>
                                <w:rFonts w:hint="eastAsia"/>
                              </w:rPr>
                              <w:t xml:space="preserve"> 抹带及涂沥青防水层</w:t>
                            </w:r>
                          </w:p>
                        </w:txbxContent>
                      </wps:txbx>
                      <wps:bodyPr upright="1"/>
                    </wps:wsp>
                  </a:graphicData>
                </a:graphic>
              </wp:anchor>
            </w:drawing>
          </mc:Choice>
          <mc:Fallback>
            <w:pict>
              <v:shape id="_x0000_s1026" o:spid="_x0000_s1026" o:spt="202" type="#_x0000_t202" style="position:absolute;left:0pt;margin-left:143.95pt;margin-top:1.05pt;height:24.5pt;width:117pt;z-index:251714560;mso-width-relative:page;mso-height-relative:page;" fillcolor="#FFCC00" filled="t" stroked="t" coordsize="21600,21600" o:gfxdata="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O9CRNQAAAAIAQAADwAAAAAAAAABACAA&#10;AAAiAAAAZHJzL2Rvd25yZXYueG1sUEsBAhQAFAAAAAgAh07iQDGNN8wRAgAAPQQAAA4AAAAAAAAA&#10;AQAgAAAAIwEAAGRycy9lMm9Eb2MueG1sUEsFBgAAAAAGAAYAWQEAAKYFAAAAAA==&#10;">
                <v:fill on="t" focussize="0,0"/>
                <v:stroke weight="1pt" color="#FF0000" joinstyle="miter"/>
                <v:imagedata o:title=""/>
                <o:lock v:ext="edit" aspectratio="f"/>
                <v:textbox>
                  <w:txbxContent>
                    <w:p w14:paraId="256F3724">
                      <w:pPr>
                        <w:rPr>
                          <w:rFonts w:hint="eastAsia"/>
                        </w:rPr>
                      </w:pPr>
                      <w:r>
                        <w:rPr>
                          <w:rFonts w:hint="eastAsia"/>
                        </w:rPr>
                        <w:t xml:space="preserve"> 抹带及涂沥青防水层</w:t>
                      </w:r>
                    </w:p>
                  </w:txbxContent>
                </v:textbox>
              </v:shape>
            </w:pict>
          </mc:Fallback>
        </mc:AlternateContent>
      </w:r>
    </w:p>
    <w:p w14:paraId="00870AFC">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5584" behindDoc="0" locked="0" layoutInCell="1" allowOverlap="1">
                <wp:simplePos x="0" y="0"/>
                <wp:positionH relativeFrom="column">
                  <wp:posOffset>2520315</wp:posOffset>
                </wp:positionH>
                <wp:positionV relativeFrom="paragraph">
                  <wp:posOffset>162560</wp:posOffset>
                </wp:positionV>
                <wp:extent cx="5080" cy="247650"/>
                <wp:effectExtent l="34290" t="0" r="36830" b="11430"/>
                <wp:wrapNone/>
                <wp:docPr id="2236" name="直接连接符 2236"/>
                <wp:cNvGraphicFramePr/>
                <a:graphic xmlns:a="http://schemas.openxmlformats.org/drawingml/2006/main">
                  <a:graphicData uri="http://schemas.microsoft.com/office/word/2010/wordprocessingShape">
                    <wps:wsp>
                      <wps:cNvCnPr/>
                      <wps:spPr>
                        <a:xfrm>
                          <a:off x="0" y="0"/>
                          <a:ext cx="5080" cy="2476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8.45pt;margin-top:12.8pt;height:19.5pt;width:0.4pt;z-index:251715584;mso-width-relative:page;mso-height-relative:page;" filled="f" stroked="t" coordsize="21600,21600" o:gfxdata="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&#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0k0Pa2QAAAAkBAAAPAAAAAAAAAAEAIAAAACIAAABk&#10;cnMvZG93bnJldi54bWxQSwECFAAUAAAACACHTuJAdszjVwUCAADxAwAADgAAAAAAAAABACAAAAAo&#10;AQAAZHJzL2Uyb0RvYy54bWxQSwUGAAAAAAYABgBZAQAAnwUAAAAA&#10;">
                <v:fill on="f" focussize="0,0"/>
                <v:stroke weight="1pt" color="#FF0000" joinstyle="round" endarrow="block"/>
                <v:imagedata o:title=""/>
                <o:lock v:ext="edit" aspectratio="f"/>
              </v:line>
            </w:pict>
          </mc:Fallback>
        </mc:AlternateContent>
      </w:r>
    </w:p>
    <w:p w14:paraId="4D6862A4">
      <w:pPr>
        <w:ind w:firstLine="624"/>
        <w:jc w:val="center"/>
        <w:rPr>
          <w:rFonts w:hint="eastAsia" w:ascii="宋体" w:hAnsi="宋体"/>
          <w:sz w:val="24"/>
        </w:rPr>
      </w:pPr>
    </w:p>
    <w:p w14:paraId="381BDF81">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8656" behindDoc="0" locked="0" layoutInCell="1" allowOverlap="1">
                <wp:simplePos x="0" y="0"/>
                <wp:positionH relativeFrom="column">
                  <wp:posOffset>1580515</wp:posOffset>
                </wp:positionH>
                <wp:positionV relativeFrom="paragraph">
                  <wp:posOffset>188595</wp:posOffset>
                </wp:positionV>
                <wp:extent cx="317500" cy="635"/>
                <wp:effectExtent l="0" t="37465" r="2540" b="38100"/>
                <wp:wrapNone/>
                <wp:docPr id="2252" name="直接连接符 2252"/>
                <wp:cNvGraphicFramePr/>
                <a:graphic xmlns:a="http://schemas.openxmlformats.org/drawingml/2006/main">
                  <a:graphicData uri="http://schemas.microsoft.com/office/word/2010/wordprocessingShape">
                    <wps:wsp>
                      <wps:cNvCnPr/>
                      <wps:spPr>
                        <a:xfrm>
                          <a:off x="0" y="0"/>
                          <a:ext cx="317500" cy="635"/>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24.45pt;margin-top:14.85pt;height:0.05pt;width:25pt;z-index:251718656;mso-width-relative:page;mso-height-relative:page;" filled="f" stroked="t" coordsize="21600,21600" o:gfxdata="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yXzef1gAAAAkBAAAPAAAAAAAAAAEAIAAAACIAAABkcnMvZG93&#10;bnJldi54bWxQSwECFAAUAAAACACHTuJAijve9AICAADwAwAADgAAAAAAAAABACAAAAAlAQAAZHJz&#10;L2Uyb0RvYy54bWxQSwUGAAAAAAYABgBZAQAAmQUAAAAA&#10;">
                <v:fill on="f" focussize="0,0"/>
                <v:stroke weight="1pt" color="#FF0000" joinstyle="round" endarrow="block"/>
                <v:imagedata o:title=""/>
                <o:lock v:ext="edit" aspectratio="f"/>
              </v:line>
            </w:pict>
          </mc:Fallback>
        </mc:AlternateContent>
      </w:r>
      <w:r>
        <w:rPr>
          <w:rFonts w:hint="eastAsia" w:ascii="宋体" w:hAnsi="宋体"/>
          <w:sz w:val="24"/>
        </w:rPr>
        <mc:AlternateContent>
          <mc:Choice Requires="wps">
            <w:drawing>
              <wp:anchor distT="0" distB="0" distL="114300" distR="114300" simplePos="0" relativeHeight="251717632" behindDoc="0" locked="0" layoutInCell="1" allowOverlap="1">
                <wp:simplePos x="0" y="0"/>
                <wp:positionH relativeFrom="column">
                  <wp:posOffset>196215</wp:posOffset>
                </wp:positionH>
                <wp:positionV relativeFrom="paragraph">
                  <wp:posOffset>20955</wp:posOffset>
                </wp:positionV>
                <wp:extent cx="1371600" cy="292100"/>
                <wp:effectExtent l="6350" t="6350" r="8890" b="6350"/>
                <wp:wrapNone/>
                <wp:docPr id="2249" name="文本框 2249"/>
                <wp:cNvGraphicFramePr/>
                <a:graphic xmlns:a="http://schemas.openxmlformats.org/drawingml/2006/main">
                  <a:graphicData uri="http://schemas.microsoft.com/office/word/2010/wordprocessingShape">
                    <wps:wsp>
                      <wps:cNvSpPr txBox="1"/>
                      <wps:spPr>
                        <a:xfrm>
                          <a:off x="0" y="0"/>
                          <a:ext cx="1371600" cy="29210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6D6275E9">
                            <w:pPr>
                              <w:rPr>
                                <w:rFonts w:hint="eastAsia"/>
                              </w:rPr>
                            </w:pPr>
                            <w:r>
                              <w:rPr>
                                <w:rFonts w:hint="eastAsia"/>
                              </w:rPr>
                              <w:t xml:space="preserve">    密实度检测</w:t>
                            </w:r>
                          </w:p>
                        </w:txbxContent>
                      </wps:txbx>
                      <wps:bodyPr upright="1"/>
                    </wps:wsp>
                  </a:graphicData>
                </a:graphic>
              </wp:anchor>
            </w:drawing>
          </mc:Choice>
          <mc:Fallback>
            <w:pict>
              <v:shape id="_x0000_s1026" o:spid="_x0000_s1026" o:spt="202" type="#_x0000_t202" style="position:absolute;left:0pt;margin-left:15.45pt;margin-top:1.65pt;height:23pt;width:108pt;z-index:251717632;mso-width-relative:page;mso-height-relative:page;" fillcolor="#FFCC00" filled="t" stroked="t" coordsize="21600,21600" o:gfxdata="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0O7OdQAAAAHAQAADwAAAAAAAAABACAAAAAi&#10;AAAAZHJzL2Rvd25yZXYueG1sUEsBAhQAFAAAAAgAh07iQPeZWMYOAgAAPQQAAA4AAAAAAAAAAQAg&#10;AAAAIwEAAGRycy9lMm9Eb2MueG1sUEsFBgAAAAAGAAYAWQEAAKMFAAAAAA==&#10;">
                <v:fill on="t" focussize="0,0"/>
                <v:stroke weight="1pt" color="#FF0000" joinstyle="miter"/>
                <v:imagedata o:title=""/>
                <o:lock v:ext="edit" aspectratio="f"/>
                <v:textbox>
                  <w:txbxContent>
                    <w:p w14:paraId="6D6275E9">
                      <w:pPr>
                        <w:rPr>
                          <w:rFonts w:hint="eastAsia"/>
                        </w:rPr>
                      </w:pPr>
                      <w:r>
                        <w:rPr>
                          <w:rFonts w:hint="eastAsia"/>
                        </w:rPr>
                        <w:t xml:space="preserve">    密实度检测</w:t>
                      </w:r>
                    </w:p>
                  </w:txbxContent>
                </v:textbox>
              </v:shape>
            </w:pict>
          </mc:Fallback>
        </mc:AlternateContent>
      </w:r>
      <w:r>
        <w:rPr>
          <w:rFonts w:hint="eastAsia" w:ascii="宋体" w:hAnsi="宋体"/>
          <w:sz w:val="24"/>
        </w:rPr>
        <mc:AlternateContent>
          <mc:Choice Requires="wps">
            <w:drawing>
              <wp:anchor distT="0" distB="0" distL="114300" distR="114300" simplePos="0" relativeHeight="251716608" behindDoc="0" locked="0" layoutInCell="1" allowOverlap="1">
                <wp:simplePos x="0" y="0"/>
                <wp:positionH relativeFrom="column">
                  <wp:posOffset>1898015</wp:posOffset>
                </wp:positionH>
                <wp:positionV relativeFrom="paragraph">
                  <wp:posOffset>20955</wp:posOffset>
                </wp:positionV>
                <wp:extent cx="1371600" cy="292100"/>
                <wp:effectExtent l="6350" t="6350" r="8890" b="6350"/>
                <wp:wrapNone/>
                <wp:docPr id="2250" name="文本框 2250"/>
                <wp:cNvGraphicFramePr/>
                <a:graphic xmlns:a="http://schemas.openxmlformats.org/drawingml/2006/main">
                  <a:graphicData uri="http://schemas.microsoft.com/office/word/2010/wordprocessingShape">
                    <wps:wsp>
                      <wps:cNvSpPr txBox="1"/>
                      <wps:spPr>
                        <a:xfrm>
                          <a:off x="0" y="0"/>
                          <a:ext cx="1371600" cy="29210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4395AF0F">
                            <w:pPr>
                              <w:rPr>
                                <w:rFonts w:hint="eastAsia"/>
                              </w:rPr>
                            </w:pPr>
                            <w:r>
                              <w:rPr>
                                <w:rFonts w:hint="eastAsia"/>
                              </w:rPr>
                              <w:t xml:space="preserve">    土方回填</w:t>
                            </w:r>
                          </w:p>
                        </w:txbxContent>
                      </wps:txbx>
                      <wps:bodyPr upright="1"/>
                    </wps:wsp>
                  </a:graphicData>
                </a:graphic>
              </wp:anchor>
            </w:drawing>
          </mc:Choice>
          <mc:Fallback>
            <w:pict>
              <v:shape id="_x0000_s1026" o:spid="_x0000_s1026" o:spt="202" type="#_x0000_t202" style="position:absolute;left:0pt;margin-left:149.45pt;margin-top:1.65pt;height:23pt;width:108pt;z-index:251716608;mso-width-relative:page;mso-height-relative:page;" fillcolor="#FFCC00" filled="t" stroked="t" coordsize="21600,21600" o:gfxdata="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cigx7WAAAACAEAAA8AAAAAAAAAAQAgAAAA&#10;IgAAAGRycy9kb3ducmV2LnhtbFBLAQIUABQAAAAIAIdO4kDrA4wwDQIAAD0EAAAOAAAAAAAAAAEA&#10;IAAAACUBAABkcnMvZTJvRG9jLnhtbFBLBQYAAAAABgAGAFkBAACkBQAAAAA=&#10;">
                <v:fill on="t" focussize="0,0"/>
                <v:stroke weight="1pt" color="#FF0000" joinstyle="miter"/>
                <v:imagedata o:title=""/>
                <o:lock v:ext="edit" aspectratio="f"/>
                <v:textbox>
                  <w:txbxContent>
                    <w:p w14:paraId="4395AF0F">
                      <w:pPr>
                        <w:rPr>
                          <w:rFonts w:hint="eastAsia"/>
                        </w:rPr>
                      </w:pPr>
                      <w:r>
                        <w:rPr>
                          <w:rFonts w:hint="eastAsia"/>
                        </w:rPr>
                        <w:t xml:space="preserve">    土方回填</w:t>
                      </w:r>
                    </w:p>
                  </w:txbxContent>
                </v:textbox>
              </v:shape>
            </w:pict>
          </mc:Fallback>
        </mc:AlternateContent>
      </w:r>
    </w:p>
    <w:p w14:paraId="5496986E">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19680" behindDoc="0" locked="0" layoutInCell="1" allowOverlap="1">
                <wp:simplePos x="0" y="0"/>
                <wp:positionH relativeFrom="column">
                  <wp:posOffset>2548255</wp:posOffset>
                </wp:positionH>
                <wp:positionV relativeFrom="paragraph">
                  <wp:posOffset>109855</wp:posOffset>
                </wp:positionV>
                <wp:extent cx="5080" cy="247650"/>
                <wp:effectExtent l="34290" t="0" r="36830" b="11430"/>
                <wp:wrapNone/>
                <wp:docPr id="2253" name="直接连接符 2253"/>
                <wp:cNvGraphicFramePr/>
                <a:graphic xmlns:a="http://schemas.openxmlformats.org/drawingml/2006/main">
                  <a:graphicData uri="http://schemas.microsoft.com/office/word/2010/wordprocessingShape">
                    <wps:wsp>
                      <wps:cNvCnPr/>
                      <wps:spPr>
                        <a:xfrm>
                          <a:off x="0" y="0"/>
                          <a:ext cx="5080" cy="247650"/>
                        </a:xfrm>
                        <a:prstGeom prst="line">
                          <a:avLst/>
                        </a:prstGeom>
                        <a:ln w="12700" cap="flat" cmpd="sng">
                          <a:solidFill>
                            <a:srgbClr val="FF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00.65pt;margin-top:8.65pt;height:19.5pt;width:0.4pt;z-index:251719680;mso-width-relative:page;mso-height-relative:page;" filled="f" stroked="t" coordsize="21600,21600" o:gfxdata="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7KbXNcAAAAJAQAADwAAAAAAAAABACAAAAAiAAAAZHJz&#10;L2Rvd25yZXYueG1sUEsBAhQAFAAAAAgAh07iQDoUoUIFAgAA8QMAAA4AAAAAAAAAAQAgAAAAJgEA&#10;AGRycy9lMm9Eb2MueG1sUEsFBgAAAAAGAAYAWQEAAJ0FAAAAAA==&#10;">
                <v:fill on="f" focussize="0,0"/>
                <v:stroke weight="1pt" color="#FF0000" joinstyle="round" endarrow="block"/>
                <v:imagedata o:title=""/>
                <o:lock v:ext="edit" aspectratio="f"/>
              </v:line>
            </w:pict>
          </mc:Fallback>
        </mc:AlternateContent>
      </w:r>
    </w:p>
    <w:p w14:paraId="4F85983E">
      <w:pPr>
        <w:ind w:firstLine="624"/>
        <w:jc w:val="center"/>
        <w:rPr>
          <w:rFonts w:hint="eastAsia" w:ascii="宋体" w:hAnsi="宋体"/>
          <w:sz w:val="24"/>
        </w:rPr>
      </w:pPr>
      <w:r>
        <w:rPr>
          <w:rFonts w:hint="eastAsia" w:ascii="宋体" w:hAnsi="宋体"/>
          <w:sz w:val="24"/>
        </w:rPr>
        <mc:AlternateContent>
          <mc:Choice Requires="wps">
            <w:drawing>
              <wp:anchor distT="0" distB="0" distL="114300" distR="114300" simplePos="0" relativeHeight="251720704" behindDoc="0" locked="0" layoutInCell="1" allowOverlap="1">
                <wp:simplePos x="0" y="0"/>
                <wp:positionH relativeFrom="column">
                  <wp:posOffset>1898015</wp:posOffset>
                </wp:positionH>
                <wp:positionV relativeFrom="paragraph">
                  <wp:posOffset>192405</wp:posOffset>
                </wp:positionV>
                <wp:extent cx="1365250" cy="304800"/>
                <wp:effectExtent l="6350" t="6350" r="15240" b="8890"/>
                <wp:wrapNone/>
                <wp:docPr id="2237" name="文本框 2237"/>
                <wp:cNvGraphicFramePr/>
                <a:graphic xmlns:a="http://schemas.openxmlformats.org/drawingml/2006/main">
                  <a:graphicData uri="http://schemas.microsoft.com/office/word/2010/wordprocessingShape">
                    <wps:wsp>
                      <wps:cNvSpPr txBox="1"/>
                      <wps:spPr>
                        <a:xfrm>
                          <a:off x="0" y="0"/>
                          <a:ext cx="1365250" cy="304800"/>
                        </a:xfrm>
                        <a:prstGeom prst="rect">
                          <a:avLst/>
                        </a:prstGeom>
                        <a:solidFill>
                          <a:srgbClr val="FFCC00"/>
                        </a:solidFill>
                        <a:ln w="12700" cap="flat" cmpd="sng">
                          <a:solidFill>
                            <a:srgbClr val="FF0000"/>
                          </a:solidFill>
                          <a:prstDash val="solid"/>
                          <a:miter/>
                          <a:headEnd type="none" w="med" len="med"/>
                          <a:tailEnd type="none" w="med" len="med"/>
                        </a:ln>
                      </wps:spPr>
                      <wps:txbx>
                        <w:txbxContent>
                          <w:p w14:paraId="11DDCA8E">
                            <w:pPr>
                              <w:rPr>
                                <w:rFonts w:hint="eastAsia"/>
                              </w:rPr>
                            </w:pPr>
                            <w:r>
                              <w:rPr>
                                <w:rFonts w:hint="eastAsia"/>
                              </w:rPr>
                              <w:t xml:space="preserve">    交工验收</w:t>
                            </w:r>
                          </w:p>
                        </w:txbxContent>
                      </wps:txbx>
                      <wps:bodyPr upright="1"/>
                    </wps:wsp>
                  </a:graphicData>
                </a:graphic>
              </wp:anchor>
            </w:drawing>
          </mc:Choice>
          <mc:Fallback>
            <w:pict>
              <v:shape id="_x0000_s1026" o:spid="_x0000_s1026" o:spt="202" type="#_x0000_t202" style="position:absolute;left:0pt;margin-left:149.45pt;margin-top:15.15pt;height:24pt;width:107.5pt;z-index:251720704;mso-width-relative:page;mso-height-relative:page;" fillcolor="#FFCC00" filled="t" stroked="t" coordsize="21600,21600" o:gfxdata="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UFHiY1gAAAAkBAAAPAAAAAAAAAAEA&#10;IAAAACIAAABkcnMvZG93bnJldi54bWxQSwECFAAUAAAACACHTuJABbadJBECAAA9BAAADgAAAAAA&#10;AAABACAAAAAlAQAAZHJzL2Uyb0RvYy54bWxQSwUGAAAAAAYABgBZAQAAqAUAAAAA&#10;">
                <v:fill on="t" focussize="0,0"/>
                <v:stroke weight="1pt" color="#FF0000" joinstyle="miter"/>
                <v:imagedata o:title=""/>
                <o:lock v:ext="edit" aspectratio="f"/>
                <v:textbox>
                  <w:txbxContent>
                    <w:p w14:paraId="11DDCA8E">
                      <w:pPr>
                        <w:rPr>
                          <w:rFonts w:hint="eastAsia"/>
                        </w:rPr>
                      </w:pPr>
                      <w:r>
                        <w:rPr>
                          <w:rFonts w:hint="eastAsia"/>
                        </w:rPr>
                        <w:t xml:space="preserve">    交工验收</w:t>
                      </w:r>
                    </w:p>
                  </w:txbxContent>
                </v:textbox>
              </v:shape>
            </w:pict>
          </mc:Fallback>
        </mc:AlternateContent>
      </w:r>
    </w:p>
    <w:p w14:paraId="66A1CB6E">
      <w:pPr>
        <w:ind w:firstLine="624"/>
        <w:jc w:val="center"/>
        <w:rPr>
          <w:rFonts w:hint="eastAsia" w:ascii="宋体" w:hAnsi="宋体"/>
          <w:sz w:val="24"/>
        </w:rPr>
      </w:pPr>
    </w:p>
    <w:p w14:paraId="7B704B20">
      <w:pPr>
        <w:rPr>
          <w:rFonts w:hint="eastAsia" w:ascii="宋体" w:hAnsi="宋体"/>
          <w:sz w:val="24"/>
        </w:rPr>
      </w:pPr>
    </w:p>
    <w:p w14:paraId="11DC044D">
      <w:pPr>
        <w:adjustRightInd w:val="0"/>
        <w:snapToGrid w:val="0"/>
        <w:spacing w:line="360" w:lineRule="auto"/>
        <w:ind w:firstLine="482" w:firstLineChars="200"/>
        <w:rPr>
          <w:rFonts w:hint="eastAsia" w:ascii="宋体" w:hAnsi="宋体"/>
          <w:b/>
          <w:bCs/>
          <w:sz w:val="24"/>
        </w:rPr>
      </w:pPr>
    </w:p>
    <w:p w14:paraId="334CFDAB">
      <w:pPr>
        <w:adjustRightInd w:val="0"/>
        <w:snapToGrid w:val="0"/>
        <w:spacing w:line="360" w:lineRule="auto"/>
        <w:ind w:firstLine="482" w:firstLineChars="200"/>
        <w:rPr>
          <w:rFonts w:hint="eastAsia" w:ascii="宋体" w:hAnsi="宋体"/>
          <w:b/>
          <w:bCs/>
          <w:sz w:val="24"/>
        </w:rPr>
      </w:pPr>
      <w:r>
        <w:rPr>
          <w:rFonts w:hint="eastAsia" w:ascii="宋体" w:hAnsi="宋体"/>
          <w:b/>
          <w:bCs/>
          <w:sz w:val="24"/>
        </w:rPr>
        <w:t>2、盖板涵</w:t>
      </w:r>
    </w:p>
    <w:p w14:paraId="29F1A450">
      <w:pPr>
        <w:spacing w:line="360" w:lineRule="auto"/>
        <w:ind w:firstLine="352" w:firstLineChars="147"/>
        <w:rPr>
          <w:rFonts w:hint="eastAsia" w:ascii="宋体" w:hAnsi="宋体"/>
          <w:sz w:val="24"/>
        </w:rPr>
      </w:pPr>
      <w:r>
        <w:rPr>
          <w:rFonts w:hint="eastAsia" w:ascii="宋体" w:hAnsi="宋体"/>
          <w:sz w:val="24"/>
        </w:rPr>
        <w:t>（一）测量人员按照设计图纸在现场放出涵洞轴线及基坑开挖线，基坑开挖可超出边线0</w:t>
      </w:r>
      <w:r>
        <w:rPr>
          <w:rFonts w:ascii="宋体" w:hAnsi="宋体"/>
          <w:sz w:val="24"/>
        </w:rPr>
        <w:t>.</w:t>
      </w:r>
      <w:r>
        <w:rPr>
          <w:rFonts w:hint="eastAsia" w:ascii="宋体" w:hAnsi="宋体"/>
          <w:sz w:val="24"/>
        </w:rPr>
        <w:t>5m，测出原地面高程后计算各控制点的开挖深度。</w:t>
      </w:r>
    </w:p>
    <w:p w14:paraId="3538BE30">
      <w:pPr>
        <w:spacing w:line="360" w:lineRule="auto"/>
        <w:ind w:firstLine="480" w:firstLineChars="200"/>
        <w:rPr>
          <w:rFonts w:hint="eastAsia" w:ascii="宋体" w:hAnsi="宋体"/>
          <w:sz w:val="24"/>
        </w:rPr>
      </w:pPr>
      <w:r>
        <w:rPr>
          <w:rFonts w:hint="eastAsia" w:ascii="宋体" w:hAnsi="宋体"/>
          <w:sz w:val="24"/>
        </w:rPr>
        <w:t>用挖掘机按基坑开挖的宽度和深度进行基坑开挖，人工对基坑进行修整，挖出的材料运至弃土场堆放。基坑开挖完成后，如开挖后发现实际地基土质与设计地质资料不符，地基承载力不满足设计设计要求，须及时上报设计代表以便得到妥善处理。基底检测达到地基承载力要求后铺碎石垫层找平并碾压密实。</w:t>
      </w:r>
    </w:p>
    <w:p w14:paraId="47B265F8">
      <w:pPr>
        <w:spacing w:line="360" w:lineRule="auto"/>
        <w:ind w:firstLine="354" w:firstLineChars="147"/>
        <w:rPr>
          <w:rFonts w:hint="eastAsia" w:ascii="宋体" w:hAnsi="宋体"/>
          <w:b/>
          <w:bCs/>
          <w:sz w:val="24"/>
        </w:rPr>
      </w:pPr>
      <w:r>
        <w:rPr>
          <w:rFonts w:hint="eastAsia" w:ascii="宋体" w:hAnsi="宋体"/>
          <w:b/>
          <w:bCs/>
          <w:sz w:val="24"/>
        </w:rPr>
        <w:t>（二）涵底板施工</w:t>
      </w:r>
    </w:p>
    <w:p w14:paraId="007B8ACB">
      <w:pPr>
        <w:spacing w:line="360" w:lineRule="auto"/>
        <w:ind w:firstLine="352" w:firstLineChars="147"/>
        <w:rPr>
          <w:rFonts w:hint="eastAsia" w:ascii="宋体" w:hAnsi="宋体"/>
          <w:sz w:val="24"/>
        </w:rPr>
      </w:pPr>
      <w:r>
        <w:rPr>
          <w:rFonts w:hint="eastAsia" w:ascii="宋体" w:hAnsi="宋体"/>
          <w:sz w:val="24"/>
        </w:rPr>
        <w:t>底板施工参照桥梁承台绑扎钢筋、立模、浇筑、拆模养生等工序施工方法执行。底板墙身底部砼面需打毛。</w:t>
      </w:r>
    </w:p>
    <w:p w14:paraId="10D14CF2">
      <w:pPr>
        <w:spacing w:line="360" w:lineRule="auto"/>
        <w:ind w:firstLine="354" w:firstLineChars="147"/>
        <w:rPr>
          <w:rFonts w:hint="eastAsia" w:ascii="宋体" w:hAnsi="宋体"/>
          <w:b/>
          <w:bCs/>
          <w:sz w:val="24"/>
        </w:rPr>
      </w:pPr>
      <w:r>
        <w:rPr>
          <w:rFonts w:hint="eastAsia" w:ascii="宋体" w:hAnsi="宋体"/>
          <w:b/>
          <w:bCs/>
          <w:sz w:val="24"/>
        </w:rPr>
        <w:t>（三）涵身施工</w:t>
      </w:r>
    </w:p>
    <w:p w14:paraId="73FE4CC1">
      <w:pPr>
        <w:spacing w:line="360" w:lineRule="auto"/>
        <w:ind w:firstLine="578"/>
        <w:rPr>
          <w:rFonts w:hint="eastAsia" w:ascii="宋体" w:hAnsi="宋体"/>
          <w:sz w:val="24"/>
        </w:rPr>
      </w:pPr>
      <w:r>
        <w:rPr>
          <w:rFonts w:hint="eastAsia" w:ascii="宋体" w:hAnsi="宋体"/>
          <w:sz w:val="24"/>
        </w:rPr>
        <w:t>底板砼强度达到设计标号70%后，经监理工程师同意后方可进行涵身施工。涵身参照桥梁盖梁立模、浇筑、拆模养生等工序施工方法执行。涵洞沉降缝全涵设数道，缝宽1-2cm，高填土涵洞在路基中心边缘以下，涵身与基础设置沉降缝，低填土涵洞在路中心设置一道，沉降缝要顺路线方向。沉降缝与两相邻墙面应竖直、平整，不得出现锯齿形，并用沥青麻絮填塞，填缝料要具有弹性、不透水及密封性。</w:t>
      </w:r>
    </w:p>
    <w:p w14:paraId="7980444C">
      <w:pPr>
        <w:spacing w:line="360" w:lineRule="auto"/>
        <w:ind w:firstLine="578"/>
        <w:rPr>
          <w:rFonts w:hint="eastAsia" w:ascii="宋体" w:hAnsi="宋体"/>
          <w:b/>
          <w:bCs/>
          <w:sz w:val="24"/>
        </w:rPr>
      </w:pPr>
      <w:r>
        <w:rPr>
          <w:rFonts w:hint="eastAsia" w:ascii="宋体" w:hAnsi="宋体"/>
          <w:b/>
          <w:bCs/>
          <w:sz w:val="24"/>
        </w:rPr>
        <w:t>（四）盖板施工</w:t>
      </w:r>
    </w:p>
    <w:p w14:paraId="6C02EB1C">
      <w:pPr>
        <w:adjustRightInd w:val="0"/>
        <w:snapToGrid w:val="0"/>
        <w:spacing w:line="360" w:lineRule="auto"/>
        <w:ind w:firstLine="480" w:firstLineChars="200"/>
        <w:rPr>
          <w:rFonts w:hint="eastAsia" w:ascii="宋体" w:hAnsi="宋体"/>
          <w:sz w:val="24"/>
        </w:rPr>
      </w:pPr>
      <w:r>
        <w:rPr>
          <w:rFonts w:hint="eastAsia" w:ascii="宋体" w:hAnsi="宋体"/>
          <w:sz w:val="24"/>
        </w:rPr>
        <w:t>正盖板采用在预制厂预制，涵洞两端采用现浇盖板，砼采用C</w:t>
      </w:r>
      <w:r>
        <w:rPr>
          <w:rFonts w:hint="eastAsia" w:ascii="宋体" w:hAnsi="宋体"/>
          <w:sz w:val="24"/>
          <w:lang w:val="en-US" w:eastAsia="zh-CN"/>
        </w:rPr>
        <w:t>4</w:t>
      </w:r>
      <w:r>
        <w:rPr>
          <w:rFonts w:hint="eastAsia" w:ascii="宋体" w:hAnsi="宋体"/>
          <w:sz w:val="24"/>
        </w:rPr>
        <w:t>0混凝土。</w:t>
      </w:r>
    </w:p>
    <w:p w14:paraId="755C605D">
      <w:pPr>
        <w:adjustRightInd w:val="0"/>
        <w:snapToGrid w:val="0"/>
        <w:spacing w:line="360" w:lineRule="auto"/>
        <w:ind w:firstLine="480" w:firstLineChars="200"/>
        <w:rPr>
          <w:rFonts w:hint="eastAsia" w:ascii="宋体" w:hAnsi="宋体"/>
          <w:sz w:val="24"/>
        </w:rPr>
      </w:pPr>
      <w:r>
        <w:rPr>
          <w:rFonts w:hint="eastAsia" w:ascii="宋体" w:hAnsi="宋体"/>
          <w:sz w:val="24"/>
        </w:rPr>
        <w:t>①预制台座：利用C20砼浇筑成30cm厚预制盖板台座，台座表面平整光滑。</w:t>
      </w:r>
    </w:p>
    <w:p w14:paraId="33DA8E97">
      <w:pPr>
        <w:adjustRightInd w:val="0"/>
        <w:snapToGrid w:val="0"/>
        <w:spacing w:line="360" w:lineRule="auto"/>
        <w:ind w:firstLine="480" w:firstLineChars="200"/>
        <w:rPr>
          <w:rFonts w:hint="eastAsia" w:ascii="宋体" w:hAnsi="宋体"/>
          <w:sz w:val="24"/>
        </w:rPr>
      </w:pPr>
      <w:r>
        <w:rPr>
          <w:rFonts w:hint="eastAsia" w:ascii="宋体" w:hAnsi="宋体"/>
          <w:sz w:val="24"/>
        </w:rPr>
        <w:t>②模板：底模采用在预制台座上铺3mm厚钢板，侧模采用3mm钢模板拼装而成。</w:t>
      </w:r>
    </w:p>
    <w:p w14:paraId="038D517F">
      <w:pPr>
        <w:spacing w:line="360" w:lineRule="auto"/>
        <w:ind w:firstLine="578"/>
        <w:rPr>
          <w:rFonts w:hint="eastAsia" w:ascii="宋体" w:hAnsi="宋体"/>
          <w:sz w:val="24"/>
        </w:rPr>
      </w:pPr>
      <w:r>
        <w:rPr>
          <w:rFonts w:hint="eastAsia" w:ascii="宋体" w:hAnsi="宋体"/>
          <w:sz w:val="24"/>
        </w:rPr>
        <w:t>③钢筋加工</w:t>
      </w:r>
    </w:p>
    <w:p w14:paraId="7BA7B06B">
      <w:pPr>
        <w:spacing w:line="360" w:lineRule="auto"/>
        <w:ind w:firstLine="578"/>
        <w:rPr>
          <w:rFonts w:hint="eastAsia" w:ascii="宋体" w:hAnsi="宋体"/>
          <w:sz w:val="24"/>
        </w:rPr>
      </w:pPr>
      <w:r>
        <w:rPr>
          <w:rFonts w:hint="eastAsia" w:ascii="宋体" w:hAnsi="宋体"/>
          <w:sz w:val="24"/>
        </w:rPr>
        <w:t>钢筋采取集中下料，集中加工制作，现场绑扎或焊接成型，顶板钢筋采取汽车吊吊装，人工配合。施工完毕，经监理工程师检查合格后方可浇筑混凝土。</w:t>
      </w:r>
    </w:p>
    <w:p w14:paraId="0E3A0E49">
      <w:pPr>
        <w:spacing w:line="360" w:lineRule="auto"/>
        <w:ind w:firstLine="578"/>
        <w:rPr>
          <w:rFonts w:hint="eastAsia" w:ascii="宋体" w:hAnsi="宋体"/>
          <w:sz w:val="24"/>
        </w:rPr>
      </w:pPr>
      <w:r>
        <w:rPr>
          <w:rFonts w:hint="eastAsia" w:ascii="宋体" w:hAnsi="宋体"/>
          <w:sz w:val="24"/>
        </w:rPr>
        <w:t>④混凝土浇筑</w:t>
      </w:r>
    </w:p>
    <w:p w14:paraId="4A9083FD">
      <w:pPr>
        <w:adjustRightInd w:val="0"/>
        <w:snapToGrid w:val="0"/>
        <w:spacing w:line="360" w:lineRule="auto"/>
        <w:ind w:firstLine="480" w:firstLineChars="200"/>
        <w:rPr>
          <w:rFonts w:hint="eastAsia" w:ascii="宋体" w:hAnsi="宋体"/>
          <w:sz w:val="24"/>
        </w:rPr>
      </w:pPr>
      <w:r>
        <w:rPr>
          <w:rFonts w:hint="eastAsia" w:ascii="宋体" w:hAnsi="宋体"/>
          <w:sz w:val="24"/>
        </w:rPr>
        <w:t>混凝土采用搅拌站集中拌制，混凝土运输车运输入模，插入式震动棒捣固。预制板在达到设计强度80%后才能脱底模，移运和堆放，堆放时应在块件端部用两点搁置，不得使上下面倒置。</w:t>
      </w:r>
    </w:p>
    <w:p w14:paraId="208E3A29">
      <w:pPr>
        <w:adjustRightInd w:val="0"/>
        <w:snapToGrid w:val="0"/>
        <w:spacing w:line="360" w:lineRule="auto"/>
        <w:ind w:firstLine="480" w:firstLineChars="200"/>
        <w:rPr>
          <w:rFonts w:hint="eastAsia" w:ascii="宋体" w:hAnsi="宋体"/>
          <w:sz w:val="24"/>
        </w:rPr>
      </w:pPr>
      <w:r>
        <w:rPr>
          <w:rFonts w:hint="eastAsia" w:ascii="宋体" w:hAnsi="宋体"/>
          <w:sz w:val="24"/>
        </w:rPr>
        <w:t>⑤预制盖板平板车运至现场，利用吊车吊装方式进行施工，盖板与韩泰背墙间的缝隙采用小石子塞紧，再用M12.5水泥砂浆填实，使盖板与台墙顶紧而起到支撑作用。</w:t>
      </w:r>
    </w:p>
    <w:p w14:paraId="548F0664">
      <w:pPr>
        <w:spacing w:line="360" w:lineRule="auto"/>
        <w:ind w:firstLine="482" w:firstLineChars="200"/>
        <w:rPr>
          <w:rFonts w:hint="eastAsia" w:ascii="宋体" w:hAnsi="宋体"/>
          <w:b/>
          <w:bCs/>
          <w:sz w:val="24"/>
        </w:rPr>
      </w:pPr>
      <w:r>
        <w:rPr>
          <w:rFonts w:hint="eastAsia" w:ascii="宋体" w:hAnsi="宋体"/>
          <w:b/>
          <w:bCs/>
          <w:sz w:val="24"/>
        </w:rPr>
        <w:t>（五）洞口制作</w:t>
      </w:r>
    </w:p>
    <w:p w14:paraId="34B9DA17">
      <w:pPr>
        <w:spacing w:line="360" w:lineRule="auto"/>
        <w:ind w:firstLine="576"/>
        <w:rPr>
          <w:rFonts w:hint="eastAsia" w:ascii="宋体" w:hAnsi="宋体"/>
          <w:sz w:val="24"/>
        </w:rPr>
      </w:pPr>
      <w:r>
        <w:rPr>
          <w:rFonts w:hint="eastAsia" w:ascii="宋体" w:hAnsi="宋体"/>
          <w:sz w:val="24"/>
        </w:rPr>
        <w:t>洞口制作在盖板安装完成后进行，洞口采用</w:t>
      </w:r>
      <w:r>
        <w:rPr>
          <w:rFonts w:hint="eastAsia" w:ascii="宋体" w:hAnsi="宋体"/>
          <w:sz w:val="24"/>
          <w:lang w:val="en-US" w:eastAsia="zh-CN"/>
        </w:rPr>
        <w:t>C20片石</w:t>
      </w:r>
      <w:r>
        <w:rPr>
          <w:rFonts w:hint="eastAsia" w:ascii="宋体" w:hAnsi="宋体"/>
          <w:sz w:val="24"/>
        </w:rPr>
        <w:t>混凝土。洞口八字墙与台墙设缝隔开，缝内用沥青麻絮或其他具有弹性的防水材料填塞。</w:t>
      </w:r>
    </w:p>
    <w:p w14:paraId="0F661F15">
      <w:pPr>
        <w:spacing w:line="360" w:lineRule="auto"/>
        <w:ind w:firstLine="576"/>
        <w:rPr>
          <w:rFonts w:hint="eastAsia" w:ascii="宋体" w:hAnsi="宋体"/>
          <w:b/>
          <w:bCs/>
          <w:sz w:val="24"/>
        </w:rPr>
      </w:pPr>
      <w:r>
        <w:rPr>
          <w:rFonts w:hint="eastAsia" w:ascii="宋体" w:hAnsi="宋体"/>
          <w:b/>
          <w:bCs/>
          <w:sz w:val="24"/>
        </w:rPr>
        <w:t>（六）回填</w:t>
      </w:r>
    </w:p>
    <w:p w14:paraId="19DC1B72">
      <w:pPr>
        <w:spacing w:line="360" w:lineRule="auto"/>
        <w:ind w:firstLine="576"/>
        <w:rPr>
          <w:rFonts w:hint="eastAsia" w:ascii="宋体" w:hAnsi="宋体"/>
          <w:sz w:val="24"/>
        </w:rPr>
      </w:pPr>
      <w:r>
        <w:rPr>
          <w:rFonts w:hint="eastAsia" w:ascii="宋体" w:hAnsi="宋体"/>
          <w:sz w:val="24"/>
        </w:rPr>
        <w:t>成型后的盖板涵砼达到设计标号的80%，并经监理工程师检查合格后方可进行回填。涵侧墙背后填土应在涵洞两侧同时对称进行，不得一侧夯填。要求分层填筑，夯打密实。填筑厚度按每层15cm控制。</w:t>
      </w:r>
    </w:p>
    <w:p w14:paraId="02E845D5">
      <w:pPr>
        <w:spacing w:line="360" w:lineRule="auto"/>
        <w:ind w:firstLine="576"/>
        <w:rPr>
          <w:rFonts w:hint="eastAsia" w:ascii="宋体" w:hAnsi="宋体"/>
          <w:sz w:val="24"/>
        </w:rPr>
      </w:pPr>
      <w:r>
        <w:rPr>
          <w:rFonts w:hint="eastAsia" w:ascii="宋体" w:hAnsi="宋体"/>
          <w:sz w:val="24"/>
        </w:rPr>
        <w:t>涵洞顶填土，当填土厚度小于50</w:t>
      </w:r>
      <w:r>
        <w:rPr>
          <w:rFonts w:ascii="宋体" w:hAnsi="宋体"/>
          <w:sz w:val="24"/>
        </w:rPr>
        <w:t>cm</w:t>
      </w:r>
      <w:r>
        <w:rPr>
          <w:rFonts w:hint="eastAsia" w:ascii="宋体" w:hAnsi="宋体"/>
          <w:sz w:val="24"/>
        </w:rPr>
        <w:t>时，严禁任何重型机械和车辆通过。</w:t>
      </w:r>
    </w:p>
    <w:p w14:paraId="46E9CC72">
      <w:pPr>
        <w:spacing w:line="360" w:lineRule="auto"/>
        <w:ind w:firstLine="482" w:firstLineChars="200"/>
        <w:rPr>
          <w:rFonts w:hint="eastAsia" w:ascii="宋体" w:hAnsi="宋体"/>
          <w:b/>
          <w:bCs/>
          <w:color w:val="000000"/>
          <w:sz w:val="24"/>
        </w:rPr>
      </w:pPr>
      <w:r>
        <w:rPr>
          <w:rFonts w:hint="eastAsia" w:ascii="宋体" w:hAnsi="宋体"/>
          <w:b/>
          <w:bCs/>
          <w:sz w:val="24"/>
        </w:rPr>
        <w:t>（七）</w:t>
      </w:r>
      <w:r>
        <w:rPr>
          <w:rFonts w:hint="eastAsia" w:ascii="宋体" w:hAnsi="宋体"/>
          <w:b/>
          <w:bCs/>
          <w:color w:val="000000"/>
          <w:sz w:val="24"/>
        </w:rPr>
        <w:t>盖板涵的质量标准见下表：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2"/>
        <w:gridCol w:w="1636"/>
        <w:gridCol w:w="3848"/>
      </w:tblGrid>
      <w:tr w14:paraId="72333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2ED2FD81">
            <w:pPr>
              <w:adjustRightInd w:val="0"/>
              <w:snapToGrid w:val="0"/>
              <w:spacing w:line="360" w:lineRule="auto"/>
              <w:jc w:val="center"/>
              <w:rPr>
                <w:rFonts w:hint="eastAsia" w:ascii="宋体" w:hAnsi="宋体"/>
                <w:szCs w:val="21"/>
              </w:rPr>
            </w:pPr>
            <w:r>
              <w:rPr>
                <w:rFonts w:hint="eastAsia" w:ascii="宋体" w:hAnsi="宋体"/>
                <w:szCs w:val="21"/>
              </w:rPr>
              <w:t>项  目</w:t>
            </w:r>
          </w:p>
        </w:tc>
        <w:tc>
          <w:tcPr>
            <w:tcW w:w="3848" w:type="dxa"/>
            <w:noWrap w:val="0"/>
            <w:vAlign w:val="center"/>
          </w:tcPr>
          <w:p w14:paraId="2E1EA6FB">
            <w:pPr>
              <w:adjustRightInd w:val="0"/>
              <w:snapToGrid w:val="0"/>
              <w:spacing w:line="360" w:lineRule="auto"/>
              <w:jc w:val="center"/>
              <w:rPr>
                <w:rFonts w:hint="eastAsia" w:ascii="宋体" w:hAnsi="宋体"/>
                <w:szCs w:val="21"/>
              </w:rPr>
            </w:pPr>
            <w:r>
              <w:rPr>
                <w:rFonts w:hint="eastAsia" w:ascii="宋体" w:hAnsi="宋体"/>
                <w:szCs w:val="21"/>
              </w:rPr>
              <w:t>规定值或允许偏差</w:t>
            </w:r>
          </w:p>
        </w:tc>
      </w:tr>
      <w:tr w14:paraId="40484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4448950A">
            <w:pPr>
              <w:adjustRightInd w:val="0"/>
              <w:snapToGrid w:val="0"/>
              <w:spacing w:line="360" w:lineRule="auto"/>
              <w:jc w:val="center"/>
              <w:rPr>
                <w:rFonts w:hint="eastAsia" w:ascii="宋体" w:hAnsi="宋体"/>
                <w:szCs w:val="21"/>
              </w:rPr>
            </w:pPr>
            <w:r>
              <w:rPr>
                <w:rFonts w:hint="eastAsia" w:ascii="宋体" w:hAnsi="宋体"/>
                <w:szCs w:val="21"/>
              </w:rPr>
              <w:t>轴线偏位(mm)</w:t>
            </w:r>
          </w:p>
        </w:tc>
        <w:tc>
          <w:tcPr>
            <w:tcW w:w="3848" w:type="dxa"/>
            <w:noWrap w:val="0"/>
            <w:vAlign w:val="center"/>
          </w:tcPr>
          <w:p w14:paraId="40E776E0">
            <w:pPr>
              <w:adjustRightInd w:val="0"/>
              <w:snapToGrid w:val="0"/>
              <w:spacing w:line="360" w:lineRule="auto"/>
              <w:jc w:val="center"/>
              <w:rPr>
                <w:rFonts w:ascii="宋体" w:hAnsi="宋体"/>
                <w:szCs w:val="21"/>
              </w:rPr>
            </w:pPr>
            <w:r>
              <w:rPr>
                <w:rFonts w:hint="eastAsia" w:ascii="宋体" w:hAnsi="宋体"/>
                <w:szCs w:val="21"/>
              </w:rPr>
              <w:t>明涵</w:t>
            </w:r>
            <w:r>
              <w:rPr>
                <w:rFonts w:ascii="宋体" w:hAnsi="宋体"/>
                <w:szCs w:val="21"/>
              </w:rPr>
              <w:t>20</w:t>
            </w:r>
            <w:r>
              <w:rPr>
                <w:rFonts w:hint="eastAsia" w:ascii="宋体" w:hAnsi="宋体"/>
                <w:szCs w:val="21"/>
              </w:rPr>
              <w:t>，暗涵</w:t>
            </w:r>
            <w:r>
              <w:rPr>
                <w:rFonts w:ascii="宋体" w:hAnsi="宋体"/>
                <w:szCs w:val="21"/>
              </w:rPr>
              <w:t>50</w:t>
            </w:r>
          </w:p>
        </w:tc>
      </w:tr>
      <w:tr w14:paraId="5E763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1E950586">
            <w:pPr>
              <w:adjustRightInd w:val="0"/>
              <w:snapToGrid w:val="0"/>
              <w:spacing w:line="360" w:lineRule="auto"/>
              <w:jc w:val="center"/>
              <w:rPr>
                <w:rFonts w:hint="eastAsia" w:ascii="宋体" w:hAnsi="宋体"/>
                <w:szCs w:val="21"/>
              </w:rPr>
            </w:pPr>
            <w:r>
              <w:rPr>
                <w:rFonts w:hint="eastAsia" w:ascii="宋体" w:hAnsi="宋体"/>
                <w:szCs w:val="21"/>
              </w:rPr>
              <w:t>流水面高程(mm)</w:t>
            </w:r>
          </w:p>
        </w:tc>
        <w:tc>
          <w:tcPr>
            <w:tcW w:w="3848" w:type="dxa"/>
            <w:noWrap w:val="0"/>
            <w:vAlign w:val="center"/>
          </w:tcPr>
          <w:p w14:paraId="181C288C">
            <w:pPr>
              <w:adjustRightInd w:val="0"/>
              <w:snapToGrid w:val="0"/>
              <w:spacing w:line="360" w:lineRule="auto"/>
              <w:jc w:val="center"/>
              <w:rPr>
                <w:rFonts w:hint="eastAsia" w:ascii="宋体" w:hAnsi="宋体"/>
                <w:szCs w:val="21"/>
              </w:rPr>
            </w:pPr>
            <w:r>
              <w:rPr>
                <w:rFonts w:hint="eastAsia" w:ascii="宋体" w:hAnsi="宋体"/>
                <w:szCs w:val="21"/>
              </w:rPr>
              <w:t>±20</w:t>
            </w:r>
          </w:p>
        </w:tc>
      </w:tr>
      <w:tr w14:paraId="534F2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1A654E02">
            <w:pPr>
              <w:adjustRightInd w:val="0"/>
              <w:snapToGrid w:val="0"/>
              <w:spacing w:line="360" w:lineRule="auto"/>
              <w:jc w:val="center"/>
              <w:rPr>
                <w:rFonts w:hint="eastAsia" w:ascii="宋体" w:hAnsi="宋体"/>
                <w:szCs w:val="21"/>
              </w:rPr>
            </w:pPr>
            <w:r>
              <w:rPr>
                <w:rFonts w:hint="eastAsia" w:ascii="宋体" w:hAnsi="宋体"/>
                <w:szCs w:val="21"/>
              </w:rPr>
              <w:t>涵底铺砌厚度(mm)</w:t>
            </w:r>
          </w:p>
        </w:tc>
        <w:tc>
          <w:tcPr>
            <w:tcW w:w="3848" w:type="dxa"/>
            <w:noWrap w:val="0"/>
            <w:vAlign w:val="center"/>
          </w:tcPr>
          <w:p w14:paraId="6CEE9C95">
            <w:pPr>
              <w:adjustRightInd w:val="0"/>
              <w:snapToGrid w:val="0"/>
              <w:spacing w:line="360" w:lineRule="auto"/>
              <w:jc w:val="center"/>
              <w:rPr>
                <w:rFonts w:hint="eastAsia" w:ascii="宋体" w:hAnsi="宋体"/>
                <w:szCs w:val="21"/>
              </w:rPr>
            </w:pPr>
            <w:r>
              <w:rPr>
                <w:rFonts w:ascii="宋体" w:hAnsi="宋体"/>
                <w:szCs w:val="21"/>
              </w:rPr>
              <w:t>+</w:t>
            </w:r>
            <w:r>
              <w:rPr>
                <w:rFonts w:hint="eastAsia" w:ascii="宋体" w:hAnsi="宋体"/>
                <w:szCs w:val="21"/>
              </w:rPr>
              <w:t>40，-10</w:t>
            </w:r>
          </w:p>
        </w:tc>
      </w:tr>
      <w:tr w14:paraId="097BF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3EFDFFF1">
            <w:pPr>
              <w:adjustRightInd w:val="0"/>
              <w:snapToGrid w:val="0"/>
              <w:spacing w:line="360" w:lineRule="auto"/>
              <w:jc w:val="center"/>
              <w:rPr>
                <w:rFonts w:hint="eastAsia" w:ascii="宋体" w:hAnsi="宋体"/>
                <w:szCs w:val="21"/>
              </w:rPr>
            </w:pPr>
            <w:r>
              <w:rPr>
                <w:rFonts w:hint="eastAsia" w:ascii="宋体" w:hAnsi="宋体"/>
                <w:szCs w:val="21"/>
              </w:rPr>
              <w:t>涵长(mm)</w:t>
            </w:r>
          </w:p>
        </w:tc>
        <w:tc>
          <w:tcPr>
            <w:tcW w:w="3848" w:type="dxa"/>
            <w:noWrap w:val="0"/>
            <w:vAlign w:val="center"/>
          </w:tcPr>
          <w:p w14:paraId="7A789EE0">
            <w:pPr>
              <w:adjustRightInd w:val="0"/>
              <w:snapToGrid w:val="0"/>
              <w:spacing w:line="360" w:lineRule="auto"/>
              <w:jc w:val="center"/>
              <w:rPr>
                <w:rFonts w:hint="eastAsia" w:ascii="宋体" w:hAnsi="宋体"/>
                <w:szCs w:val="21"/>
              </w:rPr>
            </w:pPr>
            <w:r>
              <w:rPr>
                <w:rFonts w:ascii="宋体" w:hAnsi="宋体"/>
                <w:szCs w:val="21"/>
              </w:rPr>
              <w:t>+</w:t>
            </w:r>
            <w:r>
              <w:rPr>
                <w:rFonts w:hint="eastAsia" w:ascii="宋体" w:hAnsi="宋体"/>
                <w:szCs w:val="21"/>
              </w:rPr>
              <w:t>100，-50</w:t>
            </w:r>
          </w:p>
        </w:tc>
      </w:tr>
      <w:tr w14:paraId="405B0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0E7F570E">
            <w:pPr>
              <w:adjustRightInd w:val="0"/>
              <w:snapToGrid w:val="0"/>
              <w:spacing w:line="360" w:lineRule="auto"/>
              <w:jc w:val="center"/>
              <w:rPr>
                <w:rFonts w:hint="eastAsia" w:ascii="宋体" w:hAnsi="宋体"/>
                <w:szCs w:val="21"/>
              </w:rPr>
            </w:pPr>
            <w:r>
              <w:rPr>
                <w:rFonts w:hint="eastAsia" w:ascii="宋体" w:hAnsi="宋体"/>
                <w:szCs w:val="21"/>
              </w:rPr>
              <w:t>孔径(mm)</w:t>
            </w:r>
          </w:p>
        </w:tc>
        <w:tc>
          <w:tcPr>
            <w:tcW w:w="3848" w:type="dxa"/>
            <w:noWrap w:val="0"/>
            <w:vAlign w:val="center"/>
          </w:tcPr>
          <w:p w14:paraId="29C4EDDA">
            <w:pPr>
              <w:adjustRightInd w:val="0"/>
              <w:snapToGrid w:val="0"/>
              <w:spacing w:line="360" w:lineRule="auto"/>
              <w:jc w:val="center"/>
              <w:rPr>
                <w:rFonts w:hint="eastAsia" w:ascii="宋体" w:hAnsi="宋体"/>
                <w:szCs w:val="21"/>
              </w:rPr>
            </w:pPr>
            <w:r>
              <w:rPr>
                <w:rFonts w:hint="eastAsia" w:ascii="宋体" w:hAnsi="宋体"/>
                <w:szCs w:val="21"/>
              </w:rPr>
              <w:t>±20</w:t>
            </w:r>
          </w:p>
        </w:tc>
      </w:tr>
      <w:tr w14:paraId="553A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57DE6A4A">
            <w:pPr>
              <w:adjustRightInd w:val="0"/>
              <w:snapToGrid w:val="0"/>
              <w:spacing w:line="360" w:lineRule="auto"/>
              <w:jc w:val="center"/>
              <w:rPr>
                <w:rFonts w:hint="eastAsia" w:ascii="宋体" w:hAnsi="宋体"/>
                <w:szCs w:val="21"/>
              </w:rPr>
            </w:pPr>
            <w:r>
              <w:rPr>
                <w:rFonts w:hint="eastAsia" w:ascii="宋体" w:hAnsi="宋体"/>
                <w:szCs w:val="21"/>
              </w:rPr>
              <w:t>净高(mm)</w:t>
            </w:r>
          </w:p>
        </w:tc>
        <w:tc>
          <w:tcPr>
            <w:tcW w:w="3848" w:type="dxa"/>
            <w:noWrap w:val="0"/>
            <w:vAlign w:val="center"/>
          </w:tcPr>
          <w:p w14:paraId="7B007D9F">
            <w:pPr>
              <w:adjustRightInd w:val="0"/>
              <w:snapToGrid w:val="0"/>
              <w:spacing w:line="360" w:lineRule="auto"/>
              <w:jc w:val="center"/>
              <w:rPr>
                <w:rFonts w:hint="eastAsia" w:ascii="宋体" w:hAnsi="宋体"/>
                <w:szCs w:val="21"/>
              </w:rPr>
            </w:pPr>
            <w:r>
              <w:rPr>
                <w:rFonts w:hint="eastAsia" w:ascii="宋体" w:hAnsi="宋体"/>
                <w:szCs w:val="21"/>
              </w:rPr>
              <w:t>明涵±</w:t>
            </w:r>
            <w:r>
              <w:rPr>
                <w:rFonts w:ascii="宋体" w:hAnsi="宋体"/>
                <w:szCs w:val="21"/>
              </w:rPr>
              <w:t>20</w:t>
            </w:r>
            <w:r>
              <w:rPr>
                <w:rFonts w:hint="eastAsia" w:ascii="宋体" w:hAnsi="宋体"/>
                <w:szCs w:val="21"/>
              </w:rPr>
              <w:t>，暗涵±</w:t>
            </w:r>
            <w:r>
              <w:rPr>
                <w:rFonts w:ascii="宋体" w:hAnsi="宋体"/>
                <w:szCs w:val="21"/>
              </w:rPr>
              <w:t>50</w:t>
            </w:r>
          </w:p>
        </w:tc>
      </w:tr>
      <w:tr w14:paraId="12642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4C3C530C">
            <w:pPr>
              <w:adjustRightInd w:val="0"/>
              <w:snapToGrid w:val="0"/>
              <w:spacing w:line="360" w:lineRule="auto"/>
              <w:jc w:val="center"/>
              <w:rPr>
                <w:rFonts w:hint="eastAsia" w:ascii="宋体" w:hAnsi="宋体"/>
                <w:szCs w:val="21"/>
              </w:rPr>
            </w:pPr>
            <w:r>
              <w:rPr>
                <w:rFonts w:hint="eastAsia" w:ascii="宋体" w:hAnsi="宋体"/>
                <w:szCs w:val="21"/>
              </w:rPr>
              <w:t>混凝土或砂浆强度（MPa）</w:t>
            </w:r>
          </w:p>
        </w:tc>
        <w:tc>
          <w:tcPr>
            <w:tcW w:w="3848" w:type="dxa"/>
            <w:noWrap w:val="0"/>
            <w:vAlign w:val="center"/>
          </w:tcPr>
          <w:p w14:paraId="12EBC8E1">
            <w:pPr>
              <w:adjustRightInd w:val="0"/>
              <w:snapToGrid w:val="0"/>
              <w:spacing w:line="360" w:lineRule="auto"/>
              <w:jc w:val="center"/>
              <w:rPr>
                <w:rFonts w:hint="eastAsia" w:ascii="宋体" w:hAnsi="宋体"/>
                <w:szCs w:val="21"/>
              </w:rPr>
            </w:pPr>
            <w:r>
              <w:rPr>
                <w:rFonts w:hint="eastAsia" w:ascii="宋体" w:hAnsi="宋体"/>
                <w:szCs w:val="21"/>
              </w:rPr>
              <w:t>在合格标准内</w:t>
            </w:r>
          </w:p>
        </w:tc>
      </w:tr>
      <w:tr w14:paraId="301A3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12" w:type="dxa"/>
            <w:vMerge w:val="restart"/>
            <w:noWrap w:val="0"/>
            <w:vAlign w:val="center"/>
          </w:tcPr>
          <w:p w14:paraId="066E219D">
            <w:pPr>
              <w:adjustRightInd w:val="0"/>
              <w:snapToGrid w:val="0"/>
              <w:spacing w:line="360" w:lineRule="auto"/>
              <w:jc w:val="center"/>
              <w:rPr>
                <w:rFonts w:hint="eastAsia" w:ascii="宋体" w:hAnsi="宋体"/>
                <w:szCs w:val="21"/>
              </w:rPr>
            </w:pPr>
            <w:r>
              <w:rPr>
                <w:rFonts w:hint="eastAsia" w:ascii="宋体" w:hAnsi="宋体"/>
                <w:szCs w:val="21"/>
              </w:rPr>
              <w:t>涵台断面尺寸(mm)</w:t>
            </w:r>
          </w:p>
        </w:tc>
        <w:tc>
          <w:tcPr>
            <w:tcW w:w="1636" w:type="dxa"/>
            <w:noWrap w:val="0"/>
            <w:vAlign w:val="center"/>
          </w:tcPr>
          <w:p w14:paraId="1D31C104">
            <w:pPr>
              <w:adjustRightInd w:val="0"/>
              <w:snapToGrid w:val="0"/>
              <w:spacing w:line="360" w:lineRule="auto"/>
              <w:jc w:val="center"/>
              <w:rPr>
                <w:rFonts w:hint="eastAsia" w:ascii="宋体" w:hAnsi="宋体"/>
                <w:szCs w:val="21"/>
              </w:rPr>
            </w:pPr>
            <w:r>
              <w:rPr>
                <w:rFonts w:hint="eastAsia" w:ascii="宋体" w:hAnsi="宋体"/>
                <w:szCs w:val="21"/>
              </w:rPr>
              <w:t>片石砌体</w:t>
            </w:r>
          </w:p>
        </w:tc>
        <w:tc>
          <w:tcPr>
            <w:tcW w:w="3848" w:type="dxa"/>
            <w:noWrap w:val="0"/>
            <w:vAlign w:val="center"/>
          </w:tcPr>
          <w:p w14:paraId="61C10D6B">
            <w:pPr>
              <w:adjustRightInd w:val="0"/>
              <w:snapToGrid w:val="0"/>
              <w:spacing w:line="360" w:lineRule="auto"/>
              <w:jc w:val="center"/>
              <w:rPr>
                <w:rFonts w:hint="eastAsia" w:ascii="宋体" w:hAnsi="宋体"/>
                <w:szCs w:val="21"/>
              </w:rPr>
            </w:pPr>
            <w:r>
              <w:rPr>
                <w:rFonts w:hint="eastAsia" w:ascii="宋体" w:hAnsi="宋体"/>
                <w:szCs w:val="21"/>
              </w:rPr>
              <w:t>±20</w:t>
            </w:r>
          </w:p>
        </w:tc>
      </w:tr>
      <w:tr w14:paraId="72D40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12" w:type="dxa"/>
            <w:vMerge w:val="continue"/>
            <w:noWrap w:val="0"/>
            <w:vAlign w:val="center"/>
          </w:tcPr>
          <w:p w14:paraId="6D79D419">
            <w:pPr>
              <w:adjustRightInd w:val="0"/>
              <w:snapToGrid w:val="0"/>
              <w:spacing w:line="360" w:lineRule="auto"/>
              <w:jc w:val="center"/>
              <w:rPr>
                <w:rFonts w:hint="eastAsia" w:ascii="宋体" w:hAnsi="宋体"/>
                <w:szCs w:val="21"/>
              </w:rPr>
            </w:pPr>
          </w:p>
        </w:tc>
        <w:tc>
          <w:tcPr>
            <w:tcW w:w="1636" w:type="dxa"/>
            <w:noWrap w:val="0"/>
            <w:vAlign w:val="center"/>
          </w:tcPr>
          <w:p w14:paraId="6BD66D3E">
            <w:pPr>
              <w:adjustRightInd w:val="0"/>
              <w:snapToGrid w:val="0"/>
              <w:spacing w:line="360" w:lineRule="auto"/>
              <w:jc w:val="center"/>
              <w:rPr>
                <w:rFonts w:hint="eastAsia" w:ascii="宋体" w:hAnsi="宋体"/>
                <w:szCs w:val="21"/>
              </w:rPr>
            </w:pPr>
            <w:r>
              <w:rPr>
                <w:rFonts w:hint="eastAsia" w:ascii="宋体" w:hAnsi="宋体"/>
                <w:szCs w:val="21"/>
              </w:rPr>
              <w:t>混凝土</w:t>
            </w:r>
          </w:p>
        </w:tc>
        <w:tc>
          <w:tcPr>
            <w:tcW w:w="3848" w:type="dxa"/>
            <w:noWrap w:val="0"/>
            <w:vAlign w:val="center"/>
          </w:tcPr>
          <w:p w14:paraId="170FD831">
            <w:pPr>
              <w:adjustRightInd w:val="0"/>
              <w:snapToGrid w:val="0"/>
              <w:spacing w:line="360" w:lineRule="auto"/>
              <w:jc w:val="center"/>
              <w:rPr>
                <w:rFonts w:hint="eastAsia" w:ascii="宋体" w:hAnsi="宋体"/>
                <w:szCs w:val="21"/>
              </w:rPr>
            </w:pPr>
            <w:r>
              <w:rPr>
                <w:rFonts w:hint="eastAsia" w:ascii="宋体" w:hAnsi="宋体"/>
                <w:szCs w:val="21"/>
              </w:rPr>
              <w:t>±15</w:t>
            </w:r>
          </w:p>
        </w:tc>
      </w:tr>
      <w:tr w14:paraId="4DF88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10C11F47">
            <w:pPr>
              <w:adjustRightInd w:val="0"/>
              <w:snapToGrid w:val="0"/>
              <w:spacing w:line="360" w:lineRule="auto"/>
              <w:jc w:val="center"/>
              <w:rPr>
                <w:rFonts w:hint="eastAsia" w:ascii="宋体" w:hAnsi="宋体"/>
                <w:szCs w:val="21"/>
              </w:rPr>
            </w:pPr>
            <w:r>
              <w:rPr>
                <w:rFonts w:hint="eastAsia" w:ascii="宋体" w:hAnsi="宋体"/>
                <w:szCs w:val="21"/>
              </w:rPr>
              <w:t>垂直度或斜度</w:t>
            </w:r>
          </w:p>
        </w:tc>
        <w:tc>
          <w:tcPr>
            <w:tcW w:w="3848" w:type="dxa"/>
            <w:noWrap w:val="0"/>
            <w:vAlign w:val="center"/>
          </w:tcPr>
          <w:p w14:paraId="2292A6D7">
            <w:pPr>
              <w:adjustRightInd w:val="0"/>
              <w:snapToGrid w:val="0"/>
              <w:spacing w:line="360" w:lineRule="auto"/>
              <w:jc w:val="center"/>
              <w:rPr>
                <w:rFonts w:hint="eastAsia" w:ascii="宋体" w:hAnsi="宋体"/>
                <w:szCs w:val="21"/>
              </w:rPr>
            </w:pPr>
            <w:r>
              <w:rPr>
                <w:rFonts w:hint="eastAsia" w:ascii="宋体" w:hAnsi="宋体"/>
                <w:szCs w:val="21"/>
              </w:rPr>
              <w:t>0.3%台高</w:t>
            </w:r>
          </w:p>
        </w:tc>
      </w:tr>
      <w:tr w14:paraId="6F651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6F858DAE">
            <w:pPr>
              <w:adjustRightInd w:val="0"/>
              <w:snapToGrid w:val="0"/>
              <w:spacing w:line="360" w:lineRule="auto"/>
              <w:jc w:val="center"/>
              <w:rPr>
                <w:rFonts w:hint="eastAsia" w:ascii="宋体" w:hAnsi="宋体"/>
                <w:szCs w:val="21"/>
              </w:rPr>
            </w:pPr>
            <w:r>
              <w:rPr>
                <w:rFonts w:hint="eastAsia" w:ascii="宋体" w:hAnsi="宋体"/>
                <w:szCs w:val="21"/>
              </w:rPr>
              <w:t>涵台顶面高程(mm)</w:t>
            </w:r>
          </w:p>
        </w:tc>
        <w:tc>
          <w:tcPr>
            <w:tcW w:w="3848" w:type="dxa"/>
            <w:noWrap w:val="0"/>
            <w:vAlign w:val="center"/>
          </w:tcPr>
          <w:p w14:paraId="3B107A00">
            <w:pPr>
              <w:adjustRightInd w:val="0"/>
              <w:snapToGrid w:val="0"/>
              <w:spacing w:line="360" w:lineRule="auto"/>
              <w:jc w:val="center"/>
              <w:rPr>
                <w:rFonts w:hint="eastAsia" w:ascii="宋体" w:hAnsi="宋体"/>
                <w:szCs w:val="21"/>
              </w:rPr>
            </w:pPr>
            <w:r>
              <w:rPr>
                <w:rFonts w:hint="eastAsia" w:ascii="宋体" w:hAnsi="宋体"/>
                <w:szCs w:val="21"/>
              </w:rPr>
              <w:t>±10</w:t>
            </w:r>
          </w:p>
        </w:tc>
      </w:tr>
      <w:tr w14:paraId="7114B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12" w:type="dxa"/>
            <w:vMerge w:val="restart"/>
            <w:noWrap w:val="0"/>
            <w:vAlign w:val="center"/>
          </w:tcPr>
          <w:p w14:paraId="671ADEBF">
            <w:pPr>
              <w:adjustRightInd w:val="0"/>
              <w:snapToGrid w:val="0"/>
              <w:spacing w:line="360" w:lineRule="auto"/>
              <w:jc w:val="center"/>
              <w:rPr>
                <w:rFonts w:hint="eastAsia" w:ascii="宋体" w:hAnsi="宋体"/>
                <w:szCs w:val="21"/>
              </w:rPr>
            </w:pPr>
            <w:r>
              <w:rPr>
                <w:rFonts w:hint="eastAsia" w:ascii="宋体" w:hAnsi="宋体"/>
                <w:szCs w:val="21"/>
              </w:rPr>
              <w:t>盖板高度(mm)</w:t>
            </w:r>
          </w:p>
        </w:tc>
        <w:tc>
          <w:tcPr>
            <w:tcW w:w="1636" w:type="dxa"/>
            <w:noWrap w:val="0"/>
            <w:vAlign w:val="center"/>
          </w:tcPr>
          <w:p w14:paraId="6F36AEC5">
            <w:pPr>
              <w:adjustRightInd w:val="0"/>
              <w:snapToGrid w:val="0"/>
              <w:spacing w:line="360" w:lineRule="auto"/>
              <w:jc w:val="center"/>
              <w:rPr>
                <w:rFonts w:hint="eastAsia" w:ascii="宋体" w:hAnsi="宋体"/>
                <w:szCs w:val="21"/>
              </w:rPr>
            </w:pPr>
            <w:r>
              <w:rPr>
                <w:rFonts w:hint="eastAsia" w:ascii="宋体" w:hAnsi="宋体"/>
                <w:szCs w:val="21"/>
              </w:rPr>
              <w:t>明涵</w:t>
            </w:r>
          </w:p>
        </w:tc>
        <w:tc>
          <w:tcPr>
            <w:tcW w:w="3848" w:type="dxa"/>
            <w:noWrap w:val="0"/>
            <w:vAlign w:val="center"/>
          </w:tcPr>
          <w:p w14:paraId="1ACFC61C">
            <w:pPr>
              <w:adjustRightInd w:val="0"/>
              <w:snapToGrid w:val="0"/>
              <w:spacing w:line="360" w:lineRule="auto"/>
              <w:jc w:val="center"/>
              <w:rPr>
                <w:rFonts w:hint="eastAsia" w:ascii="宋体" w:hAnsi="宋体"/>
                <w:szCs w:val="21"/>
              </w:rPr>
            </w:pPr>
            <w:r>
              <w:rPr>
                <w:rFonts w:ascii="宋体" w:hAnsi="宋体"/>
                <w:szCs w:val="21"/>
              </w:rPr>
              <w:t>+</w:t>
            </w:r>
            <w:r>
              <w:rPr>
                <w:rFonts w:hint="eastAsia" w:ascii="宋体" w:hAnsi="宋体"/>
                <w:szCs w:val="21"/>
              </w:rPr>
              <w:t>10，-0</w:t>
            </w:r>
          </w:p>
        </w:tc>
      </w:tr>
      <w:tr w14:paraId="51B22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12" w:type="dxa"/>
            <w:vMerge w:val="continue"/>
            <w:noWrap w:val="0"/>
            <w:vAlign w:val="center"/>
          </w:tcPr>
          <w:p w14:paraId="21EF3DEA">
            <w:pPr>
              <w:adjustRightInd w:val="0"/>
              <w:snapToGrid w:val="0"/>
              <w:spacing w:line="360" w:lineRule="auto"/>
              <w:jc w:val="center"/>
              <w:rPr>
                <w:rFonts w:hint="eastAsia" w:ascii="宋体" w:hAnsi="宋体"/>
                <w:szCs w:val="21"/>
              </w:rPr>
            </w:pPr>
          </w:p>
        </w:tc>
        <w:tc>
          <w:tcPr>
            <w:tcW w:w="1636" w:type="dxa"/>
            <w:noWrap w:val="0"/>
            <w:vAlign w:val="center"/>
          </w:tcPr>
          <w:p w14:paraId="675ED6CE">
            <w:pPr>
              <w:adjustRightInd w:val="0"/>
              <w:snapToGrid w:val="0"/>
              <w:spacing w:line="360" w:lineRule="auto"/>
              <w:jc w:val="center"/>
              <w:rPr>
                <w:rFonts w:hint="eastAsia" w:ascii="宋体" w:hAnsi="宋体"/>
                <w:szCs w:val="21"/>
              </w:rPr>
            </w:pPr>
            <w:r>
              <w:rPr>
                <w:rFonts w:hint="eastAsia" w:ascii="宋体" w:hAnsi="宋体"/>
                <w:szCs w:val="21"/>
              </w:rPr>
              <w:t>暗涵</w:t>
            </w:r>
          </w:p>
        </w:tc>
        <w:tc>
          <w:tcPr>
            <w:tcW w:w="3848" w:type="dxa"/>
            <w:noWrap w:val="0"/>
            <w:vAlign w:val="center"/>
          </w:tcPr>
          <w:p w14:paraId="4200272F">
            <w:pPr>
              <w:adjustRightInd w:val="0"/>
              <w:snapToGrid w:val="0"/>
              <w:spacing w:line="360" w:lineRule="auto"/>
              <w:jc w:val="center"/>
              <w:rPr>
                <w:rFonts w:hint="eastAsia" w:ascii="宋体" w:hAnsi="宋体"/>
                <w:szCs w:val="21"/>
              </w:rPr>
            </w:pPr>
            <w:r>
              <w:rPr>
                <w:rFonts w:hint="eastAsia" w:ascii="宋体" w:hAnsi="宋体"/>
                <w:szCs w:val="21"/>
              </w:rPr>
              <w:t>不小于设计值</w:t>
            </w:r>
          </w:p>
        </w:tc>
      </w:tr>
      <w:tr w14:paraId="6D232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12" w:type="dxa"/>
            <w:vMerge w:val="restart"/>
            <w:noWrap w:val="0"/>
            <w:vAlign w:val="center"/>
          </w:tcPr>
          <w:p w14:paraId="3A205854">
            <w:pPr>
              <w:adjustRightInd w:val="0"/>
              <w:snapToGrid w:val="0"/>
              <w:spacing w:line="360" w:lineRule="auto"/>
              <w:jc w:val="center"/>
              <w:rPr>
                <w:rFonts w:hint="eastAsia" w:ascii="宋体" w:hAnsi="宋体"/>
                <w:szCs w:val="21"/>
              </w:rPr>
            </w:pPr>
            <w:r>
              <w:rPr>
                <w:rFonts w:hint="eastAsia" w:ascii="宋体" w:hAnsi="宋体"/>
                <w:szCs w:val="21"/>
              </w:rPr>
              <w:t>盖板宽度(mm)</w:t>
            </w:r>
          </w:p>
        </w:tc>
        <w:tc>
          <w:tcPr>
            <w:tcW w:w="1636" w:type="dxa"/>
            <w:noWrap w:val="0"/>
            <w:vAlign w:val="center"/>
          </w:tcPr>
          <w:p w14:paraId="3F560DB2">
            <w:pPr>
              <w:adjustRightInd w:val="0"/>
              <w:snapToGrid w:val="0"/>
              <w:spacing w:line="360" w:lineRule="auto"/>
              <w:jc w:val="center"/>
              <w:rPr>
                <w:rFonts w:hint="eastAsia" w:ascii="宋体" w:hAnsi="宋体"/>
                <w:szCs w:val="21"/>
              </w:rPr>
            </w:pPr>
            <w:r>
              <w:rPr>
                <w:rFonts w:hint="eastAsia" w:ascii="宋体" w:hAnsi="宋体"/>
                <w:szCs w:val="21"/>
              </w:rPr>
              <w:t>明涵</w:t>
            </w:r>
          </w:p>
        </w:tc>
        <w:tc>
          <w:tcPr>
            <w:tcW w:w="3848" w:type="dxa"/>
            <w:noWrap w:val="0"/>
            <w:vAlign w:val="center"/>
          </w:tcPr>
          <w:p w14:paraId="6594C778">
            <w:pPr>
              <w:adjustRightInd w:val="0"/>
              <w:snapToGrid w:val="0"/>
              <w:spacing w:line="360" w:lineRule="auto"/>
              <w:jc w:val="center"/>
              <w:rPr>
                <w:rFonts w:hint="eastAsia" w:ascii="宋体" w:hAnsi="宋体"/>
                <w:szCs w:val="21"/>
              </w:rPr>
            </w:pPr>
            <w:r>
              <w:rPr>
                <w:rFonts w:hint="eastAsia" w:ascii="宋体" w:hAnsi="宋体"/>
                <w:szCs w:val="21"/>
              </w:rPr>
              <w:t>±20</w:t>
            </w:r>
          </w:p>
        </w:tc>
      </w:tr>
      <w:tr w14:paraId="46645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12" w:type="dxa"/>
            <w:vMerge w:val="continue"/>
            <w:noWrap w:val="0"/>
            <w:vAlign w:val="center"/>
          </w:tcPr>
          <w:p w14:paraId="34EEFEC3">
            <w:pPr>
              <w:adjustRightInd w:val="0"/>
              <w:snapToGrid w:val="0"/>
              <w:spacing w:line="360" w:lineRule="auto"/>
              <w:jc w:val="center"/>
              <w:rPr>
                <w:rFonts w:hint="eastAsia" w:ascii="宋体" w:hAnsi="宋体"/>
                <w:szCs w:val="21"/>
              </w:rPr>
            </w:pPr>
          </w:p>
        </w:tc>
        <w:tc>
          <w:tcPr>
            <w:tcW w:w="1636" w:type="dxa"/>
            <w:noWrap w:val="0"/>
            <w:vAlign w:val="center"/>
          </w:tcPr>
          <w:p w14:paraId="2AA281A9">
            <w:pPr>
              <w:adjustRightInd w:val="0"/>
              <w:snapToGrid w:val="0"/>
              <w:spacing w:line="360" w:lineRule="auto"/>
              <w:jc w:val="center"/>
              <w:rPr>
                <w:rFonts w:hint="eastAsia" w:ascii="宋体" w:hAnsi="宋体"/>
                <w:szCs w:val="21"/>
              </w:rPr>
            </w:pPr>
            <w:r>
              <w:rPr>
                <w:rFonts w:hint="eastAsia" w:ascii="宋体" w:hAnsi="宋体"/>
                <w:szCs w:val="21"/>
              </w:rPr>
              <w:t>暗涵</w:t>
            </w:r>
          </w:p>
        </w:tc>
        <w:tc>
          <w:tcPr>
            <w:tcW w:w="3848" w:type="dxa"/>
            <w:noWrap w:val="0"/>
            <w:vAlign w:val="center"/>
          </w:tcPr>
          <w:p w14:paraId="456E80AE">
            <w:pPr>
              <w:adjustRightInd w:val="0"/>
              <w:snapToGrid w:val="0"/>
              <w:spacing w:line="360" w:lineRule="auto"/>
              <w:jc w:val="center"/>
              <w:rPr>
                <w:rFonts w:hint="eastAsia" w:ascii="宋体" w:hAnsi="宋体"/>
                <w:szCs w:val="21"/>
              </w:rPr>
            </w:pPr>
            <w:r>
              <w:rPr>
                <w:rFonts w:hint="eastAsia" w:ascii="宋体" w:hAnsi="宋体"/>
                <w:szCs w:val="21"/>
              </w:rPr>
              <w:t>±10</w:t>
            </w:r>
          </w:p>
        </w:tc>
      </w:tr>
      <w:tr w14:paraId="3D3CB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67D357FD">
            <w:pPr>
              <w:adjustRightInd w:val="0"/>
              <w:snapToGrid w:val="0"/>
              <w:spacing w:line="360" w:lineRule="auto"/>
              <w:jc w:val="center"/>
              <w:rPr>
                <w:rFonts w:hint="eastAsia" w:ascii="宋体" w:hAnsi="宋体"/>
                <w:szCs w:val="21"/>
              </w:rPr>
            </w:pPr>
            <w:r>
              <w:rPr>
                <w:rFonts w:hint="eastAsia" w:ascii="宋体" w:hAnsi="宋体"/>
                <w:szCs w:val="21"/>
              </w:rPr>
              <w:t>盖板长度(mm)</w:t>
            </w:r>
          </w:p>
        </w:tc>
        <w:tc>
          <w:tcPr>
            <w:tcW w:w="3848" w:type="dxa"/>
            <w:noWrap w:val="0"/>
            <w:vAlign w:val="center"/>
          </w:tcPr>
          <w:p w14:paraId="64A649C0">
            <w:pPr>
              <w:adjustRightInd w:val="0"/>
              <w:snapToGrid w:val="0"/>
              <w:spacing w:line="360" w:lineRule="auto"/>
              <w:jc w:val="center"/>
              <w:rPr>
                <w:rFonts w:hint="eastAsia" w:ascii="宋体" w:hAnsi="宋体"/>
                <w:szCs w:val="21"/>
              </w:rPr>
            </w:pPr>
            <w:r>
              <w:rPr>
                <w:rFonts w:ascii="宋体" w:hAnsi="宋体"/>
                <w:szCs w:val="21"/>
              </w:rPr>
              <w:t>+</w:t>
            </w:r>
            <w:r>
              <w:rPr>
                <w:rFonts w:hint="eastAsia" w:ascii="宋体" w:hAnsi="宋体"/>
                <w:szCs w:val="21"/>
              </w:rPr>
              <w:t>20，-10</w:t>
            </w:r>
          </w:p>
        </w:tc>
      </w:tr>
      <w:tr w14:paraId="1E43D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1A0D3BFF">
            <w:pPr>
              <w:adjustRightInd w:val="0"/>
              <w:snapToGrid w:val="0"/>
              <w:spacing w:line="360" w:lineRule="auto"/>
              <w:jc w:val="center"/>
              <w:rPr>
                <w:rFonts w:hint="eastAsia" w:ascii="宋体" w:hAnsi="宋体"/>
                <w:szCs w:val="21"/>
              </w:rPr>
            </w:pPr>
            <w:r>
              <w:rPr>
                <w:rFonts w:hint="eastAsia" w:ascii="宋体" w:hAnsi="宋体"/>
                <w:szCs w:val="21"/>
              </w:rPr>
              <w:t>支承面中心线偏位(mm)</w:t>
            </w:r>
          </w:p>
        </w:tc>
        <w:tc>
          <w:tcPr>
            <w:tcW w:w="3848" w:type="dxa"/>
            <w:noWrap w:val="0"/>
            <w:vAlign w:val="center"/>
          </w:tcPr>
          <w:p w14:paraId="426CC7A1">
            <w:pPr>
              <w:adjustRightInd w:val="0"/>
              <w:snapToGrid w:val="0"/>
              <w:spacing w:line="360" w:lineRule="auto"/>
              <w:jc w:val="center"/>
              <w:rPr>
                <w:rFonts w:hint="eastAsia" w:ascii="宋体" w:hAnsi="宋体"/>
                <w:szCs w:val="21"/>
              </w:rPr>
            </w:pPr>
            <w:r>
              <w:rPr>
                <w:rFonts w:hint="eastAsia" w:ascii="宋体" w:hAnsi="宋体"/>
                <w:szCs w:val="21"/>
              </w:rPr>
              <w:t>10</w:t>
            </w:r>
          </w:p>
        </w:tc>
      </w:tr>
      <w:tr w14:paraId="59D96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848" w:type="dxa"/>
            <w:gridSpan w:val="2"/>
            <w:noWrap w:val="0"/>
            <w:vAlign w:val="center"/>
          </w:tcPr>
          <w:p w14:paraId="284CD719">
            <w:pPr>
              <w:adjustRightInd w:val="0"/>
              <w:snapToGrid w:val="0"/>
              <w:spacing w:line="360" w:lineRule="auto"/>
              <w:jc w:val="center"/>
              <w:rPr>
                <w:rFonts w:hint="eastAsia" w:ascii="宋体" w:hAnsi="宋体"/>
                <w:szCs w:val="21"/>
              </w:rPr>
            </w:pPr>
            <w:r>
              <w:rPr>
                <w:rFonts w:hint="eastAsia" w:ascii="宋体" w:hAnsi="宋体"/>
                <w:szCs w:val="21"/>
              </w:rPr>
              <w:t>相邻板最大高差(mm)</w:t>
            </w:r>
          </w:p>
        </w:tc>
        <w:tc>
          <w:tcPr>
            <w:tcW w:w="3848" w:type="dxa"/>
            <w:noWrap w:val="0"/>
            <w:vAlign w:val="center"/>
          </w:tcPr>
          <w:p w14:paraId="48B0F5B0">
            <w:pPr>
              <w:adjustRightInd w:val="0"/>
              <w:snapToGrid w:val="0"/>
              <w:spacing w:line="360" w:lineRule="auto"/>
              <w:jc w:val="center"/>
              <w:rPr>
                <w:rFonts w:hint="eastAsia" w:ascii="宋体" w:hAnsi="宋体"/>
                <w:szCs w:val="21"/>
              </w:rPr>
            </w:pPr>
            <w:r>
              <w:rPr>
                <w:rFonts w:hint="eastAsia" w:ascii="宋体" w:hAnsi="宋体"/>
                <w:szCs w:val="21"/>
              </w:rPr>
              <w:t>10</w:t>
            </w:r>
          </w:p>
        </w:tc>
      </w:tr>
    </w:tbl>
    <w:p w14:paraId="5482D6C2">
      <w:pPr>
        <w:adjustRightInd w:val="0"/>
        <w:snapToGrid w:val="0"/>
        <w:spacing w:line="360" w:lineRule="auto"/>
        <w:ind w:firstLine="480" w:firstLineChars="200"/>
        <w:rPr>
          <w:rFonts w:hint="eastAsia" w:ascii="宋体" w:hAnsi="宋体"/>
          <w:sz w:val="24"/>
        </w:rPr>
      </w:pPr>
    </w:p>
    <w:p w14:paraId="1D35E52D">
      <w:pPr>
        <w:adjustRightInd w:val="0"/>
        <w:snapToGrid w:val="0"/>
        <w:spacing w:line="360" w:lineRule="auto"/>
        <w:ind w:firstLine="482" w:firstLineChars="200"/>
        <w:rPr>
          <w:rFonts w:hint="eastAsia" w:ascii="宋体" w:hAnsi="宋体"/>
          <w:b/>
          <w:bCs/>
          <w:sz w:val="24"/>
        </w:rPr>
      </w:pPr>
      <w:r>
        <w:rPr>
          <w:rFonts w:hint="eastAsia" w:ascii="宋体" w:hAnsi="宋体"/>
          <w:b/>
          <w:bCs/>
          <w:sz w:val="24"/>
        </w:rPr>
        <w:t>3、箱涵通道</w:t>
      </w:r>
    </w:p>
    <w:p w14:paraId="55E83BD4">
      <w:pPr>
        <w:adjustRightInd w:val="0"/>
        <w:snapToGrid w:val="0"/>
        <w:spacing w:line="360" w:lineRule="auto"/>
        <w:ind w:firstLine="480" w:firstLineChars="200"/>
        <w:rPr>
          <w:rFonts w:hint="eastAsia" w:ascii="宋体" w:hAnsi="宋体"/>
          <w:sz w:val="24"/>
        </w:rPr>
      </w:pPr>
      <w:r>
        <w:rPr>
          <w:rFonts w:hint="eastAsia" w:ascii="宋体" w:hAnsi="宋体"/>
          <w:sz w:val="24"/>
        </w:rPr>
        <w:t>本项目全线共设计箱涵通道4座。</w:t>
      </w:r>
    </w:p>
    <w:p w14:paraId="189BED8C">
      <w:pPr>
        <w:adjustRightInd w:val="0"/>
        <w:snapToGrid w:val="0"/>
        <w:spacing w:line="360" w:lineRule="auto"/>
        <w:ind w:firstLine="482" w:firstLineChars="200"/>
        <w:rPr>
          <w:rFonts w:hint="eastAsia" w:ascii="宋体" w:hAnsi="宋体"/>
          <w:b/>
          <w:bCs/>
          <w:sz w:val="24"/>
        </w:rPr>
      </w:pPr>
      <w:r>
        <w:rPr>
          <w:rFonts w:hint="eastAsia" w:ascii="宋体" w:hAnsi="宋体"/>
          <w:b/>
          <w:bCs/>
          <w:sz w:val="24"/>
        </w:rPr>
        <w:t>施工方法及注意事项：</w:t>
      </w:r>
    </w:p>
    <w:p w14:paraId="4C8E51E9">
      <w:pPr>
        <w:adjustRightInd w:val="0"/>
        <w:snapToGrid w:val="0"/>
        <w:spacing w:line="360" w:lineRule="auto"/>
        <w:ind w:firstLine="480" w:firstLineChars="200"/>
        <w:rPr>
          <w:rFonts w:hint="eastAsia" w:ascii="宋体" w:hAnsi="宋体"/>
          <w:sz w:val="24"/>
        </w:rPr>
      </w:pPr>
      <w:r>
        <w:rPr>
          <w:rFonts w:hint="eastAsia" w:ascii="宋体" w:hAnsi="宋体"/>
          <w:sz w:val="24"/>
        </w:rPr>
        <w:t>①箱涵通道采用现浇工艺，全箱涵分两次浇筑，第一次浇至底板内壁以上30cm，第二次浇筑剩余部分，接缝处按施工缝处理。</w:t>
      </w:r>
    </w:p>
    <w:p w14:paraId="7AAB4D31">
      <w:pPr>
        <w:adjustRightInd w:val="0"/>
        <w:snapToGrid w:val="0"/>
        <w:spacing w:line="360" w:lineRule="auto"/>
        <w:ind w:firstLine="480" w:firstLineChars="200"/>
        <w:rPr>
          <w:rFonts w:hint="eastAsia" w:ascii="宋体" w:hAnsi="宋体"/>
          <w:sz w:val="24"/>
        </w:rPr>
      </w:pPr>
      <w:r>
        <w:rPr>
          <w:rFonts w:hint="eastAsia" w:ascii="宋体" w:hAnsi="宋体"/>
          <w:sz w:val="24"/>
        </w:rPr>
        <w:t>②当涵身混凝土强度达到100%时方可进行涵背填土，涵背采用5%石灰改善土，两侧同时对称分层回填分层压实，压实度要达到96%以上，每层压实厚度15cm，不得采用大型机械堆土超厚压实。</w:t>
      </w:r>
    </w:p>
    <w:p w14:paraId="42C42EF0">
      <w:pPr>
        <w:adjustRightInd w:val="0"/>
        <w:snapToGrid w:val="0"/>
        <w:spacing w:line="360" w:lineRule="auto"/>
        <w:ind w:firstLine="480" w:firstLineChars="200"/>
        <w:rPr>
          <w:rFonts w:hint="eastAsia" w:ascii="宋体" w:hAnsi="宋体"/>
          <w:sz w:val="24"/>
        </w:rPr>
      </w:pPr>
      <w:r>
        <w:rPr>
          <w:rFonts w:hint="eastAsia" w:ascii="宋体" w:hAnsi="宋体"/>
          <w:sz w:val="24"/>
        </w:rPr>
        <w:t>③箱涵需在涵身中部（中央分隔带两侧边缘）连同基础各设变形缝一道，其余部位按6m左右间距设置变形缝。</w:t>
      </w:r>
    </w:p>
    <w:p w14:paraId="097A6C04">
      <w:pPr>
        <w:adjustRightInd w:val="0"/>
        <w:snapToGrid w:val="0"/>
        <w:spacing w:line="360" w:lineRule="auto"/>
        <w:ind w:firstLine="480" w:firstLineChars="200"/>
        <w:rPr>
          <w:rFonts w:hint="eastAsia" w:ascii="宋体" w:hAnsi="宋体"/>
          <w:sz w:val="24"/>
        </w:rPr>
      </w:pPr>
    </w:p>
    <w:p w14:paraId="3BC71D4E">
      <w:pPr>
        <w:adjustRightInd w:val="0"/>
        <w:snapToGrid w:val="0"/>
        <w:spacing w:line="360" w:lineRule="auto"/>
        <w:ind w:firstLine="480" w:firstLineChars="200"/>
        <w:rPr>
          <w:rFonts w:hint="eastAsia" w:ascii="宋体" w:hAnsi="宋体"/>
          <w:sz w:val="24"/>
        </w:rPr>
      </w:pPr>
    </w:p>
    <w:p w14:paraId="5992EA22">
      <w:pPr>
        <w:adjustRightInd w:val="0"/>
        <w:snapToGrid w:val="0"/>
        <w:spacing w:line="360" w:lineRule="auto"/>
        <w:ind w:firstLine="480" w:firstLineChars="200"/>
        <w:rPr>
          <w:rFonts w:hint="eastAsia" w:ascii="宋体" w:hAnsi="宋体"/>
          <w:sz w:val="24"/>
        </w:rPr>
      </w:pPr>
    </w:p>
    <w:p w14:paraId="4974F343">
      <w:pPr>
        <w:adjustRightInd w:val="0"/>
        <w:snapToGrid w:val="0"/>
        <w:spacing w:line="360" w:lineRule="auto"/>
        <w:ind w:firstLine="480" w:firstLineChars="200"/>
        <w:rPr>
          <w:rFonts w:hint="eastAsia" w:ascii="宋体" w:hAnsi="宋体"/>
          <w:sz w:val="24"/>
        </w:rPr>
      </w:pPr>
    </w:p>
    <w:bookmarkEnd w:id="782"/>
    <w:bookmarkEnd w:id="783"/>
    <w:bookmarkEnd w:id="784"/>
    <w:bookmarkEnd w:id="785"/>
    <w:bookmarkEnd w:id="840"/>
    <w:bookmarkEnd w:id="841"/>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p w14:paraId="5B8E1EDB">
      <w:pPr>
        <w:pStyle w:val="4"/>
        <w:numPr>
          <w:ilvl w:val="1"/>
          <w:numId w:val="0"/>
        </w:numPr>
        <w:spacing w:line="360" w:lineRule="auto"/>
        <w:ind w:firstLine="0" w:firstLineChars="0"/>
        <w:rPr>
          <w:rFonts w:hint="eastAsia" w:ascii="宋体" w:hAnsi="宋体" w:eastAsia="宋体" w:cs="宋体"/>
          <w:color w:val="auto"/>
        </w:rPr>
      </w:pPr>
      <w:bookmarkStart w:id="859" w:name="_Toc4508"/>
      <w:bookmarkStart w:id="860" w:name="_Toc27125"/>
      <w:bookmarkStart w:id="861" w:name="_Toc27784"/>
      <w:bookmarkStart w:id="862" w:name="_Toc24362"/>
      <w:bookmarkStart w:id="863" w:name="_Toc7621"/>
      <w:bookmarkStart w:id="864" w:name="_Toc22733"/>
      <w:bookmarkStart w:id="865" w:name="_Toc23594"/>
      <w:bookmarkStart w:id="866" w:name="_Toc32514"/>
      <w:bookmarkStart w:id="867" w:name="_Toc26392"/>
      <w:bookmarkStart w:id="868" w:name="_Toc11959"/>
      <w:bookmarkStart w:id="869" w:name="_Toc12844"/>
      <w:bookmarkStart w:id="870" w:name="_Toc827"/>
      <w:bookmarkStart w:id="871" w:name="_Toc14914"/>
      <w:bookmarkStart w:id="872" w:name="_Toc22861"/>
      <w:bookmarkStart w:id="873" w:name="_Toc18445"/>
      <w:r>
        <w:rPr>
          <w:rFonts w:hint="eastAsia" w:ascii="宋体" w:hAnsi="宋体" w:cs="Times New Roman"/>
          <w:b/>
          <w:bCs/>
          <w:color w:val="auto"/>
          <w:kern w:val="2"/>
          <w:sz w:val="32"/>
          <w:szCs w:val="32"/>
          <w:lang w:val="en-US" w:eastAsia="zh-CN" w:bidi="ar-SA"/>
        </w:rPr>
        <w:t>8</w:t>
      </w:r>
      <w:r>
        <w:rPr>
          <w:rFonts w:hint="default" w:ascii="宋体" w:hAnsi="宋体" w:eastAsia="宋体" w:cs="Times New Roman"/>
          <w:b/>
          <w:bCs/>
          <w:color w:val="auto"/>
          <w:kern w:val="2"/>
          <w:sz w:val="32"/>
          <w:szCs w:val="32"/>
          <w:lang w:val="en-US" w:eastAsia="zh-CN" w:bidi="ar-SA"/>
        </w:rPr>
        <w:t>.</w:t>
      </w:r>
      <w:r>
        <w:rPr>
          <w:rFonts w:hint="eastAsia" w:ascii="宋体" w:hAnsi="宋体" w:cs="Times New Roman"/>
          <w:b/>
          <w:bCs/>
          <w:color w:val="auto"/>
          <w:kern w:val="2"/>
          <w:sz w:val="32"/>
          <w:szCs w:val="32"/>
          <w:lang w:val="en-US" w:eastAsia="zh-CN" w:bidi="ar-SA"/>
        </w:rPr>
        <w:t>2</w:t>
      </w:r>
      <w:r>
        <w:rPr>
          <w:rFonts w:hint="eastAsia" w:ascii="宋体" w:hAnsi="宋体" w:eastAsia="宋体" w:cs="宋体"/>
          <w:color w:val="auto"/>
        </w:rPr>
        <w:t>桥梁工程</w:t>
      </w:r>
      <w:bookmarkEnd w:id="859"/>
      <w:bookmarkEnd w:id="860"/>
      <w:bookmarkEnd w:id="861"/>
      <w:bookmarkEnd w:id="862"/>
      <w:bookmarkEnd w:id="863"/>
      <w:bookmarkEnd w:id="864"/>
      <w:bookmarkEnd w:id="865"/>
      <w:bookmarkEnd w:id="866"/>
      <w:bookmarkEnd w:id="867"/>
    </w:p>
    <w:p w14:paraId="2D6265B7">
      <w:pPr>
        <w:pStyle w:val="5"/>
        <w:numPr>
          <w:ilvl w:val="2"/>
          <w:numId w:val="0"/>
        </w:numPr>
        <w:spacing w:line="360" w:lineRule="auto"/>
        <w:ind w:left="720" w:leftChars="0" w:hanging="720" w:firstLineChars="0"/>
        <w:rPr>
          <w:rFonts w:hint="eastAsia" w:ascii="宋体" w:hAnsi="宋体" w:eastAsia="宋体" w:cs="宋体"/>
          <w:color w:val="auto"/>
        </w:rPr>
      </w:pPr>
      <w:bookmarkStart w:id="874" w:name="_Toc16521"/>
      <w:bookmarkStart w:id="875" w:name="_Toc21024"/>
      <w:bookmarkStart w:id="876" w:name="_Toc40433224"/>
      <w:bookmarkStart w:id="877" w:name="_Toc3787"/>
      <w:bookmarkStart w:id="878" w:name="_Toc20577"/>
      <w:bookmarkStart w:id="879" w:name="_Toc39251671"/>
      <w:bookmarkStart w:id="880" w:name="_Toc4149"/>
      <w:bookmarkStart w:id="881" w:name="_Toc29223"/>
      <w:bookmarkStart w:id="882" w:name="_Toc22082"/>
      <w:bookmarkStart w:id="883" w:name="_Toc11966"/>
      <w:bookmarkStart w:id="884" w:name="_Toc392933503"/>
      <w:r>
        <w:rPr>
          <w:rFonts w:hint="eastAsia" w:ascii="宋体" w:hAnsi="宋体" w:cs="Times New Roman"/>
          <w:b/>
          <w:bCs/>
          <w:color w:val="auto"/>
          <w:kern w:val="2"/>
          <w:sz w:val="30"/>
          <w:szCs w:val="32"/>
          <w:lang w:val="en-US" w:eastAsia="zh-CN" w:bidi="ar-SA"/>
        </w:rPr>
        <w:t>8</w:t>
      </w:r>
      <w:r>
        <w:rPr>
          <w:rFonts w:hint="default" w:ascii="宋体" w:hAnsi="宋体" w:eastAsia="宋体" w:cs="Times New Roman"/>
          <w:b/>
          <w:bCs/>
          <w:color w:val="auto"/>
          <w:kern w:val="2"/>
          <w:sz w:val="30"/>
          <w:szCs w:val="32"/>
          <w:lang w:val="en-US" w:eastAsia="zh-CN" w:bidi="ar-SA"/>
        </w:rPr>
        <w:t>.</w:t>
      </w:r>
      <w:r>
        <w:rPr>
          <w:rFonts w:hint="eastAsia" w:ascii="宋体" w:hAnsi="宋体" w:cs="Times New Roman"/>
          <w:b/>
          <w:bCs/>
          <w:color w:val="auto"/>
          <w:kern w:val="2"/>
          <w:sz w:val="30"/>
          <w:szCs w:val="32"/>
          <w:lang w:val="en-US" w:eastAsia="zh-CN" w:bidi="ar-SA"/>
        </w:rPr>
        <w:t>2</w:t>
      </w:r>
      <w:r>
        <w:rPr>
          <w:rFonts w:hint="default" w:ascii="宋体" w:hAnsi="宋体" w:eastAsia="宋体" w:cs="Times New Roman"/>
          <w:b/>
          <w:bCs/>
          <w:color w:val="auto"/>
          <w:kern w:val="2"/>
          <w:sz w:val="30"/>
          <w:szCs w:val="32"/>
          <w:lang w:val="en-US" w:eastAsia="zh-CN" w:bidi="ar-SA"/>
        </w:rPr>
        <w:t>.1</w:t>
      </w:r>
      <w:r>
        <w:rPr>
          <w:rFonts w:hint="eastAsia" w:ascii="宋体" w:hAnsi="宋体" w:eastAsia="宋体" w:cs="宋体"/>
          <w:color w:val="auto"/>
        </w:rPr>
        <w:t>施工准备</w:t>
      </w:r>
      <w:bookmarkEnd w:id="874"/>
      <w:bookmarkEnd w:id="875"/>
      <w:bookmarkEnd w:id="876"/>
      <w:bookmarkEnd w:id="877"/>
      <w:bookmarkEnd w:id="878"/>
      <w:bookmarkEnd w:id="879"/>
      <w:bookmarkEnd w:id="880"/>
      <w:bookmarkEnd w:id="881"/>
      <w:bookmarkEnd w:id="882"/>
      <w:bookmarkEnd w:id="883"/>
    </w:p>
    <w:p w14:paraId="61CC2154">
      <w:pPr>
        <w:ind w:left="-140" w:firstLine="480"/>
        <w:rPr>
          <w:rFonts w:hint="eastAsia" w:ascii="宋体" w:hAnsi="宋体" w:eastAsia="宋体" w:cs="宋体"/>
        </w:rPr>
      </w:pPr>
      <w:bookmarkStart w:id="885" w:name="_Hlk40591383"/>
      <w:r>
        <w:rPr>
          <w:rFonts w:hint="eastAsia" w:ascii="宋体" w:hAnsi="宋体" w:cs="宋体"/>
          <w:lang w:val="en-US" w:eastAsia="zh-CN"/>
        </w:rPr>
        <w:t>1、</w:t>
      </w:r>
      <w:r>
        <w:rPr>
          <w:rFonts w:hint="eastAsia" w:ascii="宋体" w:hAnsi="宋体" w:eastAsia="宋体" w:cs="宋体"/>
        </w:rPr>
        <w:t>施工前做好场地查勘工作，如有</w:t>
      </w:r>
      <w:r>
        <w:rPr>
          <w:rFonts w:hint="eastAsia" w:ascii="宋体" w:hAnsi="宋体" w:cs="宋体"/>
          <w:lang w:val="en-US" w:eastAsia="zh-CN"/>
        </w:rPr>
        <w:t>军用光缆、</w:t>
      </w:r>
      <w:r>
        <w:rPr>
          <w:rFonts w:hint="eastAsia" w:ascii="宋体" w:hAnsi="宋体" w:eastAsia="宋体" w:cs="宋体"/>
        </w:rPr>
        <w:t>架空电线、给排水管道等设施等妨碍施工或对安全操作有影响的，应及时汇报业主处理；场地地基承载力应满足压桩机接地压强的要求。并做好施工前的三通一平工作（通电、通水、通路、场地平整）。</w:t>
      </w:r>
    </w:p>
    <w:bookmarkEnd w:id="885"/>
    <w:p w14:paraId="54654D01">
      <w:pPr>
        <w:pStyle w:val="14"/>
        <w:bidi w:val="0"/>
        <w:rPr>
          <w:rFonts w:hint="eastAsia"/>
        </w:rPr>
      </w:pPr>
      <w:bookmarkStart w:id="886" w:name="_Toc11367"/>
      <w:bookmarkStart w:id="887" w:name="_Toc265"/>
      <w:bookmarkStart w:id="888" w:name="_Toc21197"/>
      <w:bookmarkStart w:id="889" w:name="_Toc16342"/>
      <w:bookmarkStart w:id="890" w:name="技术准备"/>
      <w:bookmarkStart w:id="891" w:name="_Toc17703959"/>
      <w:bookmarkStart w:id="892" w:name="_Toc9484"/>
      <w:bookmarkStart w:id="893" w:name="_Toc13127"/>
      <w:bookmarkStart w:id="894" w:name="_Toc25220"/>
      <w:r>
        <w:rPr>
          <w:rFonts w:hint="default"/>
          <w:lang w:val="en-US" w:eastAsia="zh-CN"/>
        </w:rPr>
        <w:t>2</w:t>
      </w:r>
      <w:r>
        <w:rPr>
          <w:rFonts w:hint="eastAsia"/>
          <w:lang w:val="en-US" w:eastAsia="zh-CN"/>
        </w:rPr>
        <w:t>、</w:t>
      </w:r>
      <w:r>
        <w:rPr>
          <w:rFonts w:hint="eastAsia"/>
        </w:rPr>
        <w:t>技术准备</w:t>
      </w:r>
      <w:bookmarkEnd w:id="886"/>
      <w:bookmarkEnd w:id="887"/>
      <w:bookmarkEnd w:id="888"/>
      <w:bookmarkEnd w:id="889"/>
      <w:bookmarkEnd w:id="890"/>
      <w:bookmarkEnd w:id="891"/>
      <w:bookmarkEnd w:id="892"/>
      <w:bookmarkEnd w:id="893"/>
      <w:bookmarkEnd w:id="894"/>
    </w:p>
    <w:p w14:paraId="7C6AEF4C">
      <w:pPr>
        <w:ind w:left="-140"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技术人员对设计施工图进行了详细的阅读并进行了相关工程量计算。</w:t>
      </w:r>
    </w:p>
    <w:p w14:paraId="2AAC8C7F">
      <w:pPr>
        <w:ind w:left="-140"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按照规范要求，编制桩基础施工组织方案，进行编号，设计打桩路线图，向施工人员进行技术交底和质量、安全、环保培训教育。</w:t>
      </w:r>
    </w:p>
    <w:p w14:paraId="7074C643">
      <w:pPr>
        <w:ind w:left="-140"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人工探孔，查明地下管线情况。</w:t>
      </w:r>
    </w:p>
    <w:p w14:paraId="60D3F198">
      <w:pPr>
        <w:ind w:left="-140"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在场地内选择试点进行试开钻，查看土层分布及地下水水位情况。根据试桩的情况确认地质情况。</w:t>
      </w:r>
    </w:p>
    <w:p w14:paraId="426A5C56">
      <w:pPr>
        <w:ind w:left="-140" w:firstLine="480"/>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根据施工需要，合理配置施工需要的机具设备，供电设备及安全防护设备等。根据设计要求，组织进货钢材、水泥、砂、石及施工用的黏土，并取样、送样至具有相应资质等级的试验检测单位检验。混凝土采取集中搅拌。</w:t>
      </w:r>
    </w:p>
    <w:p w14:paraId="182F0093">
      <w:pPr>
        <w:pStyle w:val="14"/>
        <w:bidi w:val="0"/>
        <w:rPr>
          <w:rFonts w:hint="eastAsia"/>
        </w:rPr>
      </w:pPr>
      <w:bookmarkStart w:id="895" w:name="_Toc22523"/>
      <w:bookmarkStart w:id="896" w:name="测量准备"/>
      <w:bookmarkStart w:id="897" w:name="_Toc2516"/>
      <w:bookmarkStart w:id="898" w:name="_Toc1560"/>
      <w:bookmarkStart w:id="899" w:name="_Toc25460"/>
      <w:bookmarkStart w:id="900" w:name="_Toc14495"/>
      <w:bookmarkStart w:id="901" w:name="_Toc17703960"/>
      <w:bookmarkStart w:id="902" w:name="_Toc8460"/>
      <w:bookmarkStart w:id="903" w:name="_Toc5450"/>
      <w:r>
        <w:rPr>
          <w:rFonts w:hint="default"/>
          <w:lang w:val="en-US" w:eastAsia="zh-CN"/>
        </w:rPr>
        <w:t>3</w:t>
      </w:r>
      <w:r>
        <w:rPr>
          <w:rFonts w:hint="eastAsia"/>
          <w:lang w:val="en-US" w:eastAsia="zh-CN"/>
        </w:rPr>
        <w:t>、</w:t>
      </w:r>
      <w:r>
        <w:rPr>
          <w:rFonts w:hint="eastAsia"/>
        </w:rPr>
        <w:t>测量准备</w:t>
      </w:r>
      <w:bookmarkEnd w:id="895"/>
      <w:bookmarkEnd w:id="896"/>
      <w:bookmarkEnd w:id="897"/>
      <w:bookmarkEnd w:id="898"/>
      <w:bookmarkEnd w:id="899"/>
      <w:bookmarkEnd w:id="900"/>
      <w:bookmarkEnd w:id="901"/>
      <w:bookmarkEnd w:id="902"/>
      <w:bookmarkEnd w:id="903"/>
    </w:p>
    <w:p w14:paraId="08B59010">
      <w:pPr>
        <w:ind w:left="-140" w:firstLine="480"/>
        <w:rPr>
          <w:rFonts w:hint="eastAsia" w:ascii="宋体" w:hAnsi="宋体" w:eastAsia="宋体" w:cs="宋体"/>
        </w:rPr>
      </w:pPr>
      <w:r>
        <w:rPr>
          <w:rFonts w:hint="eastAsia" w:ascii="宋体" w:hAnsi="宋体" w:eastAsia="宋体" w:cs="宋体"/>
        </w:rPr>
        <w:t>项目部测量员在试桩前根据设计图和建设单位提供的坐标、高程进行复核并完成相关内业计算，测放建筑物轴线和桩位。</w:t>
      </w:r>
    </w:p>
    <w:p w14:paraId="0885AF0E">
      <w:pPr>
        <w:pStyle w:val="14"/>
        <w:bidi w:val="0"/>
        <w:rPr>
          <w:rFonts w:hint="eastAsia"/>
        </w:rPr>
      </w:pPr>
      <w:bookmarkStart w:id="904" w:name="_Toc12168"/>
      <w:bookmarkStart w:id="905" w:name="材料准备"/>
      <w:bookmarkStart w:id="906" w:name="_Toc17703961"/>
      <w:bookmarkStart w:id="907" w:name="_Toc5865"/>
      <w:bookmarkStart w:id="908" w:name="_Toc10460"/>
      <w:bookmarkStart w:id="909" w:name="_Toc22405"/>
      <w:bookmarkStart w:id="910" w:name="_Toc15437"/>
      <w:bookmarkStart w:id="911" w:name="_Toc6392"/>
      <w:bookmarkStart w:id="912" w:name="_Toc27055"/>
      <w:r>
        <w:rPr>
          <w:rFonts w:hint="default"/>
          <w:lang w:val="en-US" w:eastAsia="zh-CN"/>
        </w:rPr>
        <w:t>4</w:t>
      </w:r>
      <w:r>
        <w:rPr>
          <w:rFonts w:hint="eastAsia"/>
          <w:lang w:val="en-US" w:eastAsia="zh-CN"/>
        </w:rPr>
        <w:t>、</w:t>
      </w:r>
      <w:r>
        <w:rPr>
          <w:rFonts w:hint="eastAsia"/>
        </w:rPr>
        <w:t>材料准备</w:t>
      </w:r>
      <w:bookmarkEnd w:id="904"/>
      <w:bookmarkEnd w:id="905"/>
      <w:bookmarkEnd w:id="906"/>
      <w:bookmarkEnd w:id="907"/>
      <w:bookmarkEnd w:id="908"/>
      <w:bookmarkEnd w:id="909"/>
      <w:bookmarkEnd w:id="910"/>
      <w:bookmarkEnd w:id="911"/>
      <w:bookmarkEnd w:id="912"/>
    </w:p>
    <w:p w14:paraId="3978939C">
      <w:pPr>
        <w:ind w:left="-140" w:firstLine="480"/>
        <w:rPr>
          <w:rFonts w:hint="eastAsia" w:ascii="宋体" w:hAnsi="宋体" w:eastAsia="宋体" w:cs="宋体"/>
        </w:rPr>
      </w:pPr>
      <w:r>
        <w:rPr>
          <w:rFonts w:hint="eastAsia" w:ascii="宋体" w:hAnsi="宋体" w:eastAsia="宋体" w:cs="宋体"/>
        </w:rPr>
        <w:t>在施工准备阶段，应落实好材料供应商，根据施工进度需求及时向供应商提供材料需求单，确保及时发货和合理用料。</w:t>
      </w:r>
    </w:p>
    <w:bookmarkEnd w:id="884"/>
    <w:p w14:paraId="358F471A">
      <w:pPr>
        <w:pStyle w:val="5"/>
        <w:bidi w:val="0"/>
        <w:rPr>
          <w:rFonts w:hint="eastAsia"/>
          <w:color w:val="auto"/>
        </w:rPr>
      </w:pPr>
      <w:bookmarkStart w:id="913" w:name="_Toc15106"/>
      <w:bookmarkStart w:id="914" w:name="_Toc8587"/>
      <w:bookmarkStart w:id="915" w:name="_Toc8871"/>
      <w:bookmarkStart w:id="916" w:name="_Toc1110"/>
      <w:bookmarkStart w:id="917" w:name="_Toc3829"/>
      <w:bookmarkStart w:id="918" w:name="_Toc5096"/>
      <w:bookmarkStart w:id="919" w:name="_Toc20858"/>
      <w:bookmarkStart w:id="920" w:name="_Toc25162"/>
      <w:bookmarkStart w:id="921" w:name="_Toc25547"/>
      <w:bookmarkStart w:id="922" w:name="_Toc6732"/>
      <w:bookmarkStart w:id="923" w:name="_Toc2668"/>
      <w:bookmarkStart w:id="924" w:name="_Toc6294"/>
      <w:r>
        <w:rPr>
          <w:rFonts w:hint="eastAsia"/>
          <w:color w:val="auto"/>
          <w:lang w:val="en-US" w:eastAsia="zh-CN"/>
        </w:rPr>
        <w:t>8</w:t>
      </w:r>
      <w:r>
        <w:rPr>
          <w:rFonts w:hint="default"/>
          <w:color w:val="auto"/>
          <w:lang w:val="en-US" w:eastAsia="zh-CN"/>
        </w:rPr>
        <w:t>.2.</w:t>
      </w:r>
      <w:r>
        <w:rPr>
          <w:rFonts w:hint="eastAsia"/>
          <w:color w:val="auto"/>
          <w:lang w:val="en-US" w:eastAsia="zh-CN"/>
        </w:rPr>
        <w:t>2</w:t>
      </w:r>
      <w:r>
        <w:rPr>
          <w:rFonts w:hint="eastAsia"/>
          <w:color w:val="auto"/>
        </w:rPr>
        <w:t>桩基</w:t>
      </w:r>
      <w:bookmarkEnd w:id="913"/>
      <w:bookmarkEnd w:id="914"/>
      <w:bookmarkEnd w:id="915"/>
      <w:bookmarkEnd w:id="916"/>
      <w:bookmarkEnd w:id="917"/>
      <w:bookmarkEnd w:id="918"/>
      <w:bookmarkEnd w:id="919"/>
      <w:r>
        <w:rPr>
          <w:rFonts w:hint="eastAsia"/>
          <w:color w:val="auto"/>
        </w:rPr>
        <w:t>工程</w:t>
      </w:r>
      <w:bookmarkEnd w:id="920"/>
      <w:bookmarkEnd w:id="921"/>
      <w:bookmarkEnd w:id="922"/>
      <w:bookmarkEnd w:id="923"/>
      <w:bookmarkEnd w:id="924"/>
    </w:p>
    <w:p w14:paraId="0990362D">
      <w:pPr>
        <w:ind w:left="-140" w:firstLine="480"/>
        <w:rPr>
          <w:rFonts w:hint="eastAsia" w:ascii="宋体" w:hAnsi="宋体" w:eastAsia="宋体" w:cs="宋体"/>
          <w:lang w:val="en-US" w:eastAsia="zh-CN"/>
        </w:rPr>
      </w:pPr>
      <w:r>
        <w:rPr>
          <w:rFonts w:hint="eastAsia" w:ascii="宋体" w:hAnsi="宋体" w:cs="宋体"/>
          <w:lang w:val="en-US" w:eastAsia="zh-CN"/>
        </w:rPr>
        <w:t>全线桥梁共计27座，桩基807根，</w:t>
      </w:r>
      <w:r>
        <w:rPr>
          <w:color w:val="auto"/>
          <w:highlight w:val="none"/>
        </w:rPr>
        <w:t>钻孔桩施工</w:t>
      </w:r>
      <w:r>
        <w:rPr>
          <w:rFonts w:hint="eastAsia"/>
          <w:color w:val="auto"/>
          <w:highlight w:val="none"/>
          <w:lang w:val="en-US" w:eastAsia="zh-CN"/>
        </w:rPr>
        <w:t>计划</w:t>
      </w:r>
      <w:r>
        <w:rPr>
          <w:rFonts w:hint="eastAsia"/>
          <w:color w:val="auto"/>
          <w:highlight w:val="none"/>
          <w:lang w:eastAsia="zh-CN"/>
        </w:rPr>
        <w:t>采用</w:t>
      </w:r>
      <w:r>
        <w:rPr>
          <w:color w:val="auto"/>
          <w:highlight w:val="none"/>
        </w:rPr>
        <w:t>冲击钻机</w:t>
      </w:r>
      <w:r>
        <w:rPr>
          <w:rFonts w:hint="eastAsia"/>
          <w:color w:val="auto"/>
          <w:highlight w:val="none"/>
          <w:lang w:val="en-US" w:eastAsia="zh-CN"/>
        </w:rPr>
        <w:t>和旋挖钻</w:t>
      </w:r>
      <w:r>
        <w:rPr>
          <w:color w:val="auto"/>
          <w:highlight w:val="none"/>
        </w:rPr>
        <w:t>钻孔</w:t>
      </w:r>
      <w:r>
        <w:rPr>
          <w:rFonts w:hint="eastAsia" w:ascii="宋体" w:hAnsi="宋体" w:eastAsia="宋体" w:cs="宋体"/>
          <w:lang w:val="en-US" w:eastAsia="zh-CN"/>
        </w:rPr>
        <w:t>。</w:t>
      </w:r>
    </w:p>
    <w:p w14:paraId="64B58B5E">
      <w:pPr>
        <w:rPr>
          <w:rFonts w:hint="eastAsia" w:ascii="宋体" w:hAnsi="宋体" w:eastAsia="宋体" w:cs="宋体"/>
        </w:rPr>
      </w:pPr>
    </w:p>
    <w:p w14:paraId="72329114">
      <w:pPr>
        <w:pStyle w:val="14"/>
        <w:bidi w:val="0"/>
        <w:rPr>
          <w:rFonts w:hint="eastAsia"/>
        </w:rPr>
      </w:pPr>
      <w:bookmarkStart w:id="925" w:name="_Toc16592"/>
      <w:bookmarkStart w:id="926" w:name="_Toc3148"/>
      <w:bookmarkStart w:id="927" w:name="_Toc27631"/>
      <w:bookmarkStart w:id="928" w:name="_Toc31239"/>
      <w:bookmarkStart w:id="929" w:name="_Toc5558"/>
      <w:bookmarkStart w:id="930" w:name="_Toc15381"/>
      <w:bookmarkStart w:id="931" w:name="_Toc7694"/>
      <w:r>
        <w:rPr>
          <w:rFonts w:hint="default"/>
          <w:lang w:val="en-US" w:eastAsia="zh-CN"/>
        </w:rPr>
        <w:t>1</w:t>
      </w:r>
      <w:r>
        <w:rPr>
          <w:rFonts w:hint="eastAsia"/>
          <w:lang w:val="en-US" w:eastAsia="zh-CN"/>
        </w:rPr>
        <w:t>、</w:t>
      </w:r>
      <w:r>
        <w:rPr>
          <w:rFonts w:hint="eastAsia"/>
        </w:rPr>
        <w:t>钻孔桩施工工艺流程</w:t>
      </w:r>
      <w:bookmarkEnd w:id="925"/>
      <w:bookmarkEnd w:id="926"/>
      <w:bookmarkEnd w:id="927"/>
      <w:bookmarkEnd w:id="928"/>
      <w:bookmarkEnd w:id="929"/>
      <w:bookmarkEnd w:id="930"/>
      <w:bookmarkEnd w:id="931"/>
      <w:bookmarkStart w:id="932" w:name="_Toc14401"/>
      <w:bookmarkStart w:id="933" w:name="_Toc10667"/>
      <w:bookmarkStart w:id="934" w:name="_Toc23598"/>
    </w:p>
    <w:p w14:paraId="225B88BB">
      <w:pPr>
        <w:ind w:firstLine="480"/>
        <w:jc w:val="center"/>
        <w:rPr>
          <w:rFonts w:hint="eastAsia" w:ascii="宋体" w:hAnsi="宋体" w:eastAsia="宋体" w:cs="宋体"/>
        </w:rPr>
      </w:pPr>
      <w:r>
        <w:rPr>
          <w:rFonts w:hint="eastAsia" w:ascii="宋体" w:hAnsi="宋体" w:eastAsia="宋体" w:cs="宋体"/>
        </w:rPr>
        <w:drawing>
          <wp:inline distT="0" distB="0" distL="114300" distR="114300">
            <wp:extent cx="5129530" cy="7724775"/>
            <wp:effectExtent l="0" t="0" r="6350" b="1905"/>
            <wp:docPr id="14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图片 22"/>
                    <pic:cNvPicPr>
                      <a:picLocks noChangeAspect="1"/>
                    </pic:cNvPicPr>
                  </pic:nvPicPr>
                  <pic:blipFill>
                    <a:blip r:embed="rId107"/>
                    <a:srcRect b="560"/>
                    <a:stretch>
                      <a:fillRect/>
                    </a:stretch>
                  </pic:blipFill>
                  <pic:spPr>
                    <a:xfrm>
                      <a:off x="0" y="0"/>
                      <a:ext cx="5129530" cy="7724775"/>
                    </a:xfrm>
                    <a:prstGeom prst="rect">
                      <a:avLst/>
                    </a:prstGeom>
                    <a:solidFill>
                      <a:srgbClr val="C6D9F1"/>
                    </a:solidFill>
                    <a:ln>
                      <a:noFill/>
                    </a:ln>
                  </pic:spPr>
                </pic:pic>
              </a:graphicData>
            </a:graphic>
          </wp:inline>
        </w:drawing>
      </w:r>
    </w:p>
    <w:p w14:paraId="740C5466">
      <w:pPr>
        <w:ind w:firstLine="480"/>
        <w:jc w:val="center"/>
        <w:rPr>
          <w:rFonts w:hint="eastAsia" w:ascii="宋体" w:hAnsi="宋体" w:eastAsia="宋体" w:cs="宋体"/>
          <w:u w:val="double"/>
        </w:rPr>
      </w:pPr>
      <w:r>
        <w:rPr>
          <w:rFonts w:hint="eastAsia" w:ascii="宋体" w:hAnsi="宋体" w:eastAsia="宋体" w:cs="宋体"/>
          <w:u w:val="double"/>
        </w:rPr>
        <w:t>桥梁钻孔桩施工工艺框图</w:t>
      </w:r>
    </w:p>
    <w:p w14:paraId="5CB51AA4">
      <w:pPr>
        <w:pStyle w:val="14"/>
        <w:bidi w:val="0"/>
        <w:rPr>
          <w:rFonts w:hint="default"/>
          <w:lang w:val="en-US" w:eastAsia="zh-CN"/>
        </w:rPr>
      </w:pPr>
      <w:bookmarkStart w:id="935" w:name="_Toc8443"/>
      <w:bookmarkStart w:id="936" w:name="_Toc32198"/>
      <w:bookmarkStart w:id="937" w:name="_Toc4790"/>
      <w:bookmarkStart w:id="938" w:name="_Toc11765"/>
    </w:p>
    <w:p w14:paraId="64FDA06A">
      <w:pPr>
        <w:pStyle w:val="14"/>
        <w:bidi w:val="0"/>
        <w:rPr>
          <w:rFonts w:hint="eastAsia"/>
        </w:rPr>
      </w:pPr>
      <w:r>
        <w:rPr>
          <w:rFonts w:hint="default"/>
          <w:lang w:val="en-US" w:eastAsia="zh-CN"/>
        </w:rPr>
        <w:t>2.</w:t>
      </w:r>
      <w:r>
        <w:rPr>
          <w:rFonts w:hint="eastAsia"/>
        </w:rPr>
        <w:t>测量要求</w:t>
      </w:r>
      <w:bookmarkEnd w:id="932"/>
      <w:bookmarkEnd w:id="933"/>
      <w:bookmarkEnd w:id="934"/>
      <w:bookmarkEnd w:id="935"/>
      <w:bookmarkEnd w:id="936"/>
      <w:bookmarkEnd w:id="937"/>
      <w:bookmarkEnd w:id="938"/>
    </w:p>
    <w:p w14:paraId="1AE4E8B1">
      <w:pPr>
        <w:ind w:left="-120" w:firstLine="480"/>
        <w:rPr>
          <w:rFonts w:hint="eastAsia" w:ascii="宋体" w:hAnsi="宋体" w:eastAsia="宋体" w:cs="宋体"/>
        </w:rPr>
      </w:pPr>
      <w:r>
        <w:rPr>
          <w:rFonts w:hint="eastAsia" w:ascii="宋体" w:hAnsi="宋体" w:eastAsia="宋体" w:cs="宋体"/>
        </w:rPr>
        <w:t>1）、加密控制点和引测水准点并上报数据经检查复核后将数据用于施工中。</w:t>
      </w:r>
    </w:p>
    <w:p w14:paraId="486ED3D3">
      <w:pPr>
        <w:ind w:left="-120" w:firstLine="480"/>
        <w:rPr>
          <w:rFonts w:hint="eastAsia" w:ascii="宋体" w:hAnsi="宋体" w:eastAsia="宋体" w:cs="宋体"/>
        </w:rPr>
      </w:pPr>
      <w:r>
        <w:rPr>
          <w:rFonts w:hint="eastAsia" w:ascii="宋体" w:hAnsi="宋体" w:eastAsia="宋体" w:cs="宋体"/>
        </w:rPr>
        <w:t>2）、复核设计桩位和标高，无误后由测量人员用全站仪（并带测桩位原地面标高）放样桩位。桩位定测以后设置4个护桩，设在施工范围以外不易破坏的地方，施工中检查护桩的稳定性和准确性。</w:t>
      </w:r>
    </w:p>
    <w:p w14:paraId="3DF78AC3">
      <w:pPr>
        <w:ind w:left="-120" w:firstLine="480"/>
        <w:rPr>
          <w:rFonts w:hint="eastAsia" w:ascii="宋体" w:hAnsi="宋体" w:eastAsia="宋体" w:cs="宋体"/>
        </w:rPr>
      </w:pPr>
      <w:r>
        <w:rPr>
          <w:rFonts w:hint="eastAsia" w:ascii="宋体" w:hAnsi="宋体" w:eastAsia="宋体" w:cs="宋体"/>
        </w:rPr>
        <w:t>3）、报监理工程师进行复核，经监理工程师检测桩位和护筒标高无误同意后开始施工。</w:t>
      </w:r>
    </w:p>
    <w:p w14:paraId="2B71C076">
      <w:pPr>
        <w:ind w:left="-120" w:firstLine="480"/>
        <w:rPr>
          <w:rFonts w:hint="eastAsia" w:ascii="宋体" w:hAnsi="宋体" w:eastAsia="宋体" w:cs="宋体"/>
        </w:rPr>
      </w:pPr>
      <w:r>
        <w:rPr>
          <w:rFonts w:hint="eastAsia" w:ascii="宋体" w:hAnsi="宋体" w:eastAsia="宋体" w:cs="宋体"/>
        </w:rPr>
        <w:t>4）、在成孔之前报监理工程师进行护筒顶的标高水准测量并做好原始记录。</w:t>
      </w:r>
    </w:p>
    <w:p w14:paraId="4B5B15F4">
      <w:pPr>
        <w:ind w:left="-120" w:firstLine="476"/>
        <w:rPr>
          <w:rFonts w:hint="eastAsia" w:ascii="宋体" w:hAnsi="宋体" w:eastAsia="宋体" w:cs="宋体"/>
        </w:rPr>
      </w:pPr>
      <w:r>
        <w:rPr>
          <w:rFonts w:hint="eastAsia" w:ascii="宋体" w:hAnsi="宋体" w:eastAsia="宋体" w:cs="宋体"/>
          <w:spacing w:val="-1"/>
        </w:rPr>
        <w:t>5）、完善测量资料（监表</w:t>
      </w:r>
      <w:r>
        <w:rPr>
          <w:rFonts w:hint="eastAsia" w:ascii="宋体" w:hAnsi="宋体" w:eastAsia="宋体" w:cs="宋体"/>
        </w:rPr>
        <w:t>2施工放样报样单）</w:t>
      </w:r>
    </w:p>
    <w:p w14:paraId="1DB46063">
      <w:pPr>
        <w:pStyle w:val="14"/>
        <w:bidi w:val="0"/>
        <w:rPr>
          <w:rFonts w:hint="eastAsia"/>
        </w:rPr>
      </w:pPr>
      <w:bookmarkStart w:id="939" w:name="_Toc25541"/>
      <w:bookmarkStart w:id="940" w:name="_Toc6404"/>
      <w:bookmarkStart w:id="941" w:name="_Toc8762"/>
      <w:bookmarkStart w:id="942" w:name="_Toc6455"/>
      <w:bookmarkStart w:id="943" w:name="_Toc4431"/>
      <w:bookmarkStart w:id="944" w:name="_Toc11360"/>
      <w:bookmarkStart w:id="945" w:name="_Toc20612"/>
      <w:r>
        <w:rPr>
          <w:rFonts w:hint="default"/>
          <w:lang w:val="en-US" w:eastAsia="zh-CN"/>
        </w:rPr>
        <w:t>3</w:t>
      </w:r>
      <w:r>
        <w:rPr>
          <w:rFonts w:hint="eastAsia"/>
          <w:lang w:val="en-US" w:eastAsia="zh-CN"/>
        </w:rPr>
        <w:t>、</w:t>
      </w:r>
      <w:r>
        <w:rPr>
          <w:rFonts w:hint="eastAsia"/>
        </w:rPr>
        <w:t>泥浆池开挖、防护造浆</w:t>
      </w:r>
      <w:bookmarkEnd w:id="939"/>
      <w:bookmarkEnd w:id="940"/>
      <w:bookmarkEnd w:id="941"/>
      <w:bookmarkEnd w:id="942"/>
      <w:bookmarkEnd w:id="943"/>
      <w:bookmarkEnd w:id="944"/>
      <w:bookmarkEnd w:id="945"/>
    </w:p>
    <w:p w14:paraId="556B497C">
      <w:pPr>
        <w:numPr>
          <w:ilvl w:val="0"/>
          <w:numId w:val="4"/>
        </w:numPr>
        <w:ind w:left="-140" w:firstLine="482"/>
        <w:rPr>
          <w:rFonts w:hint="eastAsia" w:ascii="宋体" w:hAnsi="宋体" w:eastAsia="宋体" w:cs="宋体"/>
          <w:b/>
          <w:bCs/>
        </w:rPr>
      </w:pPr>
      <w:r>
        <w:rPr>
          <w:rFonts w:hint="eastAsia" w:ascii="宋体" w:hAnsi="宋体" w:eastAsia="宋体" w:cs="宋体"/>
          <w:b/>
          <w:bCs/>
        </w:rPr>
        <w:t>泥浆池开挖</w:t>
      </w:r>
    </w:p>
    <w:p w14:paraId="6ACB608C">
      <w:pPr>
        <w:ind w:firstLine="480"/>
        <w:rPr>
          <w:rFonts w:hint="eastAsia" w:ascii="宋体" w:hAnsi="宋体" w:eastAsia="宋体" w:cs="宋体"/>
        </w:rPr>
      </w:pPr>
      <w:r>
        <w:rPr>
          <w:rFonts w:hint="eastAsia" w:ascii="宋体" w:hAnsi="宋体" w:eastAsia="宋体" w:cs="宋体"/>
        </w:rPr>
        <w:t>在施工前，进行场地规划设计，泥浆池、沉淀池边界尽量做到与线路方向平行垂直方正，选择合理位置开挖泥浆池（按单桩方量的3倍开挖）和沉淀池（按单桩方量的2倍开挖），选择出渣场（若在耕地内，应采用彩条布铺垫，以避免钻孔出渣对耕地的污染）。在试桩前按照施工规范和设计文件的要求编制试桩技术交底和安全技术交底，相关管理人员和操作人员应认真解读并签字确认。</w:t>
      </w:r>
    </w:p>
    <w:p w14:paraId="44421D7D">
      <w:pPr>
        <w:numPr>
          <w:ilvl w:val="0"/>
          <w:numId w:val="4"/>
        </w:numPr>
        <w:ind w:left="-140" w:firstLine="482"/>
        <w:rPr>
          <w:rFonts w:hint="eastAsia" w:ascii="宋体" w:hAnsi="宋体" w:eastAsia="宋体" w:cs="宋体"/>
          <w:b/>
          <w:bCs/>
        </w:rPr>
      </w:pPr>
      <w:r>
        <w:rPr>
          <w:rFonts w:hint="eastAsia" w:ascii="宋体" w:hAnsi="宋体" w:eastAsia="宋体" w:cs="宋体"/>
          <w:b/>
          <w:bCs/>
        </w:rPr>
        <w:t>泥浆池防护</w:t>
      </w:r>
    </w:p>
    <w:p w14:paraId="25005075">
      <w:pPr>
        <w:ind w:firstLine="480"/>
        <w:rPr>
          <w:rFonts w:hint="eastAsia" w:ascii="宋体" w:hAnsi="宋体" w:eastAsia="宋体" w:cs="宋体"/>
        </w:rPr>
      </w:pPr>
      <w:r>
        <w:rPr>
          <w:rFonts w:hint="eastAsia" w:ascii="宋体" w:hAnsi="宋体" w:eastAsia="宋体" w:cs="宋体"/>
        </w:rPr>
        <w:t>泥浆池周边严格按建设工程文明施工与安全防护图集（2018版）执行。</w:t>
      </w:r>
    </w:p>
    <w:p w14:paraId="5C76C7D3">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泥浆池周边必须有不低于1500mm的临边防护栏杆，立柱间距不大于2000m，泥浆池防护栏杆距坑应大于500mm。</w:t>
      </w:r>
    </w:p>
    <w:p w14:paraId="44FA4ED1">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防护栏杆应设置牢固，不得随意移动，并应能经受任何方向1000N的外力。</w:t>
      </w:r>
    </w:p>
    <w:p w14:paraId="5F987B81">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立柱和挡脚板表面刷红白（黑黄）相间油漆警示，并张挂“当心坠落”安全警示标牌。</w:t>
      </w:r>
    </w:p>
    <w:p w14:paraId="0D72AFE9">
      <w:pPr>
        <w:ind w:firstLine="482"/>
        <w:rPr>
          <w:rFonts w:hint="eastAsia" w:ascii="宋体" w:hAnsi="宋体" w:eastAsia="宋体" w:cs="宋体"/>
          <w:b/>
          <w:bCs/>
        </w:rPr>
      </w:pPr>
      <w:r>
        <w:rPr>
          <w:rFonts w:hint="eastAsia" w:ascii="宋体" w:hAnsi="宋体" w:eastAsia="宋体" w:cs="宋体"/>
          <w:b/>
          <w:bCs/>
        </w:rPr>
        <w:t>（三）泥浆制备</w:t>
      </w:r>
    </w:p>
    <w:p w14:paraId="5ED2B0BA">
      <w:pPr>
        <w:ind w:firstLine="480"/>
        <w:rPr>
          <w:rFonts w:hint="eastAsia" w:ascii="宋体" w:hAnsi="宋体" w:eastAsia="宋体" w:cs="宋体"/>
        </w:rPr>
      </w:pPr>
      <w:r>
        <w:rPr>
          <w:rFonts w:hint="eastAsia" w:ascii="宋体" w:hAnsi="宋体" w:eastAsia="宋体" w:cs="宋体"/>
        </w:rPr>
        <w:t>在不影响现场施工且便利的地方挖设泥浆池和沉淀池。泥浆的作用：悬浮钻渣、冷却钻头、润滑钻具、增大静水压力、在孔壁形成护壁泥皮从而阻止孔内外渗流、防止塌孔。</w:t>
      </w:r>
    </w:p>
    <w:p w14:paraId="3D8CCAD2">
      <w:pPr>
        <w:ind w:firstLine="480"/>
        <w:rPr>
          <w:rFonts w:hint="eastAsia" w:ascii="宋体" w:hAnsi="宋体" w:eastAsia="宋体" w:cs="宋体"/>
        </w:rPr>
      </w:pPr>
      <w:r>
        <w:rPr>
          <w:rFonts w:hint="eastAsia" w:ascii="宋体" w:hAnsi="宋体" w:eastAsia="宋体" w:cs="宋体"/>
        </w:rPr>
        <w:t>泥浆池设置在靠近要施工桩基附近，便于桩基钻孔使用。泥浆相对密度的调整采用向孔内投入黏土或加入清水的方法。施工中应经常测定泥浆相对密度（采用相对密度计测定）、黏度（采用标准漏斗粘度计测定）、含砂率（采用含砂率计测定）和胶体率（采用量杯测定）。</w:t>
      </w:r>
    </w:p>
    <w:p w14:paraId="1A8F1E6B">
      <w:pPr>
        <w:pStyle w:val="14"/>
        <w:bidi w:val="0"/>
        <w:rPr>
          <w:rFonts w:hint="eastAsia"/>
        </w:rPr>
      </w:pPr>
      <w:bookmarkStart w:id="946" w:name="_Toc24882"/>
      <w:bookmarkStart w:id="947" w:name="_Toc23368"/>
      <w:bookmarkStart w:id="948" w:name="_Toc16824"/>
      <w:bookmarkStart w:id="949" w:name="_Toc21732"/>
      <w:bookmarkStart w:id="950" w:name="_Toc10302"/>
      <w:bookmarkStart w:id="951" w:name="_Toc27510"/>
      <w:bookmarkStart w:id="952" w:name="_Toc16388"/>
      <w:r>
        <w:rPr>
          <w:rFonts w:hint="default"/>
          <w:lang w:val="en-US" w:eastAsia="zh-CN"/>
        </w:rPr>
        <w:t>4</w:t>
      </w:r>
      <w:r>
        <w:rPr>
          <w:rFonts w:hint="eastAsia"/>
          <w:lang w:val="en-US" w:eastAsia="zh-CN"/>
        </w:rPr>
        <w:t>、</w:t>
      </w:r>
      <w:r>
        <w:rPr>
          <w:rFonts w:hint="eastAsia"/>
        </w:rPr>
        <w:t>钢护筒安装</w:t>
      </w:r>
      <w:bookmarkEnd w:id="946"/>
      <w:bookmarkEnd w:id="947"/>
      <w:bookmarkEnd w:id="948"/>
      <w:bookmarkEnd w:id="949"/>
      <w:bookmarkEnd w:id="950"/>
      <w:bookmarkEnd w:id="951"/>
      <w:bookmarkEnd w:id="952"/>
    </w:p>
    <w:p w14:paraId="36477796">
      <w:pPr>
        <w:ind w:firstLine="480"/>
        <w:rPr>
          <w:rFonts w:hint="eastAsia" w:ascii="宋体" w:hAnsi="宋体" w:eastAsia="宋体" w:cs="宋体"/>
        </w:rPr>
      </w:pPr>
      <w:bookmarkStart w:id="953" w:name="_Toc392933504"/>
      <w:r>
        <w:rPr>
          <w:rFonts w:hint="eastAsia" w:ascii="宋体" w:hAnsi="宋体" w:eastAsia="宋体" w:cs="宋体"/>
        </w:rPr>
        <w:t>钢护筒采用人工挖基埋设的方法施工。用全站仪放出桩基的准确位置，即钢护筒的位置，并设桩位临时控制点，护筒内径应大于桩径至少200mm，壁厚应能使护筒保持圆筒状且不变形，</w:t>
      </w:r>
    </w:p>
    <w:p w14:paraId="58F31D9B">
      <w:pPr>
        <w:ind w:firstLine="480"/>
        <w:rPr>
          <w:rFonts w:hint="eastAsia" w:ascii="宋体" w:hAnsi="宋体" w:eastAsia="宋体" w:cs="宋体"/>
        </w:rPr>
      </w:pPr>
      <w:r>
        <w:rPr>
          <w:rFonts w:hint="eastAsia" w:ascii="宋体" w:hAnsi="宋体" w:eastAsia="宋体" w:cs="宋体"/>
        </w:rPr>
        <w:t>在埋设护筒时，随时检查其平面位置，发现偏移立即进行校正，护筒位置偏差不得大于50mm，在竖直方向倾斜度不得大于1%。护筒采用厚度不小于12mm的钢板卷制，在加工车间加工成型，运至现场利用吊机辅助下放，人工埋设，埋置深度宜为2-4m，护筒周围填土要层层夯实。护筒宜至少高出地面30cm，且高出地下水位1.0～2.0m。</w:t>
      </w:r>
    </w:p>
    <w:p w14:paraId="5B73C44D">
      <w:pPr>
        <w:pStyle w:val="14"/>
        <w:bidi w:val="0"/>
        <w:rPr>
          <w:rFonts w:hint="eastAsia"/>
        </w:rPr>
      </w:pPr>
      <w:bookmarkStart w:id="954" w:name="_Toc21761"/>
      <w:bookmarkStart w:id="955" w:name="_Toc32034"/>
      <w:bookmarkStart w:id="956" w:name="_Toc12432"/>
      <w:bookmarkStart w:id="957" w:name="_Toc20752"/>
      <w:bookmarkStart w:id="958" w:name="_Toc15666"/>
      <w:bookmarkStart w:id="959" w:name="_Toc13617"/>
      <w:bookmarkStart w:id="960" w:name="_Toc30819"/>
      <w:r>
        <w:rPr>
          <w:rFonts w:hint="eastAsia"/>
          <w:lang w:val="en-US" w:eastAsia="zh-CN"/>
        </w:rPr>
        <w:t>5.</w:t>
      </w:r>
      <w:r>
        <w:rPr>
          <w:rFonts w:hint="eastAsia"/>
        </w:rPr>
        <w:t>钻机就位</w:t>
      </w:r>
      <w:bookmarkEnd w:id="954"/>
      <w:bookmarkEnd w:id="955"/>
      <w:bookmarkEnd w:id="956"/>
      <w:bookmarkEnd w:id="957"/>
      <w:bookmarkEnd w:id="958"/>
      <w:bookmarkEnd w:id="959"/>
      <w:bookmarkEnd w:id="960"/>
    </w:p>
    <w:p w14:paraId="5E1A3AD5">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确定钻机位置，在钻机位置四周洒白灰线标记，将钻机开至白灰线标记位置，不再挪动。</w:t>
      </w:r>
    </w:p>
    <w:p w14:paraId="56C648F1">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连接护桩、拉十字线调整钻头中心对准桩位中心。通过钻机自身的仪器设备调整好钻杆、桅杆的竖直度。</w:t>
      </w:r>
    </w:p>
    <w:p w14:paraId="66FBDD42">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安装泥浆泵接通电源试机下沉后，开始钻孔作业。</w:t>
      </w:r>
    </w:p>
    <w:p w14:paraId="38B1ED71">
      <w:pPr>
        <w:ind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开始钻孔作业，钻进时应先慢后快，开始每次进尺为40-50cm，确认地下是否不利地层，进尺5米后如钻进正常，可适当加大进尺，每次控制在70-90cm。</w:t>
      </w:r>
    </w:p>
    <w:p w14:paraId="41753627">
      <w:pPr>
        <w:ind w:firstLine="480"/>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垂直度采用钻机自身的垂直检测装置控制，并辅以人工量测倾斜量，以保证井位正确，若施工地质条件稳定，也可采用干挖法，进行钻孔。</w:t>
      </w:r>
    </w:p>
    <w:p w14:paraId="5DFA07A3">
      <w:pPr>
        <w:pStyle w:val="14"/>
        <w:bidi w:val="0"/>
        <w:rPr>
          <w:rFonts w:hint="eastAsia"/>
        </w:rPr>
      </w:pPr>
      <w:bookmarkStart w:id="961" w:name="_Toc40433228"/>
      <w:bookmarkStart w:id="962" w:name="_Toc30039"/>
      <w:bookmarkStart w:id="963" w:name="_Toc6879"/>
      <w:bookmarkStart w:id="964" w:name="_Toc16854"/>
      <w:bookmarkStart w:id="965" w:name="_Toc15597"/>
      <w:bookmarkStart w:id="966" w:name="_Toc5781"/>
      <w:bookmarkStart w:id="967" w:name="_Toc39251675"/>
      <w:bookmarkStart w:id="968" w:name="_Toc21721"/>
      <w:bookmarkStart w:id="969" w:name="_Toc30451"/>
      <w:r>
        <w:rPr>
          <w:rFonts w:hint="default"/>
          <w:lang w:val="en-US" w:eastAsia="zh-CN"/>
        </w:rPr>
        <w:t>6</w:t>
      </w:r>
      <w:r>
        <w:rPr>
          <w:rFonts w:hint="eastAsia"/>
          <w:lang w:val="en-US" w:eastAsia="zh-CN"/>
        </w:rPr>
        <w:t>、</w:t>
      </w:r>
      <w:bookmarkEnd w:id="961"/>
      <w:bookmarkEnd w:id="962"/>
      <w:bookmarkEnd w:id="963"/>
      <w:bookmarkEnd w:id="964"/>
      <w:bookmarkEnd w:id="965"/>
      <w:bookmarkEnd w:id="966"/>
      <w:bookmarkEnd w:id="967"/>
      <w:bookmarkEnd w:id="968"/>
      <w:bookmarkEnd w:id="969"/>
      <w:r>
        <w:rPr>
          <w:rFonts w:hint="eastAsia"/>
        </w:rPr>
        <w:t>冲孔钻成孔方法</w:t>
      </w:r>
    </w:p>
    <w:p w14:paraId="1316C92D">
      <w:pPr>
        <w:numPr>
          <w:ilvl w:val="0"/>
          <w:numId w:val="0"/>
        </w:numPr>
        <w:ind w:firstLine="480" w:firstLineChars="200"/>
        <w:rPr>
          <w:rFonts w:hint="eastAsia" w:ascii="宋体" w:hAnsi="宋体" w:eastAsia="宋体" w:cs="宋体"/>
          <w:highlight w:val="none"/>
        </w:rPr>
      </w:pPr>
      <w:r>
        <w:rPr>
          <w:rFonts w:hint="eastAsia" w:ascii="宋体" w:hAnsi="宋体" w:cs="宋体"/>
          <w:highlight w:val="none"/>
          <w:lang w:val="en-US" w:eastAsia="zh-CN"/>
        </w:rPr>
        <w:t>1、</w:t>
      </w:r>
      <w:r>
        <w:rPr>
          <w:rFonts w:hint="eastAsia" w:ascii="宋体" w:hAnsi="宋体" w:eastAsia="宋体" w:cs="宋体"/>
          <w:highlight w:val="none"/>
        </w:rPr>
        <w:t>冲击钻示意图</w:t>
      </w:r>
    </w:p>
    <w:p w14:paraId="018A2BA0">
      <w:pPr>
        <w:ind w:firstLine="480"/>
        <w:rPr>
          <w:rFonts w:hint="eastAsia" w:ascii="宋体" w:hAnsi="宋体" w:eastAsia="宋体" w:cs="宋体"/>
        </w:rPr>
      </w:pPr>
    </w:p>
    <w:p w14:paraId="74F39BBD">
      <w:pPr>
        <w:ind w:firstLine="480"/>
        <w:rPr>
          <w:rFonts w:hint="eastAsia" w:ascii="宋体" w:hAnsi="宋体" w:eastAsia="宋体" w:cs="宋体"/>
        </w:rPr>
      </w:pPr>
    </w:p>
    <w:p w14:paraId="67D380DE">
      <w:pPr>
        <w:ind w:firstLine="480"/>
        <w:rPr>
          <w:rFonts w:hint="eastAsia" w:ascii="宋体" w:hAnsi="宋体" w:eastAsia="宋体" w:cs="宋体"/>
        </w:rPr>
      </w:pPr>
    </w:p>
    <w:p w14:paraId="43926068">
      <w:pPr>
        <w:ind w:firstLine="480"/>
        <w:rPr>
          <w:rFonts w:hint="eastAsia" w:ascii="宋体" w:hAnsi="宋体" w:eastAsia="宋体" w:cs="宋体"/>
        </w:rPr>
      </w:pPr>
    </w:p>
    <w:p w14:paraId="2DA8BD4B">
      <w:pPr>
        <w:ind w:firstLine="480"/>
        <w:rPr>
          <w:rFonts w:hint="eastAsia" w:ascii="宋体" w:hAnsi="宋体" w:eastAsia="宋体" w:cs="宋体"/>
        </w:rPr>
      </w:pPr>
    </w:p>
    <w:p w14:paraId="07104A09">
      <w:pPr>
        <w:ind w:firstLine="480"/>
        <w:rPr>
          <w:rFonts w:hint="eastAsia" w:ascii="宋体" w:hAnsi="宋体" w:eastAsia="宋体" w:cs="宋体"/>
        </w:rPr>
      </w:pPr>
    </w:p>
    <w:p w14:paraId="6C548643">
      <w:pPr>
        <w:ind w:firstLine="480"/>
        <w:rPr>
          <w:rFonts w:hint="eastAsia" w:ascii="宋体" w:hAnsi="宋体" w:eastAsia="宋体" w:cs="宋体"/>
        </w:rPr>
      </w:pPr>
    </w:p>
    <w:p w14:paraId="33F94C20">
      <w:pPr>
        <w:ind w:firstLine="480"/>
        <w:rPr>
          <w:rFonts w:hint="eastAsia" w:ascii="宋体" w:hAnsi="宋体" w:eastAsia="宋体" w:cs="宋体"/>
        </w:rPr>
      </w:pPr>
    </w:p>
    <w:p w14:paraId="349493C2">
      <w:pPr>
        <w:ind w:firstLine="480"/>
        <w:rPr>
          <w:rFonts w:hint="eastAsia" w:ascii="宋体" w:hAnsi="宋体" w:eastAsia="宋体" w:cs="宋体"/>
        </w:rPr>
      </w:pPr>
      <w:r>
        <w:rPr>
          <w:rFonts w:hint="eastAsia" w:ascii="宋体" w:hAnsi="宋体" w:eastAsia="宋体" w:cs="宋体"/>
        </w:rPr>
        <mc:AlternateContent>
          <mc:Choice Requires="wpg">
            <w:drawing>
              <wp:anchor distT="0" distB="0" distL="114300" distR="114300" simplePos="0" relativeHeight="251665408" behindDoc="0" locked="0" layoutInCell="1" allowOverlap="1">
                <wp:simplePos x="0" y="0"/>
                <wp:positionH relativeFrom="column">
                  <wp:posOffset>630555</wp:posOffset>
                </wp:positionH>
                <wp:positionV relativeFrom="paragraph">
                  <wp:posOffset>152400</wp:posOffset>
                </wp:positionV>
                <wp:extent cx="5072380" cy="3504565"/>
                <wp:effectExtent l="0" t="0" r="2540" b="635"/>
                <wp:wrapSquare wrapText="bothSides"/>
                <wp:docPr id="684" name="组合 110"/>
                <wp:cNvGraphicFramePr/>
                <a:graphic xmlns:a="http://schemas.openxmlformats.org/drawingml/2006/main">
                  <a:graphicData uri="http://schemas.microsoft.com/office/word/2010/wordprocessingGroup">
                    <wpg:wgp>
                      <wpg:cNvGrpSpPr/>
                      <wpg:grpSpPr>
                        <a:xfrm>
                          <a:off x="0" y="0"/>
                          <a:ext cx="5072380" cy="3504565"/>
                          <a:chOff x="1463" y="7854"/>
                          <a:chExt cx="9439" cy="5469"/>
                        </a:xfrm>
                      </wpg:grpSpPr>
                      <pic:pic xmlns:pic="http://schemas.openxmlformats.org/drawingml/2006/picture">
                        <pic:nvPicPr>
                          <pic:cNvPr id="672" name="图片 3010" descr="2.jpg"/>
                          <pic:cNvPicPr>
                            <a:picLocks noChangeAspect="1"/>
                          </pic:cNvPicPr>
                        </pic:nvPicPr>
                        <pic:blipFill>
                          <a:blip r:embed="rId108"/>
                          <a:srcRect l="11694" t="58104" r="13811" b="11488"/>
                          <a:stretch>
                            <a:fillRect/>
                          </a:stretch>
                        </pic:blipFill>
                        <pic:spPr>
                          <a:xfrm>
                            <a:off x="1463" y="7854"/>
                            <a:ext cx="9439" cy="5469"/>
                          </a:xfrm>
                          <a:prstGeom prst="rect">
                            <a:avLst/>
                          </a:prstGeom>
                          <a:solidFill>
                            <a:srgbClr val="B9CDE5"/>
                          </a:solidFill>
                          <a:ln>
                            <a:noFill/>
                          </a:ln>
                        </pic:spPr>
                      </pic:pic>
                      <wps:wsp>
                        <wps:cNvPr id="673" name="矩形 3011"/>
                        <wps:cNvSpPr/>
                        <wps:spPr>
                          <a:xfrm>
                            <a:off x="2306" y="10311"/>
                            <a:ext cx="880" cy="645"/>
                          </a:xfrm>
                          <a:prstGeom prst="rect">
                            <a:avLst/>
                          </a:prstGeom>
                          <a:solidFill>
                            <a:srgbClr val="B9CDE5"/>
                          </a:solidFill>
                          <a:ln>
                            <a:noFill/>
                          </a:ln>
                        </wps:spPr>
                        <wps:txbx>
                          <w:txbxContent>
                            <w:p w14:paraId="5BEDA838">
                              <w:pPr>
                                <w:pStyle w:val="105"/>
                                <w:jc w:val="both"/>
                              </w:pPr>
                              <w:r>
                                <w:rPr>
                                  <w:rFonts w:hint="eastAsia" w:ascii="宋体"/>
                                </w:rPr>
                                <w:t>枕木</w:t>
                              </w:r>
                            </w:p>
                            <w:p w14:paraId="6837AABD">
                              <w:pPr>
                                <w:pStyle w:val="144"/>
                                <w:ind w:left="31680" w:firstLine="31680"/>
                              </w:pPr>
                            </w:p>
                          </w:txbxContent>
                        </wps:txbx>
                        <wps:bodyPr upright="1"/>
                      </wps:wsp>
                      <wps:wsp>
                        <wps:cNvPr id="674" name="矩形 3012"/>
                        <wps:cNvSpPr/>
                        <wps:spPr>
                          <a:xfrm>
                            <a:off x="3921" y="10215"/>
                            <a:ext cx="915" cy="558"/>
                          </a:xfrm>
                          <a:prstGeom prst="rect">
                            <a:avLst/>
                          </a:prstGeom>
                          <a:solidFill>
                            <a:srgbClr val="B9CDE5"/>
                          </a:solidFill>
                          <a:ln>
                            <a:noFill/>
                          </a:ln>
                        </wps:spPr>
                        <wps:txbx>
                          <w:txbxContent>
                            <w:p w14:paraId="6E685E61">
                              <w:pPr>
                                <w:pStyle w:val="105"/>
                              </w:pPr>
                              <w:r>
                                <w:rPr>
                                  <w:rFonts w:hint="eastAsia"/>
                                </w:rPr>
                                <w:t>冲锤</w:t>
                              </w:r>
                            </w:p>
                            <w:p w14:paraId="405F7CFD">
                              <w:pPr>
                                <w:pStyle w:val="144"/>
                                <w:ind w:left="31680" w:firstLine="31680"/>
                              </w:pPr>
                            </w:p>
                          </w:txbxContent>
                        </wps:txbx>
                        <wps:bodyPr upright="1"/>
                      </wps:wsp>
                      <wps:wsp>
                        <wps:cNvPr id="675" name="矩形 3013"/>
                        <wps:cNvSpPr/>
                        <wps:spPr>
                          <a:xfrm>
                            <a:off x="6136" y="8399"/>
                            <a:ext cx="1170" cy="559"/>
                          </a:xfrm>
                          <a:prstGeom prst="rect">
                            <a:avLst/>
                          </a:prstGeom>
                          <a:solidFill>
                            <a:srgbClr val="B9CDE5"/>
                          </a:solidFill>
                          <a:ln>
                            <a:noFill/>
                          </a:ln>
                        </wps:spPr>
                        <wps:txbx>
                          <w:txbxContent>
                            <w:p w14:paraId="3AB2A545">
                              <w:pPr>
                                <w:pStyle w:val="105"/>
                              </w:pPr>
                              <w:r>
                                <w:rPr>
                                  <w:rFonts w:hint="eastAsia" w:ascii="宋体"/>
                                </w:rPr>
                                <w:t>钢丝</w:t>
                              </w:r>
                              <w:r>
                                <w:rPr>
                                  <w:rFonts w:hint="eastAsia"/>
                                </w:rPr>
                                <w:t>绳</w:t>
                              </w:r>
                            </w:p>
                            <w:p w14:paraId="31EA47AF">
                              <w:pPr>
                                <w:pStyle w:val="105"/>
                              </w:pPr>
                            </w:p>
                            <w:p w14:paraId="0851E854">
                              <w:pPr>
                                <w:pStyle w:val="144"/>
                                <w:ind w:left="31680" w:firstLine="31680"/>
                              </w:pPr>
                            </w:p>
                          </w:txbxContent>
                        </wps:txbx>
                        <wps:bodyPr upright="1"/>
                      </wps:wsp>
                      <wps:wsp>
                        <wps:cNvPr id="676" name="矩形 3014"/>
                        <wps:cNvSpPr/>
                        <wps:spPr>
                          <a:xfrm>
                            <a:off x="1463" y="8762"/>
                            <a:ext cx="1540" cy="590"/>
                          </a:xfrm>
                          <a:prstGeom prst="rect">
                            <a:avLst/>
                          </a:prstGeom>
                          <a:solidFill>
                            <a:srgbClr val="B9CDE5"/>
                          </a:solidFill>
                          <a:ln>
                            <a:noFill/>
                          </a:ln>
                        </wps:spPr>
                        <wps:txbx>
                          <w:txbxContent>
                            <w:p w14:paraId="17DDAA16">
                              <w:pPr>
                                <w:pStyle w:val="105"/>
                              </w:pPr>
                              <w:r>
                                <w:rPr>
                                  <w:rFonts w:hint="eastAsia"/>
                                </w:rPr>
                                <w:t>冲击钻机</w:t>
                              </w:r>
                            </w:p>
                            <w:p w14:paraId="351D214D">
                              <w:pPr>
                                <w:pStyle w:val="105"/>
                                <w:ind w:left="-120"/>
                              </w:pPr>
                            </w:p>
                          </w:txbxContent>
                        </wps:txbx>
                        <wps:bodyPr upright="1"/>
                      </wps:wsp>
                      <wps:wsp>
                        <wps:cNvPr id="677" name="矩形 3015"/>
                        <wps:cNvSpPr/>
                        <wps:spPr>
                          <a:xfrm>
                            <a:off x="3921" y="11404"/>
                            <a:ext cx="915" cy="558"/>
                          </a:xfrm>
                          <a:prstGeom prst="rect">
                            <a:avLst/>
                          </a:prstGeom>
                          <a:solidFill>
                            <a:srgbClr val="B9CDE5"/>
                          </a:solidFill>
                          <a:ln>
                            <a:noFill/>
                          </a:ln>
                        </wps:spPr>
                        <wps:txbx>
                          <w:txbxContent>
                            <w:p w14:paraId="3784D713">
                              <w:pPr>
                                <w:pStyle w:val="105"/>
                              </w:pPr>
                              <w:r>
                                <w:rPr>
                                  <w:rFonts w:hint="eastAsia"/>
                                </w:rPr>
                                <w:t>桩孔</w:t>
                              </w:r>
                            </w:p>
                          </w:txbxContent>
                        </wps:txbx>
                        <wps:bodyPr upright="1"/>
                      </wps:wsp>
                      <wps:wsp>
                        <wps:cNvPr id="678" name="矩形 3016"/>
                        <wps:cNvSpPr/>
                        <wps:spPr>
                          <a:xfrm>
                            <a:off x="6784" y="12091"/>
                            <a:ext cx="891" cy="558"/>
                          </a:xfrm>
                          <a:prstGeom prst="rect">
                            <a:avLst/>
                          </a:prstGeom>
                          <a:solidFill>
                            <a:srgbClr val="B9CDE5"/>
                          </a:solidFill>
                          <a:ln>
                            <a:noFill/>
                          </a:ln>
                        </wps:spPr>
                        <wps:txbx>
                          <w:txbxContent>
                            <w:p w14:paraId="733F4E41">
                              <w:pPr>
                                <w:pStyle w:val="105"/>
                              </w:pPr>
                              <w:r>
                                <w:rPr>
                                  <w:rFonts w:hint="eastAsia"/>
                                </w:rPr>
                                <w:t>岩石</w:t>
                              </w:r>
                            </w:p>
                          </w:txbxContent>
                        </wps:txbx>
                        <wps:bodyPr upright="1"/>
                      </wps:wsp>
                      <wps:wsp>
                        <wps:cNvPr id="679" name="矩形 3017"/>
                        <wps:cNvSpPr/>
                        <wps:spPr>
                          <a:xfrm>
                            <a:off x="6658" y="10956"/>
                            <a:ext cx="890" cy="558"/>
                          </a:xfrm>
                          <a:prstGeom prst="rect">
                            <a:avLst/>
                          </a:prstGeom>
                          <a:solidFill>
                            <a:srgbClr val="B9CDE5"/>
                          </a:solidFill>
                          <a:ln>
                            <a:noFill/>
                          </a:ln>
                        </wps:spPr>
                        <wps:txbx>
                          <w:txbxContent>
                            <w:p w14:paraId="16C66251">
                              <w:pPr>
                                <w:pStyle w:val="105"/>
                              </w:pPr>
                              <w:r>
                                <w:rPr>
                                  <w:rFonts w:hint="eastAsia"/>
                                </w:rPr>
                                <w:t>泥浆</w:t>
                              </w:r>
                            </w:p>
                          </w:txbxContent>
                        </wps:txbx>
                        <wps:bodyPr upright="1"/>
                      </wps:wsp>
                      <wps:wsp>
                        <wps:cNvPr id="680" name="矩形 3018"/>
                        <wps:cNvSpPr/>
                        <wps:spPr>
                          <a:xfrm>
                            <a:off x="6510" y="10112"/>
                            <a:ext cx="964" cy="623"/>
                          </a:xfrm>
                          <a:prstGeom prst="rect">
                            <a:avLst/>
                          </a:prstGeom>
                          <a:solidFill>
                            <a:srgbClr val="B9CDE5"/>
                          </a:solidFill>
                          <a:ln>
                            <a:noFill/>
                          </a:ln>
                        </wps:spPr>
                        <wps:txbx>
                          <w:txbxContent>
                            <w:p w14:paraId="1D83B881">
                              <w:pPr>
                                <w:pStyle w:val="105"/>
                              </w:pPr>
                              <w:r>
                                <w:rPr>
                                  <w:rFonts w:hint="eastAsia"/>
                                </w:rPr>
                                <w:t>钢护筒</w:t>
                              </w:r>
                            </w:p>
                          </w:txbxContent>
                        </wps:txbx>
                        <wps:bodyPr upright="1"/>
                      </wps:wsp>
                      <wps:wsp>
                        <wps:cNvPr id="681" name="矩形 3019"/>
                        <wps:cNvSpPr/>
                        <wps:spPr>
                          <a:xfrm>
                            <a:off x="7799" y="9093"/>
                            <a:ext cx="1391" cy="558"/>
                          </a:xfrm>
                          <a:prstGeom prst="rect">
                            <a:avLst/>
                          </a:prstGeom>
                          <a:solidFill>
                            <a:srgbClr val="B9CDE5"/>
                          </a:solidFill>
                          <a:ln>
                            <a:noFill/>
                          </a:ln>
                        </wps:spPr>
                        <wps:txbx>
                          <w:txbxContent>
                            <w:p w14:paraId="0ACE4ADB">
                              <w:pPr>
                                <w:pStyle w:val="105"/>
                              </w:pPr>
                              <w:r>
                                <w:rPr>
                                  <w:rFonts w:hint="eastAsia" w:ascii="宋体"/>
                                </w:rPr>
                                <w:t>抽水软</w:t>
                              </w:r>
                              <w:r>
                                <w:rPr>
                                  <w:rFonts w:hint="eastAsia"/>
                                </w:rPr>
                                <w:t>管</w:t>
                              </w:r>
                            </w:p>
                          </w:txbxContent>
                        </wps:txbx>
                        <wps:bodyPr upright="1"/>
                      </wps:wsp>
                      <wps:wsp>
                        <wps:cNvPr id="682" name="矩形 3020"/>
                        <wps:cNvSpPr/>
                        <wps:spPr>
                          <a:xfrm>
                            <a:off x="9451" y="9553"/>
                            <a:ext cx="1113" cy="559"/>
                          </a:xfrm>
                          <a:prstGeom prst="rect">
                            <a:avLst/>
                          </a:prstGeom>
                          <a:solidFill>
                            <a:srgbClr val="B9CDE5"/>
                          </a:solidFill>
                          <a:ln>
                            <a:noFill/>
                          </a:ln>
                        </wps:spPr>
                        <wps:txbx>
                          <w:txbxContent>
                            <w:p w14:paraId="75255293">
                              <w:pPr>
                                <w:pStyle w:val="105"/>
                              </w:pPr>
                              <w:r>
                                <w:rPr>
                                  <w:rFonts w:hint="eastAsia" w:ascii="宋体"/>
                                </w:rPr>
                                <w:t>泥浆</w:t>
                              </w:r>
                              <w:r>
                                <w:rPr>
                                  <w:rFonts w:hint="eastAsia"/>
                                </w:rPr>
                                <w:t>泵</w:t>
                              </w:r>
                            </w:p>
                          </w:txbxContent>
                        </wps:txbx>
                        <wps:bodyPr upright="1"/>
                      </wps:wsp>
                      <wps:wsp>
                        <wps:cNvPr id="683" name="矩形 3021"/>
                        <wps:cNvSpPr/>
                        <wps:spPr>
                          <a:xfrm>
                            <a:off x="9083" y="11285"/>
                            <a:ext cx="1114" cy="558"/>
                          </a:xfrm>
                          <a:prstGeom prst="rect">
                            <a:avLst/>
                          </a:prstGeom>
                          <a:solidFill>
                            <a:srgbClr val="B9CDE5"/>
                          </a:solidFill>
                          <a:ln>
                            <a:noFill/>
                          </a:ln>
                        </wps:spPr>
                        <wps:txbx>
                          <w:txbxContent>
                            <w:p w14:paraId="559F9DB7">
                              <w:pPr>
                                <w:pStyle w:val="105"/>
                              </w:pPr>
                              <w:r>
                                <w:rPr>
                                  <w:rFonts w:hint="eastAsia" w:ascii="宋体"/>
                                </w:rPr>
                                <w:t>泥浆</w:t>
                              </w:r>
                              <w:r>
                                <w:rPr>
                                  <w:rFonts w:hint="eastAsia"/>
                                </w:rPr>
                                <w:t>池</w:t>
                              </w:r>
                            </w:p>
                          </w:txbxContent>
                        </wps:txbx>
                        <wps:bodyPr upright="1"/>
                      </wps:wsp>
                    </wpg:wgp>
                  </a:graphicData>
                </a:graphic>
              </wp:anchor>
            </w:drawing>
          </mc:Choice>
          <mc:Fallback>
            <w:pict>
              <v:group id="组合 110" o:spid="_x0000_s1026" o:spt="203" style="position:absolute;left:0pt;margin-left:49.65pt;margin-top:12pt;height:275.95pt;width:399.4pt;mso-wrap-distance-bottom:0pt;mso-wrap-distance-left:9pt;mso-wrap-distance-right:9pt;mso-wrap-distance-top:0pt;z-index:251665408;mso-width-relative:page;mso-height-relative:page;" coordorigin="1463,7854" coordsize="9439,5469" o:gfxdata="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se/8VWFlMIIzJe3T&#10;Albe0XzGOOvsMe5rG8Q6zrkViDH5WmTXL+RawoBNPJIeVPPygYBLAg4Ctz0oA7GivGvEuq6r4N8D&#10;z+dHqtx4tSB2iu/OZreWdVLcZY4j45GMD0rvvhf4quPHXw08JeJLuGO3utY0i01GaGHOxHlhSRlX&#10;JJwCxAyaAO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2QEAA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">
                <o:lock v:ext="edit" aspectratio="f"/>
                <v:shape id="图片 3010" o:spid="_x0000_s1026" o:spt="75" alt="2.jpg" type="#_x0000_t75" style="position:absolute;left:1463;top:7854;height:5469;width:9439;" fillcolor="#B9CDE5" filled="t" o:preferrelative="t" stroked="f" coordsize="21600,21600" o:gfxdata="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O13O8AAAA&#10;3AAAAA8AAAAAAAAAAQAgAAAAIgAAAGRycy9kb3ducmV2LnhtbFBLAQIUABQAAAAIAIdO4kAzLwWe&#10;OwAAADkAAAAQAAAAAAAAAAEAIAAAAAsBAABkcnMvc2hhcGV4bWwueG1sUEsFBgAAAAAGAAYAWwEA&#10;ALUDAAAAAA==&#10;">
                  <v:fill on="t" focussize="0,0"/>
                  <v:stroke on="f"/>
                  <v:imagedata r:id="rId108" cropleft="7664f" croptop="38079f" cropright="9051f" cropbottom="7529f" o:title=""/>
                  <o:lock v:ext="edit" aspectratio="t"/>
                </v:shape>
                <v:rect id="矩形 3011" o:spid="_x0000_s1026" o:spt="1" style="position:absolute;left:2306;top:10311;height:645;width:880;" fillcolor="#B9CDE5" filled="t" stroked="f" coordsize="21600,21600" o:gfxdata="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e5v/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5BEDA838">
                        <w:pPr>
                          <w:pStyle w:val="105"/>
                          <w:jc w:val="both"/>
                        </w:pPr>
                        <w:r>
                          <w:rPr>
                            <w:rFonts w:hint="eastAsia" w:ascii="宋体"/>
                          </w:rPr>
                          <w:t>枕木</w:t>
                        </w:r>
                      </w:p>
                      <w:p w14:paraId="6837AABD">
                        <w:pPr>
                          <w:pStyle w:val="144"/>
                          <w:ind w:left="31680" w:firstLine="31680"/>
                        </w:pPr>
                      </w:p>
                    </w:txbxContent>
                  </v:textbox>
                </v:rect>
                <v:rect id="矩形 3012" o:spid="_x0000_s1026" o:spt="1" style="position:absolute;left:3921;top:10215;height:558;width:915;" fillcolor="#B9CDE5" filled="t" stroked="f" coordsize="21600,21600" o:gfxdata="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SA4u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6E685E61">
                        <w:pPr>
                          <w:pStyle w:val="105"/>
                        </w:pPr>
                        <w:r>
                          <w:rPr>
                            <w:rFonts w:hint="eastAsia"/>
                          </w:rPr>
                          <w:t>冲锤</w:t>
                        </w:r>
                      </w:p>
                      <w:p w14:paraId="405F7CFD">
                        <w:pPr>
                          <w:pStyle w:val="144"/>
                          <w:ind w:left="31680" w:firstLine="31680"/>
                        </w:pPr>
                      </w:p>
                    </w:txbxContent>
                  </v:textbox>
                </v:rect>
                <v:rect id="矩形 3013" o:spid="_x0000_s1026" o:spt="1" style="position:absolute;left:6136;top:8399;height:559;width:1170;" fillcolor="#B9CDE5" filled="t" stroked="f" coordsize="21600,21600" o:gfxdata="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3qYQ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3AB2A545">
                        <w:pPr>
                          <w:pStyle w:val="105"/>
                        </w:pPr>
                        <w:r>
                          <w:rPr>
                            <w:rFonts w:hint="eastAsia" w:ascii="宋体"/>
                          </w:rPr>
                          <w:t>钢丝</w:t>
                        </w:r>
                        <w:r>
                          <w:rPr>
                            <w:rFonts w:hint="eastAsia"/>
                          </w:rPr>
                          <w:t>绳</w:t>
                        </w:r>
                      </w:p>
                      <w:p w14:paraId="31EA47AF">
                        <w:pPr>
                          <w:pStyle w:val="105"/>
                        </w:pPr>
                      </w:p>
                      <w:p w14:paraId="0851E854">
                        <w:pPr>
                          <w:pStyle w:val="144"/>
                          <w:ind w:left="31680" w:firstLine="31680"/>
                        </w:pPr>
                      </w:p>
                    </w:txbxContent>
                  </v:textbox>
                </v:rect>
                <v:rect id="矩形 3014" o:spid="_x0000_s1026" o:spt="1" style="position:absolute;left:1463;top:8762;height:590;width:1540;" fillcolor="#B9CDE5" filled="t" stroked="f" coordsize="21600,21600" o:gfxdata="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gw4Z7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7DDAA16">
                        <w:pPr>
                          <w:pStyle w:val="105"/>
                        </w:pPr>
                        <w:r>
                          <w:rPr>
                            <w:rFonts w:hint="eastAsia"/>
                          </w:rPr>
                          <w:t>冲击钻机</w:t>
                        </w:r>
                      </w:p>
                      <w:p w14:paraId="351D214D">
                        <w:pPr>
                          <w:pStyle w:val="105"/>
                          <w:ind w:left="-120"/>
                        </w:pPr>
                      </w:p>
                    </w:txbxContent>
                  </v:textbox>
                </v:rect>
                <v:rect id="矩形 3015" o:spid="_x0000_s1026" o:spt="1" style="position:absolute;left:3921;top:11404;height:558;width:915;" fillcolor="#B9CDE5" filled="t" stroked="f" coordsize="21600,21600" o:gfxdata="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UCd/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3784D713">
                        <w:pPr>
                          <w:pStyle w:val="105"/>
                        </w:pPr>
                        <w:r>
                          <w:rPr>
                            <w:rFonts w:hint="eastAsia"/>
                          </w:rPr>
                          <w:t>桩孔</w:t>
                        </w:r>
                      </w:p>
                    </w:txbxContent>
                  </v:textbox>
                </v:rect>
                <v:rect id="矩形 3016" o:spid="_x0000_s1026" o:spt="1" style="position:absolute;left:6784;top:12091;height:558;width:891;" fillcolor="#B9CDE5" filled="t" stroked="f" coordsize="21600,21600" o:gfxdata="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N8JjrsAAADc&#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733F4E41">
                        <w:pPr>
                          <w:pStyle w:val="105"/>
                        </w:pPr>
                        <w:r>
                          <w:rPr>
                            <w:rFonts w:hint="eastAsia"/>
                          </w:rPr>
                          <w:t>岩石</w:t>
                        </w:r>
                      </w:p>
                    </w:txbxContent>
                  </v:textbox>
                </v:rect>
                <v:rect id="矩形 3017" o:spid="_x0000_s1026" o:spt="1" style="position:absolute;left:6658;top:10956;height:558;width:890;" fillcolor="#B9CDE5" filled="t" stroked="f" coordsize="21600,21600" o:gfxdata="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5OsFb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6C66251">
                        <w:pPr>
                          <w:pStyle w:val="105"/>
                        </w:pPr>
                        <w:r>
                          <w:rPr>
                            <w:rFonts w:hint="eastAsia"/>
                          </w:rPr>
                          <w:t>泥浆</w:t>
                        </w:r>
                      </w:p>
                    </w:txbxContent>
                  </v:textbox>
                </v:rect>
                <v:rect id="矩形 3018" o:spid="_x0000_s1026" o:spt="1" style="position:absolute;left:6510;top:10112;height:623;width:964;" fillcolor="#B9CDE5" filled="t" stroked="f" coordsize="21600,21600" o:gfxdata="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3x1r7sAAADc&#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1D83B881">
                        <w:pPr>
                          <w:pStyle w:val="105"/>
                        </w:pPr>
                        <w:r>
                          <w:rPr>
                            <w:rFonts w:hint="eastAsia"/>
                          </w:rPr>
                          <w:t>钢护筒</w:t>
                        </w:r>
                      </w:p>
                    </w:txbxContent>
                  </v:textbox>
                </v:rect>
                <v:rect id="矩形 3019" o:spid="_x0000_s1026" o:spt="1" style="position:absolute;left:7799;top:9093;height:558;width:1391;" fillcolor="#B9CDE5" filled="t" stroked="f" coordsize="21600,21600" o:gfxdata="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MNA0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0ACE4ADB">
                        <w:pPr>
                          <w:pStyle w:val="105"/>
                        </w:pPr>
                        <w:r>
                          <w:rPr>
                            <w:rFonts w:hint="eastAsia" w:ascii="宋体"/>
                          </w:rPr>
                          <w:t>抽水软</w:t>
                        </w:r>
                        <w:r>
                          <w:rPr>
                            <w:rFonts w:hint="eastAsia"/>
                          </w:rPr>
                          <w:t>管</w:t>
                        </w:r>
                      </w:p>
                    </w:txbxContent>
                  </v:textbox>
                </v:rect>
                <v:rect id="矩形 3020" o:spid="_x0000_s1026" o:spt="1" style="position:absolute;left:9451;top:9553;height:559;width:1113;" fillcolor="#B9CDE5" filled="t" stroked="f" coordsize="21600,21600" o:gfxdata="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4k5D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75255293">
                        <w:pPr>
                          <w:pStyle w:val="105"/>
                        </w:pPr>
                        <w:r>
                          <w:rPr>
                            <w:rFonts w:hint="eastAsia" w:ascii="宋体"/>
                          </w:rPr>
                          <w:t>泥浆</w:t>
                        </w:r>
                        <w:r>
                          <w:rPr>
                            <w:rFonts w:hint="eastAsia"/>
                          </w:rPr>
                          <w:t>泵</w:t>
                        </w:r>
                      </w:p>
                    </w:txbxContent>
                  </v:textbox>
                </v:rect>
                <v:rect id="矩形 3021" o:spid="_x0000_s1026" o:spt="1" style="position:absolute;left:9083;top:11285;height:558;width:1114;" fillcolor="#B9CDE5" filled="t" stroked="f" coordsize="21600,21600" o:gfxdata="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67r2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559F9DB7">
                        <w:pPr>
                          <w:pStyle w:val="105"/>
                        </w:pPr>
                        <w:r>
                          <w:rPr>
                            <w:rFonts w:hint="eastAsia" w:ascii="宋体"/>
                          </w:rPr>
                          <w:t>泥浆</w:t>
                        </w:r>
                        <w:r>
                          <w:rPr>
                            <w:rFonts w:hint="eastAsia"/>
                          </w:rPr>
                          <w:t>池</w:t>
                        </w:r>
                      </w:p>
                    </w:txbxContent>
                  </v:textbox>
                </v:rect>
                <w10:wrap type="square"/>
              </v:group>
            </w:pict>
          </mc:Fallback>
        </mc:AlternateContent>
      </w:r>
    </w:p>
    <w:p w14:paraId="2FABA028">
      <w:pPr>
        <w:ind w:firstLine="0" w:firstLineChars="0"/>
        <w:rPr>
          <w:rFonts w:hint="eastAsia" w:ascii="宋体" w:hAnsi="宋体" w:eastAsia="宋体" w:cs="宋体"/>
        </w:rPr>
      </w:pPr>
      <w:r>
        <w:rPr>
          <w:rFonts w:hint="eastAsia" w:ascii="宋体" w:hAnsi="宋体" w:eastAsia="宋体" w:cs="宋体"/>
        </w:rPr>
        <mc:AlternateContent>
          <mc:Choice Requires="wpg">
            <w:drawing>
              <wp:anchor distT="0" distB="0" distL="114300" distR="114300" simplePos="0" relativeHeight="251661312" behindDoc="0" locked="0" layoutInCell="1" allowOverlap="1">
                <wp:simplePos x="0" y="0"/>
                <wp:positionH relativeFrom="column">
                  <wp:posOffset>449580</wp:posOffset>
                </wp:positionH>
                <wp:positionV relativeFrom="paragraph">
                  <wp:posOffset>55245</wp:posOffset>
                </wp:positionV>
                <wp:extent cx="5434965" cy="4080510"/>
                <wp:effectExtent l="0" t="0" r="0" b="0"/>
                <wp:wrapSquare wrapText="bothSides"/>
                <wp:docPr id="396" name="组合 1431"/>
                <wp:cNvGraphicFramePr/>
                <a:graphic xmlns:a="http://schemas.openxmlformats.org/drawingml/2006/main">
                  <a:graphicData uri="http://schemas.microsoft.com/office/word/2010/wordprocessingGroup">
                    <wpg:wgp>
                      <wpg:cNvGrpSpPr/>
                      <wpg:grpSpPr>
                        <a:xfrm>
                          <a:off x="0" y="0"/>
                          <a:ext cx="5434965" cy="4080510"/>
                          <a:chOff x="1463" y="7854"/>
                          <a:chExt cx="9439" cy="5469203"/>
                        </a:xfrm>
                      </wpg:grpSpPr>
                      <pic:pic xmlns:pic="http://schemas.openxmlformats.org/drawingml/2006/picture">
                        <pic:nvPicPr>
                          <pic:cNvPr id="384" name="图片 3010" descr="2.jpg"/>
                          <pic:cNvPicPr>
                            <a:picLocks noChangeAspect="1"/>
                          </pic:cNvPicPr>
                        </pic:nvPicPr>
                        <pic:blipFill>
                          <a:blip r:embed="rId108"/>
                          <a:srcRect l="11694" t="58104" r="13811" b="11488"/>
                          <a:stretch>
                            <a:fillRect/>
                          </a:stretch>
                        </pic:blipFill>
                        <pic:spPr>
                          <a:xfrm>
                            <a:off x="1463" y="7854"/>
                            <a:ext cx="9439" cy="5469"/>
                          </a:xfrm>
                          <a:prstGeom prst="rect">
                            <a:avLst/>
                          </a:prstGeom>
                          <a:noFill/>
                          <a:ln>
                            <a:noFill/>
                          </a:ln>
                        </pic:spPr>
                      </pic:pic>
                      <wps:wsp>
                        <wps:cNvPr id="385" name="矩形 3011"/>
                        <wps:cNvSpPr/>
                        <wps:spPr>
                          <a:xfrm>
                            <a:off x="2306" y="10311"/>
                            <a:ext cx="880" cy="645"/>
                          </a:xfrm>
                          <a:prstGeom prst="rect">
                            <a:avLst/>
                          </a:prstGeom>
                          <a:solidFill>
                            <a:srgbClr val="FFFFFF"/>
                          </a:solidFill>
                          <a:ln>
                            <a:noFill/>
                          </a:ln>
                        </wps:spPr>
                        <wps:txbx>
                          <w:txbxContent>
                            <w:p w14:paraId="28C257BC">
                              <w:pPr>
                                <w:pStyle w:val="105"/>
                                <w:jc w:val="both"/>
                              </w:pPr>
                              <w:r>
                                <w:rPr>
                                  <w:rFonts w:hint="eastAsia" w:ascii="宋体"/>
                                </w:rPr>
                                <w:t>枕木</w:t>
                              </w:r>
                            </w:p>
                            <w:p w14:paraId="5C11C9A7">
                              <w:pPr>
                                <w:pStyle w:val="144"/>
                                <w:ind w:left="480" w:firstLine="360"/>
                              </w:pPr>
                            </w:p>
                          </w:txbxContent>
                        </wps:txbx>
                        <wps:bodyPr upright="1"/>
                      </wps:wsp>
                      <wps:wsp>
                        <wps:cNvPr id="386" name="矩形 3012"/>
                        <wps:cNvSpPr/>
                        <wps:spPr>
                          <a:xfrm>
                            <a:off x="3921" y="10215"/>
                            <a:ext cx="915" cy="558"/>
                          </a:xfrm>
                          <a:prstGeom prst="rect">
                            <a:avLst/>
                          </a:prstGeom>
                          <a:solidFill>
                            <a:srgbClr val="FFFFFF"/>
                          </a:solidFill>
                          <a:ln>
                            <a:noFill/>
                          </a:ln>
                        </wps:spPr>
                        <wps:txbx>
                          <w:txbxContent>
                            <w:p w14:paraId="2F50398B">
                              <w:pPr>
                                <w:pStyle w:val="105"/>
                              </w:pPr>
                              <w:r>
                                <w:rPr>
                                  <w:rFonts w:hint="eastAsia"/>
                                </w:rPr>
                                <w:t>冲锤</w:t>
                              </w:r>
                            </w:p>
                            <w:p w14:paraId="0D8615B2">
                              <w:pPr>
                                <w:pStyle w:val="144"/>
                                <w:ind w:left="480" w:firstLine="360"/>
                              </w:pPr>
                            </w:p>
                          </w:txbxContent>
                        </wps:txbx>
                        <wps:bodyPr upright="1"/>
                      </wps:wsp>
                      <wps:wsp>
                        <wps:cNvPr id="387" name="矩形 3013"/>
                        <wps:cNvSpPr/>
                        <wps:spPr>
                          <a:xfrm>
                            <a:off x="6136" y="8399"/>
                            <a:ext cx="1170" cy="559"/>
                          </a:xfrm>
                          <a:prstGeom prst="rect">
                            <a:avLst/>
                          </a:prstGeom>
                          <a:solidFill>
                            <a:srgbClr val="FFFFFF"/>
                          </a:solidFill>
                          <a:ln>
                            <a:noFill/>
                          </a:ln>
                        </wps:spPr>
                        <wps:txbx>
                          <w:txbxContent>
                            <w:p w14:paraId="1B846DE1">
                              <w:pPr>
                                <w:pStyle w:val="105"/>
                              </w:pPr>
                              <w:r>
                                <w:rPr>
                                  <w:rFonts w:hint="eastAsia" w:ascii="宋体"/>
                                </w:rPr>
                                <w:t>钢丝</w:t>
                              </w:r>
                              <w:r>
                                <w:rPr>
                                  <w:rFonts w:hint="eastAsia"/>
                                </w:rPr>
                                <w:t>绳</w:t>
                              </w:r>
                            </w:p>
                            <w:p w14:paraId="58492734">
                              <w:pPr>
                                <w:pStyle w:val="105"/>
                              </w:pPr>
                            </w:p>
                            <w:p w14:paraId="5FCDDBBA">
                              <w:pPr>
                                <w:pStyle w:val="144"/>
                                <w:ind w:left="480" w:firstLine="360"/>
                              </w:pPr>
                            </w:p>
                          </w:txbxContent>
                        </wps:txbx>
                        <wps:bodyPr upright="1"/>
                      </wps:wsp>
                      <wps:wsp>
                        <wps:cNvPr id="388" name="矩形 3014"/>
                        <wps:cNvSpPr/>
                        <wps:spPr>
                          <a:xfrm>
                            <a:off x="1463" y="8762"/>
                            <a:ext cx="1540" cy="590"/>
                          </a:xfrm>
                          <a:prstGeom prst="rect">
                            <a:avLst/>
                          </a:prstGeom>
                          <a:solidFill>
                            <a:srgbClr val="FFFFFF"/>
                          </a:solidFill>
                          <a:ln>
                            <a:noFill/>
                          </a:ln>
                        </wps:spPr>
                        <wps:txbx>
                          <w:txbxContent>
                            <w:p w14:paraId="4CD11242">
                              <w:pPr>
                                <w:pStyle w:val="105"/>
                              </w:pPr>
                              <w:r>
                                <w:rPr>
                                  <w:rFonts w:hint="eastAsia"/>
                                </w:rPr>
                                <w:t>冲击钻机</w:t>
                              </w:r>
                            </w:p>
                            <w:p w14:paraId="760E15B4">
                              <w:pPr>
                                <w:pStyle w:val="105"/>
                                <w:ind w:left="-120"/>
                              </w:pPr>
                            </w:p>
                          </w:txbxContent>
                        </wps:txbx>
                        <wps:bodyPr upright="1"/>
                      </wps:wsp>
                      <wps:wsp>
                        <wps:cNvPr id="389" name="矩形 3015"/>
                        <wps:cNvSpPr/>
                        <wps:spPr>
                          <a:xfrm>
                            <a:off x="3921" y="11404"/>
                            <a:ext cx="915" cy="558"/>
                          </a:xfrm>
                          <a:prstGeom prst="rect">
                            <a:avLst/>
                          </a:prstGeom>
                          <a:solidFill>
                            <a:srgbClr val="FFFFFF"/>
                          </a:solidFill>
                          <a:ln>
                            <a:noFill/>
                          </a:ln>
                        </wps:spPr>
                        <wps:txbx>
                          <w:txbxContent>
                            <w:p w14:paraId="3AAD3316">
                              <w:pPr>
                                <w:pStyle w:val="105"/>
                              </w:pPr>
                              <w:r>
                                <w:rPr>
                                  <w:rFonts w:hint="eastAsia"/>
                                </w:rPr>
                                <w:t>桩孔</w:t>
                              </w:r>
                            </w:p>
                          </w:txbxContent>
                        </wps:txbx>
                        <wps:bodyPr upright="1"/>
                      </wps:wsp>
                      <wps:wsp>
                        <wps:cNvPr id="390" name="矩形 3016"/>
                        <wps:cNvSpPr/>
                        <wps:spPr>
                          <a:xfrm>
                            <a:off x="6784" y="12091"/>
                            <a:ext cx="891" cy="558"/>
                          </a:xfrm>
                          <a:prstGeom prst="rect">
                            <a:avLst/>
                          </a:prstGeom>
                          <a:solidFill>
                            <a:srgbClr val="FFFFFF"/>
                          </a:solidFill>
                          <a:ln>
                            <a:noFill/>
                          </a:ln>
                        </wps:spPr>
                        <wps:txbx>
                          <w:txbxContent>
                            <w:p w14:paraId="3D65E6D6">
                              <w:pPr>
                                <w:pStyle w:val="105"/>
                              </w:pPr>
                              <w:r>
                                <w:rPr>
                                  <w:rFonts w:hint="eastAsia"/>
                                </w:rPr>
                                <w:t>岩石</w:t>
                              </w:r>
                            </w:p>
                          </w:txbxContent>
                        </wps:txbx>
                        <wps:bodyPr upright="1"/>
                      </wps:wsp>
                      <wps:wsp>
                        <wps:cNvPr id="391" name="矩形 3017"/>
                        <wps:cNvSpPr/>
                        <wps:spPr>
                          <a:xfrm>
                            <a:off x="6658" y="10956"/>
                            <a:ext cx="890" cy="558"/>
                          </a:xfrm>
                          <a:prstGeom prst="rect">
                            <a:avLst/>
                          </a:prstGeom>
                          <a:solidFill>
                            <a:srgbClr val="FFFFFF"/>
                          </a:solidFill>
                          <a:ln>
                            <a:noFill/>
                          </a:ln>
                        </wps:spPr>
                        <wps:txbx>
                          <w:txbxContent>
                            <w:p w14:paraId="1383E20F">
                              <w:pPr>
                                <w:pStyle w:val="105"/>
                              </w:pPr>
                              <w:r>
                                <w:rPr>
                                  <w:rFonts w:hint="eastAsia"/>
                                </w:rPr>
                                <w:t>泥浆</w:t>
                              </w:r>
                            </w:p>
                          </w:txbxContent>
                        </wps:txbx>
                        <wps:bodyPr upright="1"/>
                      </wps:wsp>
                      <wps:wsp>
                        <wps:cNvPr id="392" name="矩形 3018"/>
                        <wps:cNvSpPr/>
                        <wps:spPr>
                          <a:xfrm>
                            <a:off x="6510" y="10112"/>
                            <a:ext cx="964" cy="623"/>
                          </a:xfrm>
                          <a:prstGeom prst="rect">
                            <a:avLst/>
                          </a:prstGeom>
                          <a:solidFill>
                            <a:srgbClr val="FFFFFF"/>
                          </a:solidFill>
                          <a:ln>
                            <a:noFill/>
                          </a:ln>
                        </wps:spPr>
                        <wps:txbx>
                          <w:txbxContent>
                            <w:p w14:paraId="77D174BA">
                              <w:pPr>
                                <w:pStyle w:val="105"/>
                              </w:pPr>
                              <w:r>
                                <w:rPr>
                                  <w:rFonts w:hint="eastAsia"/>
                                </w:rPr>
                                <w:t>钢护筒</w:t>
                              </w:r>
                            </w:p>
                          </w:txbxContent>
                        </wps:txbx>
                        <wps:bodyPr upright="1"/>
                      </wps:wsp>
                      <wps:wsp>
                        <wps:cNvPr id="393" name="矩形 3019"/>
                        <wps:cNvSpPr/>
                        <wps:spPr>
                          <a:xfrm>
                            <a:off x="7799" y="9093"/>
                            <a:ext cx="1391" cy="558"/>
                          </a:xfrm>
                          <a:prstGeom prst="rect">
                            <a:avLst/>
                          </a:prstGeom>
                          <a:solidFill>
                            <a:srgbClr val="FFFFFF"/>
                          </a:solidFill>
                          <a:ln>
                            <a:noFill/>
                          </a:ln>
                        </wps:spPr>
                        <wps:txbx>
                          <w:txbxContent>
                            <w:p w14:paraId="4F9D42EB">
                              <w:pPr>
                                <w:pStyle w:val="105"/>
                              </w:pPr>
                              <w:r>
                                <w:rPr>
                                  <w:rFonts w:hint="eastAsia" w:ascii="宋体"/>
                                </w:rPr>
                                <w:t>抽水软</w:t>
                              </w:r>
                              <w:r>
                                <w:rPr>
                                  <w:rFonts w:hint="eastAsia"/>
                                </w:rPr>
                                <w:t>管</w:t>
                              </w:r>
                            </w:p>
                          </w:txbxContent>
                        </wps:txbx>
                        <wps:bodyPr upright="1"/>
                      </wps:wsp>
                      <wps:wsp>
                        <wps:cNvPr id="394" name="矩形 3020"/>
                        <wps:cNvSpPr/>
                        <wps:spPr>
                          <a:xfrm>
                            <a:off x="9451" y="9553"/>
                            <a:ext cx="1113" cy="559"/>
                          </a:xfrm>
                          <a:prstGeom prst="rect">
                            <a:avLst/>
                          </a:prstGeom>
                          <a:solidFill>
                            <a:srgbClr val="FFFFFF"/>
                          </a:solidFill>
                          <a:ln>
                            <a:noFill/>
                          </a:ln>
                        </wps:spPr>
                        <wps:txbx>
                          <w:txbxContent>
                            <w:p w14:paraId="54E894E8">
                              <w:pPr>
                                <w:pStyle w:val="105"/>
                              </w:pPr>
                              <w:r>
                                <w:rPr>
                                  <w:rFonts w:hint="eastAsia" w:ascii="宋体"/>
                                </w:rPr>
                                <w:t>泥浆</w:t>
                              </w:r>
                              <w:r>
                                <w:rPr>
                                  <w:rFonts w:hint="eastAsia"/>
                                </w:rPr>
                                <w:t>泵</w:t>
                              </w:r>
                            </w:p>
                          </w:txbxContent>
                        </wps:txbx>
                        <wps:bodyPr upright="1"/>
                      </wps:wsp>
                      <wps:wsp>
                        <wps:cNvPr id="395" name="矩形 3021"/>
                        <wps:cNvSpPr/>
                        <wps:spPr>
                          <a:xfrm>
                            <a:off x="9083" y="11285"/>
                            <a:ext cx="1114" cy="558"/>
                          </a:xfrm>
                          <a:prstGeom prst="rect">
                            <a:avLst/>
                          </a:prstGeom>
                          <a:solidFill>
                            <a:srgbClr val="FFFFFF"/>
                          </a:solidFill>
                          <a:ln>
                            <a:noFill/>
                          </a:ln>
                        </wps:spPr>
                        <wps:txbx>
                          <w:txbxContent>
                            <w:p w14:paraId="04E564E4">
                              <w:pPr>
                                <w:pStyle w:val="105"/>
                              </w:pPr>
                              <w:r>
                                <w:rPr>
                                  <w:rFonts w:hint="eastAsia" w:ascii="宋体"/>
                                </w:rPr>
                                <w:t>泥浆</w:t>
                              </w:r>
                              <w:r>
                                <w:rPr>
                                  <w:rFonts w:hint="eastAsia"/>
                                </w:rPr>
                                <w:t>池</w:t>
                              </w:r>
                            </w:p>
                          </w:txbxContent>
                        </wps:txbx>
                        <wps:bodyPr upright="1"/>
                      </wps:wsp>
                    </wpg:wgp>
                  </a:graphicData>
                </a:graphic>
              </wp:anchor>
            </w:drawing>
          </mc:Choice>
          <mc:Fallback>
            <w:pict>
              <v:group id="组合 1431" o:spid="_x0000_s1026" o:spt="203" style="position:absolute;left:0pt;margin-left:35.4pt;margin-top:4.35pt;height:321.3pt;width:427.95pt;mso-wrap-distance-bottom:0pt;mso-wrap-distance-left:9pt;mso-wrap-distance-right:9pt;mso-wrap-distance-top:0pt;z-index:251661312;mso-width-relative:page;mso-height-relative:page;" coordorigin="1463,7854" coordsize="9439,5469203" o:gfxdata="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Hv/FVhZTCCMyXt&#10;0wJW3tF8xjjr7DHuaxvEOs65FYgx+Vpk1y/kWsKATTySHlTz8oGASwIOArc9KAOxorxrxLquq+Df&#10;A8/nR6rceLUgdorvzma3lnVS3GWOI+ORjA9K774X+Krjx18NPCXiS7hjt7rWNItNRmhhzsR5YUkZ&#10;VyScAsQMmgDp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BY&#10;YLMbtAAAACIBAAAZAAAAZHJzL19yZWxzL2Uyb0RvYy54bWwucmVsc4WPywrCMBBF94L/EGZv07oQ&#10;kaZuRHAr9QOGZJpGmwdJFPv3BtwoCC7nXu45TLt/2ok9KCbjnYCmqoGRk14ZpwVc+uNqCyxldAon&#10;70jATAn23XLRnmnCXEZpNCGxQnFJwJhz2HGe5EgWU+UDudIMPlrM5YyaB5Q31MTXdb3h8ZMB3ReT&#10;nZSAeFINsH4Oxfyf7YfBSDp4ebfk8g8FN7a4CxCjpizAkjL4DpvqGkgD71r+9Vn3Al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">
                <o:lock v:ext="edit" aspectratio="f"/>
                <v:shape id="图片 3010" o:spid="_x0000_s1026" o:spt="75" alt="2.jpg" type="#_x0000_t75" style="position:absolute;left:1463;top:7854;height:5469;width:9439;" filled="f" o:preferrelative="t" stroked="f" coordsize="21600,21600" o:gfxdata="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Zzha8AAAA&#10;3AAAAA8AAAAAAAAAAQAgAAAAIgAAAGRycy9kb3ducmV2LnhtbFBLAQIUABQAAAAIAIdO4kAzLwWe&#10;OwAAADkAAAAQAAAAAAAAAAEAIAAAAAsBAABkcnMvc2hhcGV4bWwueG1sUEsFBgAAAAAGAAYAWwEA&#10;ALUDAAAAAA==&#10;">
                  <v:fill on="f" focussize="0,0"/>
                  <v:stroke on="f"/>
                  <v:imagedata r:id="rId108" cropleft="7664f" croptop="38079f" cropright="9051f" cropbottom="7529f" o:title=""/>
                  <o:lock v:ext="edit" aspectratio="t"/>
                </v:shape>
                <v:rect id="矩形 3011" o:spid="_x0000_s1026" o:spt="1" style="position:absolute;left:2306;top:10311;height:645;width:880;" fillcolor="#FFFFFF" filled="t" stroked="f" coordsize="21600,21600" o:gfxdata="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2aZ6/&#10;AAAA3AAAAA8AAAAAAAAAAQAgAAAAIgAAAGRycy9kb3ducmV2LnhtbFBLAQIUABQAAAAIAIdO4kAz&#10;LwWeOwAAADkAAAAQAAAAAAAAAAEAIAAAAA4BAABkcnMvc2hhcGV4bWwueG1sUEsFBgAAAAAGAAYA&#10;WwEAALgDAAAAAA==&#10;">
                  <v:fill on="t" focussize="0,0"/>
                  <v:stroke on="f"/>
                  <v:imagedata o:title=""/>
                  <o:lock v:ext="edit" aspectratio="f"/>
                  <v:textbox>
                    <w:txbxContent>
                      <w:p w14:paraId="28C257BC">
                        <w:pPr>
                          <w:pStyle w:val="105"/>
                          <w:jc w:val="both"/>
                        </w:pPr>
                        <w:r>
                          <w:rPr>
                            <w:rFonts w:hint="eastAsia" w:ascii="宋体"/>
                          </w:rPr>
                          <w:t>枕木</w:t>
                        </w:r>
                      </w:p>
                      <w:p w14:paraId="5C11C9A7">
                        <w:pPr>
                          <w:pStyle w:val="144"/>
                          <w:ind w:left="480" w:firstLine="360"/>
                        </w:pPr>
                      </w:p>
                    </w:txbxContent>
                  </v:textbox>
                </v:rect>
                <v:rect id="矩形 3012" o:spid="_x0000_s1026" o:spt="1" style="position:absolute;left:3921;top:10215;height:558;width:915;" fillcolor="#FFFFFF" filled="t" stroked="f" coordsize="21600,21600" o:gfxdata="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5Pfp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2F50398B">
                        <w:pPr>
                          <w:pStyle w:val="105"/>
                        </w:pPr>
                        <w:r>
                          <w:rPr>
                            <w:rFonts w:hint="eastAsia"/>
                          </w:rPr>
                          <w:t>冲锤</w:t>
                        </w:r>
                      </w:p>
                      <w:p w14:paraId="0D8615B2">
                        <w:pPr>
                          <w:pStyle w:val="144"/>
                          <w:ind w:left="480" w:firstLine="360"/>
                        </w:pPr>
                      </w:p>
                    </w:txbxContent>
                  </v:textbox>
                </v:rect>
                <v:rect id="矩形 3013" o:spid="_x0000_s1026" o:spt="1" style="position:absolute;left:6136;top:8399;height:559;width:1170;" fillcolor="#FFFFFF" filled="t" stroked="f" coordsize="21600,21600" o:gfxdata="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qFJy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1B846DE1">
                        <w:pPr>
                          <w:pStyle w:val="105"/>
                        </w:pPr>
                        <w:r>
                          <w:rPr>
                            <w:rFonts w:hint="eastAsia" w:ascii="宋体"/>
                          </w:rPr>
                          <w:t>钢丝</w:t>
                        </w:r>
                        <w:r>
                          <w:rPr>
                            <w:rFonts w:hint="eastAsia"/>
                          </w:rPr>
                          <w:t>绳</w:t>
                        </w:r>
                      </w:p>
                      <w:p w14:paraId="58492734">
                        <w:pPr>
                          <w:pStyle w:val="105"/>
                        </w:pPr>
                      </w:p>
                      <w:p w14:paraId="5FCDDBBA">
                        <w:pPr>
                          <w:pStyle w:val="144"/>
                          <w:ind w:left="480" w:firstLine="360"/>
                        </w:pPr>
                      </w:p>
                    </w:txbxContent>
                  </v:textbox>
                </v:rect>
                <v:rect id="矩形 3014" o:spid="_x0000_s1026" o:spt="1" style="position:absolute;left:1463;top:8762;height:590;width:1540;" fillcolor="#FFFFFF" filled="t" stroked="f" coordsize="21600,21600" o:gfxdata="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3xgC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4CD11242">
                        <w:pPr>
                          <w:pStyle w:val="105"/>
                        </w:pPr>
                        <w:r>
                          <w:rPr>
                            <w:rFonts w:hint="eastAsia"/>
                          </w:rPr>
                          <w:t>冲击钻机</w:t>
                        </w:r>
                      </w:p>
                      <w:p w14:paraId="760E15B4">
                        <w:pPr>
                          <w:pStyle w:val="105"/>
                          <w:ind w:left="-120"/>
                        </w:pPr>
                      </w:p>
                    </w:txbxContent>
                  </v:textbox>
                </v:rect>
                <v:rect id="矩形 3015" o:spid="_x0000_s1026" o:spt="1" style="position:absolute;left:3921;top:11404;height:558;width:915;" fillcolor="#FFFFFF" filled="t" stroked="f" coordsize="21600,21600" o:gfxdata="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e2Ob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3AAD3316">
                        <w:pPr>
                          <w:pStyle w:val="105"/>
                        </w:pPr>
                        <w:r>
                          <w:rPr>
                            <w:rFonts w:hint="eastAsia"/>
                          </w:rPr>
                          <w:t>桩孔</w:t>
                        </w:r>
                      </w:p>
                    </w:txbxContent>
                  </v:textbox>
                </v:rect>
                <v:rect id="矩形 3016" o:spid="_x0000_s1026" o:spt="1" style="position:absolute;left:6784;top:12091;height:558;width:891;" fillcolor="#FFFFFF" filled="t" stroked="f" coordsize="21600,21600" o:gfxdata="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CYXNu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3D65E6D6">
                        <w:pPr>
                          <w:pStyle w:val="105"/>
                        </w:pPr>
                        <w:r>
                          <w:rPr>
                            <w:rFonts w:hint="eastAsia"/>
                          </w:rPr>
                          <w:t>岩石</w:t>
                        </w:r>
                      </w:p>
                    </w:txbxContent>
                  </v:textbox>
                </v:rect>
                <v:rect id="矩形 3017" o:spid="_x0000_s1026" o:spt="1" style="position:absolute;left:6658;top:10956;height:558;width:890;" fillcolor="#FFFFFF" filled="t" stroked="f" coordsize="21600,21600" o:gfxdata="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9T5Q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383E20F">
                        <w:pPr>
                          <w:pStyle w:val="105"/>
                        </w:pPr>
                        <w:r>
                          <w:rPr>
                            <w:rFonts w:hint="eastAsia"/>
                          </w:rPr>
                          <w:t>泥浆</w:t>
                        </w:r>
                      </w:p>
                    </w:txbxContent>
                  </v:textbox>
                </v:rect>
                <v:rect id="矩形 3018" o:spid="_x0000_s1026" o:spt="1" style="position:absolute;left:6510;top:10112;height:623;width:964;" fillcolor="#FFFFFF" filled="t" stroked="f" coordsize="21600,21600" o:gfxdata="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Bmc3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77D174BA">
                        <w:pPr>
                          <w:pStyle w:val="105"/>
                        </w:pPr>
                        <w:r>
                          <w:rPr>
                            <w:rFonts w:hint="eastAsia"/>
                          </w:rPr>
                          <w:t>钢护筒</w:t>
                        </w:r>
                      </w:p>
                    </w:txbxContent>
                  </v:textbox>
                </v:rect>
                <v:rect id="矩形 3019" o:spid="_x0000_s1026" o:spt="1" style="position:absolute;left:7799;top:9093;height:558;width:1391;" fillcolor="#FFFFFF" filled="t" stroked="f" coordsize="21600,21600" o:gfxdata="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rCr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4F9D42EB">
                        <w:pPr>
                          <w:pStyle w:val="105"/>
                        </w:pPr>
                        <w:r>
                          <w:rPr>
                            <w:rFonts w:hint="eastAsia" w:ascii="宋体"/>
                          </w:rPr>
                          <w:t>抽水软</w:t>
                        </w:r>
                        <w:r>
                          <w:rPr>
                            <w:rFonts w:hint="eastAsia"/>
                          </w:rPr>
                          <w:t>管</w:t>
                        </w:r>
                      </w:p>
                    </w:txbxContent>
                  </v:textbox>
                </v:rect>
                <v:rect id="矩形 3020" o:spid="_x0000_s1026" o:spt="1" style="position:absolute;left:9451;top:9553;height:559;width:1113;" fillcolor="#FFFFFF" filled="t" stroked="f" coordsize="21600,21600" o:gfxdata="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o1rY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54E894E8">
                        <w:pPr>
                          <w:pStyle w:val="105"/>
                        </w:pPr>
                        <w:r>
                          <w:rPr>
                            <w:rFonts w:hint="eastAsia" w:ascii="宋体"/>
                          </w:rPr>
                          <w:t>泥浆</w:t>
                        </w:r>
                        <w:r>
                          <w:rPr>
                            <w:rFonts w:hint="eastAsia"/>
                          </w:rPr>
                          <w:t>泵</w:t>
                        </w:r>
                      </w:p>
                    </w:txbxContent>
                  </v:textbox>
                </v:rect>
                <v:rect id="矩形 3021" o:spid="_x0000_s1026" o:spt="1" style="position:absolute;left:9083;top:11285;height:558;width:1114;" fillcolor="#FFFFFF" filled="t" stroked="f" coordsize="21600,21600" o:gfxdata="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v/0O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04E564E4">
                        <w:pPr>
                          <w:pStyle w:val="105"/>
                        </w:pPr>
                        <w:r>
                          <w:rPr>
                            <w:rFonts w:hint="eastAsia" w:ascii="宋体"/>
                          </w:rPr>
                          <w:t>泥浆</w:t>
                        </w:r>
                        <w:r>
                          <w:rPr>
                            <w:rFonts w:hint="eastAsia"/>
                          </w:rPr>
                          <w:t>池</w:t>
                        </w:r>
                      </w:p>
                    </w:txbxContent>
                  </v:textbox>
                </v:rect>
                <w10:wrap type="square"/>
              </v:group>
            </w:pict>
          </mc:Fallback>
        </mc:AlternateContent>
      </w:r>
    </w:p>
    <w:p w14:paraId="1C57F4A0">
      <w:pPr>
        <w:ind w:firstLine="480"/>
        <w:rPr>
          <w:rFonts w:hint="eastAsia" w:ascii="宋体" w:hAnsi="宋体" w:eastAsia="宋体" w:cs="宋体"/>
        </w:rPr>
      </w:pPr>
    </w:p>
    <w:p w14:paraId="0D33734C">
      <w:pPr>
        <w:ind w:firstLine="0" w:firstLineChars="0"/>
        <w:rPr>
          <w:rFonts w:hint="eastAsia" w:ascii="宋体" w:hAnsi="宋体" w:eastAsia="宋体" w:cs="宋体"/>
        </w:rPr>
      </w:pPr>
    </w:p>
    <w:p w14:paraId="748A1B78">
      <w:pPr>
        <w:pStyle w:val="22"/>
        <w:ind w:firstLine="431"/>
        <w:rPr>
          <w:rFonts w:hint="eastAsia" w:ascii="宋体" w:hAnsi="宋体" w:eastAsia="宋体" w:cs="宋体"/>
        </w:rPr>
      </w:pPr>
    </w:p>
    <w:p w14:paraId="2CF03887">
      <w:pPr>
        <w:ind w:firstLine="480"/>
        <w:rPr>
          <w:rFonts w:hint="eastAsia" w:ascii="宋体" w:hAnsi="宋体" w:eastAsia="宋体" w:cs="宋体"/>
        </w:rPr>
      </w:pPr>
    </w:p>
    <w:p w14:paraId="1E2A9295">
      <w:pPr>
        <w:pStyle w:val="22"/>
        <w:ind w:firstLine="431"/>
        <w:rPr>
          <w:rFonts w:hint="eastAsia" w:ascii="宋体" w:hAnsi="宋体" w:eastAsia="宋体" w:cs="宋体"/>
        </w:rPr>
      </w:pPr>
    </w:p>
    <w:p w14:paraId="772A1698">
      <w:pPr>
        <w:ind w:left="0" w:leftChars="0" w:firstLine="0" w:firstLineChars="0"/>
        <w:rPr>
          <w:rFonts w:hint="eastAsia" w:ascii="宋体" w:hAnsi="宋体" w:eastAsia="宋体" w:cs="宋体"/>
        </w:rPr>
      </w:pPr>
    </w:p>
    <w:p w14:paraId="6BFA1A72">
      <w:pPr>
        <w:pStyle w:val="46"/>
        <w:rPr>
          <w:rFonts w:hint="eastAsia" w:ascii="宋体" w:hAnsi="宋体" w:eastAsia="宋体" w:cs="宋体"/>
        </w:rPr>
      </w:pPr>
    </w:p>
    <w:p w14:paraId="0AF547FA">
      <w:pPr>
        <w:pStyle w:val="46"/>
        <w:rPr>
          <w:rFonts w:hint="eastAsia" w:ascii="宋体" w:hAnsi="宋体" w:eastAsia="宋体" w:cs="宋体"/>
        </w:rPr>
      </w:pPr>
    </w:p>
    <w:p w14:paraId="7CB52088">
      <w:pPr>
        <w:pStyle w:val="46"/>
        <w:rPr>
          <w:rFonts w:hint="eastAsia" w:ascii="宋体" w:hAnsi="宋体" w:eastAsia="宋体" w:cs="宋体"/>
        </w:rPr>
      </w:pPr>
    </w:p>
    <w:p w14:paraId="3285690B">
      <w:pPr>
        <w:pStyle w:val="46"/>
        <w:rPr>
          <w:rFonts w:hint="eastAsia" w:ascii="宋体" w:hAnsi="宋体" w:eastAsia="宋体" w:cs="宋体"/>
        </w:rPr>
      </w:pPr>
    </w:p>
    <w:p w14:paraId="63AC06F4">
      <w:pPr>
        <w:pStyle w:val="46"/>
        <w:ind w:left="0" w:leftChars="0" w:firstLine="0" w:firstLineChars="0"/>
        <w:rPr>
          <w:rFonts w:hint="eastAsia" w:ascii="宋体" w:hAnsi="宋体" w:eastAsia="宋体" w:cs="宋体"/>
        </w:rPr>
      </w:pPr>
    </w:p>
    <w:p w14:paraId="3C47DA13">
      <w:pPr>
        <w:numPr>
          <w:ilvl w:val="0"/>
          <w:numId w:val="0"/>
        </w:numPr>
        <w:rPr>
          <w:rFonts w:hint="eastAsia" w:ascii="宋体" w:hAnsi="宋体" w:cs="宋体"/>
          <w:highlight w:val="none"/>
          <w:lang w:val="en-US" w:eastAsia="zh-CN"/>
        </w:rPr>
      </w:pPr>
    </w:p>
    <w:p w14:paraId="63C86912">
      <w:pPr>
        <w:numPr>
          <w:ilvl w:val="0"/>
          <w:numId w:val="0"/>
        </w:numPr>
        <w:ind w:firstLine="480" w:firstLineChars="200"/>
        <w:rPr>
          <w:rFonts w:hint="eastAsia" w:ascii="宋体" w:hAnsi="宋体" w:eastAsia="宋体" w:cs="宋体"/>
          <w:highlight w:val="none"/>
        </w:rPr>
      </w:pPr>
      <w:r>
        <w:rPr>
          <w:rFonts w:hint="eastAsia" w:ascii="宋体" w:hAnsi="宋体" w:cs="宋体"/>
          <w:highlight w:val="none"/>
          <w:lang w:val="en-US" w:eastAsia="zh-CN"/>
        </w:rPr>
        <w:t>2、</w:t>
      </w:r>
      <w:r>
        <w:rPr>
          <w:rFonts w:hint="eastAsia" w:ascii="宋体" w:hAnsi="宋体" w:eastAsia="宋体" w:cs="宋体"/>
          <w:highlight w:val="none"/>
        </w:rPr>
        <w:t>桩机安装、移位</w:t>
      </w:r>
    </w:p>
    <w:p w14:paraId="28418640">
      <w:pPr>
        <w:ind w:left="-140" w:firstLine="480"/>
        <w:rPr>
          <w:rFonts w:hint="eastAsia" w:ascii="宋体" w:hAnsi="宋体" w:eastAsia="宋体" w:cs="宋体"/>
        </w:rPr>
      </w:pPr>
      <w:r>
        <w:rPr>
          <w:rFonts w:hint="eastAsia" w:ascii="宋体" w:hAnsi="宋体" w:eastAsia="宋体" w:cs="宋体"/>
        </w:rPr>
        <w:t>桩机用平板车经厂家运至墩位处，采用50t履带吊将桩机组装件吊到指定的孔位进行组装。钻机的移位主要采取轨道自行式，吊车配合。桩机通过吊机或自身的移动装置就位，就位后的钻机要保证基座水平，吊起冲击锤，使锤中心同桩中心在同一铅垂线上，并固定好钻机，在成孔过程中，应防止移位，偏差不得大于25mm，经现场工程师检查并报告监理工程师批准后方可开始钻孔。</w:t>
      </w:r>
    </w:p>
    <w:p w14:paraId="44C662E5">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泥浆制备、循环及钻渣排放</w:t>
      </w:r>
    </w:p>
    <w:p w14:paraId="33672C4D">
      <w:pPr>
        <w:ind w:left="-140" w:firstLine="480"/>
        <w:rPr>
          <w:rFonts w:hint="eastAsia" w:ascii="宋体" w:hAnsi="宋体" w:eastAsia="宋体" w:cs="宋体"/>
        </w:rPr>
      </w:pPr>
      <w:r>
        <w:rPr>
          <w:rFonts w:hint="eastAsia" w:ascii="宋体" w:hAnsi="宋体" w:eastAsia="宋体" w:cs="宋体"/>
        </w:rPr>
        <w:t>泥浆由桩机在桩孔护筒内制备，用泥浆泵与泥浆池进行循环。泥浆采用优质黄土进行造浆。</w:t>
      </w:r>
    </w:p>
    <w:p w14:paraId="68ADCB9D">
      <w:pPr>
        <w:ind w:left="-140" w:firstLine="480"/>
        <w:rPr>
          <w:rFonts w:hint="eastAsia" w:ascii="宋体" w:hAnsi="宋体" w:eastAsia="宋体" w:cs="宋体"/>
        </w:rPr>
      </w:pPr>
      <w:r>
        <w:rPr>
          <w:rFonts w:hint="eastAsia" w:ascii="宋体" w:hAnsi="宋体" w:eastAsia="宋体" w:cs="宋体"/>
        </w:rPr>
        <w:t>为利于环保，钻渣不得任意排放。现场设置泥浆</w:t>
      </w:r>
      <w:r>
        <w:rPr>
          <w:rFonts w:hint="eastAsia" w:ascii="宋体" w:hAnsi="宋体" w:cs="宋体"/>
          <w:lang w:val="en-US" w:eastAsia="zh-CN"/>
        </w:rPr>
        <w:t>池</w:t>
      </w:r>
      <w:r>
        <w:rPr>
          <w:rFonts w:hint="eastAsia" w:ascii="宋体" w:hAnsi="宋体" w:eastAsia="宋体" w:cs="宋体"/>
        </w:rPr>
        <w:t>，泥浆箱内的泥渣用挖掘机装到泥浆车运至指定地点卸弃。</w:t>
      </w:r>
    </w:p>
    <w:p w14:paraId="3EACE48F">
      <w:pPr>
        <w:ind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钻孔进程中注意事项</w:t>
      </w:r>
    </w:p>
    <w:p w14:paraId="0B72BE37">
      <w:pPr>
        <w:ind w:left="-140" w:firstLine="480"/>
        <w:rPr>
          <w:rFonts w:hint="eastAsia" w:ascii="宋体" w:hAnsi="宋体" w:eastAsia="宋体" w:cs="宋体"/>
        </w:rPr>
      </w:pPr>
      <w:r>
        <w:rPr>
          <w:rFonts w:hint="eastAsia" w:ascii="宋体" w:hAnsi="宋体" w:eastAsia="宋体" w:cs="宋体"/>
        </w:rPr>
        <w:t>砂层成孔：在该段成孔过程中应注意控制冲程并且控制泥浆的黏度和比重泥浆的主要性能指标为：相对密度≥1.1，含砂率≤4%，黏度22～28s)，并注意保持孔内的水位高于孔外水位1.5～2m，预防斜孔，同时也要防止落锤时，钢丝绳放得太松，造成扩孔。</w:t>
      </w:r>
    </w:p>
    <w:p w14:paraId="52AC352A">
      <w:pPr>
        <w:ind w:left="-140" w:firstLine="480"/>
        <w:rPr>
          <w:rFonts w:hint="eastAsia" w:ascii="宋体" w:hAnsi="宋体" w:eastAsia="宋体" w:cs="宋体"/>
        </w:rPr>
      </w:pPr>
      <w:r>
        <w:rPr>
          <w:rFonts w:hint="eastAsia" w:ascii="宋体" w:hAnsi="宋体" w:eastAsia="宋体" w:cs="宋体"/>
        </w:rPr>
        <w:t>强风化、中风化花岗岩层成孔：当孔深达到这些岩层时，应检查锤牙、锤体是否完好，确保工程进度、质量、避免卡锤等事故的发生。当岩面倾斜度较大时，必须往孔内回填适量硬度与岩石接近的毛石或碎石，直至将岩石面修平为止，这种工作往往需要多次回填才能完成。在冲击岩层时必须注意及时清孔，这样既可加快施工进度，又可保证孔的垂直度。起落钻头掌握好高度，锤落到底时，钢丝绳不能太过于放松，避免倒锤，造成扩孔等，同时钢丝绳尚应稍有富余以避免打空锤。</w:t>
      </w:r>
    </w:p>
    <w:p w14:paraId="7643C409">
      <w:pPr>
        <w:ind w:left="-140" w:firstLine="480"/>
        <w:rPr>
          <w:rFonts w:hint="eastAsia" w:ascii="宋体" w:hAnsi="宋体" w:eastAsia="宋体" w:cs="宋体"/>
        </w:rPr>
      </w:pPr>
      <w:r>
        <w:rPr>
          <w:rFonts w:hint="eastAsia" w:ascii="宋体" w:hAnsi="宋体" w:eastAsia="宋体" w:cs="宋体"/>
        </w:rPr>
        <w:t>冲进一定深度后应及时清渣，以保证成孔质量并加快进度，清孔后应检查泥浆性能指标是否符合要求；冲孔过程还应在钢丝绳上做好记号以控制起锤高度，严格按有关规范要求控制，严禁打空锤。成孔过程要及时填写冲孔记录，捞取渣样，以备现场监理工程师鉴定。当岩层进入中风化岩面时及地质情况与地勘资料不符合时，应按要求及时捞取渣样提供给地勘、设计、监理等部门鉴定，以判定嵌岩入岩标高。</w:t>
      </w:r>
    </w:p>
    <w:p w14:paraId="6361E8AF">
      <w:pPr>
        <w:pStyle w:val="14"/>
        <w:bidi w:val="0"/>
        <w:rPr>
          <w:rFonts w:hint="eastAsia"/>
        </w:rPr>
      </w:pPr>
      <w:r>
        <w:rPr>
          <w:rFonts w:hint="eastAsia"/>
          <w:lang w:val="en-US" w:eastAsia="zh-CN"/>
        </w:rPr>
        <w:t>7、</w:t>
      </w:r>
      <w:r>
        <w:rPr>
          <w:rFonts w:hint="eastAsia"/>
        </w:rPr>
        <w:t>旋挖钻成孔方法</w:t>
      </w:r>
    </w:p>
    <w:p w14:paraId="087A4361">
      <w:pPr>
        <w:numPr>
          <w:ilvl w:val="0"/>
          <w:numId w:val="0"/>
        </w:numPr>
        <w:ind w:firstLine="480" w:firstLineChars="200"/>
        <w:rPr>
          <w:rFonts w:hint="eastAsia" w:ascii="宋体" w:hAnsi="宋体" w:eastAsia="宋体" w:cs="宋体"/>
          <w:highlight w:val="none"/>
        </w:rPr>
      </w:pPr>
      <w:r>
        <w:rPr>
          <w:rFonts w:hint="eastAsia" w:ascii="宋体" w:hAnsi="宋体" w:cs="宋体"/>
          <w:highlight w:val="none"/>
          <w:lang w:val="en-US" w:eastAsia="zh-CN"/>
        </w:rPr>
        <w:t>1、</w:t>
      </w:r>
      <w:r>
        <w:rPr>
          <w:rFonts w:hint="eastAsia" w:ascii="宋体" w:hAnsi="宋体" w:eastAsia="宋体" w:cs="宋体"/>
          <w:highlight w:val="none"/>
        </w:rPr>
        <w:t>旋挖钻机示意图</w:t>
      </w:r>
    </w:p>
    <w:p w14:paraId="05EF1692">
      <w:pPr>
        <w:rPr>
          <w:rFonts w:hint="eastAsia" w:ascii="宋体" w:hAnsi="宋体" w:eastAsia="宋体" w:cs="宋体"/>
        </w:rPr>
      </w:pPr>
      <w:r>
        <w:rPr>
          <w:rFonts w:hint="eastAsia" w:ascii="宋体" w:hAnsi="宋体" w:eastAsia="宋体" w:cs="宋体"/>
        </w:rPr>
        <mc:AlternateContent>
          <mc:Choice Requires="wpg">
            <w:drawing>
              <wp:inline distT="0" distB="0" distL="114300" distR="114300">
                <wp:extent cx="4863465" cy="3180080"/>
                <wp:effectExtent l="4445" t="4445" r="8890" b="15875"/>
                <wp:docPr id="74" name="组合 99"/>
                <wp:cNvGraphicFramePr/>
                <a:graphic xmlns:a="http://schemas.openxmlformats.org/drawingml/2006/main">
                  <a:graphicData uri="http://schemas.microsoft.com/office/word/2010/wordprocessingGroup">
                    <wpg:wgp>
                      <wpg:cNvGrpSpPr/>
                      <wpg:grpSpPr>
                        <a:xfrm>
                          <a:off x="0" y="0"/>
                          <a:ext cx="4863465" cy="3180080"/>
                          <a:chOff x="5015" y="3837137"/>
                          <a:chExt cx="5662" cy="4712"/>
                        </a:xfrm>
                      </wpg:grpSpPr>
                      <wps:wsp>
                        <wps:cNvPr id="59" name="文本框 3022"/>
                        <wps:cNvSpPr txBox="1"/>
                        <wps:spPr>
                          <a:xfrm>
                            <a:off x="5015" y="3837137"/>
                            <a:ext cx="5663" cy="471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BE435F">
                              <w:pPr>
                                <w:ind w:firstLine="0" w:firstLineChars="0"/>
                                <w:jc w:val="center"/>
                              </w:pPr>
                            </w:p>
                          </w:txbxContent>
                        </wps:txbx>
                        <wps:bodyPr upright="1"/>
                      </wps:wsp>
                      <wpg:grpSp>
                        <wpg:cNvPr id="73" name="组合 101"/>
                        <wpg:cNvGrpSpPr/>
                        <wpg:grpSpPr>
                          <a:xfrm>
                            <a:off x="5647" y="3837219"/>
                            <a:ext cx="5026" cy="4502"/>
                            <a:chOff x="5647" y="3837070"/>
                            <a:chExt cx="5558" cy="4651"/>
                          </a:xfrm>
                        </wpg:grpSpPr>
                        <pic:pic xmlns:pic="http://schemas.openxmlformats.org/drawingml/2006/picture">
                          <pic:nvPicPr>
                            <pic:cNvPr id="60" name="图片 139" descr="67.png"/>
                            <pic:cNvPicPr>
                              <a:picLocks noChangeAspect="1"/>
                            </pic:cNvPicPr>
                          </pic:nvPicPr>
                          <pic:blipFill>
                            <a:blip r:embed="rId109"/>
                            <a:srcRect t="-975" r="43617"/>
                            <a:stretch>
                              <a:fillRect/>
                            </a:stretch>
                          </pic:blipFill>
                          <pic:spPr>
                            <a:xfrm>
                              <a:off x="5647" y="3837070"/>
                              <a:ext cx="4505" cy="4304"/>
                            </a:xfrm>
                            <a:prstGeom prst="rect">
                              <a:avLst/>
                            </a:prstGeom>
                            <a:noFill/>
                            <a:ln>
                              <a:noFill/>
                            </a:ln>
                          </pic:spPr>
                        </pic:pic>
                        <wpg:grpSp>
                          <wpg:cNvPr id="72" name="组合 1444"/>
                          <wpg:cNvGrpSpPr/>
                          <wpg:grpSpPr>
                            <a:xfrm>
                              <a:off x="6457" y="3837261"/>
                              <a:ext cx="4748" cy="4460"/>
                              <a:chOff x="3632" y="2107"/>
                              <a:chExt cx="4707" cy="4597"/>
                            </a:xfrm>
                          </wpg:grpSpPr>
                          <wps:wsp>
                            <wps:cNvPr id="61" name="文本框 3024"/>
                            <wps:cNvSpPr txBox="1"/>
                            <wps:spPr>
                              <a:xfrm>
                                <a:off x="7108" y="4373"/>
                                <a:ext cx="963" cy="397"/>
                              </a:xfrm>
                              <a:prstGeom prst="rect">
                                <a:avLst/>
                              </a:prstGeom>
                              <a:solidFill>
                                <a:srgbClr val="FFFFFF"/>
                              </a:solidFill>
                              <a:ln>
                                <a:noFill/>
                              </a:ln>
                            </wps:spPr>
                            <wps:txbx>
                              <w:txbxContent>
                                <w:p w14:paraId="78340129">
                                  <w:pPr>
                                    <w:pStyle w:val="19"/>
                                  </w:pPr>
                                  <w:r>
                                    <w:rPr>
                                      <w:rFonts w:hint="eastAsia"/>
                                    </w:rPr>
                                    <w:t>动力头</w:t>
                                  </w:r>
                                </w:p>
                              </w:txbxContent>
                            </wps:txbx>
                            <wps:bodyPr upright="1"/>
                          </wps:wsp>
                          <wps:wsp>
                            <wps:cNvPr id="62" name="文本框 3026"/>
                            <wps:cNvSpPr txBox="1"/>
                            <wps:spPr>
                              <a:xfrm>
                                <a:off x="7288" y="4937"/>
                                <a:ext cx="736" cy="397"/>
                              </a:xfrm>
                              <a:prstGeom prst="rect">
                                <a:avLst/>
                              </a:prstGeom>
                              <a:solidFill>
                                <a:srgbClr val="FFFFFF"/>
                              </a:solidFill>
                              <a:ln>
                                <a:noFill/>
                              </a:ln>
                            </wps:spPr>
                            <wps:txbx>
                              <w:txbxContent>
                                <w:p w14:paraId="1904537A">
                                  <w:pPr>
                                    <w:pStyle w:val="19"/>
                                  </w:pPr>
                                  <w:r>
                                    <w:rPr>
                                      <w:rFonts w:hint="eastAsia"/>
                                    </w:rPr>
                                    <w:t>钻杆</w:t>
                                  </w:r>
                                </w:p>
                              </w:txbxContent>
                            </wps:txbx>
                            <wps:bodyPr upright="1"/>
                          </wps:wsp>
                          <wpg:grpSp>
                            <wpg:cNvPr id="71" name="组合 1447"/>
                            <wpg:cNvGrpSpPr/>
                            <wpg:grpSpPr>
                              <a:xfrm>
                                <a:off x="3632" y="2107"/>
                                <a:ext cx="4707" cy="4597"/>
                                <a:chOff x="3632" y="2107"/>
                                <a:chExt cx="4707" cy="4597"/>
                              </a:xfrm>
                            </wpg:grpSpPr>
                            <wps:wsp>
                              <wps:cNvPr id="63" name="文本框 3023"/>
                              <wps:cNvSpPr txBox="1"/>
                              <wps:spPr>
                                <a:xfrm>
                                  <a:off x="3885" y="5001"/>
                                  <a:ext cx="794" cy="396"/>
                                </a:xfrm>
                                <a:prstGeom prst="rect">
                                  <a:avLst/>
                                </a:prstGeom>
                                <a:solidFill>
                                  <a:srgbClr val="FFFFFF"/>
                                </a:solidFill>
                                <a:ln>
                                  <a:noFill/>
                                </a:ln>
                              </wps:spPr>
                              <wps:txbx>
                                <w:txbxContent>
                                  <w:p w14:paraId="71D37858">
                                    <w:pPr>
                                      <w:pStyle w:val="19"/>
                                    </w:pPr>
                                    <w:r>
                                      <w:rPr>
                                        <w:rFonts w:hint="eastAsia"/>
                                      </w:rPr>
                                      <w:t>底盘</w:t>
                                    </w:r>
                                  </w:p>
                                </w:txbxContent>
                              </wps:txbx>
                              <wps:bodyPr upright="1"/>
                            </wps:wsp>
                            <wps:wsp>
                              <wps:cNvPr id="64" name="文本框 3029"/>
                              <wps:cNvSpPr txBox="1"/>
                              <wps:spPr>
                                <a:xfrm>
                                  <a:off x="7176" y="6307"/>
                                  <a:ext cx="963" cy="397"/>
                                </a:xfrm>
                                <a:prstGeom prst="rect">
                                  <a:avLst/>
                                </a:prstGeom>
                                <a:solidFill>
                                  <a:srgbClr val="FFFFFF"/>
                                </a:solidFill>
                                <a:ln>
                                  <a:noFill/>
                                </a:ln>
                              </wps:spPr>
                              <wps:txbx>
                                <w:txbxContent>
                                  <w:p w14:paraId="72A2353F">
                                    <w:pPr>
                                      <w:pStyle w:val="19"/>
                                    </w:pPr>
                                    <w:r>
                                      <w:rPr>
                                        <w:rFonts w:hint="eastAsia"/>
                                      </w:rPr>
                                      <w:t>辅卷扬</w:t>
                                    </w:r>
                                  </w:p>
                                </w:txbxContent>
                              </wps:txbx>
                              <wps:bodyPr upright="1"/>
                            </wps:wsp>
                            <wpg:grpSp>
                              <wpg:cNvPr id="70" name="组合 1450"/>
                              <wpg:cNvGrpSpPr/>
                              <wpg:grpSpPr>
                                <a:xfrm>
                                  <a:off x="3632" y="2107"/>
                                  <a:ext cx="4707" cy="4022"/>
                                  <a:chOff x="3632" y="2107"/>
                                  <a:chExt cx="4707" cy="4022"/>
                                </a:xfrm>
                              </wpg:grpSpPr>
                              <wps:wsp>
                                <wps:cNvPr id="65" name="文本框 3025"/>
                                <wps:cNvSpPr txBox="1"/>
                                <wps:spPr>
                                  <a:xfrm>
                                    <a:off x="3632" y="3653"/>
                                    <a:ext cx="1080" cy="371"/>
                                  </a:xfrm>
                                  <a:prstGeom prst="rect">
                                    <a:avLst/>
                                  </a:prstGeom>
                                  <a:solidFill>
                                    <a:srgbClr val="FFFFFF"/>
                                  </a:solidFill>
                                  <a:ln>
                                    <a:noFill/>
                                  </a:ln>
                                </wps:spPr>
                                <wps:txbx>
                                  <w:txbxContent>
                                    <w:p w14:paraId="1F6E0C94">
                                      <w:pPr>
                                        <w:pStyle w:val="19"/>
                                      </w:pPr>
                                      <w:r>
                                        <w:rPr>
                                          <w:rFonts w:hint="eastAsia"/>
                                        </w:rPr>
                                        <w:t>桅杆总成</w:t>
                                      </w:r>
                                    </w:p>
                                  </w:txbxContent>
                                </wps:txbx>
                                <wps:bodyPr upright="1"/>
                              </wps:wsp>
                              <wps:wsp>
                                <wps:cNvPr id="66" name="文本框 3027"/>
                                <wps:cNvSpPr txBox="1"/>
                                <wps:spPr>
                                  <a:xfrm>
                                    <a:off x="7248" y="5269"/>
                                    <a:ext cx="810" cy="370"/>
                                  </a:xfrm>
                                  <a:prstGeom prst="rect">
                                    <a:avLst/>
                                  </a:prstGeom>
                                  <a:solidFill>
                                    <a:srgbClr val="FFFFFF"/>
                                  </a:solidFill>
                                  <a:ln>
                                    <a:noFill/>
                                  </a:ln>
                                </wps:spPr>
                                <wps:txbx>
                                  <w:txbxContent>
                                    <w:p w14:paraId="45667093">
                                      <w:pPr>
                                        <w:pStyle w:val="19"/>
                                      </w:pPr>
                                      <w:r>
                                        <w:rPr>
                                          <w:rFonts w:hint="eastAsia"/>
                                        </w:rPr>
                                        <w:t>钻具</w:t>
                                      </w:r>
                                    </w:p>
                                  </w:txbxContent>
                                </wps:txbx>
                                <wps:bodyPr upright="1"/>
                              </wps:wsp>
                              <wps:wsp>
                                <wps:cNvPr id="67" name="文本框 3028"/>
                                <wps:cNvSpPr txBox="1"/>
                                <wps:spPr>
                                  <a:xfrm>
                                    <a:off x="7367" y="5758"/>
                                    <a:ext cx="972" cy="371"/>
                                  </a:xfrm>
                                  <a:prstGeom prst="rect">
                                    <a:avLst/>
                                  </a:prstGeom>
                                  <a:solidFill>
                                    <a:srgbClr val="FFFFFF"/>
                                  </a:solidFill>
                                  <a:ln>
                                    <a:noFill/>
                                  </a:ln>
                                </wps:spPr>
                                <wps:txbx>
                                  <w:txbxContent>
                                    <w:p w14:paraId="27B3C299">
                                      <w:pPr>
                                        <w:pStyle w:val="19"/>
                                      </w:pPr>
                                      <w:r>
                                        <w:rPr>
                                          <w:rFonts w:hint="eastAsia"/>
                                        </w:rPr>
                                        <w:t>主卷扬</w:t>
                                      </w:r>
                                    </w:p>
                                  </w:txbxContent>
                                </wps:txbx>
                                <wps:bodyPr upright="1"/>
                              </wps:wsp>
                              <wps:wsp>
                                <wps:cNvPr id="68" name="文本框 3030"/>
                                <wps:cNvSpPr txBox="1"/>
                                <wps:spPr>
                                  <a:xfrm>
                                    <a:off x="3813" y="4515"/>
                                    <a:ext cx="1080" cy="371"/>
                                  </a:xfrm>
                                  <a:prstGeom prst="rect">
                                    <a:avLst/>
                                  </a:prstGeom>
                                  <a:solidFill>
                                    <a:srgbClr val="FFFFFF"/>
                                  </a:solidFill>
                                  <a:ln>
                                    <a:noFill/>
                                  </a:ln>
                                </wps:spPr>
                                <wps:txbx>
                                  <w:txbxContent>
                                    <w:p w14:paraId="76A51953">
                                      <w:pPr>
                                        <w:pStyle w:val="19"/>
                                      </w:pPr>
                                      <w:r>
                                        <w:rPr>
                                          <w:rFonts w:hint="eastAsia"/>
                                        </w:rPr>
                                        <w:t>变幅机构</w:t>
                                      </w:r>
                                    </w:p>
                                  </w:txbxContent>
                                </wps:txbx>
                                <wps:bodyPr upright="1"/>
                              </wps:wsp>
                              <wps:wsp>
                                <wps:cNvPr id="69" name="文本框 3031"/>
                                <wps:cNvSpPr txBox="1"/>
                                <wps:spPr>
                                  <a:xfrm>
                                    <a:off x="7123" y="2107"/>
                                    <a:ext cx="1080" cy="371"/>
                                  </a:xfrm>
                                  <a:prstGeom prst="rect">
                                    <a:avLst/>
                                  </a:prstGeom>
                                  <a:solidFill>
                                    <a:srgbClr val="FFFFFF"/>
                                  </a:solidFill>
                                  <a:ln>
                                    <a:noFill/>
                                  </a:ln>
                                </wps:spPr>
                                <wps:txbx>
                                  <w:txbxContent>
                                    <w:p w14:paraId="6EF5FFE7">
                                      <w:pPr>
                                        <w:pStyle w:val="19"/>
                                      </w:pPr>
                                      <w:r>
                                        <w:rPr>
                                          <w:rFonts w:hint="eastAsia"/>
                                        </w:rPr>
                                        <w:t>随动架</w:t>
                                      </w:r>
                                    </w:p>
                                  </w:txbxContent>
                                </wps:txbx>
                                <wps:bodyPr upright="1"/>
                              </wps:wsp>
                            </wpg:grpSp>
                          </wpg:grpSp>
                        </wpg:grpSp>
                      </wpg:grpSp>
                    </wpg:wgp>
                  </a:graphicData>
                </a:graphic>
              </wp:inline>
            </w:drawing>
          </mc:Choice>
          <mc:Fallback>
            <w:pict>
              <v:group id="组合 99" o:spid="_x0000_s1026" o:spt="203" style="height:250.4pt;width:382.95pt;" coordorigin="5015,3837137" coordsize="5662,4712" o:gfxdata="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">
                <o:lock v:ext="edit" aspectratio="f"/>
                <v:shape id="文本框 3022" o:spid="_x0000_s1026" o:spt="202" type="#_x0000_t202" style="position:absolute;left:5015;top:3837137;height:4713;width:5663;" fillcolor="#FFFFFF" filled="t" stroked="t" coordsize="21600,21600" o:gfxdata="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TPh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6BE435F">
                        <w:pPr>
                          <w:ind w:firstLine="0" w:firstLineChars="0"/>
                          <w:jc w:val="center"/>
                        </w:pPr>
                      </w:p>
                    </w:txbxContent>
                  </v:textbox>
                </v:shape>
                <v:group id="组合 101" o:spid="_x0000_s1026" o:spt="203" style="position:absolute;left:5647;top:3837219;height:4502;width:5026;" coordorigin="5647,3837070" coordsize="5558,4651"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图片 139" o:spid="_x0000_s1026" o:spt="75" alt="67.png" type="#_x0000_t75" style="position:absolute;left:5647;top:3837070;height:4304;width:4505;" filled="f" o:preferrelative="t" stroked="f" coordsize="21600,21600" o:gfxdata="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F6D7ZtAAAANsAAAAPAAAA&#10;AAAAAAEAIAAAACIAAABkcnMvZG93bnJldi54bWxQSwECFAAUAAAACACHTuJAMy8FnjsAAAA5AAAA&#10;EAAAAAAAAAABACAAAAADAQAAZHJzL3NoYXBleG1sLnhtbFBLBQYAAAAABgAGAFsBAACtAwAAAAA=&#10;">
                    <v:fill on="f" focussize="0,0"/>
                    <v:stroke on="f"/>
                    <v:imagedata r:id="rId109" croptop="-639f" cropright="28585f" o:title=""/>
                    <o:lock v:ext="edit" aspectratio="t"/>
                  </v:shape>
                  <v:group id="组合 1444" o:spid="_x0000_s1026" o:spt="203" style="position:absolute;left:6457;top:3837261;height:4460;width:4748;" coordorigin="3632,2107" coordsize="4707,4597"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shape id="文本框 3024" o:spid="_x0000_s1026" o:spt="202" type="#_x0000_t202" style="position:absolute;left:7108;top:4373;height:397;width:963;" fillcolor="#FFFFFF" filled="t" stroked="f" coordsize="21600,21600" o:gfxdata="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YfpS8AAAA&#10;2w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78340129">
                            <w:pPr>
                              <w:pStyle w:val="19"/>
                            </w:pPr>
                            <w:r>
                              <w:rPr>
                                <w:rFonts w:hint="eastAsia"/>
                              </w:rPr>
                              <w:t>动力头</w:t>
                            </w:r>
                          </w:p>
                        </w:txbxContent>
                      </v:textbox>
                    </v:shape>
                    <v:shape id="文本框 3026" o:spid="_x0000_s1026" o:spt="202" type="#_x0000_t202" style="position:absolute;left:7288;top:4937;height:397;width:736;" fillcolor="#FFFFFF" filled="t" stroked="f" coordsize="21600,21600" o:gfxdata="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XK4OO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1904537A">
                            <w:pPr>
                              <w:pStyle w:val="19"/>
                            </w:pPr>
                            <w:r>
                              <w:rPr>
                                <w:rFonts w:hint="eastAsia"/>
                              </w:rPr>
                              <w:t>钻杆</w:t>
                            </w:r>
                          </w:p>
                        </w:txbxContent>
                      </v:textbox>
                    </v:shape>
                    <v:group id="组合 1447" o:spid="_x0000_s1026" o:spt="203" style="position:absolute;left:3632;top:2107;height:4597;width:4707;" coordorigin="3632,2107" coordsize="4707,4597" o:gfxdata="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Cd0S6+AAAA2wAAAA8AAAAAAAAAAQAgAAAAIgAAAGRycy9kb3ducmV2Lnht&#10;bFBLAQIUABQAAAAIAIdO4kAzLwWeOwAAADkAAAAVAAAAAAAAAAEAIAAAAA0BAABkcnMvZ3JvdXBz&#10;aGFwZXhtbC54bWxQSwUGAAAAAAYABgBgAQAAygMAAAAA&#10;">
                      <o:lock v:ext="edit" aspectratio="f"/>
                      <v:shape id="文本框 3023" o:spid="_x0000_s1026" o:spt="202" type="#_x0000_t202" style="position:absolute;left:3885;top:5001;height:396;width:794;" fillcolor="#FFFFFF" filled="t" stroked="f" coordsize="21600,21600" o:gfxdata="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oZFeL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71D37858">
                              <w:pPr>
                                <w:pStyle w:val="19"/>
                              </w:pPr>
                              <w:r>
                                <w:rPr>
                                  <w:rFonts w:hint="eastAsia"/>
                                </w:rPr>
                                <w:t>底盘</w:t>
                              </w:r>
                            </w:p>
                          </w:txbxContent>
                        </v:textbox>
                      </v:shape>
                      <v:shape id="文本框 3029" o:spid="_x0000_s1026" o:spt="202" type="#_x0000_t202" style="position:absolute;left:7176;top:6307;height:397;width:963;" fillcolor="#FFFFFF" filled="t" stroked="f" coordsize="21600,21600" o:gfxdata="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Vv3Qy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72A2353F">
                              <w:pPr>
                                <w:pStyle w:val="19"/>
                              </w:pPr>
                              <w:r>
                                <w:rPr>
                                  <w:rFonts w:hint="eastAsia"/>
                                </w:rPr>
                                <w:t>辅卷扬</w:t>
                              </w:r>
                            </w:p>
                          </w:txbxContent>
                        </v:textbox>
                      </v:shape>
                      <v:group id="组合 1450" o:spid="_x0000_s1026" o:spt="203" style="position:absolute;left:3632;top:2107;height:4022;width:4707;" coordorigin="3632,2107" coordsize="4707,4022" o:gfxdata="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RdLW7AAAA2wAAAA8AAAAAAAAAAQAgAAAAIgAAAGRycy9kb3ducmV2LnhtbFBL&#10;AQIUABQAAAAIAIdO4kAzLwWeOwAAADkAAAAVAAAAAAAAAAEAIAAAAAoBAABkcnMvZ3JvdXBzaGFw&#10;ZXhtbC54bWxQSwUGAAAAAAYABgBgAQAAxwMAAAAA&#10;">
                        <o:lock v:ext="edit" aspectratio="f"/>
                        <v:shape id="文本框 3025" o:spid="_x0000_s1026" o:spt="202" type="#_x0000_t202" style="position:absolute;left:3632;top:3653;height:371;width:1080;" fillcolor="#FFFFFF" filled="t" stroked="f" coordsize="21600,21600" o:gfxdata="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ojeJe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1F6E0C94">
                                <w:pPr>
                                  <w:pStyle w:val="19"/>
                                </w:pPr>
                                <w:r>
                                  <w:rPr>
                                    <w:rFonts w:hint="eastAsia"/>
                                  </w:rPr>
                                  <w:t>桅杆总成</w:t>
                                </w:r>
                              </w:p>
                            </w:txbxContent>
                          </v:textbox>
                        </v:shape>
                        <v:shape id="文本框 3027" o:spid="_x0000_s1026" o:spt="202" type="#_x0000_t202" style="position:absolute;left:7248;top:5269;height:370;width:810;" fillcolor="#FFFFFF" filled="t" stroked="f" coordsize="21600,21600" o:gfxdata="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vHm4LgAAADbAAAA&#10;DwAAAAAAAAABACAAAAAiAAAAZHJzL2Rvd25yZXYueG1sUEsBAhQAFAAAAAgAh07iQDMvBZ47AAAA&#10;OQAAABAAAAAAAAAAAQAgAAAABwEAAGRycy9zaGFwZXhtbC54bWxQSwUGAAAAAAYABgBbAQAAsQMA&#10;AAAA&#10;">
                          <v:fill on="t" focussize="0,0"/>
                          <v:stroke on="f"/>
                          <v:imagedata o:title=""/>
                          <o:lock v:ext="edit" aspectratio="f"/>
                          <v:textbox>
                            <w:txbxContent>
                              <w:p w14:paraId="45667093">
                                <w:pPr>
                                  <w:pStyle w:val="19"/>
                                </w:pPr>
                                <w:r>
                                  <w:rPr>
                                    <w:rFonts w:hint="eastAsia"/>
                                  </w:rPr>
                                  <w:t>钻具</w:t>
                                </w:r>
                              </w:p>
                            </w:txbxContent>
                          </v:textbox>
                        </v:shape>
                        <v:shape id="文本框 3028" o:spid="_x0000_s1026" o:spt="202" type="#_x0000_t202" style="position:absolute;left:7367;top:5758;height:371;width:972;" fillcolor="#FFFFFF" filled="t" stroked="f" coordsize="21600,21600" o:gfxdata="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vUN7vQAA&#10;ANsAAAAPAAAAAAAAAAEAIAAAACIAAABkcnMvZG93bnJldi54bWxQSwECFAAUAAAACACHTuJAMy8F&#10;njsAAAA5AAAAEAAAAAAAAAABACAAAAAMAQAAZHJzL3NoYXBleG1sLnhtbFBLBQYAAAAABgAGAFsB&#10;AAC2AwAAAAA=&#10;">
                          <v:fill on="t" focussize="0,0"/>
                          <v:stroke on="f"/>
                          <v:imagedata o:title=""/>
                          <o:lock v:ext="edit" aspectratio="f"/>
                          <v:textbox>
                            <w:txbxContent>
                              <w:p w14:paraId="27B3C299">
                                <w:pPr>
                                  <w:pStyle w:val="19"/>
                                </w:pPr>
                                <w:r>
                                  <w:rPr>
                                    <w:rFonts w:hint="eastAsia"/>
                                  </w:rPr>
                                  <w:t>主卷扬</w:t>
                                </w:r>
                              </w:p>
                            </w:txbxContent>
                          </v:textbox>
                        </v:shape>
                        <v:shape id="文本框 3030" o:spid="_x0000_s1026" o:spt="202" type="#_x0000_t202" style="position:absolute;left:3813;top:4515;height:371;width:1080;" fillcolor="#FFFFFF" filled="t" stroked="f" coordsize="21600,21600" o:gfxdata="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NCLXCbUAAADbAAAADwAA&#10;AAAAAAABACAAAAAiAAAAZHJzL2Rvd25yZXYueG1sUEsBAhQAFAAAAAgAh07iQDMvBZ47AAAAOQAA&#10;ABAAAAAAAAAAAQAgAAAABAEAAGRycy9zaGFwZXhtbC54bWxQSwUGAAAAAAYABgBbAQAArgMAAAAA&#10;">
                          <v:fill on="t" focussize="0,0"/>
                          <v:stroke on="f"/>
                          <v:imagedata o:title=""/>
                          <o:lock v:ext="edit" aspectratio="f"/>
                          <v:textbox>
                            <w:txbxContent>
                              <w:p w14:paraId="76A51953">
                                <w:pPr>
                                  <w:pStyle w:val="19"/>
                                </w:pPr>
                                <w:r>
                                  <w:rPr>
                                    <w:rFonts w:hint="eastAsia"/>
                                  </w:rPr>
                                  <w:t>变幅机构</w:t>
                                </w:r>
                              </w:p>
                            </w:txbxContent>
                          </v:textbox>
                        </v:shape>
                        <v:shape id="文本框 3031" o:spid="_x0000_s1026" o:spt="202" type="#_x0000_t202" style="position:absolute;left:7123;top:2107;height:371;width:1080;" fillcolor="#FFFFFF" filled="t" stroked="f" coordsize="21600,21600" o:gfxdata="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tucpK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14:paraId="6EF5FFE7">
                                <w:pPr>
                                  <w:pStyle w:val="19"/>
                                </w:pPr>
                                <w:r>
                                  <w:rPr>
                                    <w:rFonts w:hint="eastAsia"/>
                                  </w:rPr>
                                  <w:t>随动架</w:t>
                                </w:r>
                              </w:p>
                            </w:txbxContent>
                          </v:textbox>
                        </v:shape>
                      </v:group>
                    </v:group>
                  </v:group>
                </v:group>
                <w10:wrap type="none"/>
                <w10:anchorlock/>
              </v:group>
            </w:pict>
          </mc:Fallback>
        </mc:AlternateContent>
      </w:r>
    </w:p>
    <w:p w14:paraId="67CDE1E4">
      <w:pPr>
        <w:ind w:firstLine="480"/>
        <w:rPr>
          <w:rFonts w:hint="eastAsia" w:ascii="宋体" w:hAnsi="宋体" w:eastAsia="宋体" w:cs="宋体"/>
        </w:rPr>
      </w:pPr>
      <w:r>
        <w:rPr>
          <w:rFonts w:hint="eastAsia" w:ascii="宋体" w:hAnsi="宋体" w:eastAsia="宋体" w:cs="宋体"/>
        </w:rPr>
        <w:t>旋挖成孔首先是动力头转动底门镶嵌斗齿的桶式钻斗切削岩土，并将原状岩土装入钻斗内，然后再由钻机卷扬机和伸缩钻杆将钻斗提出孔外卸土，这样循环往复，不断地取土卸土，直至钻至设计深度。本工程部分土层较松散易坍塌，且有地下水分布，孔壁不稳定，必须采用静态泥浆护壁钻进工艺，向孔内投入护壁泥浆或稳定液进行护壁。</w:t>
      </w:r>
    </w:p>
    <w:p w14:paraId="1DF3EFA7">
      <w:pPr>
        <w:ind w:left="-140" w:firstLine="480"/>
        <w:rPr>
          <w:rFonts w:hint="eastAsia" w:ascii="宋体" w:hAnsi="宋体" w:eastAsia="宋体" w:cs="宋体"/>
        </w:rPr>
      </w:pPr>
      <w:r>
        <w:rPr>
          <w:rFonts w:hint="eastAsia" w:ascii="宋体" w:hAnsi="宋体" w:eastAsia="宋体" w:cs="宋体"/>
        </w:rPr>
        <w:t>成孔前必须检查钻头保径装置，钻头直径、钻头磨损情况，施工过程对钻头磨损超标得及时更换。</w:t>
      </w:r>
    </w:p>
    <w:p w14:paraId="7581EE0D">
      <w:pPr>
        <w:ind w:left="-140" w:firstLine="480"/>
        <w:rPr>
          <w:rFonts w:hint="eastAsia" w:ascii="宋体" w:hAnsi="宋体" w:eastAsia="宋体" w:cs="宋体"/>
        </w:rPr>
      </w:pPr>
      <w:r>
        <w:rPr>
          <w:rFonts w:hint="eastAsia" w:ascii="宋体" w:hAnsi="宋体" w:eastAsia="宋体" w:cs="宋体"/>
        </w:rPr>
        <w:t>成孔中，按试施工确定的参数进行施工，设专职记录员记录成孔过程的各种参数，如钻进深度、地质特征、机械设备损坏、障碍物等情况。记录必须认真、及时、准确、清晰。</w:t>
      </w:r>
    </w:p>
    <w:p w14:paraId="62E0D69E">
      <w:pPr>
        <w:ind w:left="-140" w:firstLine="480"/>
        <w:rPr>
          <w:rFonts w:hint="eastAsia" w:ascii="宋体" w:hAnsi="宋体" w:eastAsia="宋体" w:cs="宋体"/>
        </w:rPr>
      </w:pPr>
      <w:r>
        <w:rPr>
          <w:rFonts w:hint="eastAsia" w:ascii="宋体" w:hAnsi="宋体" w:eastAsia="宋体" w:cs="宋体"/>
        </w:rPr>
        <w:t>旋挖钻机配备电子控制系统显示并调整钻进时的垂直度，通过电子控制和人工观察两个方面来保证钻杆的垂直度，从而保证了成孔的垂直度。</w:t>
      </w:r>
    </w:p>
    <w:p w14:paraId="30C5DA1E">
      <w:pPr>
        <w:ind w:left="-140" w:firstLine="480"/>
        <w:rPr>
          <w:rFonts w:hint="eastAsia" w:ascii="宋体" w:hAnsi="宋体" w:eastAsia="宋体" w:cs="宋体"/>
        </w:rPr>
      </w:pPr>
      <w:r>
        <w:rPr>
          <w:rFonts w:hint="eastAsia" w:ascii="宋体" w:hAnsi="宋体" w:eastAsia="宋体" w:cs="宋体"/>
        </w:rPr>
        <w:t>钻孔过程中根据地质情况控制进尺速度：由硬地层钻到软地层时，可适当加快钻进速度；当软地层变为硬地层时，要减速慢进；在易缩径的地层中，应适当增加扫孔次数，防止缩径；对硬塑层采用快转速钻进，以提高钻进效率；砂层则采用慢转速慢钻进并适当增加泥浆比重和黏度。</w:t>
      </w:r>
    </w:p>
    <w:p w14:paraId="03B2FEA2">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各土层钻具选用及钻进方法</w:t>
      </w:r>
    </w:p>
    <w:p w14:paraId="46C753AE">
      <w:pPr>
        <w:ind w:left="-140" w:firstLine="480"/>
        <w:rPr>
          <w:rFonts w:hint="eastAsia" w:ascii="宋体" w:hAnsi="宋体" w:eastAsia="宋体" w:cs="宋体"/>
        </w:rPr>
      </w:pPr>
      <w:r>
        <w:rPr>
          <w:rFonts w:hint="eastAsia" w:ascii="宋体" w:hAnsi="宋体" w:eastAsia="宋体" w:cs="宋体"/>
        </w:rPr>
        <w:t>地表覆盖土、淤泥、黏土、粉质黏土、残积砂质黏性土、沙土、砂层等较软的地层统称为第四纪地层。这类地层一般比较松软，可选用摩擦钻杆和回转钻斗钻进。像地表土、淤泥质亚黏土、黏土层在干性状态下胶结性都比较好，在干孔钻进下可用单底板土层钻斗钻进，也可以用双底板捞砂钻斗和土层螺旋钻头钻进；若在湿孔钻进条件下，因土遇水的胶结性能变差，一般用双底板捞砂钻斗钻进以便于捞取钻渣。淤泥层一般用双底板捞砂钻斗钻进。砂土层和砂层的胶结性能都比较差，不管干孔钻进还是湿孔钻进均用双底板捞砂钻斗钻进。对于含水丰富的流沙、流泥等易坍塌地层，采用双底板捞砂钻斗钻进。</w:t>
      </w:r>
    </w:p>
    <w:p w14:paraId="3F80BCB2">
      <w:pPr>
        <w:ind w:left="-140" w:firstLine="480"/>
        <w:rPr>
          <w:rFonts w:hint="eastAsia" w:ascii="宋体" w:hAnsi="宋体" w:eastAsia="宋体" w:cs="宋体"/>
        </w:rPr>
      </w:pPr>
      <w:r>
        <w:rPr>
          <w:rFonts w:hint="eastAsia" w:ascii="宋体" w:hAnsi="宋体" w:eastAsia="宋体" w:cs="宋体"/>
        </w:rPr>
        <w:t>根据不同的地质条件，选用不同的钻头，旋挖钻机在钻进时，根据地层选用钻斗的同时，还要注意在钻进时进尺的控制。在使用旋挖斗时依据斗体的容量，一般在斗体三分之二为合适。进尺深度根据桩直径而定，也要根据地层的密度控制进尺深度。进尺过多，导致卸土困难，还会导致埋钻卡钻的事故发生。过少会延误施工进度与设备、能源的消耗，成本提高，降低了效益。</w:t>
      </w:r>
    </w:p>
    <w:p w14:paraId="75FDF9CE">
      <w:pPr>
        <w:ind w:left="-140" w:firstLine="480"/>
        <w:rPr>
          <w:rFonts w:hint="eastAsia" w:ascii="宋体" w:hAnsi="宋体" w:eastAsia="宋体" w:cs="宋体"/>
        </w:rPr>
      </w:pPr>
      <w:r>
        <w:rPr>
          <w:rFonts w:hint="eastAsia" w:ascii="宋体" w:hAnsi="宋体" w:eastAsia="宋体" w:cs="宋体"/>
        </w:rPr>
        <w:t>旋挖成孔过程中，应对孔的倾斜度、深度等进行测量控制，孔斜采用自制孔规进行测量，桩垂直度=1％桩长。钻进深度采用操作室液晶显示器控制，并辅以人工测量孔深。孔深以超过设计深度30cm为准，并及时通知监理人员及甲方现场管理人员进行验证。</w:t>
      </w:r>
    </w:p>
    <w:p w14:paraId="022D08D7">
      <w:pPr>
        <w:ind w:firstLine="480"/>
        <w:rPr>
          <w:rFonts w:hint="eastAsia" w:ascii="宋体" w:hAnsi="宋体" w:eastAsia="宋体" w:cs="宋体"/>
        </w:rPr>
      </w:pPr>
      <w:bookmarkStart w:id="970" w:name="_Toc17703970"/>
      <w:r>
        <w:rPr>
          <w:rFonts w:hint="eastAsia" w:ascii="宋体" w:hAnsi="宋体" w:cs="宋体"/>
          <w:lang w:val="en-US" w:eastAsia="zh-CN"/>
        </w:rPr>
        <w:t>3、</w:t>
      </w:r>
      <w:r>
        <w:rPr>
          <w:rFonts w:hint="eastAsia" w:ascii="宋体" w:hAnsi="宋体" w:eastAsia="宋体" w:cs="宋体"/>
        </w:rPr>
        <w:t>钻孔施工要点</w:t>
      </w:r>
      <w:bookmarkEnd w:id="970"/>
    </w:p>
    <w:p w14:paraId="281CC1FB">
      <w:pPr>
        <w:ind w:left="-140" w:firstLine="480"/>
        <w:rPr>
          <w:rFonts w:hint="eastAsia" w:ascii="宋体" w:hAnsi="宋体" w:eastAsia="宋体" w:cs="宋体"/>
        </w:rPr>
      </w:pPr>
      <w:r>
        <w:rPr>
          <w:rFonts w:hint="eastAsia" w:ascii="宋体" w:hAnsi="宋体" w:eastAsia="宋体" w:cs="宋体"/>
        </w:rPr>
        <w:t>①钻杆要始终保持垂直，在钻孔过程中应随时检查、校正钻杆的位置。为使钻进成孔正直，防止扩大孔径，应使钻头旋转平稳，力求钻杆垂直无偏晃地钻进。</w:t>
      </w:r>
    </w:p>
    <w:p w14:paraId="751FE7E2">
      <w:pPr>
        <w:ind w:left="-140" w:firstLine="480"/>
        <w:rPr>
          <w:rFonts w:hint="eastAsia" w:ascii="宋体" w:hAnsi="宋体" w:eastAsia="宋体" w:cs="宋体"/>
        </w:rPr>
      </w:pPr>
      <w:r>
        <w:rPr>
          <w:rFonts w:hint="eastAsia" w:ascii="宋体" w:hAnsi="宋体" w:eastAsia="宋体" w:cs="宋体"/>
        </w:rPr>
        <w:t>②在钻孔过程中，要保证孔内的水位应高出地下水位1.5m以上，要经常检查泥浆的比重，并设专人负责往孔内加水添浆，停钻时应将钻头提出孔口外，并洗刷干净，严禁将钻头放在孔内，以防坍孔或泥浆沉淀将钻头埋住。</w:t>
      </w:r>
    </w:p>
    <w:p w14:paraId="494D5024">
      <w:pPr>
        <w:ind w:left="-140" w:firstLine="480"/>
        <w:rPr>
          <w:rFonts w:hint="eastAsia" w:ascii="宋体" w:hAnsi="宋体" w:eastAsia="宋体" w:cs="宋体"/>
        </w:rPr>
      </w:pPr>
      <w:r>
        <w:rPr>
          <w:rFonts w:hint="eastAsia" w:ascii="宋体" w:hAnsi="宋体" w:eastAsia="宋体" w:cs="宋体"/>
        </w:rPr>
        <w:t>③随时掌握钻进中发生的各种情况，找出原因，以便采取相应措施。如钻进困难，可能是遇到了较硬土层，这时如系人力推杆，可在推杆时下压或更换特殊钻头；也可能是钻头被胶泥粘附，这时应将钻头提出，刮除粘泥。如遇钻进太快，可能是土质松软，这时应放慢速度，或提起钻头空转，加强保护层，防止坍孔。</w:t>
      </w:r>
    </w:p>
    <w:p w14:paraId="12750DBB">
      <w:pPr>
        <w:ind w:left="-140" w:firstLine="480"/>
        <w:rPr>
          <w:rFonts w:hint="eastAsia" w:ascii="宋体" w:hAnsi="宋体" w:eastAsia="宋体" w:cs="宋体"/>
        </w:rPr>
      </w:pPr>
      <w:r>
        <w:rPr>
          <w:rFonts w:hint="eastAsia" w:ascii="宋体" w:hAnsi="宋体" w:eastAsia="宋体" w:cs="宋体"/>
        </w:rPr>
        <w:t>④钻孔时如发生轻微坍孔现象，应立即提出钻头，并调整钻头和泥浆比重，若坍孔严重，可向桩孔内回填砂和黏土，再重新钻孔。</w:t>
      </w:r>
    </w:p>
    <w:p w14:paraId="1FB826EB">
      <w:pPr>
        <w:ind w:left="-140" w:firstLine="480"/>
        <w:rPr>
          <w:rFonts w:hint="eastAsia" w:ascii="宋体" w:hAnsi="宋体" w:eastAsia="宋体" w:cs="宋体"/>
        </w:rPr>
      </w:pPr>
      <w:r>
        <w:rPr>
          <w:rFonts w:hint="eastAsia" w:ascii="宋体" w:hAnsi="宋体" w:eastAsia="宋体" w:cs="宋体"/>
        </w:rPr>
        <w:t>⑤当一节钻杆钻完时，应先停止转盘转动，然后吊起钻头距孔底200～300mm，并继续使用反循环系统将孔底沉渣排干净，再接钻杆继续钻进。钻杆连接应牢靠，防止螺栓、螺母、拧卸工具掉入坑内。</w:t>
      </w:r>
    </w:p>
    <w:p w14:paraId="04B5CC70">
      <w:pPr>
        <w:ind w:left="-140" w:firstLine="480"/>
        <w:rPr>
          <w:rFonts w:hint="eastAsia" w:ascii="宋体" w:hAnsi="宋体" w:eastAsia="宋体" w:cs="宋体"/>
        </w:rPr>
      </w:pPr>
      <w:r>
        <w:rPr>
          <w:rFonts w:hint="eastAsia" w:ascii="宋体" w:hAnsi="宋体" w:eastAsia="宋体" w:cs="宋体"/>
        </w:rPr>
        <w:t>⑥钻孔完成后，应用测孔器检查桩孔直径，吊重锤检查孔深和孔底情况。自检合格后，请现场监理进行检查验收，经监理检查验收合格后方可终孔，进行下道工序施工。</w:t>
      </w:r>
    </w:p>
    <w:p w14:paraId="3D30D365">
      <w:pPr>
        <w:ind w:firstLine="480"/>
        <w:rPr>
          <w:rFonts w:hint="eastAsia" w:ascii="宋体" w:hAnsi="宋体" w:eastAsia="宋体" w:cs="宋体"/>
        </w:rPr>
      </w:pPr>
      <w:r>
        <w:rPr>
          <w:rFonts w:hint="eastAsia" w:ascii="宋体" w:hAnsi="宋体" w:cs="宋体"/>
          <w:lang w:val="en-US" w:eastAsia="zh-CN"/>
        </w:rPr>
        <w:t>⑦</w:t>
      </w:r>
      <w:r>
        <w:rPr>
          <w:rFonts w:hint="eastAsia" w:ascii="宋体" w:hAnsi="宋体" w:eastAsia="宋体" w:cs="宋体"/>
        </w:rPr>
        <w:t>在钻机周围设置隔离绳和硬质防护，禁止无关人员靠近孔口；</w:t>
      </w:r>
    </w:p>
    <w:p w14:paraId="7962BFB8">
      <w:pPr>
        <w:ind w:firstLine="480"/>
        <w:rPr>
          <w:rFonts w:hint="eastAsia" w:ascii="宋体" w:hAnsi="宋体" w:eastAsia="宋体" w:cs="宋体"/>
        </w:rPr>
      </w:pPr>
      <w:r>
        <w:rPr>
          <w:rFonts w:hint="eastAsia" w:ascii="宋体" w:hAnsi="宋体" w:cs="宋体"/>
          <w:lang w:val="en-US" w:eastAsia="zh-CN"/>
        </w:rPr>
        <w:t>⑧</w:t>
      </w:r>
      <w:r>
        <w:rPr>
          <w:rFonts w:hint="eastAsia" w:ascii="宋体" w:hAnsi="宋体" w:eastAsia="宋体" w:cs="宋体"/>
        </w:rPr>
        <w:t>采用冲击钻孔当钻头提到接近护筒底源时，应减速、平稳提升，不得碰撞护筒和钩挂护筒底缘；</w:t>
      </w:r>
    </w:p>
    <w:p w14:paraId="41F20D7E">
      <w:pPr>
        <w:ind w:firstLine="480"/>
        <w:rPr>
          <w:rFonts w:hint="eastAsia" w:ascii="宋体" w:hAnsi="宋体" w:eastAsia="宋体" w:cs="宋体"/>
        </w:rPr>
      </w:pPr>
      <w:r>
        <w:rPr>
          <w:rFonts w:hint="eastAsia" w:ascii="宋体" w:hAnsi="宋体" w:cs="宋体"/>
          <w:lang w:val="en-US" w:eastAsia="zh-CN"/>
        </w:rPr>
        <w:t>⑨</w:t>
      </w:r>
      <w:r>
        <w:rPr>
          <w:rFonts w:hint="eastAsia" w:ascii="宋体" w:hAnsi="宋体" w:eastAsia="宋体" w:cs="宋体"/>
        </w:rPr>
        <w:t>钻机停钻，必须将钻头提出孔外，置于钻架上，不得滞留孔内。</w:t>
      </w:r>
    </w:p>
    <w:p w14:paraId="244EBAB6">
      <w:pPr>
        <w:pStyle w:val="14"/>
        <w:bidi w:val="0"/>
        <w:rPr>
          <w:rFonts w:hint="eastAsia"/>
        </w:rPr>
      </w:pPr>
      <w:bookmarkStart w:id="971" w:name="_Toc25808"/>
      <w:bookmarkStart w:id="972" w:name="_Toc19266"/>
      <w:bookmarkStart w:id="973" w:name="_Toc32329"/>
      <w:bookmarkStart w:id="974" w:name="_Toc1425"/>
      <w:bookmarkStart w:id="975" w:name="_Toc22961"/>
      <w:bookmarkStart w:id="976" w:name="_Toc3522"/>
      <w:bookmarkStart w:id="977" w:name="_Toc23682"/>
      <w:r>
        <w:rPr>
          <w:rFonts w:hint="eastAsia"/>
          <w:lang w:val="en-US" w:eastAsia="zh-CN"/>
        </w:rPr>
        <w:t>8、</w:t>
      </w:r>
      <w:r>
        <w:rPr>
          <w:rFonts w:hint="eastAsia"/>
        </w:rPr>
        <w:t>开孔、钻进、终孔</w:t>
      </w:r>
      <w:bookmarkEnd w:id="971"/>
      <w:bookmarkEnd w:id="972"/>
      <w:bookmarkEnd w:id="973"/>
      <w:bookmarkEnd w:id="974"/>
      <w:bookmarkEnd w:id="975"/>
      <w:bookmarkEnd w:id="976"/>
      <w:bookmarkEnd w:id="977"/>
    </w:p>
    <w:p w14:paraId="06B677B1">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开孔前向孔内注水，保证孔内水头高度，并投放优质粘土开孔造浆。开钻时钻头中心与桩位中心的偏差小于20mm。</w:t>
      </w:r>
    </w:p>
    <w:p w14:paraId="0EF17121">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开孔时先低锤密击，如上层地表土松软，可加黏土块或小片石反复冲击造壁，孔内泥浆面保持稳定；在圆砾土等松散层开孔或钻进时，可按1:1投入黏土和小片石（粒径不大于15cm），用小冲程反复冲击，使泥膏、片石挤入孔壁。</w:t>
      </w:r>
    </w:p>
    <w:p w14:paraId="52DF53CB">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3</w:t>
      </w:r>
      <w:r>
        <w:rPr>
          <w:rFonts w:hint="eastAsia" w:ascii="宋体" w:hAnsi="宋体" w:cs="宋体"/>
          <w:lang w:eastAsia="zh-CN"/>
        </w:rPr>
        <w:t>）</w:t>
      </w:r>
      <w:r>
        <w:rPr>
          <w:rFonts w:hint="eastAsia" w:ascii="宋体" w:hAnsi="宋体" w:eastAsia="宋体" w:cs="宋体"/>
        </w:rPr>
        <w:t>开孔时若遇砂及卵石类土等松散层钻进时，可向孔内添加适量粒径不大于15cm的片石，顶部抛平，用0.5～1.0m的低冲程反复冲击，使泥膏、片石挤入孔壁；一般细粒土层可采用浓泥浆、小冲程、高频率反复冲砸，使孔壁坚实不坍不漏；直至钻入护筒底部3m以下，再转入正常钻进，保证泥浆护壁效果。</w:t>
      </w:r>
    </w:p>
    <w:p w14:paraId="745F6CD4">
      <w:pPr>
        <w:ind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钻进过程中，必须勤松绳，少量松绳，防止打空锤，避免钢丝绳承受过大的意外荷载而遭受破坏。钻孔时要察看钢丝绳回弹和回转情况。耳听冲击声音，借以判别孔底情况。起落钻头时，速度宜均匀，不可过猛或骤然变速以免碰撞孔壁。</w:t>
      </w:r>
    </w:p>
    <w:p w14:paraId="0E193CB5">
      <w:pPr>
        <w:ind w:firstLine="480"/>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根据孔内捞取的渣样，判断地层并记录地层变化情况，和地质剖面图核对。经常检验泥浆指标和含砂率，根据地层变化情况，采用不同冲程，适时调整泥浆性能，泥浆性能不好时，可采用投黏土，掺入纯碱等办法及时调整。始终保持孔内液面高于护筒底部50cm，加强护壁，保持孔壁稳定。</w:t>
      </w:r>
    </w:p>
    <w:p w14:paraId="0B20134E">
      <w:pPr>
        <w:ind w:firstLine="480"/>
        <w:rPr>
          <w:rFonts w:hint="eastAsia" w:ascii="宋体" w:hAnsi="宋体" w:eastAsia="宋体" w:cs="宋体"/>
        </w:rPr>
      </w:pPr>
      <w:r>
        <w:rPr>
          <w:rFonts w:hint="eastAsia" w:ascii="宋体" w:hAnsi="宋体" w:cs="宋体"/>
          <w:lang w:val="en-US" w:eastAsia="zh-CN"/>
        </w:rPr>
        <w:t>（6）</w:t>
      </w:r>
      <w:r>
        <w:rPr>
          <w:rFonts w:hint="eastAsia" w:ascii="宋体" w:hAnsi="宋体" w:eastAsia="宋体" w:cs="宋体"/>
        </w:rPr>
        <w:t>钻进时经常检查钻头的转向装置，使钻头在钻进中能自由转动。发现钢丝绳磨损严重时及时更换。钢丝绳连接不牢固时及时加固，以防掉钻。钻机冲程在一定范围内经常变动，不可长时间采用同一冲程，以免冲成十字槽或梅花孔，而发生卡钻。钻岩时冲程宜为1.5～2.5m，不得用大冲程冲击岩层，以免损坏钻头，并及时投放粘土，检测泥浆性能，使岩渣能及时悬浮，以保证钻头能经常冲击新鲜岩层。遇到孤石时，可用高低冲程交替冲击，将大孤石击碎或挤入孔壁。</w:t>
      </w:r>
    </w:p>
    <w:p w14:paraId="261C098F">
      <w:pPr>
        <w:ind w:firstLine="480"/>
        <w:rPr>
          <w:rFonts w:hint="eastAsia" w:ascii="宋体" w:hAnsi="宋体" w:eastAsia="宋体" w:cs="宋体"/>
        </w:rPr>
      </w:pPr>
      <w:r>
        <w:rPr>
          <w:rFonts w:hint="eastAsia" w:ascii="宋体" w:hAnsi="宋体" w:cs="宋体"/>
          <w:lang w:val="en-US" w:eastAsia="zh-CN"/>
        </w:rPr>
        <w:t>（7）</w:t>
      </w:r>
      <w:r>
        <w:rPr>
          <w:rFonts w:hint="eastAsia" w:ascii="宋体" w:hAnsi="宋体" w:eastAsia="宋体" w:cs="宋体"/>
        </w:rPr>
        <w:t>每钻进4～5m深度检验一次孔，在更换钻头前或容易缩孔处均要进行验孔；钻孔深度通过机架或钢丝绳上用红布做标记控制，终孔时用测绳铅锤检验。进入基岩，每钻进5m～10m清孔取样一次，以核对实际地质与设计是否相符，同样也为终孔验收提前做准备；冲孔过程中，要保持泥浆面不低于护筒顶40cm，提钻时须及时向孔内补浆，以保证泥浆高度。如发现偏孔，及时回填黏土和小片石进行纠偏，回填高度高出偏孔处0.5m。</w:t>
      </w:r>
    </w:p>
    <w:p w14:paraId="5C05A30A">
      <w:pPr>
        <w:ind w:firstLine="480"/>
        <w:rPr>
          <w:rFonts w:hint="eastAsia" w:ascii="宋体" w:hAnsi="宋体" w:eastAsia="宋体" w:cs="宋体"/>
        </w:rPr>
      </w:pPr>
      <w:r>
        <w:rPr>
          <w:rFonts w:hint="eastAsia" w:ascii="宋体" w:hAnsi="宋体" w:cs="宋体"/>
          <w:lang w:val="en-US" w:eastAsia="zh-CN"/>
        </w:rPr>
        <w:t>（8）</w:t>
      </w:r>
      <w:r>
        <w:rPr>
          <w:rFonts w:hint="eastAsia" w:ascii="宋体" w:hAnsi="宋体" w:eastAsia="宋体" w:cs="宋体"/>
        </w:rPr>
        <w:t>在钻进过程中经常性地提起钻头进行检查其完整性，当钻头直径不满足设计要求时，及时补焊或更换，若更换钻头时检测钻头直径，以免卡钻。在孔口作业，要特别小心，防止工具或其它物件掉进孔内，出现卡钻或掉入孔底，影响进尺。</w:t>
      </w:r>
    </w:p>
    <w:p w14:paraId="0AA64BAD">
      <w:pPr>
        <w:ind w:firstLine="480"/>
        <w:rPr>
          <w:rFonts w:hint="eastAsia" w:ascii="宋体" w:hAnsi="宋体" w:eastAsia="宋体" w:cs="宋体"/>
        </w:rPr>
      </w:pPr>
      <w:r>
        <w:rPr>
          <w:rFonts w:hint="eastAsia" w:ascii="宋体" w:hAnsi="宋体" w:cs="宋体"/>
          <w:lang w:val="en-US" w:eastAsia="zh-CN"/>
        </w:rPr>
        <w:t>（9）</w:t>
      </w:r>
      <w:r>
        <w:rPr>
          <w:rFonts w:hint="eastAsia" w:ascii="宋体" w:hAnsi="宋体" w:eastAsia="宋体" w:cs="宋体"/>
        </w:rPr>
        <w:t>因故停钻时将钻头提出孔口，再开钻时先以小冲程冲击从小逐渐加大，过渡到正常冲程范围。为了正确提升钻头的冲程，在钢丝绳上做出醒目标记。钻头进出时，严禁孔口附近站人，防止发生钻头撞人事故。</w:t>
      </w:r>
    </w:p>
    <w:p w14:paraId="2186D36E">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10</w:t>
      </w:r>
      <w:r>
        <w:rPr>
          <w:rFonts w:hint="eastAsia" w:ascii="宋体" w:hAnsi="宋体" w:cs="宋体"/>
          <w:lang w:eastAsia="zh-CN"/>
        </w:rPr>
        <w:t>）</w:t>
      </w:r>
      <w:r>
        <w:rPr>
          <w:rFonts w:hint="eastAsia" w:ascii="宋体" w:hAnsi="宋体" w:eastAsia="宋体" w:cs="宋体"/>
        </w:rPr>
        <w:t>钻孔达到设计深度后，必须整孔核实地质情况，通过所捞取孔内钻渣，与地质柱状图对照，以验证地质情况是否满足设计要求。如与勘测设计资料不符，及时通知监理工程师及现场设计代表进行确认处理。如满足设计要求，立即对孔深、孔径、孔形进行检查。孔深采用测量绳检查，但每次测量孔深后用钢尺对测量绳进行校正核准，用全站仪测量孔位，用水准仪测护筒高程。孔径和垂直度采用验孔器进行检查，检孔器的外径不小于设计桩径，长度为外径的4～6倍。在检孔器下放过程中，在验孔器上绑测量绳，以检查验孔器是否能下放到孔底，同时观察吊机钢丝绳是否垂直下放，来检测孔型。</w:t>
      </w:r>
    </w:p>
    <w:p w14:paraId="76C7AA89">
      <w:pPr>
        <w:ind w:firstLine="480"/>
        <w:rPr>
          <w:rFonts w:hint="eastAsia" w:ascii="宋体" w:hAnsi="宋体" w:eastAsia="宋体" w:cs="宋体"/>
        </w:rPr>
      </w:pPr>
      <w:r>
        <w:rPr>
          <w:rFonts w:hint="eastAsia" w:ascii="宋体" w:hAnsi="宋体" w:eastAsia="宋体" w:cs="宋体"/>
        </w:rPr>
        <w:t>桩基成孔质量要求标准：深度达到设计要求（复核护筒顶标高、用测绳测量孔深）；桩径几何尺寸不小于设计值（用探孔器检测）；垂直度&lt;1%桩长（用垂线检查）。确认满足设计和规范要求后，填写终孔确认单，报请监理工程师验收，监理工程师验收合格后立即进行清孔。</w:t>
      </w:r>
    </w:p>
    <w:p w14:paraId="7340BF1D">
      <w:pPr>
        <w:pStyle w:val="14"/>
        <w:bidi w:val="0"/>
        <w:rPr>
          <w:rFonts w:hint="eastAsia"/>
        </w:rPr>
      </w:pPr>
      <w:bookmarkStart w:id="978" w:name="_Toc19799"/>
      <w:bookmarkStart w:id="979" w:name="_Toc422"/>
      <w:bookmarkStart w:id="980" w:name="_Toc8129"/>
      <w:bookmarkStart w:id="981" w:name="_Toc12011"/>
      <w:bookmarkStart w:id="982" w:name="_Toc18278"/>
      <w:bookmarkStart w:id="983" w:name="_Toc1621"/>
      <w:bookmarkStart w:id="984" w:name="_Toc23810"/>
      <w:r>
        <w:rPr>
          <w:rFonts w:hint="eastAsia"/>
          <w:lang w:val="en-US" w:eastAsia="zh-CN"/>
        </w:rPr>
        <w:t>9、换浆法</w:t>
      </w:r>
      <w:r>
        <w:rPr>
          <w:rFonts w:hint="eastAsia"/>
        </w:rPr>
        <w:t>清孔</w:t>
      </w:r>
      <w:bookmarkEnd w:id="978"/>
      <w:bookmarkEnd w:id="979"/>
      <w:bookmarkEnd w:id="980"/>
      <w:bookmarkEnd w:id="981"/>
      <w:bookmarkEnd w:id="982"/>
      <w:bookmarkEnd w:id="983"/>
      <w:bookmarkEnd w:id="984"/>
    </w:p>
    <w:p w14:paraId="64D3722A">
      <w:pPr>
        <w:ind w:left="-140" w:firstLine="480"/>
        <w:rPr>
          <w:rFonts w:hint="eastAsia" w:ascii="宋体" w:hAnsi="宋体" w:eastAsia="宋体" w:cs="宋体"/>
        </w:rPr>
      </w:pPr>
      <w:r>
        <w:rPr>
          <w:rFonts w:hint="eastAsia" w:ascii="宋体" w:hAnsi="宋体" w:eastAsia="宋体" w:cs="宋体"/>
        </w:rPr>
        <w:t>钻孔深度达到设计要求并符合终孔条件后，应进行清孔。清孔的主要目的是清除孔底沉渣，而孔底沉渣则是影响灌注桩承载能力的主要因素之一。清孔则是利用泥浆在流动时所具有的动能冲击桩孔底部的沉渣，使沉渣中的岩粒、砂粒等处于悬浮状态，再利用泥浆胶体的粘结力使悬浮着的沉渣随着泥浆的循环流动被带出桩孔，最终将桩孔内的沉渣清干净，这就是泥浆的排渣和清孔作用。</w:t>
      </w:r>
    </w:p>
    <w:p w14:paraId="45C9A5DA">
      <w:pPr>
        <w:ind w:left="-140" w:firstLine="480"/>
        <w:rPr>
          <w:rFonts w:hint="eastAsia" w:ascii="宋体" w:hAnsi="宋体" w:eastAsia="宋体" w:cs="宋体"/>
        </w:rPr>
      </w:pPr>
      <w:r>
        <w:rPr>
          <w:rFonts w:hint="eastAsia" w:ascii="宋体" w:hAnsi="宋体" w:eastAsia="宋体" w:cs="宋体"/>
        </w:rPr>
        <w:t>旋挖灌注桩灌注前，由于从提钻到导管陈放完毕这个过程很长，对于钻孔灌注桩来说，必然会使第一次清孔后的沉渣增加，如果不采取措施，沉渣过多，容易引起灌注事故，直接影响桩基的承载力，危及结构安全。因此，必须高度重视灌注前的二次清孔工作。</w:t>
      </w:r>
    </w:p>
    <w:p w14:paraId="76FE9F4D">
      <w:pPr>
        <w:ind w:firstLine="480"/>
        <w:rPr>
          <w:rFonts w:hint="eastAsia" w:ascii="宋体" w:hAnsi="宋体" w:eastAsia="宋体" w:cs="宋体"/>
        </w:rPr>
      </w:pPr>
      <w:r>
        <w:rPr>
          <w:rFonts w:hint="eastAsia" w:ascii="宋体" w:hAnsi="宋体" w:eastAsia="宋体" w:cs="宋体"/>
        </w:rPr>
        <w:t>清孔采用换浆法清孔，清孔时注意保持孔内水位。清孔分两次进行，第一次清孔在钻孔深度达到设计深度后，立即进行清孔：</w:t>
      </w:r>
    </w:p>
    <w:p w14:paraId="2C027FCB">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第一次清孔方法</w:t>
      </w:r>
    </w:p>
    <w:p w14:paraId="46EC0CAB">
      <w:pPr>
        <w:ind w:firstLine="480"/>
        <w:rPr>
          <w:rFonts w:hint="eastAsia" w:ascii="宋体" w:hAnsi="宋体" w:eastAsia="宋体" w:cs="宋体"/>
        </w:rPr>
      </w:pPr>
      <w:r>
        <w:rPr>
          <w:rFonts w:hint="eastAsia" w:ascii="宋体" w:hAnsi="宋体" w:eastAsia="宋体" w:cs="宋体"/>
        </w:rPr>
        <w:t>终孔检查后，应迅速进行第一次清孔，第一次清孔用钻头反复捞取松渣，直至松渣厚度符合规范要求为止。</w:t>
      </w:r>
    </w:p>
    <w:p w14:paraId="570F8C1C">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采用换浆法排碴，下放钢筋笼之前，在孔内顶部、中部、底部分别取样检验。</w:t>
      </w:r>
    </w:p>
    <w:p w14:paraId="5F3D3A1A">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清孔时，孔内泥浆面高于地下水位1.0m；</w:t>
      </w:r>
    </w:p>
    <w:p w14:paraId="0D2A98AF">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清孔过程中不断置换泥浆，直至浇注混凝土；浇注混凝土前，孔底沉碴厚度≤50mm；清孔后将孔口处杂物清理干净。</w:t>
      </w:r>
    </w:p>
    <w:p w14:paraId="14AF6BE9">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第二次清孔方法</w:t>
      </w:r>
    </w:p>
    <w:p w14:paraId="5B419D41">
      <w:pPr>
        <w:ind w:firstLine="480"/>
        <w:rPr>
          <w:rFonts w:hint="eastAsia" w:ascii="宋体" w:hAnsi="宋体" w:eastAsia="宋体" w:cs="宋体"/>
        </w:rPr>
      </w:pPr>
      <w:r>
        <w:rPr>
          <w:rFonts w:hint="eastAsia" w:ascii="宋体" w:hAnsi="宋体" w:eastAsia="宋体" w:cs="宋体"/>
        </w:rPr>
        <w:t>二次清孔在安装钢筋笼和下导管之后进行，调整泥浆比重，以较小比重泥浆从导管压入孔内，置换孔中沉渣及大比重泥浆，使泥浆比重及沉渣厚度符合规范要求，经监理工程师同意后灌注水下混凝土。为保证混凝土的灌注质量，灌注混凝土前清孔必须达到以下标准：</w:t>
      </w:r>
    </w:p>
    <w:p w14:paraId="1877490D">
      <w:pPr>
        <w:ind w:firstLine="480"/>
        <w:rPr>
          <w:rFonts w:hint="eastAsia" w:ascii="宋体" w:hAnsi="宋体" w:eastAsia="宋体" w:cs="宋体"/>
        </w:rPr>
      </w:pPr>
      <w:r>
        <w:rPr>
          <w:rFonts w:hint="eastAsia" w:ascii="宋体" w:hAnsi="宋体" w:eastAsia="宋体" w:cs="宋体"/>
        </w:rPr>
        <w:t>孔内排出或抽出的泥浆手摸无颗粒感觉，泥浆比重1.03～1.1；含砂率＜2%；黏度17～11/20s；浇筑水下混凝土前孔底沉渣厚度不大于5cm。孔底沉渣的测量：采用前端悬挂平砣和尖砣的两根测绳在孔壁周围测量孔深，测点不少于4个，两者底标高之差为沉渣厚度，每次测量前必须采用钢尺对测量绳进行校核；严禁采用加深钻孔深度方法代替清孔作业。</w:t>
      </w:r>
    </w:p>
    <w:p w14:paraId="2D462C2A">
      <w:pPr>
        <w:pStyle w:val="14"/>
        <w:bidi w:val="0"/>
        <w:rPr>
          <w:rFonts w:hint="eastAsia"/>
        </w:rPr>
      </w:pPr>
      <w:bookmarkStart w:id="985" w:name="_Toc17703974"/>
      <w:r>
        <w:rPr>
          <w:rFonts w:hint="eastAsia"/>
          <w:lang w:val="en-US" w:eastAsia="zh-CN"/>
        </w:rPr>
        <w:t>（3）</w:t>
      </w:r>
      <w:r>
        <w:rPr>
          <w:rFonts w:hint="eastAsia"/>
        </w:rPr>
        <w:t>清孔注意事项</w:t>
      </w:r>
      <w:bookmarkEnd w:id="985"/>
    </w:p>
    <w:p w14:paraId="7384DE6D">
      <w:pPr>
        <w:ind w:left="-140" w:firstLine="480"/>
        <w:rPr>
          <w:rFonts w:hint="eastAsia" w:ascii="宋体" w:hAnsi="宋体" w:eastAsia="宋体" w:cs="宋体"/>
        </w:rPr>
      </w:pPr>
      <w:r>
        <w:rPr>
          <w:rFonts w:hint="eastAsia" w:ascii="宋体" w:hAnsi="宋体" w:eastAsia="宋体" w:cs="宋体"/>
        </w:rPr>
        <w:t>每次掏渣完备即应向孔内加黏土和清水，保证钻头高度，但一次不宜倒进粘土过多，以免发生粘锥。掏渣孔放到孔底后，要在孔底上下提放几次，然后提出倒掉。每次应轻倒轻放，防止发生事故。</w:t>
      </w:r>
    </w:p>
    <w:p w14:paraId="6BE4CB04">
      <w:pPr>
        <w:pStyle w:val="14"/>
        <w:bidi w:val="0"/>
        <w:rPr>
          <w:rFonts w:hint="eastAsia"/>
        </w:rPr>
      </w:pPr>
      <w:bookmarkStart w:id="986" w:name="_Toc29632"/>
      <w:bookmarkStart w:id="987" w:name="_Toc11596"/>
      <w:bookmarkStart w:id="988" w:name="_Toc21779"/>
      <w:bookmarkStart w:id="989" w:name="_Toc40433230"/>
      <w:bookmarkStart w:id="990" w:name="_Toc8964"/>
      <w:bookmarkStart w:id="991" w:name="_Toc7479"/>
      <w:bookmarkStart w:id="992" w:name="_Toc10435"/>
      <w:bookmarkStart w:id="993" w:name="_Toc39251677"/>
      <w:bookmarkStart w:id="994" w:name="_Toc17703975"/>
      <w:bookmarkStart w:id="995" w:name="_Toc18499"/>
      <w:r>
        <w:rPr>
          <w:rFonts w:hint="eastAsia"/>
          <w:lang w:val="en-US" w:eastAsia="zh-CN"/>
        </w:rPr>
        <w:t>10、</w:t>
      </w:r>
      <w:r>
        <w:rPr>
          <w:rFonts w:hint="eastAsia"/>
        </w:rPr>
        <w:t>钢筋笼的制作与安装</w:t>
      </w:r>
      <w:bookmarkEnd w:id="986"/>
      <w:bookmarkEnd w:id="987"/>
      <w:bookmarkEnd w:id="988"/>
      <w:bookmarkEnd w:id="989"/>
      <w:bookmarkEnd w:id="990"/>
      <w:bookmarkEnd w:id="991"/>
      <w:bookmarkEnd w:id="992"/>
      <w:bookmarkEnd w:id="993"/>
      <w:bookmarkEnd w:id="994"/>
      <w:bookmarkEnd w:id="995"/>
    </w:p>
    <w:p w14:paraId="6C39BD99">
      <w:pPr>
        <w:pStyle w:val="14"/>
        <w:bidi w:val="0"/>
        <w:rPr>
          <w:rFonts w:hint="eastAsia"/>
        </w:rPr>
      </w:pPr>
      <w:r>
        <w:rPr>
          <w:rFonts w:hint="eastAsia"/>
          <w:lang w:val="en-US" w:eastAsia="zh-CN"/>
        </w:rPr>
        <w:t>（1）</w:t>
      </w:r>
      <w:r>
        <w:rPr>
          <w:rFonts w:hint="eastAsia"/>
        </w:rPr>
        <w:t>钢筋笼的制作</w:t>
      </w:r>
    </w:p>
    <w:p w14:paraId="49A7E33A">
      <w:pPr>
        <w:ind w:firstLine="480"/>
        <w:rPr>
          <w:rFonts w:hint="eastAsia" w:ascii="宋体" w:hAnsi="宋体" w:eastAsia="宋体" w:cs="宋体"/>
        </w:rPr>
      </w:pPr>
      <w:r>
        <w:rPr>
          <w:rFonts w:hint="eastAsia" w:ascii="宋体" w:hAnsi="宋体" w:eastAsia="宋体" w:cs="宋体"/>
        </w:rPr>
        <w:t>所采购的钢筋必须具有出厂质量证明书。进场后按有关规定、批量、规格进行抽样检查，并由试验室检验后出具试验报告。对于需要焊接的材料还应有焊接试验报告。确认该批材料满足设计、施工要求后，物资部门方可将该材料入库、登记、造册，不合格的材料应运出施工现场。</w:t>
      </w:r>
    </w:p>
    <w:p w14:paraId="41D63429">
      <w:pPr>
        <w:ind w:firstLine="480"/>
        <w:rPr>
          <w:rFonts w:hint="eastAsia" w:ascii="宋体" w:hAnsi="宋体" w:eastAsia="宋体" w:cs="宋体"/>
        </w:rPr>
      </w:pPr>
      <w:r>
        <w:rPr>
          <w:rFonts w:hint="eastAsia" w:ascii="宋体" w:hAnsi="宋体" w:eastAsia="宋体" w:cs="宋体"/>
        </w:rPr>
        <w:t>钢筋进库后须按不同钢种、等级、牌号、规格批号及生产厂家分别堆存，不得混杂，且挂牌以兹识别。钢筋在运输、储存过程中避免锈蚀和污染，钢筋垫高</w:t>
      </w:r>
      <w:r>
        <w:rPr>
          <w:rFonts w:hint="eastAsia" w:ascii="宋体" w:hAnsi="宋体" w:cs="宋体"/>
          <w:lang w:val="en-US" w:eastAsia="zh-CN"/>
        </w:rPr>
        <w:t>2</w:t>
      </w:r>
      <w:r>
        <w:rPr>
          <w:rFonts w:hint="eastAsia" w:ascii="宋体" w:hAnsi="宋体" w:eastAsia="宋体" w:cs="宋体"/>
        </w:rPr>
        <w:t>0cm堆放在钢筋棚内。</w:t>
      </w:r>
    </w:p>
    <w:p w14:paraId="5EBCFC93">
      <w:pPr>
        <w:ind w:firstLine="480"/>
        <w:rPr>
          <w:rFonts w:hint="eastAsia" w:ascii="宋体" w:hAnsi="宋体" w:eastAsia="宋体" w:cs="宋体"/>
        </w:rPr>
      </w:pPr>
      <w:r>
        <w:rPr>
          <w:rFonts w:hint="eastAsia" w:ascii="宋体" w:hAnsi="宋体" w:eastAsia="宋体" w:cs="宋体"/>
        </w:rPr>
        <w:t>材料部门将原材料出厂质量保证书、进厂抽样检查试验报告统一保管，并按原材料的使用部位登记造册，做到原材料具有可追溯性。</w:t>
      </w:r>
    </w:p>
    <w:p w14:paraId="40D7444A">
      <w:pPr>
        <w:ind w:firstLine="480"/>
        <w:rPr>
          <w:rFonts w:hint="eastAsia" w:ascii="宋体" w:hAnsi="宋体" w:eastAsia="宋体" w:cs="宋体"/>
        </w:rPr>
      </w:pPr>
      <w:r>
        <w:rPr>
          <w:rFonts w:hint="eastAsia" w:ascii="宋体" w:hAnsi="宋体" w:eastAsia="宋体" w:cs="宋体"/>
        </w:rPr>
        <w:t>钢筋笼加工采用长线法施工。钢筋笼分多节加工制作，主筋原材料长度采用12m长，以减少主筋连接量加快施工进度，同时减少钢材的浪费。根据《桥墩桩基构造图》计算主筋长度、加强筋、箍筋下料长度、将所需钢筋调直后用切割机成批切好备用。由于切断连接的主筋、箍筋、加强筋的规格尺寸不尽相同，必须分别摆放、防止错用。钢筋焊接采用二氧化碳保护焊焊接，焊缝饱满表面完整，高度不低于母材，并与母材圆滑过渡，焊缝宽度超出坡口2～3mm，随时清除焊渣。</w:t>
      </w:r>
    </w:p>
    <w:p w14:paraId="70513476">
      <w:pPr>
        <w:ind w:firstLine="480"/>
        <w:rPr>
          <w:rFonts w:hint="eastAsia" w:ascii="宋体" w:hAnsi="宋体" w:eastAsia="宋体" w:cs="宋体"/>
        </w:rPr>
      </w:pPr>
      <w:r>
        <w:rPr>
          <w:rFonts w:hint="eastAsia" w:ascii="宋体" w:hAnsi="宋体" w:eastAsia="宋体" w:cs="宋体"/>
        </w:rPr>
        <w:t>在钢筋骨架外侧设置控制保护层厚度的垫块，其间距竖向为2m，沿桩周不得少于4处。骨架顶端应设置吊环。</w:t>
      </w:r>
    </w:p>
    <w:p w14:paraId="0AA27271">
      <w:pPr>
        <w:ind w:left="-140" w:firstLine="480"/>
        <w:rPr>
          <w:rFonts w:hint="eastAsia" w:ascii="宋体" w:hAnsi="宋体" w:eastAsia="宋体" w:cs="宋体"/>
        </w:rPr>
      </w:pPr>
      <w:r>
        <w:rPr>
          <w:rFonts w:hint="eastAsia" w:ascii="宋体" w:hAnsi="宋体" w:eastAsia="宋体" w:cs="宋体"/>
        </w:rPr>
        <w:t>钢筋笼制作完成后进行声测管的安装施工，声测管采用Ф57×</w:t>
      </w:r>
      <w:r>
        <w:rPr>
          <w:rFonts w:hint="eastAsia" w:ascii="宋体" w:hAnsi="宋体" w:cs="宋体"/>
          <w:lang w:val="en-US" w:eastAsia="zh-CN"/>
        </w:rPr>
        <w:t>2</w:t>
      </w:r>
      <w:r>
        <w:rPr>
          <w:rFonts w:hint="eastAsia" w:ascii="宋体" w:hAnsi="宋体" w:eastAsia="宋体" w:cs="宋体"/>
        </w:rPr>
        <w:t>mm钢管制作，放置在加强筋内侧四周均匀布置（小于1.5m桩径布置3根，桩径大于1.5米的桩基布置4根），声测管底口采用</w:t>
      </w:r>
      <w:r>
        <w:rPr>
          <w:rFonts w:hint="eastAsia" w:ascii="宋体" w:hAnsi="宋体" w:cs="宋体"/>
          <w:lang w:val="en-US" w:eastAsia="zh-CN"/>
        </w:rPr>
        <w:t>同材质</w:t>
      </w:r>
      <w:r>
        <w:rPr>
          <w:rFonts w:hint="eastAsia" w:ascii="宋体" w:hAnsi="宋体" w:eastAsia="宋体" w:cs="宋体"/>
        </w:rPr>
        <w:t>钢板</w:t>
      </w:r>
      <w:r>
        <w:rPr>
          <w:rFonts w:hint="eastAsia" w:ascii="宋体" w:hAnsi="宋体" w:cs="宋体"/>
          <w:lang w:val="en-US" w:eastAsia="zh-CN"/>
        </w:rPr>
        <w:t>封堵</w:t>
      </w:r>
      <w:r>
        <w:rPr>
          <w:rFonts w:hint="eastAsia" w:ascii="宋体" w:hAnsi="宋体" w:eastAsia="宋体" w:cs="宋体"/>
        </w:rPr>
        <w:t>，声测管接头采用套管连接，专用声测管接头液压紧固必须到位，密封装置安防完好，不得漏水。除在底节钢筋笼加工时焊接在钢筋笼上外，防止声测管掉入孔内，其余各节均预先绑扎在钢筋笼内，为了便于声测管的现场对接安装，不将其固定死，只是每节钢筋笼对接完后，声测管用钢筋环固定对牢靠，当声测管随钢筋笼下放到孔口的时候，往声测管内灌水检查其是否漏水，声测管底口至桩底，声测管顶口用配套塑料盖封闭，上端高出基桩顶面不小于70cm。</w:t>
      </w:r>
    </w:p>
    <w:p w14:paraId="0D3CBD97">
      <w:pPr>
        <w:ind w:left="-140" w:firstLine="480"/>
        <w:rPr>
          <w:rFonts w:hint="eastAsia" w:ascii="宋体" w:hAnsi="宋体" w:eastAsia="宋体" w:cs="宋体"/>
        </w:rPr>
      </w:pPr>
      <w:r>
        <w:rPr>
          <w:rFonts w:hint="eastAsia" w:ascii="宋体" w:hAnsi="宋体" w:eastAsia="宋体" w:cs="宋体"/>
        </w:rPr>
        <w:t>为防止钢筋笼在搬运、吊装和安放时发生变形，应每隔2m设加劲箍一道；</w:t>
      </w:r>
      <w:r>
        <w:rPr>
          <w:rFonts w:hint="eastAsia" w:ascii="宋体" w:hAnsi="宋体" w:cs="宋体"/>
          <w:lang w:val="en-US" w:eastAsia="zh-CN"/>
        </w:rPr>
        <w:t>可</w:t>
      </w:r>
      <w:r>
        <w:rPr>
          <w:rFonts w:hint="eastAsia" w:ascii="宋体" w:hAnsi="宋体" w:eastAsia="宋体" w:cs="宋体"/>
        </w:rPr>
        <w:t>在笼内每隔3～4m装一个可拆卸的十字型临时加劲架，钢筋笼入孔后拆除；将制作好的钢筋笼稳固放置在混凝土储存台座上，钢筋笼上覆盖彩条布。每节钢筋笼悬挂标识牌，写明墩号、桩号、主筋长度等。</w:t>
      </w:r>
    </w:p>
    <w:p w14:paraId="43D5F0CF">
      <w:pPr>
        <w:pStyle w:val="14"/>
        <w:bidi w:val="0"/>
        <w:rPr>
          <w:rFonts w:hint="eastAsia"/>
        </w:rPr>
      </w:pPr>
      <w:r>
        <w:rPr>
          <w:rFonts w:hint="eastAsia"/>
          <w:lang w:val="en-US" w:eastAsia="zh-CN"/>
        </w:rPr>
        <w:t>（2）</w:t>
      </w:r>
      <w:r>
        <w:rPr>
          <w:rFonts w:hint="eastAsia"/>
        </w:rPr>
        <w:t>钢筋笼的运输</w:t>
      </w:r>
    </w:p>
    <w:p w14:paraId="38F9D065">
      <w:pPr>
        <w:ind w:firstLine="480"/>
        <w:rPr>
          <w:rFonts w:hint="eastAsia" w:ascii="宋体" w:hAnsi="宋体" w:eastAsia="宋体" w:cs="宋体"/>
        </w:rPr>
      </w:pPr>
      <w:r>
        <w:rPr>
          <w:rFonts w:hint="eastAsia" w:ascii="宋体" w:hAnsi="宋体" w:eastAsia="宋体" w:cs="宋体"/>
        </w:rPr>
        <w:t>钢筋笼运输采用带托架的平板车运至待安装的孔口位置。在平板运输车上焊接半圆形钢筋笼模架，并用1t手拉葫芦分4节加以固定钢筋笼，钢筋笼的装卸采用10t龙门吊与25t汽车吊装，运输过程中随时派施工人员跟车保护钢筋笼的运输安全及防止钢筋笼变形，运输过程中钢筋笼上的标志牌不得刮掉，以便于钢筋笼校对检验。</w:t>
      </w:r>
    </w:p>
    <w:p w14:paraId="01FA69DB">
      <w:pPr>
        <w:pStyle w:val="14"/>
        <w:bidi w:val="0"/>
        <w:rPr>
          <w:rFonts w:hint="eastAsia"/>
        </w:rPr>
      </w:pPr>
      <w:bookmarkStart w:id="996" w:name="_Toc17703977"/>
      <w:r>
        <w:rPr>
          <w:rFonts w:hint="eastAsia"/>
          <w:lang w:val="en-US" w:eastAsia="zh-CN"/>
        </w:rPr>
        <w:t>（3）</w:t>
      </w:r>
      <w:r>
        <w:rPr>
          <w:rFonts w:hint="eastAsia"/>
        </w:rPr>
        <w:t>吊装钢筋笼</w:t>
      </w:r>
      <w:bookmarkEnd w:id="996"/>
    </w:p>
    <w:p w14:paraId="7EFB0E9F">
      <w:pPr>
        <w:ind w:left="-140" w:firstLine="960" w:firstLineChars="400"/>
        <w:rPr>
          <w:rFonts w:hint="eastAsia" w:ascii="宋体" w:hAnsi="宋体" w:eastAsia="宋体" w:cs="宋体"/>
        </w:rPr>
      </w:pPr>
      <w:r>
        <w:rPr>
          <w:rFonts w:hint="eastAsia" w:ascii="宋体" w:hAnsi="宋体" w:eastAsia="宋体" w:cs="宋体"/>
        </w:rPr>
        <w:t>为方便搬运、吊装，钢筋笼不宜过长，应分段制作，其接头采用钢筋机械连接接头采用滚轧直螺纹接头，且须满足《钢筋机械连接技术规程》中Ⅰ级接头的要求。</w:t>
      </w:r>
    </w:p>
    <w:p w14:paraId="4C529D4C">
      <w:pPr>
        <w:ind w:left="-140" w:firstLine="720" w:firstLineChars="300"/>
        <w:rPr>
          <w:rFonts w:hint="eastAsia" w:ascii="宋体" w:hAnsi="宋体" w:eastAsia="宋体" w:cs="宋体"/>
        </w:rPr>
      </w:pPr>
      <w:r>
        <w:rPr>
          <w:rFonts w:hint="eastAsia" w:ascii="宋体" w:hAnsi="宋体" w:eastAsia="宋体" w:cs="宋体"/>
        </w:rPr>
        <w:t>采用钢筋运输车运输时要保证在每个加筋处设支撑点，各支撑点高度相等；采用人工抬运时，多设抬棍，并且保证抬棍在加筋处靠近骨架中心穿入，各抬棍受力均匀。钢筋笼入孔采用吊车吊装钢筋笼起吊时，在顶部设置2个吊点（位置为顶部加强筋位置）用于垂直吊装，在每节钢筋笼中部设置1个吊点（加强筋位置）用于翻身起吊。</w:t>
      </w:r>
    </w:p>
    <w:p w14:paraId="09251500">
      <w:pPr>
        <w:ind w:left="-140" w:firstLine="720" w:firstLineChars="300"/>
        <w:rPr>
          <w:rFonts w:hint="eastAsia" w:ascii="宋体" w:hAnsi="宋体" w:eastAsia="宋体" w:cs="宋体"/>
          <w:sz w:val="26"/>
          <w:szCs w:val="26"/>
        </w:rPr>
      </w:pPr>
      <w:r>
        <w:rPr>
          <w:rFonts w:hint="eastAsia" w:ascii="宋体" w:hAnsi="宋体" w:eastAsia="宋体" w:cs="宋体"/>
        </w:rPr>
        <w:t>钢筋笼吊至离地面0.3m～0.5m后，应检查钢筋笼是否平稳，根据钢筋笼尾部距地面距离，随时指挥副吊配合起钩。主钩慢慢起钩提升，吊机副吊配合，保持钢筋笼距地面距离，最终使钢筋笼垂直于地面。</w:t>
      </w:r>
    </w:p>
    <w:p w14:paraId="7A381232">
      <w:pPr>
        <w:rPr>
          <w:rFonts w:hint="eastAsia" w:ascii="宋体" w:hAnsi="宋体" w:eastAsia="宋体" w:cs="宋体"/>
        </w:rPr>
      </w:pPr>
      <w:r>
        <w:rPr>
          <w:rFonts w:hint="eastAsia" w:ascii="宋体" w:hAnsi="宋体" w:eastAsia="宋体" w:cs="宋体"/>
        </w:rPr>
        <w:t>指挥吊机吊笼入孔、定位，吊机旋转应平稳，在钢筋笼上拉牵引绳。下放时若遇到钢筋笼卡孔的情况，要吊出检查孔位情况后再吊放，不得强行入孔。</w:t>
      </w:r>
    </w:p>
    <w:p w14:paraId="17D93509">
      <w:pPr>
        <w:ind w:left="-140" w:firstLine="480"/>
        <w:rPr>
          <w:rFonts w:hint="eastAsia" w:ascii="宋体" w:hAnsi="宋体" w:eastAsia="宋体" w:cs="宋体"/>
        </w:rPr>
      </w:pPr>
      <w:r>
        <w:rPr>
          <w:rFonts w:hint="eastAsia" w:ascii="宋体" w:hAnsi="宋体" w:eastAsia="宋体" w:cs="宋体"/>
        </w:rPr>
        <w:t>当钢筋笼下到B吊点时，暂停放下，拆下B吊点地钢丝绳、卡环。当钢筋笼继续往下插入，到A吊点时，暂停放下，并且插入槽钢，把钢筋笼固定在护筒顶，然后拆下A吊点</w:t>
      </w:r>
      <w:r>
        <w:rPr>
          <w:rFonts w:hint="eastAsia" w:ascii="宋体" w:hAnsi="宋体" w:eastAsia="宋体" w:cs="宋体"/>
          <w:lang w:val="en-US" w:eastAsia="zh-CN"/>
        </w:rPr>
        <w:t>的</w:t>
      </w:r>
      <w:r>
        <w:rPr>
          <w:rFonts w:hint="eastAsia" w:ascii="宋体" w:hAnsi="宋体" w:eastAsia="宋体" w:cs="宋体"/>
        </w:rPr>
        <w:t>钢丝绳、卡环。</w:t>
      </w:r>
    </w:p>
    <w:p w14:paraId="76C9EB24">
      <w:pPr>
        <w:pStyle w:val="14"/>
        <w:bidi w:val="0"/>
        <w:rPr>
          <w:rFonts w:hint="eastAsia"/>
        </w:rPr>
      </w:pPr>
      <w:r>
        <w:rPr>
          <w:rFonts w:hint="eastAsia"/>
          <w:lang w:val="en-US" w:eastAsia="zh-CN"/>
        </w:rPr>
        <w:t>（4）</w:t>
      </w:r>
      <w:r>
        <w:rPr>
          <w:rFonts w:hint="eastAsia"/>
        </w:rPr>
        <w:t>钢筋笼的安装</w:t>
      </w:r>
    </w:p>
    <w:p w14:paraId="615EAA27">
      <w:pPr>
        <w:ind w:firstLine="480"/>
        <w:rPr>
          <w:rFonts w:hint="eastAsia" w:ascii="宋体" w:hAnsi="宋体" w:eastAsia="宋体" w:cs="宋体"/>
        </w:rPr>
      </w:pPr>
      <w:r>
        <w:rPr>
          <w:rFonts w:hint="eastAsia" w:ascii="宋体" w:hAnsi="宋体" w:eastAsia="宋体" w:cs="宋体"/>
        </w:rPr>
        <w:t>钢筋笼安装前清除粘附的泥土和油渍，保证钢筋与混凝土紧密黏结。用pvc水管保护好伸进承台的钢筋，利于用环切法破桩头时钢筋与混凝土的分离，同时也保护钢筋不会生锈和减少破桩头钢筋时钢筋弯曲；</w:t>
      </w:r>
    </w:p>
    <w:p w14:paraId="336CC4EC">
      <w:pPr>
        <w:ind w:firstLine="480"/>
        <w:rPr>
          <w:rFonts w:hint="eastAsia" w:ascii="宋体" w:hAnsi="宋体" w:eastAsia="宋体" w:cs="宋体"/>
        </w:rPr>
      </w:pPr>
      <w:r>
        <w:rPr>
          <w:rFonts w:hint="eastAsia" w:ascii="宋体" w:hAnsi="宋体" w:eastAsia="宋体" w:cs="宋体"/>
        </w:rPr>
        <w:t>起吊钢筋笼采用双钩起吊法，起吊点设在钢筋笼箍筋与主筋连接处，且吊点对称并一次性起吊，以保证钢筋笼在起吊时不变形。起吊时缓慢地将钢筋笼竖直，拆除上吊点以外的临时支撑，在工作人员的扶持下缓慢垂直，轻放、慢放入孔，不得左右旋转。钢筋笼现场接长采用</w:t>
      </w:r>
      <w:r>
        <w:rPr>
          <w:rFonts w:hint="eastAsia" w:ascii="宋体" w:hAnsi="宋体" w:eastAsia="宋体" w:cs="宋体"/>
          <w:highlight w:val="none"/>
        </w:rPr>
        <w:t>直螺纹套筒</w:t>
      </w:r>
      <w:r>
        <w:rPr>
          <w:rFonts w:hint="eastAsia" w:ascii="宋体" w:hAnsi="宋体" w:eastAsia="宋体" w:cs="宋体"/>
        </w:rPr>
        <w:t>，钢筋笼接长完成经现场验收合格后缓慢下放钢筋笼，并且留好影像资料，将已完成阶段钢筋笼悬挂在钢护筒顶口，如此继续，直至全部安装完成。</w:t>
      </w:r>
    </w:p>
    <w:p w14:paraId="37424FFA">
      <w:pPr>
        <w:ind w:firstLine="480"/>
        <w:rPr>
          <w:rFonts w:hint="eastAsia" w:ascii="宋体" w:hAnsi="宋体" w:eastAsia="宋体" w:cs="宋体"/>
        </w:rPr>
      </w:pPr>
      <w:r>
        <w:rPr>
          <w:rFonts w:hint="eastAsia" w:ascii="宋体" w:hAnsi="宋体" w:eastAsia="宋体" w:cs="宋体"/>
        </w:rPr>
        <w:t>当钢筋笼安装时慢速下放，防止钢筋笼碰撞孔壁，一旦发生钢筋笼被卡，入孔困难时，稍稍提起再缓慢将钢筋笼试探入孔，严禁高提猛落和强制入孔，以防碰撞而引起坍塌，下放过程中，要注意观察孔内水位情况如发现异常现象马上停放，检查是否坍孔。直到钢筋笼下放至设计标高，准确测量钢筋笼底口标高，检查并调整钢筋笼中心与桩中心一致。</w:t>
      </w:r>
    </w:p>
    <w:p w14:paraId="752DD257">
      <w:pPr>
        <w:ind w:firstLine="480"/>
        <w:rPr>
          <w:rFonts w:hint="eastAsia" w:ascii="宋体" w:hAnsi="宋体" w:eastAsia="宋体" w:cs="宋体"/>
        </w:rPr>
      </w:pPr>
      <w:r>
        <w:rPr>
          <w:rFonts w:hint="eastAsia" w:ascii="宋体" w:hAnsi="宋体" w:eastAsia="宋体" w:cs="宋体"/>
        </w:rPr>
        <w:t>钢筋笼安装就位后立即将钢筋笼中定位钢筋焊接固定，以达到钢筋笼精确定位的目的。下放钢筋笼时，必须要有技术人员在场，现场测量护筒标高，准确计算吊筋长度，以控制钢筋的桩顶标高及钢筋笼上浮。</w:t>
      </w:r>
    </w:p>
    <w:p w14:paraId="50444FDE">
      <w:pPr>
        <w:pStyle w:val="14"/>
        <w:bidi w:val="0"/>
        <w:rPr>
          <w:rFonts w:hint="eastAsia"/>
        </w:rPr>
      </w:pPr>
      <w:bookmarkStart w:id="997" w:name="_Toc40433231"/>
      <w:bookmarkStart w:id="998" w:name="_Toc15776"/>
      <w:bookmarkStart w:id="999" w:name="_Toc17703978"/>
      <w:bookmarkStart w:id="1000" w:name="_Toc31915"/>
      <w:bookmarkStart w:id="1001" w:name="_Toc39251678"/>
      <w:bookmarkStart w:id="1002" w:name="_Toc12445"/>
      <w:bookmarkStart w:id="1003" w:name="_Toc18756"/>
      <w:bookmarkStart w:id="1004" w:name="_Toc9082"/>
      <w:bookmarkStart w:id="1005" w:name="_Toc32117"/>
      <w:bookmarkStart w:id="1006" w:name="_Toc3412"/>
      <w:bookmarkStart w:id="1007" w:name="_Toc296520180"/>
      <w:r>
        <w:rPr>
          <w:rFonts w:hint="eastAsia"/>
          <w:lang w:val="en-US" w:eastAsia="zh-CN"/>
        </w:rPr>
        <w:t>11、</w:t>
      </w:r>
      <w:r>
        <w:rPr>
          <w:rFonts w:hint="eastAsia"/>
        </w:rPr>
        <w:t>导管安装</w:t>
      </w:r>
      <w:bookmarkEnd w:id="997"/>
      <w:bookmarkEnd w:id="998"/>
      <w:bookmarkEnd w:id="999"/>
      <w:bookmarkEnd w:id="1000"/>
      <w:bookmarkEnd w:id="1001"/>
      <w:bookmarkEnd w:id="1002"/>
      <w:bookmarkEnd w:id="1003"/>
      <w:bookmarkEnd w:id="1004"/>
      <w:bookmarkEnd w:id="1005"/>
      <w:bookmarkEnd w:id="1006"/>
    </w:p>
    <w:bookmarkEnd w:id="1007"/>
    <w:p w14:paraId="2D1D25A5">
      <w:pPr>
        <w:ind w:left="-120" w:firstLine="480"/>
        <w:rPr>
          <w:rFonts w:hint="eastAsia" w:ascii="宋体" w:hAnsi="宋体" w:eastAsia="宋体" w:cs="宋体"/>
        </w:rPr>
      </w:pPr>
      <w:bookmarkStart w:id="1008" w:name="_Toc308124805"/>
      <w:r>
        <w:rPr>
          <w:rFonts w:hint="eastAsia" w:ascii="宋体" w:hAnsi="宋体" w:eastAsia="宋体" w:cs="宋体"/>
        </w:rPr>
        <w:t>导管安装前需要做的试验有：</w:t>
      </w:r>
      <w:r>
        <w:rPr>
          <w:rFonts w:hint="eastAsia" w:ascii="宋体" w:hAnsi="宋体" w:eastAsia="宋体" w:cs="宋体"/>
        </w:rPr>
        <w:tab/>
      </w:r>
    </w:p>
    <w:p w14:paraId="55AF4BDB">
      <w:pPr>
        <w:ind w:left="-120"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、导管水密性试验；</w:t>
      </w:r>
    </w:p>
    <w:p w14:paraId="3501801F">
      <w:pPr>
        <w:pStyle w:val="14"/>
        <w:ind w:left="-120" w:firstLine="480"/>
        <w:rPr>
          <w:rFonts w:hint="eastAsia" w:ascii="宋体" w:hAnsi="宋体" w:eastAsia="宋体" w:cs="宋体"/>
        </w:rPr>
      </w:pPr>
      <w:r>
        <w:rPr>
          <w:rFonts w:hint="eastAsia" w:ascii="宋体" w:hAnsi="宋体" w:eastAsia="宋体" w:cs="宋体"/>
        </w:rPr>
        <w:t>结合所要灌注桩长，拼装完导管后向导管内注水，并保证导管内充水达70%；导管水密试验时的水压不小于井孔内水深1.3倍的压力，进行承压试验时的水压不大于导管壁可能承受的最大内压力Pmax，Pmax可按下式计算：</w:t>
      </w:r>
    </w:p>
    <w:p w14:paraId="31474C73">
      <w:pPr>
        <w:pStyle w:val="14"/>
        <w:ind w:left="-120" w:firstLine="480"/>
        <w:rPr>
          <w:rFonts w:hint="eastAsia" w:ascii="宋体" w:hAnsi="宋体" w:eastAsia="宋体" w:cs="宋体"/>
        </w:rPr>
      </w:pPr>
      <w:r>
        <w:rPr>
          <w:rFonts w:hint="eastAsia" w:ascii="宋体" w:hAnsi="宋体" w:eastAsia="宋体" w:cs="宋体"/>
        </w:rPr>
        <w:t>Pmax=1.3(ㄚcHcmax-ㄚwHw）</w:t>
      </w:r>
    </w:p>
    <w:p w14:paraId="42A024F7">
      <w:pPr>
        <w:pStyle w:val="14"/>
        <w:ind w:left="-120" w:firstLine="480"/>
        <w:rPr>
          <w:rFonts w:hint="eastAsia" w:ascii="宋体" w:hAnsi="宋体" w:eastAsia="宋体" w:cs="宋体"/>
        </w:rPr>
      </w:pPr>
      <w:r>
        <w:rPr>
          <w:rFonts w:hint="eastAsia" w:ascii="宋体" w:hAnsi="宋体" w:eastAsia="宋体" w:cs="宋体"/>
        </w:rPr>
        <w:t>式中：Pmax——导管壁可能承受的最大内压力，KPa；</w:t>
      </w:r>
    </w:p>
    <w:p w14:paraId="5E05F174">
      <w:pPr>
        <w:pStyle w:val="14"/>
        <w:ind w:left="-120" w:firstLine="480"/>
        <w:rPr>
          <w:rFonts w:hint="eastAsia" w:ascii="宋体" w:hAnsi="宋体" w:eastAsia="宋体" w:cs="宋体"/>
        </w:rPr>
      </w:pPr>
      <w:r>
        <w:rPr>
          <w:rFonts w:hint="eastAsia" w:ascii="宋体" w:hAnsi="宋体" w:eastAsia="宋体" w:cs="宋体"/>
        </w:rPr>
        <w:t>ㄚc——混凝土容重（用24KN/m3）,KN/m3；</w:t>
      </w:r>
    </w:p>
    <w:p w14:paraId="4494C336">
      <w:pPr>
        <w:pStyle w:val="14"/>
        <w:ind w:left="-120" w:firstLine="480"/>
        <w:rPr>
          <w:rFonts w:hint="eastAsia" w:ascii="宋体" w:hAnsi="宋体" w:eastAsia="宋体" w:cs="宋体"/>
        </w:rPr>
      </w:pPr>
      <w:r>
        <w:rPr>
          <w:rFonts w:hint="eastAsia" w:ascii="宋体" w:hAnsi="宋体" w:eastAsia="宋体" w:cs="宋体"/>
        </w:rPr>
        <w:t>Hcmax——导管内混凝土柱最大高度，采用导管全长，m；</w:t>
      </w:r>
    </w:p>
    <w:p w14:paraId="709EF1D7">
      <w:pPr>
        <w:pStyle w:val="14"/>
        <w:ind w:left="-120" w:firstLine="480"/>
        <w:rPr>
          <w:rFonts w:hint="eastAsia" w:ascii="宋体" w:hAnsi="宋体" w:eastAsia="宋体" w:cs="宋体"/>
        </w:rPr>
      </w:pPr>
      <w:r>
        <w:rPr>
          <w:rFonts w:hint="eastAsia" w:ascii="宋体" w:hAnsi="宋体" w:eastAsia="宋体" w:cs="宋体"/>
        </w:rPr>
        <w:t>ㄚw——冲孔内水或泥浆容重，泥浆容重大于12KN/m3时不宜灌注水下混凝土，KN/m3；</w:t>
      </w:r>
    </w:p>
    <w:p w14:paraId="7DE83645">
      <w:pPr>
        <w:pStyle w:val="14"/>
        <w:ind w:left="-120" w:firstLine="480"/>
        <w:rPr>
          <w:rFonts w:hint="eastAsia" w:ascii="宋体" w:hAnsi="宋体" w:eastAsia="宋体" w:cs="宋体"/>
        </w:rPr>
      </w:pPr>
      <w:r>
        <w:rPr>
          <w:rFonts w:hint="eastAsia" w:ascii="宋体" w:hAnsi="宋体" w:eastAsia="宋体" w:cs="宋体"/>
        </w:rPr>
        <w:t>Hw——冲孔内水或泥浆深度m。</w:t>
      </w:r>
    </w:p>
    <w:p w14:paraId="28E18C20">
      <w:pPr>
        <w:pStyle w:val="14"/>
        <w:ind w:left="-120" w:firstLine="480"/>
        <w:rPr>
          <w:rFonts w:hint="eastAsia" w:ascii="宋体" w:hAnsi="宋体" w:eastAsia="宋体" w:cs="宋体"/>
        </w:rPr>
      </w:pPr>
      <w:r>
        <w:rPr>
          <w:rFonts w:hint="eastAsia" w:ascii="宋体" w:hAnsi="宋体" w:eastAsia="宋体" w:cs="宋体"/>
        </w:rPr>
        <w:t>Pmax=1.3x(2400kg/m2x</w:t>
      </w:r>
      <w:r>
        <w:rPr>
          <w:rFonts w:hint="eastAsia" w:ascii="宋体" w:hAnsi="宋体" w:cs="宋体"/>
          <w:lang w:val="en-US" w:eastAsia="zh-CN"/>
        </w:rPr>
        <w:t>32</w:t>
      </w:r>
      <w:r>
        <w:rPr>
          <w:rFonts w:hint="eastAsia" w:ascii="宋体" w:hAnsi="宋体" w:eastAsia="宋体" w:cs="宋体"/>
        </w:rPr>
        <w:t>m-1100kg/mx</w:t>
      </w:r>
      <w:r>
        <w:rPr>
          <w:rFonts w:hint="eastAsia" w:ascii="宋体" w:hAnsi="宋体" w:cs="宋体"/>
          <w:lang w:val="en-US" w:eastAsia="zh-CN"/>
        </w:rPr>
        <w:t>31</w:t>
      </w:r>
      <w:r>
        <w:rPr>
          <w:rFonts w:hint="eastAsia" w:ascii="宋体" w:hAnsi="宋体" w:eastAsia="宋体" w:cs="宋体"/>
        </w:rPr>
        <w:t>m)=</w:t>
      </w:r>
      <w:r>
        <w:rPr>
          <w:rFonts w:hint="eastAsia" w:ascii="宋体" w:hAnsi="宋体" w:cs="宋体"/>
          <w:lang w:val="en-US" w:eastAsia="zh-CN"/>
        </w:rPr>
        <w:t>55510</w:t>
      </w:r>
      <w:r>
        <w:rPr>
          <w:rFonts w:hint="eastAsia" w:ascii="宋体" w:hAnsi="宋体" w:eastAsia="宋体" w:cs="宋体"/>
        </w:rPr>
        <w:t>kg/m=</w:t>
      </w:r>
      <w:r>
        <w:rPr>
          <w:rFonts w:hint="eastAsia" w:ascii="宋体" w:hAnsi="宋体" w:cs="宋体"/>
          <w:lang w:val="en-US" w:eastAsia="zh-CN"/>
        </w:rPr>
        <w:t>5.551</w:t>
      </w:r>
      <w:r>
        <w:rPr>
          <w:rFonts w:hint="eastAsia" w:ascii="宋体" w:hAnsi="宋体" w:eastAsia="宋体" w:cs="宋体"/>
        </w:rPr>
        <w:t>kg/cm</w:t>
      </w:r>
      <w:r>
        <w:rPr>
          <w:rFonts w:hint="eastAsia" w:ascii="宋体" w:hAnsi="宋体" w:cs="宋体"/>
          <w:lang w:val="en-US" w:eastAsia="zh-CN"/>
        </w:rPr>
        <w:t>≈0.56</w:t>
      </w:r>
      <w:r>
        <w:rPr>
          <w:rFonts w:hint="eastAsia" w:ascii="宋体" w:hAnsi="宋体" w:eastAsia="宋体" w:cs="宋体"/>
        </w:rPr>
        <w:t>MPa根据计算选择</w:t>
      </w:r>
      <w:r>
        <w:rPr>
          <w:rFonts w:hint="eastAsia" w:ascii="宋体" w:hAnsi="宋体" w:cs="宋体"/>
          <w:lang w:val="en-US" w:eastAsia="zh-CN"/>
        </w:rPr>
        <w:t>0.6</w:t>
      </w:r>
      <w:r>
        <w:rPr>
          <w:rFonts w:hint="eastAsia" w:ascii="宋体" w:hAnsi="宋体" w:eastAsia="宋体" w:cs="宋体"/>
        </w:rPr>
        <w:t>MPa进行试压。</w:t>
      </w:r>
    </w:p>
    <w:p w14:paraId="6B191000">
      <w:pPr>
        <w:pStyle w:val="14"/>
        <w:ind w:left="-120" w:firstLine="480"/>
        <w:rPr>
          <w:rFonts w:hint="eastAsia" w:ascii="宋体" w:hAnsi="宋体" w:eastAsia="宋体" w:cs="宋体"/>
        </w:rPr>
      </w:pPr>
      <w:r>
        <w:rPr>
          <w:rFonts w:hint="eastAsia" w:ascii="宋体" w:hAnsi="宋体" w:eastAsia="宋体" w:cs="宋体"/>
        </w:rPr>
        <w:t>将一端注水孔密封，另一端与空气压力机连接，检查导管连接处封闭端安装情况，检查合格后压风机充压</w:t>
      </w:r>
      <w:r>
        <w:rPr>
          <w:rFonts w:hint="eastAsia" w:ascii="宋体" w:hAnsi="宋体" w:cs="宋体"/>
          <w:lang w:val="en-US" w:eastAsia="zh-CN"/>
        </w:rPr>
        <w:t>0.6</w:t>
      </w:r>
      <w:r>
        <w:rPr>
          <w:rFonts w:hint="eastAsia" w:ascii="宋体" w:hAnsi="宋体" w:eastAsia="宋体" w:cs="宋体"/>
        </w:rPr>
        <w:t>MPa时，保持压力15分钟。检查导管接头处溢水情况，对溢水处做好记录，试压将导管翻滚180°，再次加压，保持压力15分钟，检查情况做好记录。（导管不产生漏水、渗水现象，即认为水封导管试压合格。)</w:t>
      </w:r>
    </w:p>
    <w:p w14:paraId="69624ACB">
      <w:pPr>
        <w:ind w:left="-120"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、出现的问题和采取的措施：</w:t>
      </w:r>
    </w:p>
    <w:p w14:paraId="68DDEE91">
      <w:pPr>
        <w:pStyle w:val="14"/>
        <w:tabs>
          <w:tab w:val="left" w:pos="6240"/>
        </w:tabs>
        <w:ind w:left="-120" w:firstLine="480"/>
        <w:rPr>
          <w:rFonts w:hint="eastAsia" w:ascii="宋体" w:hAnsi="宋体" w:eastAsia="宋体" w:cs="宋体"/>
        </w:rPr>
      </w:pPr>
      <w:r>
        <w:rPr>
          <w:rFonts w:hint="eastAsia" w:ascii="宋体" w:hAnsi="宋体" w:eastAsia="宋体" w:cs="宋体"/>
        </w:rPr>
        <w:t>1）、检查每节导管有无明显孔洞，检查每节导管的密封圈情况。如缺少或破旧不能使用，要及时拆除更换或添加，并在钢索槽中涂适当黄油。（水封导管可使用丝扣连接或快速卡口连接，不允许使用法兰盘连接的导管）。</w:t>
      </w:r>
    </w:p>
    <w:p w14:paraId="0AA2DFD9">
      <w:pPr>
        <w:pStyle w:val="14"/>
        <w:ind w:left="-120" w:firstLine="480"/>
        <w:rPr>
          <w:rFonts w:hint="eastAsia" w:ascii="宋体" w:hAnsi="宋体" w:eastAsia="宋体" w:cs="宋体"/>
        </w:rPr>
      </w:pPr>
      <w:r>
        <w:rPr>
          <w:rFonts w:hint="eastAsia" w:ascii="宋体" w:hAnsi="宋体" w:eastAsia="宋体" w:cs="宋体"/>
        </w:rPr>
        <w:t>2）、选择场地，使导管在地面上平整对接。对接时就各管按顺序编号。</w:t>
      </w:r>
    </w:p>
    <w:p w14:paraId="2D15FA40">
      <w:pPr>
        <w:pStyle w:val="14"/>
        <w:ind w:left="-120" w:firstLine="480"/>
        <w:rPr>
          <w:rFonts w:hint="eastAsia" w:ascii="宋体" w:hAnsi="宋体" w:eastAsia="宋体" w:cs="宋体"/>
        </w:rPr>
      </w:pPr>
      <w:r>
        <w:rPr>
          <w:rFonts w:hint="eastAsia" w:ascii="宋体" w:hAnsi="宋体" w:eastAsia="宋体" w:cs="宋体"/>
        </w:rPr>
        <w:t>3）、对导管两端安装封闭装置，封闭装置采用既有试压套。在试压封闭两端安装进水孔。安装时使两孔位于管道的正上方，以使注水时空气从孔中溢出。</w:t>
      </w:r>
    </w:p>
    <w:p w14:paraId="2BF8DBE5">
      <w:pPr>
        <w:ind w:firstLine="480"/>
        <w:rPr>
          <w:rFonts w:hint="eastAsia" w:ascii="宋体" w:hAnsi="宋体" w:eastAsia="宋体" w:cs="宋体"/>
          <w:szCs w:val="24"/>
        </w:rPr>
      </w:pPr>
      <w:r>
        <w:rPr>
          <w:rFonts w:hint="eastAsia" w:ascii="宋体" w:hAnsi="宋体" w:cs="宋体"/>
          <w:szCs w:val="24"/>
          <w:lang w:val="en-US" w:eastAsia="zh-CN"/>
        </w:rPr>
        <w:t>3、</w:t>
      </w:r>
      <w:r>
        <w:rPr>
          <w:rFonts w:hint="eastAsia" w:ascii="宋体" w:hAnsi="宋体" w:eastAsia="宋体" w:cs="宋体"/>
          <w:szCs w:val="24"/>
        </w:rPr>
        <w:t>安装导管</w:t>
      </w:r>
    </w:p>
    <w:p w14:paraId="4B3D9E11">
      <w:pPr>
        <w:ind w:firstLine="480"/>
        <w:rPr>
          <w:rFonts w:hint="eastAsia" w:ascii="宋体" w:hAnsi="宋体" w:eastAsia="宋体" w:cs="宋体"/>
        </w:rPr>
      </w:pPr>
      <w:r>
        <w:rPr>
          <w:rFonts w:hint="eastAsia" w:ascii="宋体" w:hAnsi="宋体" w:eastAsia="宋体" w:cs="宋体"/>
        </w:rPr>
        <w:t>不得使用内壁粘有混凝土块或撞瘪、变形、易造成堵塞的导管。</w:t>
      </w:r>
    </w:p>
    <w:p w14:paraId="5E24446D">
      <w:pPr>
        <w:ind w:firstLine="480"/>
        <w:rPr>
          <w:rFonts w:hint="eastAsia" w:ascii="宋体" w:hAnsi="宋体" w:eastAsia="宋体" w:cs="宋体"/>
          <w:szCs w:val="24"/>
        </w:rPr>
      </w:pPr>
      <w:r>
        <w:rPr>
          <w:rFonts w:hint="eastAsia" w:ascii="宋体" w:hAnsi="宋体" w:eastAsia="宋体" w:cs="宋体"/>
          <w:szCs w:val="24"/>
        </w:rPr>
        <w:t>导管采用专用的法兰盘扣导管，导管内径280mm，中间标准节长</w:t>
      </w:r>
      <w:r>
        <w:rPr>
          <w:rFonts w:hint="eastAsia" w:ascii="宋体" w:hAnsi="宋体" w:cs="宋体"/>
          <w:szCs w:val="24"/>
          <w:lang w:val="en-US" w:eastAsia="zh-CN"/>
        </w:rPr>
        <w:t>3</w:t>
      </w:r>
      <w:r>
        <w:rPr>
          <w:rFonts w:hint="eastAsia" w:ascii="宋体" w:hAnsi="宋体" w:eastAsia="宋体" w:cs="宋体"/>
          <w:szCs w:val="24"/>
        </w:rPr>
        <w:t>m，底管长5m，还须配备0.5m、1m、1.5m非标准节。导管制作要厚实、内壁光滑、顺直、无局部凹凸，对于旧导管在试压前应通过称重的方式判定导管壁厚是否满足使用要求。</w:t>
      </w:r>
    </w:p>
    <w:p w14:paraId="2E7E3A55">
      <w:pPr>
        <w:ind w:firstLine="480"/>
        <w:rPr>
          <w:rFonts w:hint="eastAsia" w:ascii="宋体" w:hAnsi="宋体" w:eastAsia="宋体" w:cs="宋体"/>
          <w:szCs w:val="24"/>
        </w:rPr>
      </w:pPr>
      <w:r>
        <w:rPr>
          <w:rFonts w:hint="eastAsia" w:ascii="宋体" w:hAnsi="宋体" w:eastAsia="宋体" w:cs="宋体"/>
          <w:szCs w:val="24"/>
        </w:rPr>
        <w:t>导管在使用前，除应对其规格、质量和拼接构造进行认真地检查外，进行试拼和试压，试压导管的长度满足最长桩浇筑需要，导管自下而上顺序编号和节段长度，且严格保持导管的组合顺序，每组导管不能混用。导管组拼后轴线差，不宜超过钻孔深度的0.5%且不大于10cm。试压力为孔底静水压力的1.5倍，检查合格后方可使用。</w:t>
      </w:r>
    </w:p>
    <w:p w14:paraId="1B590898">
      <w:pPr>
        <w:ind w:firstLine="480"/>
        <w:rPr>
          <w:rFonts w:hint="eastAsia" w:ascii="宋体" w:hAnsi="宋体" w:eastAsia="宋体" w:cs="宋体"/>
          <w:szCs w:val="24"/>
        </w:rPr>
      </w:pPr>
      <w:r>
        <w:rPr>
          <w:rFonts w:hint="eastAsia" w:ascii="宋体" w:hAnsi="宋体" w:eastAsia="宋体" w:cs="宋体"/>
          <w:szCs w:val="24"/>
        </w:rPr>
        <w:t>导管长度按孔深和工作平台高度决定。漏斗底至钻孔上口段，宜使用非标准节导管。</w:t>
      </w:r>
    </w:p>
    <w:p w14:paraId="590B04D6">
      <w:pPr>
        <w:ind w:firstLine="480"/>
        <w:rPr>
          <w:rFonts w:hint="eastAsia" w:ascii="宋体" w:hAnsi="宋体" w:eastAsia="宋体" w:cs="宋体"/>
          <w:szCs w:val="24"/>
        </w:rPr>
      </w:pPr>
      <w:r>
        <w:rPr>
          <w:rFonts w:hint="eastAsia" w:ascii="宋体" w:hAnsi="宋体" w:eastAsia="宋体" w:cs="宋体"/>
          <w:szCs w:val="24"/>
        </w:rPr>
        <w:t>导管下放竖直、轻放、以免碰撞钢筋笼。下放时要记录下放的节数，下放到孔底后，理论长度与实际长度进行比较，是否吻合。</w:t>
      </w:r>
    </w:p>
    <w:p w14:paraId="7C8188C4">
      <w:pPr>
        <w:ind w:firstLine="480"/>
        <w:rPr>
          <w:rFonts w:hint="eastAsia" w:ascii="宋体" w:hAnsi="宋体" w:eastAsia="宋体" w:cs="宋体"/>
          <w:szCs w:val="24"/>
        </w:rPr>
      </w:pPr>
      <w:r>
        <w:rPr>
          <w:rFonts w:hint="eastAsia" w:ascii="宋体" w:hAnsi="宋体" w:eastAsia="宋体" w:cs="宋体"/>
          <w:szCs w:val="24"/>
        </w:rPr>
        <w:t>完全下放导管到孔底后，并经检查无误后，轻轻提起导管，控制底口距离孔底0.25～0.4m，并位于钻孔中央。</w:t>
      </w:r>
    </w:p>
    <w:p w14:paraId="29A1401A">
      <w:pPr>
        <w:ind w:left="-140" w:firstLine="480"/>
        <w:rPr>
          <w:rFonts w:hint="eastAsia" w:ascii="宋体" w:hAnsi="宋体" w:eastAsia="宋体" w:cs="宋体"/>
        </w:rPr>
      </w:pPr>
      <w:r>
        <w:rPr>
          <w:rFonts w:hint="eastAsia" w:ascii="宋体" w:hAnsi="宋体" w:eastAsia="宋体" w:cs="宋体"/>
        </w:rPr>
        <w:t>隔水</w:t>
      </w:r>
      <w:r>
        <w:rPr>
          <w:rFonts w:hint="eastAsia" w:ascii="仿宋" w:hAnsi="仿宋" w:eastAsia="仿宋" w:cs="仿宋"/>
        </w:rPr>
        <w:t>栓</w:t>
      </w:r>
      <w:r>
        <w:rPr>
          <w:rFonts w:hint="eastAsia" w:ascii="宋体" w:hAnsi="宋体" w:eastAsia="宋体" w:cs="宋体"/>
        </w:rPr>
        <w:t>：在灌注时，用汽车吊的主勾吊起储料斗，与导管相连接，把隔水栓堵放在其底部，向斗内注满混凝土并将罐车溜槽对准料斗后，用吊机副勾钢丝绳把隔水栓快速提出并同时开动罐车向料斗注入砼，使混凝土在很短的时间内降落到孔底，完成封底工作，之后，应连续、紧凑的进行灌注，严禁中途停工。</w:t>
      </w:r>
    </w:p>
    <w:p w14:paraId="6C125665">
      <w:pPr>
        <w:adjustRightInd w:val="0"/>
        <w:snapToGrid w:val="0"/>
        <w:ind w:left="-140" w:firstLine="480"/>
        <w:rPr>
          <w:rFonts w:hint="eastAsia" w:ascii="宋体" w:hAnsi="宋体" w:eastAsia="宋体" w:cs="宋体"/>
          <w:b/>
        </w:rPr>
      </w:pPr>
      <w:r>
        <w:rPr>
          <w:rFonts w:hint="eastAsia" w:ascii="宋体" w:hAnsi="宋体" w:eastAsia="宋体" w:cs="宋体"/>
        </w:rPr>
        <w:t>漏斗：漏斗用来往导管输送混凝土，漏斗的外形为方截锥形，上口尺寸为1000mm×1000mm，下口尺寸略小于导管内径，用2mm钢板制成。</w:t>
      </w:r>
    </w:p>
    <w:bookmarkEnd w:id="1008"/>
    <w:p w14:paraId="37BB588A">
      <w:pPr>
        <w:pStyle w:val="14"/>
        <w:bidi w:val="0"/>
        <w:rPr>
          <w:rFonts w:hint="eastAsia"/>
        </w:rPr>
      </w:pPr>
      <w:bookmarkStart w:id="1009" w:name="_Toc17703979"/>
      <w:bookmarkStart w:id="1010" w:name="_Toc23014"/>
      <w:bookmarkStart w:id="1011" w:name="_Toc8719"/>
      <w:bookmarkStart w:id="1012" w:name="_Toc15541"/>
      <w:bookmarkStart w:id="1013" w:name="_Toc10591"/>
      <w:bookmarkStart w:id="1014" w:name="_Toc8860"/>
      <w:bookmarkStart w:id="1015" w:name="_Toc13085"/>
      <w:bookmarkStart w:id="1016" w:name="_Toc21708"/>
      <w:bookmarkStart w:id="1017" w:name="_Toc40433232"/>
      <w:r>
        <w:rPr>
          <w:rFonts w:hint="eastAsia"/>
          <w:lang w:val="en-US" w:eastAsia="zh-CN"/>
        </w:rPr>
        <w:t>12、</w:t>
      </w:r>
      <w:r>
        <w:rPr>
          <w:rFonts w:hint="eastAsia"/>
        </w:rPr>
        <w:t>水下浇筑混凝土</w:t>
      </w:r>
      <w:bookmarkEnd w:id="1009"/>
      <w:bookmarkEnd w:id="1010"/>
      <w:bookmarkEnd w:id="1011"/>
      <w:bookmarkEnd w:id="1012"/>
      <w:bookmarkEnd w:id="1013"/>
      <w:bookmarkEnd w:id="1014"/>
      <w:bookmarkEnd w:id="1015"/>
      <w:bookmarkEnd w:id="1016"/>
      <w:bookmarkEnd w:id="1017"/>
    </w:p>
    <w:p w14:paraId="6CA17B45">
      <w:pPr>
        <w:ind w:firstLine="480"/>
        <w:rPr>
          <w:rFonts w:hint="eastAsia" w:ascii="宋体" w:hAnsi="宋体" w:eastAsia="宋体" w:cs="宋体"/>
        </w:rPr>
      </w:pPr>
      <w:bookmarkStart w:id="1018" w:name="_Toc17703981"/>
      <w:r>
        <w:rPr>
          <w:rFonts w:hint="eastAsia" w:ascii="宋体" w:hAnsi="宋体" w:eastAsia="宋体" w:cs="宋体"/>
        </w:rPr>
        <w:t>水下混凝土配合比必须经过试验且强度等级合格，具备良好的和易性，满足灌桩要求。</w:t>
      </w:r>
    </w:p>
    <w:bookmarkEnd w:id="1018"/>
    <w:p w14:paraId="1F9A1846">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准备工作：水下灌注混凝土必须连续进行，因此，做好灌注前的准备工作尤为重要。一般在桩成孔后，在清孔的同时，就应着手进行灌注前的工器具及物资材料的准备工作。</w:t>
      </w:r>
    </w:p>
    <w:p w14:paraId="79BC03DD">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放入导管：导管利用钻架吊装，在桩孔内吊导管时，要防止触碰钢筋骨架。导管组装应垂直平整，接头应严密，做到不漏水、漏浆，同时能使隔水球顺利下落。导管的安装深度，一般应距孔底大约400mm，以保证隔水球能冲出管口，避免发生混凝土堵口。</w:t>
      </w:r>
    </w:p>
    <w:p w14:paraId="2FB365CB">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安装隔水</w:t>
      </w:r>
      <w:r>
        <w:rPr>
          <w:rFonts w:hint="eastAsia" w:ascii="仿宋" w:hAnsi="仿宋" w:eastAsia="仿宋" w:cs="仿宋"/>
        </w:rPr>
        <w:t>栓</w:t>
      </w:r>
      <w:r>
        <w:rPr>
          <w:rFonts w:hint="eastAsia" w:ascii="宋体" w:hAnsi="宋体" w:eastAsia="宋体" w:cs="宋体"/>
        </w:rPr>
        <w:t>：在灌注时，用汽车吊的主勾吊起储料斗，与导管相连接，把隔水栓堵放在其底部，向斗内注满混凝土并将罐车溜槽对准料斗后，用吊机副勾钢丝绳把隔水栓快速提出并同时开动罐车向料斗注入砼。</w:t>
      </w:r>
    </w:p>
    <w:p w14:paraId="58862D7E">
      <w:pPr>
        <w:ind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混凝土浇灌：检查成孔质量合格后应尽快灌注混凝土，最迟不超过4h；混凝土灌注充盈系数不得小于1，一般土质为1.1～1.2，软土为1.2～1.3。灌注混凝土是一项紧张而细致的工作，要有健全的组织和明确的分工，做到各负其责，遇到操作事故，要冷静分析处理。混凝土浇灌如下图。</w:t>
      </w:r>
    </w:p>
    <w:p w14:paraId="71CCA4C1">
      <w:pPr>
        <w:pStyle w:val="14"/>
        <w:ind w:left="-140" w:firstLine="480"/>
        <w:jc w:val="center"/>
        <w:rPr>
          <w:rFonts w:hint="eastAsia" w:ascii="宋体" w:hAnsi="宋体" w:eastAsia="宋体" w:cs="宋体"/>
        </w:rPr>
      </w:pPr>
      <w:r>
        <w:rPr>
          <w:rFonts w:hint="eastAsia" w:ascii="宋体" w:hAnsi="宋体" w:eastAsia="宋体" w:cs="宋体"/>
        </w:rPr>
        <w:drawing>
          <wp:inline distT="0" distB="0" distL="114300" distR="114300">
            <wp:extent cx="3629025" cy="1990725"/>
            <wp:effectExtent l="0" t="0" r="13335" b="5715"/>
            <wp:docPr id="1476" name="图片 23" descr="4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图片 23" descr="43.emf"/>
                    <pic:cNvPicPr>
                      <a:picLocks noChangeAspect="1"/>
                    </pic:cNvPicPr>
                  </pic:nvPicPr>
                  <pic:blipFill>
                    <a:blip r:embed="rId110"/>
                    <a:srcRect l="4027" t="1952" r="9317"/>
                    <a:stretch>
                      <a:fillRect/>
                    </a:stretch>
                  </pic:blipFill>
                  <pic:spPr>
                    <a:xfrm>
                      <a:off x="0" y="0"/>
                      <a:ext cx="3629025" cy="1990725"/>
                    </a:xfrm>
                    <a:prstGeom prst="rect">
                      <a:avLst/>
                    </a:prstGeom>
                    <a:noFill/>
                    <a:ln>
                      <a:noFill/>
                    </a:ln>
                  </pic:spPr>
                </pic:pic>
              </a:graphicData>
            </a:graphic>
          </wp:inline>
        </w:drawing>
      </w:r>
    </w:p>
    <w:p w14:paraId="117DE313">
      <w:pPr>
        <w:pStyle w:val="14"/>
        <w:ind w:left="-140" w:firstLine="480"/>
        <w:jc w:val="center"/>
        <w:rPr>
          <w:rFonts w:hint="eastAsia" w:ascii="宋体" w:hAnsi="宋体" w:eastAsia="宋体" w:cs="宋体"/>
          <w:highlight w:val="none"/>
          <w:u w:val="double"/>
        </w:rPr>
      </w:pPr>
      <w:r>
        <w:rPr>
          <w:rFonts w:hint="eastAsia" w:ascii="宋体" w:hAnsi="宋体" w:eastAsia="宋体" w:cs="宋体"/>
          <w:highlight w:val="none"/>
          <w:u w:val="double"/>
        </w:rPr>
        <w:t>混凝土浇筑示意图</w:t>
      </w:r>
    </w:p>
    <w:p w14:paraId="51FDC766">
      <w:pPr>
        <w:ind w:firstLine="480"/>
        <w:rPr>
          <w:rFonts w:hint="eastAsia" w:ascii="宋体" w:hAnsi="宋体" w:eastAsia="宋体" w:cs="宋体"/>
          <w:highlight w:val="none"/>
        </w:rPr>
      </w:pPr>
      <w:r>
        <w:rPr>
          <w:rFonts w:hint="eastAsia" w:ascii="宋体" w:hAnsi="宋体" w:eastAsia="宋体" w:cs="宋体"/>
          <w:highlight w:val="none"/>
        </w:rPr>
        <w:t>首批混凝土灌注方量计算</w:t>
      </w:r>
    </w:p>
    <w:p w14:paraId="3ED5BEB4">
      <w:pPr>
        <w:ind w:firstLine="480"/>
        <w:rPr>
          <w:rFonts w:hint="eastAsia" w:ascii="宋体" w:hAnsi="宋体" w:eastAsia="宋体" w:cs="宋体"/>
          <w:highlight w:val="none"/>
        </w:rPr>
      </w:pPr>
      <w:r>
        <w:rPr>
          <w:rFonts w:hint="eastAsia" w:ascii="宋体" w:hAnsi="宋体" w:eastAsia="宋体" w:cs="宋体"/>
          <w:highlight w:val="none"/>
        </w:rPr>
        <w:t>首批混凝土的方量应能满足导管初次埋置深度大于等于1.0m和填充导管底部的需要，首批混凝土的数量为：</w:t>
      </w:r>
    </w:p>
    <w:p w14:paraId="463B4D2D">
      <w:pPr>
        <w:ind w:firstLine="480"/>
        <w:rPr>
          <w:rFonts w:hint="eastAsia" w:ascii="宋体" w:hAnsi="宋体" w:eastAsia="宋体" w:cs="宋体"/>
          <w:highlight w:val="none"/>
        </w:rPr>
      </w:pPr>
      <w:r>
        <w:rPr>
          <w:rFonts w:hint="eastAsia" w:ascii="宋体" w:hAnsi="宋体" w:eastAsia="宋体" w:cs="宋体"/>
          <w:highlight w:val="none"/>
        </w:rPr>
        <w:object>
          <v:shape id="_x0000_i1041" o:spt="75" type="#_x0000_t75" style="height:37.3pt;width:182.25pt;" o:ole="t" filled="f" stroked="f" coordsize="21600,21600">
            <v:path/>
            <v:fill on="f" focussize="0,0"/>
            <v:stroke on="f"/>
            <v:imagedata r:id="rId112" o:title=""/>
            <o:lock v:ext="edit" aspectratio="t"/>
            <w10:wrap type="none"/>
            <w10:anchorlock/>
          </v:shape>
          <o:OLEObject Type="Embed" ProgID="Equation.3" ShapeID="_x0000_i1041" DrawAspect="Content" ObjectID="_1468075741" r:id="rId111">
            <o:LockedField>false</o:LockedField>
          </o:OLEObject>
        </w:object>
      </w:r>
    </w:p>
    <w:p w14:paraId="6FF416EC">
      <w:pPr>
        <w:ind w:firstLine="480"/>
        <w:rPr>
          <w:rFonts w:hint="eastAsia" w:ascii="宋体" w:hAnsi="宋体" w:eastAsia="宋体" w:cs="宋体"/>
          <w:highlight w:val="none"/>
        </w:rPr>
      </w:pPr>
      <w:r>
        <w:rPr>
          <w:rFonts w:hint="eastAsia" w:ascii="宋体" w:hAnsi="宋体" w:eastAsia="宋体" w:cs="宋体"/>
          <w:highlight w:val="none"/>
        </w:rPr>
        <w:t>式中:V——砼初灌量（m3）；</w:t>
      </w:r>
    </w:p>
    <w:p w14:paraId="3B61E205">
      <w:pPr>
        <w:ind w:firstLine="480"/>
        <w:rPr>
          <w:rFonts w:hint="eastAsia" w:ascii="宋体" w:hAnsi="宋体" w:eastAsia="宋体" w:cs="宋体"/>
          <w:highlight w:val="none"/>
        </w:rPr>
      </w:pPr>
      <w:r>
        <w:rPr>
          <w:rFonts w:hint="eastAsia" w:ascii="宋体" w:hAnsi="宋体" w:eastAsia="宋体" w:cs="宋体"/>
          <w:highlight w:val="none"/>
        </w:rPr>
        <w:t>D——桩孔直径（m）；</w:t>
      </w:r>
    </w:p>
    <w:p w14:paraId="490E5E83">
      <w:pPr>
        <w:ind w:firstLine="480"/>
        <w:rPr>
          <w:rFonts w:hint="eastAsia" w:ascii="宋体" w:hAnsi="宋体" w:eastAsia="宋体" w:cs="宋体"/>
          <w:highlight w:val="none"/>
        </w:rPr>
      </w:pPr>
      <w:r>
        <w:rPr>
          <w:rFonts w:hint="eastAsia" w:ascii="宋体" w:hAnsi="宋体" w:eastAsia="宋体" w:cs="宋体"/>
          <w:highlight w:val="none"/>
        </w:rPr>
        <w:t>H1——桩孔底至导管底端间距，取0.4M；</w:t>
      </w:r>
    </w:p>
    <w:p w14:paraId="15D47300">
      <w:pPr>
        <w:ind w:firstLine="480"/>
        <w:rPr>
          <w:rFonts w:hint="eastAsia" w:ascii="宋体" w:hAnsi="宋体" w:eastAsia="宋体" w:cs="宋体"/>
          <w:highlight w:val="none"/>
        </w:rPr>
      </w:pPr>
      <w:r>
        <w:rPr>
          <w:rFonts w:hint="eastAsia" w:ascii="宋体" w:hAnsi="宋体" w:eastAsia="宋体" w:cs="宋体"/>
          <w:highlight w:val="none"/>
        </w:rPr>
        <w:t>H2——导管初次埋置深度（不小于1.0M）；</w:t>
      </w:r>
    </w:p>
    <w:p w14:paraId="47FFB77E">
      <w:pPr>
        <w:ind w:firstLine="480"/>
        <w:rPr>
          <w:rFonts w:hint="eastAsia" w:ascii="宋体" w:hAnsi="宋体" w:eastAsia="宋体" w:cs="宋体"/>
          <w:highlight w:val="none"/>
        </w:rPr>
      </w:pPr>
      <w:r>
        <w:rPr>
          <w:rFonts w:hint="eastAsia" w:ascii="宋体" w:hAnsi="宋体" w:eastAsia="宋体" w:cs="宋体"/>
          <w:highlight w:val="none"/>
        </w:rPr>
        <w:t>d——导管内径（m）；</w:t>
      </w:r>
    </w:p>
    <w:p w14:paraId="51E15077">
      <w:pPr>
        <w:ind w:firstLine="480"/>
        <w:rPr>
          <w:rFonts w:hint="eastAsia" w:ascii="宋体" w:hAnsi="宋体" w:eastAsia="宋体" w:cs="宋体"/>
          <w:highlight w:val="none"/>
        </w:rPr>
      </w:pPr>
      <w:r>
        <w:rPr>
          <w:rFonts w:hint="eastAsia" w:ascii="宋体" w:hAnsi="宋体" w:eastAsia="宋体" w:cs="宋体"/>
          <w:highlight w:val="none"/>
        </w:rPr>
        <w:t>h1——桩孔内混凝土达到埋置深度H2时，导管内混凝土柱平衡导管外（或泥浆）压力所需的高度（m），即h1=HWγW/γC；</w:t>
      </w:r>
    </w:p>
    <w:p w14:paraId="33953B2D">
      <w:pPr>
        <w:ind w:firstLine="480"/>
        <w:rPr>
          <w:rFonts w:hint="eastAsia" w:ascii="宋体" w:hAnsi="宋体" w:eastAsia="宋体" w:cs="宋体"/>
          <w:highlight w:val="none"/>
        </w:rPr>
      </w:pPr>
      <w:bookmarkStart w:id="1019" w:name="_Toc1414"/>
      <w:bookmarkStart w:id="1020" w:name="_Toc38228371"/>
      <w:bookmarkStart w:id="1021" w:name="_Toc38227474"/>
      <w:r>
        <w:rPr>
          <w:rFonts w:hint="eastAsia" w:ascii="宋体" w:hAnsi="宋体" w:eastAsia="宋体" w:cs="宋体"/>
          <w:highlight w:val="none"/>
        </w:rPr>
        <w:t>HW——井孔内水或泥浆的深度（m）；</w:t>
      </w:r>
      <w:bookmarkEnd w:id="1019"/>
      <w:bookmarkEnd w:id="1020"/>
      <w:bookmarkEnd w:id="1021"/>
    </w:p>
    <w:p w14:paraId="2B723E4C">
      <w:pPr>
        <w:ind w:firstLine="480"/>
        <w:rPr>
          <w:rFonts w:hint="eastAsia" w:ascii="宋体" w:hAnsi="宋体" w:eastAsia="宋体" w:cs="宋体"/>
          <w:highlight w:val="none"/>
        </w:rPr>
      </w:pPr>
      <w:r>
        <w:rPr>
          <w:rFonts w:hint="eastAsia" w:ascii="宋体" w:hAnsi="宋体" w:eastAsia="宋体" w:cs="宋体"/>
          <w:highlight w:val="none"/>
        </w:rPr>
        <w:t>γW——井孔内泥浆的重度（kN/m3），（一般为10.5）；</w:t>
      </w:r>
    </w:p>
    <w:p w14:paraId="329ADD52">
      <w:pPr>
        <w:ind w:firstLine="480"/>
        <w:rPr>
          <w:rFonts w:hint="eastAsia" w:ascii="宋体" w:hAnsi="宋体" w:eastAsia="宋体" w:cs="宋体"/>
          <w:highlight w:val="none"/>
        </w:rPr>
      </w:pPr>
      <w:r>
        <w:rPr>
          <w:rFonts w:hint="eastAsia" w:ascii="宋体" w:hAnsi="宋体" w:eastAsia="宋体" w:cs="宋体"/>
          <w:highlight w:val="none"/>
        </w:rPr>
        <w:t>γC——混凝土拌和物的重度（取24kN/m3）。</w:t>
      </w:r>
    </w:p>
    <w:p w14:paraId="4702CF63">
      <w:pPr>
        <w:ind w:firstLine="480"/>
        <w:rPr>
          <w:rFonts w:hint="eastAsia" w:ascii="宋体" w:hAnsi="宋体" w:eastAsia="宋体" w:cs="宋体"/>
        </w:rPr>
      </w:pPr>
      <w:r>
        <w:rPr>
          <w:rFonts w:hint="eastAsia" w:ascii="宋体" w:hAnsi="宋体" w:eastAsia="宋体" w:cs="宋体"/>
          <w:highlight w:val="none"/>
        </w:rPr>
        <w:t>灌注混凝土：先用水泥砂浆注入导管内隔水球上方，接着向导管和漏斗内灌注混凝土，</w:t>
      </w:r>
      <w:r>
        <w:rPr>
          <w:rFonts w:hint="eastAsia" w:ascii="宋体" w:hAnsi="宋体" w:eastAsia="宋体" w:cs="宋体"/>
        </w:rPr>
        <w:t>当混凝土量达到V的数值后，</w:t>
      </w:r>
      <w:r>
        <w:rPr>
          <w:rFonts w:hint="eastAsia" w:ascii="宋体" w:hAnsi="宋体" w:cs="宋体"/>
          <w:lang w:val="en-US" w:eastAsia="zh-CN"/>
        </w:rPr>
        <w:t>拉起</w:t>
      </w:r>
      <w:r>
        <w:rPr>
          <w:rFonts w:hint="eastAsia" w:ascii="宋体" w:hAnsi="宋体" w:eastAsia="宋体" w:cs="宋体"/>
        </w:rPr>
        <w:t>隔水</w:t>
      </w:r>
      <w:r>
        <w:rPr>
          <w:rFonts w:hint="eastAsia" w:ascii="宋体" w:hAnsi="宋体" w:cs="宋体"/>
          <w:lang w:val="en-US" w:eastAsia="zh-CN"/>
        </w:rPr>
        <w:t>栓</w:t>
      </w:r>
      <w:r>
        <w:rPr>
          <w:rFonts w:hint="eastAsia" w:ascii="宋体" w:hAnsi="宋体" w:eastAsia="宋体" w:cs="宋体"/>
        </w:rPr>
        <w:t>，然后继续向导管内灌注混凝土。</w:t>
      </w:r>
    </w:p>
    <w:p w14:paraId="0078A582">
      <w:pPr>
        <w:ind w:firstLine="480"/>
        <w:rPr>
          <w:rFonts w:hint="eastAsia" w:ascii="宋体" w:hAnsi="宋体" w:eastAsia="宋体" w:cs="宋体"/>
        </w:rPr>
      </w:pPr>
      <w:r>
        <w:rPr>
          <w:rFonts w:hint="eastAsia" w:ascii="宋体" w:hAnsi="宋体" w:eastAsia="宋体" w:cs="宋体"/>
        </w:rPr>
        <w:t>提升导管：随着混凝土的灌注，导管埋入混凝土的深度逐渐加大，这时应逐渐提升和拆除导管。</w:t>
      </w:r>
    </w:p>
    <w:p w14:paraId="7B91A341">
      <w:pPr>
        <w:ind w:firstLine="480"/>
        <w:rPr>
          <w:rFonts w:hint="eastAsia" w:ascii="宋体" w:hAnsi="宋体" w:eastAsia="宋体" w:cs="宋体"/>
        </w:rPr>
      </w:pPr>
      <w:r>
        <w:rPr>
          <w:rFonts w:hint="eastAsia" w:ascii="宋体" w:hAnsi="宋体" w:eastAsia="宋体" w:cs="宋体"/>
        </w:rPr>
        <w:t>混凝土灌注高度计算式为：h6=h3-h4</w:t>
      </w:r>
    </w:p>
    <w:p w14:paraId="45A33D16">
      <w:pPr>
        <w:ind w:firstLine="480"/>
        <w:rPr>
          <w:rFonts w:hint="eastAsia" w:ascii="宋体" w:hAnsi="宋体" w:eastAsia="宋体" w:cs="宋体"/>
        </w:rPr>
      </w:pPr>
      <w:r>
        <w:rPr>
          <w:rFonts w:hint="eastAsia" w:ascii="宋体" w:hAnsi="宋体" w:eastAsia="宋体" w:cs="宋体"/>
        </w:rPr>
        <w:t>导管埋入混凝土深度计算式为：h2=h1-h5</w:t>
      </w:r>
    </w:p>
    <w:p w14:paraId="1020D14A">
      <w:pPr>
        <w:ind w:firstLine="480"/>
        <w:rPr>
          <w:rFonts w:hint="eastAsia" w:ascii="宋体" w:hAnsi="宋体" w:eastAsia="宋体" w:cs="宋体"/>
        </w:rPr>
      </w:pPr>
      <w:r>
        <w:rPr>
          <w:rFonts w:hint="eastAsia" w:ascii="宋体" w:hAnsi="宋体" w:eastAsia="宋体" w:cs="宋体"/>
        </w:rPr>
        <w:t>式中h1——导管在孔中总长度m)；</w:t>
      </w:r>
    </w:p>
    <w:p w14:paraId="7AFD9913">
      <w:pPr>
        <w:ind w:firstLine="480"/>
        <w:rPr>
          <w:rFonts w:hint="eastAsia" w:ascii="宋体" w:hAnsi="宋体" w:eastAsia="宋体" w:cs="宋体"/>
        </w:rPr>
      </w:pPr>
      <w:r>
        <w:rPr>
          <w:rFonts w:hint="eastAsia" w:ascii="宋体" w:hAnsi="宋体" w:eastAsia="宋体" w:cs="宋体"/>
        </w:rPr>
        <w:t>h2——导管埋入混凝土中的深度m)；</w:t>
      </w:r>
    </w:p>
    <w:p w14:paraId="0888DEFB">
      <w:pPr>
        <w:ind w:firstLine="480"/>
        <w:rPr>
          <w:rFonts w:hint="eastAsia" w:ascii="宋体" w:hAnsi="宋体" w:eastAsia="宋体" w:cs="宋体"/>
        </w:rPr>
      </w:pPr>
      <w:r>
        <w:rPr>
          <w:rFonts w:hint="eastAsia" w:ascii="宋体" w:hAnsi="宋体" w:eastAsia="宋体" w:cs="宋体"/>
        </w:rPr>
        <w:t>h3——桩孔深度m)；</w:t>
      </w:r>
    </w:p>
    <w:p w14:paraId="3CC0F517">
      <w:pPr>
        <w:ind w:firstLine="480"/>
        <w:rPr>
          <w:rFonts w:hint="eastAsia" w:ascii="宋体" w:hAnsi="宋体" w:eastAsia="宋体" w:cs="宋体"/>
        </w:rPr>
      </w:pPr>
      <w:r>
        <w:rPr>
          <w:rFonts w:hint="eastAsia" w:ascii="宋体" w:hAnsi="宋体" w:eastAsia="宋体" w:cs="宋体"/>
        </w:rPr>
        <w:t>h4——已灌注的混凝土表面至桩孔口距离m)；</w:t>
      </w:r>
    </w:p>
    <w:p w14:paraId="6684ED9B">
      <w:pPr>
        <w:ind w:firstLine="480"/>
        <w:rPr>
          <w:rFonts w:hint="eastAsia" w:ascii="宋体" w:hAnsi="宋体" w:eastAsia="宋体" w:cs="宋体"/>
        </w:rPr>
      </w:pPr>
      <w:r>
        <w:rPr>
          <w:rFonts w:hint="eastAsia" w:ascii="宋体" w:hAnsi="宋体" w:eastAsia="宋体" w:cs="宋体"/>
        </w:rPr>
        <w:t>h5——已灌注的混凝土表面至导管上口的距离m)；</w:t>
      </w:r>
    </w:p>
    <w:p w14:paraId="214B3577">
      <w:pPr>
        <w:ind w:firstLine="480"/>
        <w:rPr>
          <w:rFonts w:hint="eastAsia" w:ascii="宋体" w:hAnsi="宋体" w:eastAsia="宋体" w:cs="宋体"/>
        </w:rPr>
      </w:pPr>
      <w:r>
        <w:rPr>
          <w:rFonts w:hint="eastAsia" w:ascii="宋体" w:hAnsi="宋体" w:eastAsia="宋体" w:cs="宋体"/>
        </w:rPr>
        <w:t>h6——混凝土灌注高度m)。</w:t>
      </w:r>
    </w:p>
    <w:p w14:paraId="06057E30">
      <w:pPr>
        <w:ind w:firstLine="480"/>
        <w:rPr>
          <w:rFonts w:hint="eastAsia" w:ascii="宋体" w:hAnsi="宋体" w:eastAsia="宋体" w:cs="宋体"/>
        </w:rPr>
      </w:pPr>
      <w:r>
        <w:rPr>
          <w:rFonts w:hint="eastAsia" w:ascii="宋体" w:hAnsi="宋体" w:eastAsia="宋体" w:cs="宋体"/>
        </w:rPr>
        <w:t>混凝土浇注过程中，每拆除一节导管，应同时按下式计算桩径。</w:t>
      </w:r>
    </w:p>
    <w:p w14:paraId="28E86CF7">
      <w:pPr>
        <w:ind w:left="-140" w:firstLine="480"/>
        <w:rPr>
          <w:rFonts w:hint="eastAsia" w:ascii="宋体" w:hAnsi="宋体" w:eastAsia="宋体" w:cs="宋体"/>
          <w:szCs w:val="28"/>
        </w:rPr>
      </w:pPr>
      <w:r>
        <w:rPr>
          <w:rFonts w:hint="eastAsia" w:ascii="宋体" w:hAnsi="宋体" w:eastAsia="宋体" w:cs="宋体"/>
          <w:position w:val="-66"/>
          <w:szCs w:val="28"/>
        </w:rPr>
        <w:object>
          <v:shape id="_x0000_i1042" o:spt="75" type="#_x0000_t75" style="height:57pt;width:119.25pt;" o:ole="t" filled="f" o:preferrelative="t" stroked="f" coordsize="21600,21600">
            <v:path/>
            <v:fill on="f" focussize="0,0"/>
            <v:stroke on="f" joinstyle="miter"/>
            <v:imagedata r:id="rId114" o:title=""/>
            <o:lock v:ext="edit" aspectratio="t"/>
            <w10:wrap type="none"/>
            <w10:anchorlock/>
          </v:shape>
          <o:OLEObject Type="Embed" ProgID="Equation.3" ShapeID="_x0000_i1042" DrawAspect="Content" ObjectID="_1468075742" r:id="rId113">
            <o:LockedField>false</o:LockedField>
          </o:OLEObject>
        </w:object>
      </w:r>
    </w:p>
    <w:p w14:paraId="7E284B06">
      <w:pPr>
        <w:ind w:firstLine="480"/>
        <w:rPr>
          <w:rFonts w:hint="eastAsia" w:ascii="宋体" w:hAnsi="宋体" w:eastAsia="宋体" w:cs="宋体"/>
        </w:rPr>
      </w:pPr>
      <w:r>
        <w:rPr>
          <w:rFonts w:hint="eastAsia" w:ascii="宋体" w:hAnsi="宋体" w:eastAsia="宋体" w:cs="宋体"/>
        </w:rPr>
        <w:t>式中：Q0——已浇灌混凝土量（m3）；</w:t>
      </w:r>
    </w:p>
    <w:p w14:paraId="3AD7C053">
      <w:pPr>
        <w:ind w:firstLine="480"/>
        <w:rPr>
          <w:rFonts w:hint="eastAsia" w:ascii="宋体" w:hAnsi="宋体" w:eastAsia="宋体" w:cs="宋体"/>
        </w:rPr>
      </w:pPr>
      <w:r>
        <w:rPr>
          <w:rFonts w:hint="eastAsia" w:ascii="宋体" w:hAnsi="宋体" w:eastAsia="宋体" w:cs="宋体"/>
        </w:rPr>
        <w:t>Q1——导管内混凝土面高出管外混凝土面的混凝土量（m3）；</w:t>
      </w:r>
    </w:p>
    <w:p w14:paraId="54DE2CB1">
      <w:pPr>
        <w:ind w:firstLine="480"/>
        <w:rPr>
          <w:rFonts w:hint="eastAsia" w:ascii="宋体" w:hAnsi="宋体" w:eastAsia="宋体" w:cs="宋体"/>
        </w:rPr>
      </w:pPr>
      <w:r>
        <w:rPr>
          <w:rFonts w:hint="eastAsia" w:ascii="宋体" w:hAnsi="宋体" w:eastAsia="宋体" w:cs="宋体"/>
        </w:rPr>
        <w:t>△h——导管内外混凝土面间高差（m）；</w:t>
      </w:r>
    </w:p>
    <w:p w14:paraId="18F86EFA">
      <w:pPr>
        <w:ind w:firstLine="480"/>
        <w:rPr>
          <w:rFonts w:hint="eastAsia" w:ascii="宋体" w:hAnsi="宋体" w:eastAsia="宋体" w:cs="宋体"/>
        </w:rPr>
      </w:pPr>
      <w:r>
        <w:rPr>
          <w:rFonts w:hint="eastAsia" w:ascii="宋体" w:hAnsi="宋体" w:eastAsia="宋体" w:cs="宋体"/>
        </w:rPr>
        <w:t>hs——桩孔内混凝土上升高度（m）；</w:t>
      </w:r>
    </w:p>
    <w:p w14:paraId="69304105">
      <w:pPr>
        <w:ind w:firstLine="480"/>
        <w:rPr>
          <w:rFonts w:hint="eastAsia" w:ascii="宋体" w:hAnsi="宋体" w:eastAsia="宋体" w:cs="宋体"/>
        </w:rPr>
      </w:pPr>
      <w:r>
        <w:rPr>
          <w:rFonts w:hint="eastAsia" w:ascii="宋体" w:hAnsi="宋体" w:eastAsia="宋体" w:cs="宋体"/>
        </w:rPr>
        <w:t>d——导管内径（m）。</w:t>
      </w:r>
    </w:p>
    <w:p w14:paraId="278E39DB">
      <w:pPr>
        <w:ind w:firstLine="480"/>
        <w:rPr>
          <w:rFonts w:hint="eastAsia" w:ascii="宋体" w:hAnsi="宋体" w:eastAsia="宋体" w:cs="宋体"/>
        </w:rPr>
      </w:pPr>
      <w:r>
        <w:rPr>
          <w:rFonts w:hint="eastAsia" w:ascii="宋体" w:hAnsi="宋体" w:eastAsia="宋体" w:cs="宋体"/>
        </w:rPr>
        <w:t>浇筑时，混凝土温度不得低于10℃；当气温低于5℃以下浇筑混凝土时，应采取保温措施。</w:t>
      </w:r>
    </w:p>
    <w:p w14:paraId="3D4DDB5D">
      <w:pPr>
        <w:ind w:firstLine="480"/>
        <w:rPr>
          <w:rFonts w:hint="eastAsia" w:ascii="宋体" w:hAnsi="宋体" w:eastAsia="宋体" w:cs="宋体"/>
        </w:rPr>
      </w:pPr>
      <w:r>
        <w:rPr>
          <w:rFonts w:hint="eastAsia" w:ascii="宋体" w:hAnsi="宋体" w:eastAsia="宋体" w:cs="宋体"/>
        </w:rPr>
        <w:t>浇制过程中应设专人测量导管埋深及管内外混凝土面的高差，填写水下混凝土浇筑记录。</w:t>
      </w:r>
    </w:p>
    <w:p w14:paraId="12ABBCBA">
      <w:pPr>
        <w:ind w:firstLine="480"/>
        <w:rPr>
          <w:rFonts w:hint="eastAsia" w:ascii="宋体" w:hAnsi="宋体" w:eastAsia="宋体" w:cs="宋体"/>
        </w:rPr>
      </w:pPr>
      <w:r>
        <w:rPr>
          <w:rFonts w:hint="eastAsia" w:ascii="宋体" w:hAnsi="宋体" w:eastAsia="宋体" w:cs="宋体"/>
        </w:rPr>
        <w:t>基础的灌注、捣实、养护：桩柱下部的混凝土是依靠混凝土很大的冲力及挤压作用而捣实的。当混凝土灌注到达基础顶部时，需要配合捣固钎或振动棒进行捣实。</w:t>
      </w:r>
    </w:p>
    <w:p w14:paraId="799BF11C">
      <w:pPr>
        <w:ind w:firstLine="480"/>
        <w:rPr>
          <w:rFonts w:hint="eastAsia" w:ascii="宋体" w:hAnsi="宋体" w:eastAsia="宋体" w:cs="宋体"/>
        </w:rPr>
      </w:pPr>
      <w:r>
        <w:rPr>
          <w:rFonts w:hint="eastAsia" w:ascii="宋体" w:hAnsi="宋体" w:eastAsia="宋体" w:cs="宋体"/>
        </w:rPr>
        <w:t>水下混凝土必须连续施工，不得中断，在灌注过程中应用浮标或测锤测定混凝土的灌注高度，以检查灌注质量，每根桩的浇注时间按初盘混凝土的初凝时间控制，对浇注过程中的一切故障均应记录备案。</w:t>
      </w:r>
    </w:p>
    <w:p w14:paraId="24C8773C">
      <w:pPr>
        <w:ind w:firstLine="480"/>
        <w:rPr>
          <w:rFonts w:hint="eastAsia" w:ascii="宋体" w:hAnsi="宋体" w:eastAsia="宋体" w:cs="宋体"/>
        </w:rPr>
      </w:pPr>
      <w:r>
        <w:rPr>
          <w:rFonts w:hint="eastAsia" w:ascii="宋体" w:hAnsi="宋体" w:eastAsia="宋体" w:cs="宋体"/>
        </w:rPr>
        <w:t>每根桩最后一次浇注的混凝土的高度应高过设计标高</w:t>
      </w:r>
      <w:r>
        <w:rPr>
          <w:rFonts w:hint="eastAsia" w:ascii="宋体" w:hAnsi="宋体" w:cs="宋体"/>
          <w:lang w:val="en-US" w:eastAsia="zh-CN"/>
        </w:rPr>
        <w:t>0.5-1</w:t>
      </w:r>
      <w:r>
        <w:rPr>
          <w:rFonts w:hint="eastAsia" w:ascii="宋体" w:hAnsi="宋体" w:eastAsia="宋体" w:cs="宋体"/>
        </w:rPr>
        <w:t>米，以保证凿除浮浆层后，桩顶标高和桩顶混凝土质量符合设计要求。在护筒未拔出之前，人工将混浆层挖出，按设计标高抹平基础顶面。</w:t>
      </w:r>
    </w:p>
    <w:p w14:paraId="55D8928D">
      <w:pPr>
        <w:ind w:firstLine="480"/>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导管埋深的控制</w:t>
      </w:r>
    </w:p>
    <w:p w14:paraId="1122DAC1">
      <w:pPr>
        <w:ind w:firstLine="480"/>
        <w:rPr>
          <w:rFonts w:hint="eastAsia" w:ascii="宋体" w:hAnsi="宋体" w:eastAsia="宋体" w:cs="宋体"/>
          <w:highlight w:val="none"/>
        </w:rPr>
      </w:pPr>
      <w:r>
        <w:rPr>
          <w:rFonts w:hint="eastAsia" w:ascii="宋体" w:hAnsi="宋体" w:eastAsia="宋体" w:cs="宋体"/>
        </w:rPr>
        <w:t>混凝土灌注高度的控制：混凝土灌注高度是计算导管埋深的主要依据，同时也可用来计算桩孔断面的直径。一般情况下，可每灌</w:t>
      </w:r>
      <w:r>
        <w:rPr>
          <w:rFonts w:hint="eastAsia" w:ascii="宋体" w:hAnsi="宋体" w:eastAsia="宋体" w:cs="宋体"/>
          <w:highlight w:val="none"/>
        </w:rPr>
        <w:t>3m</w:t>
      </w:r>
      <w:r>
        <w:rPr>
          <w:rFonts w:hint="eastAsia" w:ascii="宋体" w:hAnsi="宋体" w:eastAsia="宋体" w:cs="宋体"/>
          <w:highlight w:val="none"/>
          <w:vertAlign w:val="superscript"/>
        </w:rPr>
        <w:t>3</w:t>
      </w:r>
      <w:r>
        <w:rPr>
          <w:rFonts w:hint="eastAsia" w:ascii="宋体" w:hAnsi="宋体" w:eastAsia="宋体" w:cs="宋体"/>
        </w:rPr>
        <w:t>混凝土测量一次。测定方法是用一根50m的测绳</w:t>
      </w:r>
      <w:r>
        <w:rPr>
          <w:rFonts w:hint="eastAsia" w:ascii="宋体" w:hAnsi="宋体" w:eastAsia="宋体" w:cs="宋体"/>
          <w:highlight w:val="none"/>
        </w:rPr>
        <w:t>，下系重量为3～4kg的重锤，将垂球靠近导管放下。为确保测量的准确性，应将垂球上、下反复提升2～3次，以判断垂球是否正好落在被测量的混凝土的表面。当混凝土灌到最后5～10m时，由于泥浆很稠，需换用较重的垂球，并用一根长5～10m细杆配合测量。</w:t>
      </w:r>
    </w:p>
    <w:p w14:paraId="7EA33FB0">
      <w:pPr>
        <w:ind w:firstLine="480"/>
        <w:rPr>
          <w:rFonts w:hint="eastAsia" w:ascii="宋体" w:hAnsi="宋体" w:eastAsia="宋体" w:cs="宋体"/>
          <w:highlight w:val="none"/>
        </w:rPr>
      </w:pPr>
      <w:r>
        <w:rPr>
          <w:rFonts w:hint="eastAsia" w:ascii="宋体" w:hAnsi="宋体" w:eastAsia="宋体" w:cs="宋体"/>
          <w:highlight w:val="none"/>
        </w:rPr>
        <w:t>导管埋深的控制：当隔水球跌落时，导管埋深应不小于</w:t>
      </w:r>
      <w:r>
        <w:rPr>
          <w:rFonts w:hint="eastAsia" w:ascii="宋体" w:hAnsi="宋体" w:cs="宋体"/>
          <w:highlight w:val="none"/>
          <w:lang w:val="en-US" w:eastAsia="zh-CN"/>
        </w:rPr>
        <w:t>1</w:t>
      </w:r>
      <w:r>
        <w:rPr>
          <w:rFonts w:hint="eastAsia" w:ascii="宋体" w:hAnsi="宋体" w:eastAsia="宋体" w:cs="宋体"/>
          <w:highlight w:val="none"/>
        </w:rPr>
        <w:t>m，此后进入正常浇制阶段，导管埋深控制在</w:t>
      </w:r>
      <w:r>
        <w:rPr>
          <w:rFonts w:hint="eastAsia" w:ascii="宋体" w:hAnsi="宋体" w:cs="宋体"/>
          <w:highlight w:val="none"/>
          <w:lang w:val="en-US" w:eastAsia="zh-CN"/>
        </w:rPr>
        <w:t>2</w:t>
      </w:r>
      <w:r>
        <w:rPr>
          <w:rFonts w:hint="eastAsia" w:ascii="宋体" w:hAnsi="宋体" w:eastAsia="宋体" w:cs="宋体"/>
          <w:highlight w:val="none"/>
        </w:rPr>
        <w:t>～</w:t>
      </w:r>
      <w:r>
        <w:rPr>
          <w:rFonts w:hint="eastAsia" w:ascii="宋体" w:hAnsi="宋体" w:cs="宋体"/>
          <w:highlight w:val="none"/>
          <w:lang w:val="en-US" w:eastAsia="zh-CN"/>
        </w:rPr>
        <w:t>6</w:t>
      </w:r>
      <w:r>
        <w:rPr>
          <w:rFonts w:hint="eastAsia" w:ascii="宋体" w:hAnsi="宋体" w:eastAsia="宋体" w:cs="宋体"/>
          <w:highlight w:val="none"/>
        </w:rPr>
        <w:t>m，最多不超过5m。太小时，可能使导管提漏（即导管提过头，使导管底部提高混凝土面）；太大时，阻力加大，增加水下灌注混凝土的困难。</w:t>
      </w:r>
    </w:p>
    <w:p w14:paraId="093E2B3F">
      <w:pPr>
        <w:ind w:firstLine="480"/>
        <w:rPr>
          <w:rFonts w:hint="eastAsia" w:ascii="宋体" w:hAnsi="宋体" w:eastAsia="宋体" w:cs="宋体"/>
          <w:highlight w:val="none"/>
        </w:rPr>
      </w:pPr>
      <w:r>
        <w:rPr>
          <w:rFonts w:hint="eastAsia" w:ascii="宋体" w:hAnsi="宋体" w:eastAsia="宋体" w:cs="宋体"/>
          <w:highlight w:val="none"/>
        </w:rPr>
        <w:t>灌注桩检测：灌注桩必须委托有资质的检测单位做声波透射法检测。</w:t>
      </w:r>
    </w:p>
    <w:p w14:paraId="0FE97213">
      <w:pPr>
        <w:pStyle w:val="14"/>
        <w:bidi w:val="0"/>
        <w:rPr>
          <w:rFonts w:hint="eastAsia"/>
        </w:rPr>
      </w:pPr>
      <w:bookmarkStart w:id="1022" w:name="_Toc32735"/>
      <w:bookmarkStart w:id="1023" w:name="_Toc1620"/>
      <w:bookmarkStart w:id="1024" w:name="_Toc20952"/>
      <w:bookmarkStart w:id="1025" w:name="_Toc19516"/>
      <w:r>
        <w:rPr>
          <w:rFonts w:hint="default"/>
          <w:lang w:val="en-US" w:eastAsia="zh-CN"/>
        </w:rPr>
        <w:t>1</w:t>
      </w:r>
      <w:r>
        <w:rPr>
          <w:rFonts w:hint="eastAsia"/>
          <w:lang w:val="en-US" w:eastAsia="zh-CN"/>
        </w:rPr>
        <w:t>3</w:t>
      </w:r>
      <w:r>
        <w:rPr>
          <w:rFonts w:hint="default"/>
          <w:lang w:val="en-US" w:eastAsia="zh-CN"/>
        </w:rPr>
        <w:t>.</w:t>
      </w:r>
      <w:r>
        <w:rPr>
          <w:rFonts w:hint="eastAsia"/>
        </w:rPr>
        <w:t>桩基施工注意事项</w:t>
      </w:r>
      <w:bookmarkEnd w:id="1022"/>
      <w:bookmarkEnd w:id="1023"/>
      <w:bookmarkEnd w:id="1024"/>
      <w:bookmarkEnd w:id="1025"/>
    </w:p>
    <w:p w14:paraId="172E6106">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护筒埋置平面位置正确，筒壁保持垂直，尽量埋到较坚实地层中。</w:t>
      </w:r>
    </w:p>
    <w:p w14:paraId="43755DF1">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在钻孔中经常测量钻头直径，以免造成孔径减小，如有磨损，须及时补焊。</w:t>
      </w:r>
    </w:p>
    <w:p w14:paraId="7F20FAF4">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每次灌注前，必须认真清洗、整修、拼装导管。</w:t>
      </w:r>
    </w:p>
    <w:p w14:paraId="785D1A20">
      <w:pPr>
        <w:ind w:firstLine="480"/>
        <w:rPr>
          <w:rFonts w:hint="eastAsia" w:ascii="宋体" w:hAnsi="宋体" w:eastAsia="宋体" w:cs="宋体"/>
        </w:rPr>
      </w:pPr>
      <w:r>
        <w:rPr>
          <w:rFonts w:hint="eastAsia" w:ascii="宋体" w:hAnsi="宋体" w:cs="宋体"/>
          <w:lang w:val="en-US" w:eastAsia="zh-CN"/>
        </w:rPr>
        <w:t>4、</w:t>
      </w:r>
      <w:r>
        <w:rPr>
          <w:rFonts w:hint="eastAsia" w:ascii="宋体" w:hAnsi="宋体" w:eastAsia="宋体" w:cs="宋体"/>
        </w:rPr>
        <w:t>灌注砼要严格控制石料粒径，最大为2.5cm(最小钢筋间距的1/4)，并控制好砼坍落度。</w:t>
      </w:r>
    </w:p>
    <w:p w14:paraId="3623536A">
      <w:pPr>
        <w:ind w:firstLine="480"/>
        <w:rPr>
          <w:rFonts w:hint="eastAsia" w:ascii="宋体" w:hAnsi="宋体" w:eastAsia="宋体" w:cs="宋体"/>
        </w:rPr>
      </w:pPr>
      <w:r>
        <w:rPr>
          <w:rFonts w:hint="eastAsia" w:ascii="宋体" w:hAnsi="宋体" w:cs="宋体"/>
          <w:lang w:val="en-US" w:eastAsia="zh-CN"/>
        </w:rPr>
        <w:t>5、</w:t>
      </w:r>
      <w:r>
        <w:rPr>
          <w:rFonts w:hint="eastAsia" w:ascii="宋体" w:hAnsi="宋体" w:eastAsia="宋体" w:cs="宋体"/>
        </w:rPr>
        <w:t>每次提升导管时，必须认真测量，准确计算导管埋入深度。</w:t>
      </w:r>
    </w:p>
    <w:p w14:paraId="508DA048">
      <w:pPr>
        <w:ind w:firstLine="480"/>
        <w:rPr>
          <w:rFonts w:hint="eastAsia" w:ascii="宋体" w:hAnsi="宋体" w:eastAsia="宋体" w:cs="宋体"/>
        </w:rPr>
      </w:pPr>
      <w:r>
        <w:rPr>
          <w:rFonts w:hint="eastAsia" w:ascii="宋体" w:hAnsi="宋体" w:cs="宋体"/>
          <w:lang w:val="en-US" w:eastAsia="zh-CN"/>
        </w:rPr>
        <w:t>6、</w:t>
      </w:r>
      <w:r>
        <w:rPr>
          <w:rFonts w:hint="eastAsia" w:ascii="宋体" w:hAnsi="宋体" w:eastAsia="宋体" w:cs="宋体"/>
        </w:rPr>
        <w:t>钻孔和灌注砼施工中详细记录全过程，并请监理工程师旁站指导。</w:t>
      </w:r>
    </w:p>
    <w:p w14:paraId="302C6FF0">
      <w:pPr>
        <w:pStyle w:val="14"/>
        <w:bidi w:val="0"/>
        <w:rPr>
          <w:rFonts w:hint="eastAsia"/>
        </w:rPr>
      </w:pPr>
      <w:bookmarkStart w:id="1026" w:name="_Toc29272"/>
      <w:bookmarkStart w:id="1027" w:name="_Toc27725"/>
      <w:bookmarkStart w:id="1028" w:name="_Toc18458"/>
      <w:bookmarkStart w:id="1029" w:name="_Toc16413"/>
      <w:r>
        <w:rPr>
          <w:rFonts w:hint="eastAsia"/>
          <w:lang w:val="en-US" w:eastAsia="zh-CN"/>
        </w:rPr>
        <w:t>14、</w:t>
      </w:r>
      <w:r>
        <w:rPr>
          <w:rFonts w:hint="eastAsia"/>
        </w:rPr>
        <w:t>质量保证技术措施及故障处理</w:t>
      </w:r>
      <w:bookmarkEnd w:id="1026"/>
      <w:bookmarkEnd w:id="1027"/>
      <w:bookmarkEnd w:id="1028"/>
      <w:bookmarkEnd w:id="1029"/>
    </w:p>
    <w:p w14:paraId="6B2A9423">
      <w:pPr>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钻孔质量保证技术措施</w:t>
      </w:r>
    </w:p>
    <w:p w14:paraId="0A6F3987">
      <w:pPr>
        <w:tabs>
          <w:tab w:val="left" w:pos="5250"/>
        </w:tabs>
        <w:ind w:left="-2" w:leftChars="-1" w:firstLine="525" w:firstLineChars="219"/>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1 \* GB3 </w:instrText>
      </w:r>
      <w:r>
        <w:rPr>
          <w:rFonts w:hint="eastAsia" w:ascii="宋体" w:hAnsi="宋体" w:eastAsia="宋体" w:cs="宋体"/>
        </w:rPr>
        <w:fldChar w:fldCharType="separate"/>
      </w:r>
      <w:r>
        <w:rPr>
          <w:rFonts w:hint="eastAsia" w:ascii="宋体" w:hAnsi="宋体" w:eastAsia="宋体" w:cs="宋体"/>
        </w:rPr>
        <w:t>①</w:t>
      </w:r>
      <w:r>
        <w:rPr>
          <w:rFonts w:hint="eastAsia" w:ascii="宋体" w:hAnsi="宋体" w:eastAsia="宋体" w:cs="宋体"/>
        </w:rPr>
        <w:fldChar w:fldCharType="end"/>
      </w:r>
      <w:r>
        <w:rPr>
          <w:rFonts w:hint="eastAsia" w:ascii="宋体" w:hAnsi="宋体" w:eastAsia="宋体" w:cs="宋体"/>
        </w:rPr>
        <w:t>选用钻头尺寸要满足孔径要求，冲击钻孔时，分两级钻进，以保证孔位垂直度和减少孔径尺寸误差。</w:t>
      </w:r>
    </w:p>
    <w:p w14:paraId="456E86B7">
      <w:pPr>
        <w:tabs>
          <w:tab w:val="left" w:pos="5250"/>
        </w:tabs>
        <w:ind w:left="-2" w:leftChars="-1" w:firstLine="525" w:firstLineChars="219"/>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2 \* GB3 </w:instrText>
      </w:r>
      <w:r>
        <w:rPr>
          <w:rFonts w:hint="eastAsia" w:ascii="宋体" w:hAnsi="宋体" w:eastAsia="宋体" w:cs="宋体"/>
        </w:rPr>
        <w:fldChar w:fldCharType="separate"/>
      </w:r>
      <w:r>
        <w:rPr>
          <w:rFonts w:hint="eastAsia" w:ascii="宋体" w:hAnsi="宋体" w:eastAsia="宋体" w:cs="宋体"/>
        </w:rPr>
        <w:t>②</w:t>
      </w:r>
      <w:r>
        <w:rPr>
          <w:rFonts w:hint="eastAsia" w:ascii="宋体" w:hAnsi="宋体" w:eastAsia="宋体" w:cs="宋体"/>
        </w:rPr>
        <w:fldChar w:fldCharType="end"/>
      </w:r>
      <w:r>
        <w:rPr>
          <w:rFonts w:hint="eastAsia" w:ascii="宋体" w:hAnsi="宋体" w:eastAsia="宋体" w:cs="宋体"/>
        </w:rPr>
        <w:t>钻机安装后的底座和顶端要平稳，确保钻进中不产生位移或沉陷。施工中经常检查钻架位移量并测量钻杆的倾斜度，当发现倾斜时，在倾斜处反复扫孔，以控制斜孔；当发现钻杆摆动较大时，要对钻机检查并控制转速，以防止扩孔。</w:t>
      </w:r>
    </w:p>
    <w:p w14:paraId="577526C9">
      <w:pPr>
        <w:tabs>
          <w:tab w:val="left" w:pos="5250"/>
        </w:tabs>
        <w:ind w:firstLine="480"/>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3 \* GB3 </w:instrText>
      </w:r>
      <w:r>
        <w:rPr>
          <w:rFonts w:hint="eastAsia" w:ascii="宋体" w:hAnsi="宋体" w:eastAsia="宋体" w:cs="宋体"/>
        </w:rPr>
        <w:fldChar w:fldCharType="separate"/>
      </w:r>
      <w:r>
        <w:rPr>
          <w:rFonts w:hint="eastAsia" w:ascii="宋体" w:hAnsi="宋体" w:eastAsia="宋体" w:cs="宋体"/>
        </w:rPr>
        <w:t>③</w:t>
      </w:r>
      <w:r>
        <w:rPr>
          <w:rFonts w:hint="eastAsia" w:ascii="宋体" w:hAnsi="宋体" w:eastAsia="宋体" w:cs="宋体"/>
        </w:rPr>
        <w:fldChar w:fldCharType="end"/>
      </w:r>
      <w:r>
        <w:rPr>
          <w:rFonts w:hint="eastAsia" w:ascii="宋体" w:hAnsi="宋体" w:eastAsia="宋体" w:cs="宋体"/>
        </w:rPr>
        <w:t>护筒埋设时，其中心竖直线与桩中心线重合，其误差要控制在允许范围内。</w:t>
      </w:r>
      <w:r>
        <w:rPr>
          <w:rFonts w:hint="eastAsia" w:ascii="宋体" w:hAnsi="宋体" w:eastAsia="宋体" w:cs="宋体"/>
        </w:rPr>
        <w:drawing>
          <wp:anchor distT="0" distB="0" distL="114300" distR="114300" simplePos="0" relativeHeight="251662336" behindDoc="1" locked="1" layoutInCell="1" allowOverlap="1">
            <wp:simplePos x="0" y="0"/>
            <wp:positionH relativeFrom="column">
              <wp:posOffset>5080000</wp:posOffset>
            </wp:positionH>
            <wp:positionV relativeFrom="paragraph">
              <wp:posOffset>9575800</wp:posOffset>
            </wp:positionV>
            <wp:extent cx="520700" cy="495300"/>
            <wp:effectExtent l="0" t="0" r="12700" b="7620"/>
            <wp:wrapNone/>
            <wp:docPr id="3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2"/>
                    <pic:cNvPicPr>
                      <a:picLocks noChangeAspect="1"/>
                    </pic:cNvPicPr>
                  </pic:nvPicPr>
                  <pic:blipFill>
                    <a:blip r:embed="rId115"/>
                    <a:stretch>
                      <a:fillRect/>
                    </a:stretch>
                  </pic:blipFill>
                  <pic:spPr>
                    <a:xfrm>
                      <a:off x="0" y="0"/>
                      <a:ext cx="520700" cy="495300"/>
                    </a:xfrm>
                    <a:prstGeom prst="rect">
                      <a:avLst/>
                    </a:prstGeom>
                    <a:noFill/>
                    <a:ln>
                      <a:noFill/>
                    </a:ln>
                  </pic:spPr>
                </pic:pic>
              </a:graphicData>
            </a:graphic>
          </wp:anchor>
        </w:drawing>
      </w:r>
      <w:r>
        <w:rPr>
          <w:rFonts w:hint="eastAsia" w:ascii="宋体" w:hAnsi="宋体" w:eastAsia="宋体" w:cs="宋体"/>
        </w:rPr>
        <w:t>护筒要埋入不透水土质层中。对不能埋入不透水土质层的护筒要增加泥浆的相对密度和粘度，倒入粘土后钻锥慢速转动、增加孔壁粘质土层厚度，防止漏浆。</w:t>
      </w:r>
    </w:p>
    <w:p w14:paraId="0D2C32FF">
      <w:pPr>
        <w:tabs>
          <w:tab w:val="left" w:pos="5250"/>
        </w:tabs>
        <w:ind w:left="-2" w:leftChars="-1" w:firstLine="525" w:firstLineChars="219"/>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4 \* GB3 </w:instrText>
      </w:r>
      <w:r>
        <w:rPr>
          <w:rFonts w:hint="eastAsia" w:ascii="宋体" w:hAnsi="宋体" w:eastAsia="宋体" w:cs="宋体"/>
        </w:rPr>
        <w:fldChar w:fldCharType="separate"/>
      </w:r>
      <w:r>
        <w:rPr>
          <w:rFonts w:hint="eastAsia" w:ascii="宋体" w:hAnsi="宋体" w:eastAsia="宋体" w:cs="宋体"/>
        </w:rPr>
        <w:t>④</w:t>
      </w:r>
      <w:r>
        <w:rPr>
          <w:rFonts w:hint="eastAsia" w:ascii="宋体" w:hAnsi="宋体" w:eastAsia="宋体" w:cs="宋体"/>
        </w:rPr>
        <w:fldChar w:fldCharType="end"/>
      </w:r>
      <w:r>
        <w:rPr>
          <w:rFonts w:hint="eastAsia" w:ascii="宋体" w:hAnsi="宋体" w:eastAsia="宋体" w:cs="宋体"/>
        </w:rPr>
        <w:t>钻孔作业分班进行，经常对泥浆进行检测，经常注意地质地层变化。注意钻头磨损及修复。</w:t>
      </w:r>
    </w:p>
    <w:p w14:paraId="327FBDA9">
      <w:pPr>
        <w:tabs>
          <w:tab w:val="left" w:pos="5250"/>
        </w:tabs>
        <w:ind w:left="-2" w:leftChars="-1" w:firstLine="525" w:firstLineChars="219"/>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5 \* GB3 </w:instrText>
      </w:r>
      <w:r>
        <w:rPr>
          <w:rFonts w:hint="eastAsia" w:ascii="宋体" w:hAnsi="宋体" w:eastAsia="宋体" w:cs="宋体"/>
        </w:rPr>
        <w:fldChar w:fldCharType="separate"/>
      </w:r>
      <w:r>
        <w:rPr>
          <w:rFonts w:hint="eastAsia" w:ascii="宋体" w:hAnsi="宋体" w:eastAsia="宋体" w:cs="宋体"/>
        </w:rPr>
        <w:t>⑤</w:t>
      </w:r>
      <w:r>
        <w:rPr>
          <w:rFonts w:hint="eastAsia" w:ascii="宋体" w:hAnsi="宋体" w:eastAsia="宋体" w:cs="宋体"/>
        </w:rPr>
        <w:fldChar w:fldCharType="end"/>
      </w:r>
      <w:r>
        <w:rPr>
          <w:rFonts w:hint="eastAsia" w:ascii="宋体" w:hAnsi="宋体" w:eastAsia="宋体" w:cs="宋体"/>
        </w:rPr>
        <w:t>钻孔作业时，经常注意孔内水位变化，保证护筒内泥浆面标高不低于施工水位是防止塌孔和缩孔的基本保证。</w:t>
      </w:r>
    </w:p>
    <w:p w14:paraId="77889986">
      <w:pPr>
        <w:tabs>
          <w:tab w:val="left" w:pos="5250"/>
        </w:tabs>
        <w:ind w:left="-2" w:leftChars="-1" w:firstLine="525" w:firstLineChars="219"/>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6 \* GB3 </w:instrText>
      </w:r>
      <w:r>
        <w:rPr>
          <w:rFonts w:hint="eastAsia" w:ascii="宋体" w:hAnsi="宋体" w:eastAsia="宋体" w:cs="宋体"/>
        </w:rPr>
        <w:fldChar w:fldCharType="separate"/>
      </w:r>
      <w:r>
        <w:rPr>
          <w:rFonts w:hint="eastAsia" w:ascii="宋体" w:hAnsi="宋体" w:eastAsia="宋体" w:cs="宋体"/>
        </w:rPr>
        <w:t>⑥</w:t>
      </w:r>
      <w:r>
        <w:rPr>
          <w:rFonts w:hint="eastAsia" w:ascii="宋体" w:hAnsi="宋体" w:eastAsia="宋体" w:cs="宋体"/>
        </w:rPr>
        <w:fldChar w:fldCharType="end"/>
      </w:r>
      <w:r>
        <w:rPr>
          <w:rFonts w:hint="eastAsia" w:ascii="宋体" w:hAnsi="宋体" w:eastAsia="宋体" w:cs="宋体"/>
        </w:rPr>
        <w:t>冲孔时，注意自动转向装置，冲程不能过小，防止梅花孔。对于软塑粘质土层，要控制进尺速度，防止糊钻。</w:t>
      </w:r>
    </w:p>
    <w:p w14:paraId="29D60089">
      <w:pPr>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钻孔桩水下混凝土灌注的质量保证措施</w:t>
      </w:r>
    </w:p>
    <w:p w14:paraId="0B559891">
      <w:pPr>
        <w:ind w:firstLine="470" w:firstLineChars="196"/>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桩内灌注水下混凝土是成桩质量的另一个关键因素，灌注前根据不同的桩径制定详细的施工方案并严格按照方案执行，以免发生断桩等不可挽回的损失，灌注水下混凝土应注意：</w:t>
      </w:r>
    </w:p>
    <w:p w14:paraId="293FAEDB">
      <w:pPr>
        <w:ind w:firstLine="470" w:firstLineChars="196"/>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1 \* alphabetic </w:instrText>
      </w:r>
      <w:r>
        <w:rPr>
          <w:rFonts w:hint="eastAsia" w:ascii="宋体" w:hAnsi="宋体" w:eastAsia="宋体" w:cs="宋体"/>
        </w:rPr>
        <w:fldChar w:fldCharType="separate"/>
      </w:r>
      <w:r>
        <w:rPr>
          <w:rFonts w:hint="eastAsia" w:ascii="宋体" w:hAnsi="宋体" w:eastAsia="宋体" w:cs="宋体"/>
        </w:rPr>
        <w:t>a</w:t>
      </w:r>
      <w:r>
        <w:rPr>
          <w:rFonts w:hint="eastAsia" w:ascii="宋体" w:hAnsi="宋体" w:eastAsia="宋体" w:cs="宋体"/>
        </w:rPr>
        <w:fldChar w:fldCharType="end"/>
      </w:r>
      <w:r>
        <w:rPr>
          <w:rFonts w:hint="eastAsia" w:ascii="宋体" w:hAnsi="宋体" w:eastAsia="宋体" w:cs="宋体"/>
        </w:rPr>
        <w:t>、提前做好混凝土灌注前的准备工作，如原材料准备要充分、电力设备要保证完好、人员到位、机械设备运转良好等，总之避免桩在灌注过程发生人为断桩事故。</w:t>
      </w:r>
    </w:p>
    <w:p w14:paraId="384743A3">
      <w:pPr>
        <w:ind w:firstLine="470" w:firstLineChars="196"/>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2 \* alphabetic </w:instrText>
      </w:r>
      <w:r>
        <w:rPr>
          <w:rFonts w:hint="eastAsia" w:ascii="宋体" w:hAnsi="宋体" w:eastAsia="宋体" w:cs="宋体"/>
        </w:rPr>
        <w:fldChar w:fldCharType="separate"/>
      </w:r>
      <w:r>
        <w:rPr>
          <w:rFonts w:hint="eastAsia" w:ascii="宋体" w:hAnsi="宋体" w:eastAsia="宋体" w:cs="宋体"/>
        </w:rPr>
        <w:t>b</w:t>
      </w:r>
      <w:r>
        <w:rPr>
          <w:rFonts w:hint="eastAsia" w:ascii="宋体" w:hAnsi="宋体" w:eastAsia="宋体" w:cs="宋体"/>
        </w:rPr>
        <w:fldChar w:fldCharType="end"/>
      </w:r>
      <w:r>
        <w:rPr>
          <w:rFonts w:hint="eastAsia" w:ascii="宋体" w:hAnsi="宋体" w:eastAsia="宋体" w:cs="宋体"/>
        </w:rPr>
        <w:t>、混凝土配合比要符合水下混凝土的质量要求，混凝土的强度等级不应低于设计要求。</w:t>
      </w:r>
    </w:p>
    <w:p w14:paraId="3F6B1698">
      <w:pPr>
        <w:ind w:firstLine="470" w:firstLineChars="196"/>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3 \* alphabetic </w:instrText>
      </w:r>
      <w:r>
        <w:rPr>
          <w:rFonts w:hint="eastAsia" w:ascii="宋体" w:hAnsi="宋体" w:eastAsia="宋体" w:cs="宋体"/>
        </w:rPr>
        <w:fldChar w:fldCharType="separate"/>
      </w:r>
      <w:r>
        <w:rPr>
          <w:rFonts w:hint="eastAsia" w:ascii="宋体" w:hAnsi="宋体" w:eastAsia="宋体" w:cs="宋体"/>
        </w:rPr>
        <w:t>c</w:t>
      </w:r>
      <w:r>
        <w:rPr>
          <w:rFonts w:hint="eastAsia" w:ascii="宋体" w:hAnsi="宋体" w:eastAsia="宋体" w:cs="宋体"/>
        </w:rPr>
        <w:fldChar w:fldCharType="end"/>
      </w:r>
      <w:r>
        <w:rPr>
          <w:rFonts w:hint="eastAsia" w:ascii="宋体" w:hAnsi="宋体" w:eastAsia="宋体" w:cs="宋体"/>
        </w:rPr>
        <w:t>、混凝土采用导管灌注，导管提升时要注意其埋深，导管不能提升过快，否则容易断桩；也不宜太慢，否则导管提升困难。</w:t>
      </w:r>
    </w:p>
    <w:p w14:paraId="3EE543A6">
      <w:pPr>
        <w:ind w:firstLine="470" w:firstLineChars="196"/>
        <w:rPr>
          <w:rFonts w:hint="eastAsia" w:ascii="宋体" w:hAnsi="宋体" w:eastAsia="宋体" w:cs="宋体"/>
        </w:rPr>
      </w:pPr>
      <w:r>
        <w:rPr>
          <w:rFonts w:hint="eastAsia" w:ascii="宋体" w:hAnsi="宋体" w:eastAsia="宋体" w:cs="宋体"/>
        </w:rPr>
        <w:fldChar w:fldCharType="begin"/>
      </w:r>
      <w:r>
        <w:rPr>
          <w:rFonts w:hint="eastAsia" w:ascii="宋体" w:hAnsi="宋体" w:eastAsia="宋体" w:cs="宋体"/>
        </w:rPr>
        <w:instrText xml:space="preserve"> = 4 \* alphabetic </w:instrText>
      </w:r>
      <w:r>
        <w:rPr>
          <w:rFonts w:hint="eastAsia" w:ascii="宋体" w:hAnsi="宋体" w:eastAsia="宋体" w:cs="宋体"/>
        </w:rPr>
        <w:fldChar w:fldCharType="separate"/>
      </w:r>
      <w:r>
        <w:rPr>
          <w:rFonts w:hint="eastAsia" w:ascii="宋体" w:hAnsi="宋体" w:eastAsia="宋体" w:cs="宋体"/>
        </w:rPr>
        <w:t>d</w:t>
      </w:r>
      <w:r>
        <w:rPr>
          <w:rFonts w:hint="eastAsia" w:ascii="宋体" w:hAnsi="宋体" w:eastAsia="宋体" w:cs="宋体"/>
        </w:rPr>
        <w:fldChar w:fldCharType="end"/>
      </w:r>
      <w:r>
        <w:rPr>
          <w:rFonts w:hint="eastAsia" w:ascii="宋体" w:hAnsi="宋体" w:eastAsia="宋体" w:cs="宋体"/>
        </w:rPr>
        <w:t>、灌注前将钢筋骨架与护筒固定好避免钢筋骨架上浮。</w:t>
      </w:r>
    </w:p>
    <w:p w14:paraId="016E94E6">
      <w:pPr>
        <w:ind w:firstLine="470" w:firstLineChars="196"/>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砼灌注是灌注桩施工的主要工序，在成孔和清孔质检合格后，才能进行；并提前做好有关技术工作:</w:t>
      </w:r>
    </w:p>
    <w:p w14:paraId="41B03B99">
      <w:pPr>
        <w:ind w:firstLine="480"/>
        <w:rPr>
          <w:rFonts w:hint="eastAsia" w:ascii="宋体" w:hAnsi="宋体" w:eastAsia="宋体" w:cs="宋体"/>
        </w:rPr>
      </w:pPr>
      <w:r>
        <w:rPr>
          <w:rFonts w:hint="eastAsia" w:ascii="宋体" w:hAnsi="宋体" w:eastAsia="宋体" w:cs="宋体"/>
        </w:rPr>
        <w:t>一是储足第一批灌注量，并将首批混凝土灌入孔底后，立即测量孔内混凝土面高度，计算出导管的初次埋深，如符合要求，即可正常灌注。如发现导管内大量进水，表明出现灌注事故，要处理。</w:t>
      </w:r>
    </w:p>
    <w:p w14:paraId="1A0F49BE">
      <w:pPr>
        <w:ind w:firstLine="480"/>
        <w:rPr>
          <w:rFonts w:hint="eastAsia" w:ascii="宋体" w:hAnsi="宋体" w:eastAsia="宋体" w:cs="宋体"/>
          <w:spacing w:val="-2"/>
        </w:rPr>
      </w:pPr>
      <w:r>
        <w:rPr>
          <w:rFonts w:hint="eastAsia" w:ascii="宋体" w:hAnsi="宋体" w:eastAsia="宋体" w:cs="宋体"/>
        </w:rPr>
        <w:t>二是首批混凝土灌注正常后，要紧凑地、连续不断地进行灌注，严禁中途停工。在灌注过程中要防止混凝土拌合物从漏斗溢出或从漏斗外掉入孔底，使泥浆内含有水泥而变稠凝结，</w:t>
      </w:r>
      <w:r>
        <w:rPr>
          <w:rFonts w:hint="eastAsia" w:ascii="宋体" w:hAnsi="宋体" w:eastAsia="宋体" w:cs="宋体"/>
          <w:spacing w:val="-2"/>
        </w:rPr>
        <w:t>使测深不准确。灌注过程中，注意观察管内混凝土下降和孔口返水情况，及时测量孔内混凝土面高度，正确指挥导管的提升和拆除，保持导管的合理埋深。测量混凝土面高度的次数一般不宜不少于所使用的导管节数，并在每次提升导管前，探测一次管内外混凝土面高度，特点情况下（局部严重超径、缩径、漏失层位）灌注量特别大的桩孔等增加探测次数，同时，观察孔口出水情况，以正确地分析和判定孔内情况，并做好记录。</w:t>
      </w:r>
    </w:p>
    <w:p w14:paraId="0D81EE73">
      <w:pPr>
        <w:ind w:firstLine="480"/>
        <w:rPr>
          <w:rFonts w:hint="eastAsia" w:ascii="宋体" w:hAnsi="宋体" w:eastAsia="宋体" w:cs="宋体"/>
        </w:rPr>
      </w:pPr>
      <w:r>
        <w:rPr>
          <w:rFonts w:hint="eastAsia" w:ascii="宋体" w:hAnsi="宋体" w:eastAsia="宋体" w:cs="宋体"/>
        </w:rPr>
        <w:t>三是导管提升要保持轴线竖直和位置居中，逐步提升，如果导管卡挂钢筋笼，可转动导管，使其脱开钢筋笼，移到钻孔中心。随着孔内混凝土的上升，需逐节（或两节）拆除导管，拆除导管的动作要快，时间不宜超过15分钟，拆下的导管立即冲洗干净。</w:t>
      </w:r>
    </w:p>
    <w:p w14:paraId="21B57ABF">
      <w:pPr>
        <w:ind w:firstLine="480"/>
        <w:rPr>
          <w:rFonts w:hint="eastAsia" w:ascii="宋体" w:hAnsi="宋体" w:eastAsia="宋体" w:cs="宋体"/>
        </w:rPr>
      </w:pPr>
      <w:r>
        <w:rPr>
          <w:rFonts w:hint="eastAsia" w:ascii="宋体" w:hAnsi="宋体" w:eastAsia="宋体" w:cs="宋体"/>
        </w:rPr>
        <w:t>四是在灌注过程中，当导管内混凝土不满，导管上段有空气时，后续混凝土要徐徐灌入，不可整斗地灌入漏斗和导管，以免在导管内形成高压气囊，挤出管节间的橡皮垫，而使导管漏水。而且空气从导管底部进入桩身后，若不能完全逸出，则是造成桩身上段混凝土疏松的原因之一。</w:t>
      </w:r>
    </w:p>
    <w:p w14:paraId="01C0A3FC">
      <w:pPr>
        <w:ind w:firstLine="480"/>
        <w:rPr>
          <w:rFonts w:hint="eastAsia" w:ascii="宋体" w:hAnsi="宋体" w:eastAsia="宋体" w:cs="宋体"/>
        </w:rPr>
      </w:pPr>
      <w:r>
        <w:rPr>
          <w:rFonts w:hint="eastAsia" w:ascii="宋体" w:hAnsi="宋体" w:eastAsia="宋体" w:cs="宋体"/>
        </w:rPr>
        <w:t>五是当混凝土面升到钢筋笼下端时，为防止钢筋笼被混凝土顶托上升，可采取如下措施：第一在孔口可靠地固定钢筋笼上端；第二当混凝土面接近和初进入钢筋笼时，要放慢灌注进度；第三当混凝土面进入钢筋笼2－3m后，要提升导管，减少导管埋置深度(但不得小于1m)，以增加钢筋笼在导管底口以下的埋置深度，从而增加混凝土对钢筋笼的摩擦力。</w:t>
      </w:r>
    </w:p>
    <w:p w14:paraId="646D4A6A">
      <w:pPr>
        <w:ind w:firstLine="480"/>
        <w:rPr>
          <w:rFonts w:hint="eastAsia" w:ascii="宋体" w:hAnsi="宋体" w:eastAsia="宋体" w:cs="宋体"/>
        </w:rPr>
      </w:pPr>
      <w:r>
        <w:rPr>
          <w:rFonts w:hint="eastAsia" w:ascii="宋体" w:hAnsi="宋体" w:eastAsia="宋体" w:cs="宋体"/>
        </w:rPr>
        <w:t>六是在灌注将近结束时，由于导管内混凝土高度减少，导管外泥浆密度增大，沉碴增多，压力降低。如出现混凝土顶升困难时，可加水稀释泥浆，并掏出部分沉淀或增大漏斗提升高度，使灌注工作顺利进行。在拔出最后一节长导管时，拔管速度要慢，以防止桩顶沉淀的浓泥浆挤入形成泥心。</w:t>
      </w:r>
    </w:p>
    <w:p w14:paraId="6E6121D4">
      <w:pPr>
        <w:ind w:firstLine="480"/>
        <w:rPr>
          <w:rFonts w:hint="eastAsia" w:ascii="宋体" w:hAnsi="宋体" w:eastAsia="宋体" w:cs="宋体"/>
        </w:rPr>
      </w:pPr>
      <w:r>
        <w:rPr>
          <w:rFonts w:hint="eastAsia" w:ascii="宋体" w:hAnsi="宋体" w:eastAsia="宋体" w:cs="宋体"/>
        </w:rPr>
        <w:t>七是钢护筒在灌注结束后，混凝土初凝前拔出，起吊护筒时要保持其垂直性，否则会将桩顶破坏，特别是桩顶标高高于护筒底面时更应注意。</w:t>
      </w:r>
    </w:p>
    <w:p w14:paraId="4DBEE311">
      <w:pPr>
        <w:ind w:firstLine="480"/>
        <w:rPr>
          <w:rFonts w:hint="eastAsia" w:ascii="宋体" w:hAnsi="宋体" w:eastAsia="宋体" w:cs="宋体"/>
        </w:rPr>
      </w:pPr>
      <w:r>
        <w:rPr>
          <w:rFonts w:hint="eastAsia" w:ascii="宋体" w:hAnsi="宋体" w:cs="宋体"/>
          <w:lang w:val="en-US" w:eastAsia="zh-CN"/>
        </w:rPr>
        <w:t>3、</w:t>
      </w:r>
      <w:r>
        <w:rPr>
          <w:rFonts w:hint="eastAsia" w:ascii="宋体" w:hAnsi="宋体" w:eastAsia="宋体" w:cs="宋体"/>
        </w:rPr>
        <w:t>钻孔桩施工故障预防与处理</w:t>
      </w:r>
    </w:p>
    <w:p w14:paraId="37496280">
      <w:pPr>
        <w:tabs>
          <w:tab w:val="left" w:pos="5250"/>
        </w:tabs>
        <w:ind w:firstLine="480"/>
        <w:rPr>
          <w:rFonts w:hint="eastAsia" w:ascii="宋体" w:hAnsi="宋体" w:eastAsia="宋体" w:cs="宋体"/>
        </w:rPr>
      </w:pPr>
      <w:r>
        <w:rPr>
          <w:rFonts w:hint="eastAsia" w:ascii="宋体" w:hAnsi="宋体" w:cs="宋体"/>
          <w:lang w:val="en-US" w:eastAsia="zh-CN"/>
        </w:rPr>
        <w:t>1）</w:t>
      </w:r>
      <w:r>
        <w:rPr>
          <w:rFonts w:hint="eastAsia" w:ascii="宋体" w:hAnsi="宋体" w:eastAsia="宋体" w:cs="宋体"/>
        </w:rPr>
        <w:t>塌孔预防与处理：塌孔部位不深时，改用深埋护筒，将护筒周围回填土夯实，重新钻孔；严重塌孔，用黏土泥膏投入，待孔壁稳定后再钻孔；在松软地层钻进时，要控制进尺速度。</w:t>
      </w:r>
    </w:p>
    <w:p w14:paraId="335716D5">
      <w:pPr>
        <w:tabs>
          <w:tab w:val="left" w:pos="5250"/>
        </w:tabs>
        <w:ind w:firstLine="480"/>
        <w:rPr>
          <w:rFonts w:hint="eastAsia" w:ascii="宋体" w:hAnsi="宋体" w:eastAsia="宋体" w:cs="宋体"/>
        </w:rPr>
      </w:pPr>
      <w:r>
        <w:rPr>
          <w:rFonts w:hint="eastAsia" w:ascii="宋体" w:hAnsi="宋体" w:cs="宋体"/>
          <w:lang w:val="en-US" w:eastAsia="zh-CN"/>
        </w:rPr>
        <w:t>2）</w:t>
      </w:r>
      <w:r>
        <w:rPr>
          <w:rFonts w:hint="eastAsia" w:ascii="宋体" w:hAnsi="宋体" w:eastAsia="宋体" w:cs="宋体"/>
        </w:rPr>
        <w:t>钻孔偏斜预防与处理：钻孔偏斜的主要原因是钻架不稳、钻杆导架不垂直、土质软硬不匀致使钻头受力不均、钻孔中遇有较大孤石、扩孔较大处钻头摆动偏向一方等；预防及处理办法是：钻机按放要平稳、并对导架进行水平和垂直校正；因土层软硬不均偏斜过大时，填入土石重新钻进，控制钻速。</w:t>
      </w:r>
    </w:p>
    <w:p w14:paraId="6855C41F">
      <w:pPr>
        <w:tabs>
          <w:tab w:val="left" w:pos="5250"/>
        </w:tabs>
        <w:ind w:firstLine="480"/>
        <w:rPr>
          <w:rFonts w:hint="eastAsia" w:ascii="宋体" w:hAnsi="宋体" w:eastAsia="宋体" w:cs="宋体"/>
          <w:highlight w:val="none"/>
        </w:rPr>
      </w:pPr>
      <w:r>
        <w:rPr>
          <w:rFonts w:hint="eastAsia" w:ascii="宋体" w:hAnsi="宋体" w:cs="宋体"/>
          <w:highlight w:val="none"/>
          <w:lang w:val="en-US" w:eastAsia="zh-CN"/>
        </w:rPr>
        <w:t>3）</w:t>
      </w:r>
      <w:r>
        <w:rPr>
          <w:rFonts w:hint="eastAsia" w:ascii="宋体" w:hAnsi="宋体" w:eastAsia="宋体" w:cs="宋体"/>
          <w:highlight w:val="none"/>
        </w:rPr>
        <w:t>扩孔及缩孔预防及处理：扩孔是因孔壁坍塌或钻头摆动过大所致，注意采取防止塌孔及钻锥摆动过大的措施；缩孔原因是钻锥磨损过大焊补不及时或因地层中有软塑土，遇水膨胀后使孔径缩小；缩孔时，宜在该处用钻锥上下反复扫孔以扩大孔径。</w:t>
      </w:r>
    </w:p>
    <w:p w14:paraId="4E9B9297">
      <w:pPr>
        <w:pStyle w:val="5"/>
        <w:bidi w:val="0"/>
        <w:rPr>
          <w:rFonts w:hint="default"/>
          <w:color w:val="auto"/>
          <w:lang w:val="en-US"/>
        </w:rPr>
      </w:pPr>
      <w:bookmarkStart w:id="1030" w:name="_Toc15205"/>
      <w:r>
        <w:rPr>
          <w:rFonts w:hint="eastAsia"/>
          <w:color w:val="auto"/>
          <w:lang w:val="en-US" w:eastAsia="zh-CN"/>
        </w:rPr>
        <w:t>8</w:t>
      </w:r>
      <w:r>
        <w:rPr>
          <w:rFonts w:hint="default"/>
          <w:color w:val="auto"/>
          <w:lang w:val="en-US" w:eastAsia="zh-CN"/>
        </w:rPr>
        <w:t>.</w:t>
      </w:r>
      <w:r>
        <w:rPr>
          <w:rFonts w:hint="eastAsia"/>
          <w:color w:val="auto"/>
          <w:lang w:val="en-US" w:eastAsia="zh-CN"/>
        </w:rPr>
        <w:t>2.</w:t>
      </w:r>
      <w:r>
        <w:rPr>
          <w:rFonts w:hint="default"/>
          <w:color w:val="auto"/>
          <w:lang w:val="en-US" w:eastAsia="zh-CN"/>
        </w:rPr>
        <w:t>3</w:t>
      </w:r>
      <w:r>
        <w:rPr>
          <w:rFonts w:hint="eastAsia"/>
          <w:color w:val="auto"/>
          <w:lang w:val="en-US" w:eastAsia="zh-CN"/>
        </w:rPr>
        <w:t>钢板桩围堰施工</w:t>
      </w:r>
      <w:bookmarkEnd w:id="1030"/>
    </w:p>
    <w:p w14:paraId="03277C55">
      <w:pPr>
        <w:ind w:firstLine="480"/>
        <w:rPr>
          <w:rFonts w:hint="default" w:ascii="宋体" w:hAnsi="宋体" w:eastAsia="宋体" w:cs="宋体"/>
          <w:color w:val="auto"/>
          <w:highlight w:val="none"/>
          <w:lang w:val="en-US" w:eastAsia="zh-CN"/>
        </w:rPr>
      </w:pPr>
      <w:r>
        <w:rPr>
          <w:rFonts w:hint="eastAsia" w:ascii="宋体" w:hAnsi="宋体" w:eastAsia="宋体" w:cs="宋体"/>
          <w:highlight w:val="none"/>
        </w:rPr>
        <w:t>本标段</w:t>
      </w:r>
      <w:r>
        <w:rPr>
          <w:rFonts w:hint="eastAsia" w:ascii="宋体" w:hAnsi="宋体" w:cs="宋体"/>
          <w:highlight w:val="none"/>
          <w:lang w:val="en-US" w:eastAsia="zh-CN"/>
        </w:rPr>
        <w:t>位于河道范围内的水中桩，桥墩施工前，在桥墩周围采用拉森钢板桩进行支护</w:t>
      </w:r>
      <w:r>
        <w:rPr>
          <w:rFonts w:hint="eastAsia" w:ascii="宋体" w:hAnsi="宋体" w:eastAsia="宋体" w:cs="宋体"/>
          <w:highlight w:val="none"/>
        </w:rPr>
        <w:t>。</w:t>
      </w:r>
      <w:r>
        <w:rPr>
          <w:rFonts w:hint="eastAsia" w:ascii="宋体" w:hAnsi="宋体" w:cs="宋体"/>
          <w:highlight w:val="none"/>
          <w:lang w:val="en-US" w:eastAsia="zh-CN"/>
        </w:rPr>
        <w:t>具体支护深度需根据水深，地质情况进行设计，并编制专项施工方案。</w:t>
      </w:r>
    </w:p>
    <w:p w14:paraId="2A3B347D">
      <w:pPr>
        <w:pStyle w:val="14"/>
        <w:bidi w:val="0"/>
        <w:rPr>
          <w:rFonts w:hint="eastAsia"/>
          <w:lang w:val="en-US" w:eastAsia="zh-CN"/>
        </w:rPr>
      </w:pPr>
      <w:r>
        <w:rPr>
          <w:rFonts w:hint="eastAsia"/>
          <w:lang w:val="en-US" w:eastAsia="zh-CN"/>
        </w:rPr>
        <w:t>8</w:t>
      </w:r>
      <w:r>
        <w:rPr>
          <w:rFonts w:hint="default"/>
          <w:lang w:val="en-US" w:eastAsia="zh-CN"/>
        </w:rPr>
        <w:t>.</w:t>
      </w:r>
      <w:r>
        <w:rPr>
          <w:rFonts w:hint="eastAsia"/>
          <w:lang w:val="en-US" w:eastAsia="zh-CN"/>
        </w:rPr>
        <w:t>2.3</w:t>
      </w:r>
      <w:r>
        <w:rPr>
          <w:rFonts w:hint="default"/>
          <w:lang w:val="en-US" w:eastAsia="zh-CN"/>
        </w:rPr>
        <w:t>.1</w:t>
      </w:r>
      <w:r>
        <w:rPr>
          <w:rFonts w:hint="eastAsia"/>
          <w:lang w:val="en-US" w:eastAsia="zh-CN"/>
        </w:rPr>
        <w:t xml:space="preserve"> </w:t>
      </w:r>
      <w:r>
        <w:rPr>
          <w:rFonts w:hint="eastAsia"/>
        </w:rPr>
        <w:t>钢板桩围堰施工</w:t>
      </w:r>
      <w:r>
        <w:rPr>
          <w:rFonts w:hint="eastAsia"/>
          <w:lang w:val="en-US" w:eastAsia="zh-CN"/>
        </w:rPr>
        <w:t xml:space="preserve"> </w:t>
      </w:r>
    </w:p>
    <w:p w14:paraId="7758307F">
      <w:pPr>
        <w:ind w:firstLine="480"/>
        <w:rPr>
          <w:rFonts w:hint="eastAsia" w:ascii="宋体" w:hAnsi="宋体" w:eastAsia="宋体" w:cs="宋体"/>
          <w:highlight w:val="none"/>
        </w:rPr>
      </w:pPr>
      <w:r>
        <w:rPr>
          <w:rFonts w:hint="eastAsia" w:ascii="宋体" w:hAnsi="宋体" w:eastAsia="宋体" w:cs="宋体"/>
          <w:highlight w:val="none"/>
        </w:rPr>
        <w:t>1.钢板桩围堰施工工艺流程图</w:t>
      </w:r>
    </w:p>
    <w:p w14:paraId="2947E4A2">
      <w:pPr>
        <w:ind w:firstLine="480"/>
        <w:jc w:val="center"/>
        <w:rPr>
          <w:highlight w:val="none"/>
        </w:rPr>
      </w:pPr>
      <w:r>
        <w:rPr>
          <w:highlight w:val="none"/>
        </w:rPr>
        <w:drawing>
          <wp:inline distT="0" distB="0" distL="114300" distR="114300">
            <wp:extent cx="4505325" cy="4646295"/>
            <wp:effectExtent l="0" t="0" r="5715" b="1905"/>
            <wp:docPr id="14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图片 26"/>
                    <pic:cNvPicPr>
                      <a:picLocks noChangeAspect="1"/>
                    </pic:cNvPicPr>
                  </pic:nvPicPr>
                  <pic:blipFill>
                    <a:blip r:embed="rId116"/>
                    <a:stretch>
                      <a:fillRect/>
                    </a:stretch>
                  </pic:blipFill>
                  <pic:spPr>
                    <a:xfrm>
                      <a:off x="0" y="0"/>
                      <a:ext cx="4505325" cy="4646295"/>
                    </a:xfrm>
                    <a:prstGeom prst="rect">
                      <a:avLst/>
                    </a:prstGeom>
                    <a:solidFill>
                      <a:srgbClr val="8EB4E3"/>
                    </a:solidFill>
                    <a:ln>
                      <a:noFill/>
                    </a:ln>
                  </pic:spPr>
                </pic:pic>
              </a:graphicData>
            </a:graphic>
          </wp:inline>
        </w:drawing>
      </w:r>
    </w:p>
    <w:p w14:paraId="25356BE3">
      <w:pPr>
        <w:ind w:firstLine="480"/>
        <w:jc w:val="center"/>
        <w:rPr>
          <w:highlight w:val="none"/>
          <w:u w:val="double"/>
        </w:rPr>
      </w:pPr>
      <w:r>
        <w:rPr>
          <w:rFonts w:hint="eastAsia"/>
          <w:highlight w:val="none"/>
          <w:u w:val="double"/>
        </w:rPr>
        <w:t>钢板桩围堰施工工艺流程图</w:t>
      </w:r>
    </w:p>
    <w:p w14:paraId="6806B31D">
      <w:pPr>
        <w:ind w:firstLine="480"/>
        <w:rPr>
          <w:highlight w:val="none"/>
        </w:rPr>
      </w:pPr>
      <w:r>
        <w:rPr>
          <w:highlight w:val="none"/>
        </w:rPr>
        <w:t>2.</w:t>
      </w:r>
      <w:r>
        <w:rPr>
          <w:rFonts w:hint="eastAsia"/>
          <w:highlight w:val="none"/>
        </w:rPr>
        <w:t>施工方法</w:t>
      </w:r>
    </w:p>
    <w:p w14:paraId="4A7ABAD3">
      <w:pPr>
        <w:ind w:firstLine="480"/>
        <w:rPr>
          <w:highlight w:val="none"/>
        </w:rPr>
      </w:pPr>
      <w:r>
        <w:rPr>
          <w:rFonts w:hint="eastAsia"/>
          <w:highlight w:val="none"/>
        </w:rPr>
        <w:t>当一个承台范围内的所有桩基施工完毕后，即对钻孔平台进行拆除。拆除按从上至下的顺序进行，直至拔除平台钢管桩。</w:t>
      </w:r>
    </w:p>
    <w:p w14:paraId="097C06FD">
      <w:pPr>
        <w:ind w:firstLine="480"/>
        <w:rPr>
          <w:highlight w:val="none"/>
        </w:rPr>
      </w:pPr>
      <w:r>
        <w:rPr>
          <w:rFonts w:hint="eastAsia"/>
          <w:highlight w:val="none"/>
        </w:rPr>
        <w:t>参考</w:t>
      </w:r>
      <w:r>
        <w:rPr>
          <w:highlight w:val="none"/>
        </w:rPr>
        <w:t xml:space="preserve">50t </w:t>
      </w:r>
      <w:r>
        <w:rPr>
          <w:rFonts w:hint="eastAsia"/>
          <w:highlight w:val="none"/>
        </w:rPr>
        <w:t>履带吊的作业半径，履带吊可直接在支栈桥上进行钢板桩施打。钢板桩施打作业平面示意图如下：</w:t>
      </w:r>
    </w:p>
    <w:p w14:paraId="65F87E42">
      <w:pPr>
        <w:ind w:firstLine="480"/>
        <w:rPr>
          <w:highlight w:val="none"/>
        </w:rPr>
      </w:pPr>
      <w:r>
        <w:rPr>
          <w:rFonts w:hint="eastAsia"/>
          <w:highlight w:val="none"/>
          <w:lang w:val="en-US" w:eastAsia="zh-CN"/>
        </w:rPr>
        <w:t xml:space="preserve">          </w:t>
      </w:r>
      <w:r>
        <w:rPr>
          <w:highlight w:val="none"/>
        </w:rPr>
        <w:drawing>
          <wp:inline distT="0" distB="0" distL="114300" distR="114300">
            <wp:extent cx="4388485" cy="1242060"/>
            <wp:effectExtent l="0" t="0" r="635" b="7620"/>
            <wp:docPr id="147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图片 27"/>
                    <pic:cNvPicPr>
                      <a:picLocks noChangeAspect="1"/>
                    </pic:cNvPicPr>
                  </pic:nvPicPr>
                  <pic:blipFill>
                    <a:blip r:embed="rId117"/>
                    <a:stretch>
                      <a:fillRect/>
                    </a:stretch>
                  </pic:blipFill>
                  <pic:spPr>
                    <a:xfrm>
                      <a:off x="0" y="0"/>
                      <a:ext cx="4388485" cy="1242060"/>
                    </a:xfrm>
                    <a:prstGeom prst="rect">
                      <a:avLst/>
                    </a:prstGeom>
                    <a:noFill/>
                    <a:ln>
                      <a:noFill/>
                    </a:ln>
                  </pic:spPr>
                </pic:pic>
              </a:graphicData>
            </a:graphic>
          </wp:inline>
        </w:drawing>
      </w:r>
    </w:p>
    <w:p w14:paraId="2B6324B1">
      <w:pPr>
        <w:ind w:firstLine="480"/>
        <w:rPr>
          <w:highlight w:val="none"/>
        </w:rPr>
      </w:pPr>
      <w:r>
        <w:rPr>
          <w:rFonts w:hint="eastAsia"/>
          <w:highlight w:val="none"/>
        </w:rPr>
        <w:t>（</w:t>
      </w:r>
      <w:r>
        <w:rPr>
          <w:highlight w:val="none"/>
        </w:rPr>
        <w:t>1</w:t>
      </w:r>
      <w:r>
        <w:rPr>
          <w:rFonts w:hint="eastAsia"/>
          <w:highlight w:val="none"/>
        </w:rPr>
        <w:t>）施工前准备</w:t>
      </w:r>
    </w:p>
    <w:p w14:paraId="42D17DA9">
      <w:pPr>
        <w:ind w:firstLine="480"/>
        <w:rPr>
          <w:highlight w:val="none"/>
        </w:rPr>
      </w:pPr>
      <w:r>
        <w:rPr>
          <w:rFonts w:hint="eastAsia"/>
          <w:highlight w:val="none"/>
        </w:rPr>
        <w:t>施打钢板桩前应先制作导梁，导向梁大于承台平面尺寸四周</w:t>
      </w:r>
      <w:r>
        <w:rPr>
          <w:highlight w:val="none"/>
        </w:rPr>
        <w:t>1m</w:t>
      </w:r>
      <w:r>
        <w:rPr>
          <w:rFonts w:hint="eastAsia"/>
          <w:highlight w:val="none"/>
        </w:rPr>
        <w:t>，并施打围堰定位桩。</w:t>
      </w:r>
      <w:r>
        <w:rPr>
          <w:rFonts w:hint="eastAsia" w:ascii="AdobeSongStd-Light" w:hAnsi="AdobeSongStd-Light" w:eastAsia="AdobeSongStd-Light"/>
          <w:highlight w:val="none"/>
        </w:rPr>
        <w:t>为</w:t>
      </w:r>
      <w:r>
        <w:rPr>
          <w:rFonts w:hint="eastAsia"/>
          <w:highlight w:val="none"/>
        </w:rPr>
        <w:t>保证围堰尺寸准确，应加强对围堰的测量监控：拉森桩垂直度用两台全站仪垂直控制，若出现偏差，通过吊机调正吊点方位随时修正。发现垂直度超标，必须拔出重新开打。</w:t>
      </w:r>
    </w:p>
    <w:p w14:paraId="7AF46A2E">
      <w:pPr>
        <w:ind w:firstLine="480"/>
      </w:pPr>
      <w:r>
        <w:rPr>
          <w:rFonts w:hint="eastAsia"/>
        </w:rPr>
        <w:t>拉森桩打入后，保证桩顶上口平直，达到设计标高。</w:t>
      </w:r>
    </w:p>
    <w:p w14:paraId="09205198">
      <w:pPr>
        <w:ind w:firstLine="480"/>
      </w:pPr>
      <w:r>
        <w:rPr>
          <w:rFonts w:hint="eastAsia"/>
        </w:rPr>
        <w:t>（</w:t>
      </w:r>
      <w:r>
        <w:t>2</w:t>
      </w:r>
      <w:r>
        <w:rPr>
          <w:rFonts w:hint="eastAsia"/>
        </w:rPr>
        <w:t>）钢板桩的施打</w:t>
      </w:r>
    </w:p>
    <w:p w14:paraId="6CF714EB">
      <w:pPr>
        <w:ind w:firstLine="480"/>
      </w:pPr>
      <w:r>
        <w:rPr>
          <w:rFonts w:hint="eastAsia"/>
        </w:rPr>
        <w:t>拉森桩采用单点起吊，吊点由钢丝绳长度确定，起吊垂直后进行喂桩。桩底轻轻落地，桩顶倒向振动锤咬口处，振动锤开口咬合，液压夹紧，起吊提升，吊至打桩位置的导向围囹处。施工人员护桩，插桩，桩翼板相互贴紧，然后开锤起打，控制调整垂直度向下送桩。</w:t>
      </w:r>
    </w:p>
    <w:p w14:paraId="71F9CED1">
      <w:pPr>
        <w:ind w:firstLine="480"/>
      </w:pPr>
      <w:r>
        <w:rPr>
          <w:rFonts w:hint="eastAsia"/>
        </w:rPr>
        <w:t>桩送到设计标高后，振动锤咬口松开，复位，再移动锁口卡板，继续重复下一根桩的施工。</w:t>
      </w:r>
    </w:p>
    <w:p w14:paraId="4F3CF130">
      <w:pPr>
        <w:ind w:firstLine="480"/>
      </w:pPr>
      <w:r>
        <w:rPr>
          <w:rFonts w:hint="eastAsia"/>
        </w:rPr>
        <w:t>（</w:t>
      </w:r>
      <w:r>
        <w:t>3</w:t>
      </w:r>
      <w:r>
        <w:rPr>
          <w:rFonts w:hint="eastAsia"/>
        </w:rPr>
        <w:t>）合拢</w:t>
      </w:r>
    </w:p>
    <w:p w14:paraId="10EB7FCB">
      <w:pPr>
        <w:ind w:firstLine="480"/>
      </w:pPr>
      <w:r>
        <w:rPr>
          <w:rFonts w:hint="eastAsia"/>
        </w:rPr>
        <w:t>为保证钢板桩顺利合拢，要求桩身垂直，平面位置定位准确。在整个钢板桩围堰施打过程中，开始时可插一根打一根，即将每一片钢板桩打到设计位置，到剩下最后</w:t>
      </w:r>
      <w:r>
        <w:t>8</w:t>
      </w:r>
      <w:r>
        <w:rPr>
          <w:rFonts w:hint="eastAsia"/>
        </w:rPr>
        <w:t>～</w:t>
      </w:r>
      <w:r>
        <w:t xml:space="preserve">15 </w:t>
      </w:r>
      <w:r>
        <w:rPr>
          <w:rFonts w:hint="eastAsia"/>
        </w:rPr>
        <w:t>片钢板桩时，要先插后打，若合拢有误，用倒链或滑车组对拉，使之合拢。合拢后，再逐根打到设计深度，在用倒链或滑车组对拉时不要过猛，以防止合拢段缝隙过大。在整个钢板桩插打过程中必须保证合拢密实，以防漏水。</w:t>
      </w:r>
    </w:p>
    <w:p w14:paraId="3AA02DFE">
      <w:pPr>
        <w:ind w:firstLine="480"/>
      </w:pPr>
      <w:r>
        <w:rPr>
          <w:rFonts w:hint="eastAsia"/>
        </w:rPr>
        <w:t>（</w:t>
      </w:r>
      <w:r>
        <w:t>4</w:t>
      </w:r>
      <w:r>
        <w:rPr>
          <w:rFonts w:hint="eastAsia"/>
        </w:rPr>
        <w:t>）围堰抽水</w:t>
      </w:r>
    </w:p>
    <w:p w14:paraId="0C417EF2">
      <w:pPr>
        <w:ind w:firstLine="480"/>
      </w:pPr>
      <w:r>
        <w:rPr>
          <w:rFonts w:hint="eastAsia"/>
        </w:rPr>
        <w:t>在抽水之前要重点检查各节点是否顶紧，板桩与围檩间木楔是否敲紧，防止因抽水而出现事故。抽水速度不宜过快，且要随时观察围堰的变化情况。</w:t>
      </w:r>
    </w:p>
    <w:p w14:paraId="3F51CCA0">
      <w:pPr>
        <w:ind w:firstLine="480"/>
      </w:pPr>
      <w:r>
        <w:rPr>
          <w:rFonts w:hint="eastAsia"/>
        </w:rPr>
        <w:t>当锁口不紧密发生漏水时，用棉絮等在内侧嵌塞或其它措施封堵，基坑抽水干后，钢板桩围堰内表面应基本无漏水，则说明钢板桩围堰成功。</w:t>
      </w:r>
    </w:p>
    <w:p w14:paraId="478EAE05">
      <w:pPr>
        <w:ind w:firstLine="480"/>
      </w:pPr>
      <w:r>
        <w:rPr>
          <w:rFonts w:hint="eastAsia"/>
        </w:rPr>
        <w:t>如有少数锁口缝隙较大的钢板桩因接头不紧密导致少量漏水，可以采用水泵进行围堰内强排。</w:t>
      </w:r>
    </w:p>
    <w:p w14:paraId="0D9DB975">
      <w:pPr>
        <w:ind w:firstLine="480"/>
      </w:pPr>
      <w:r>
        <w:rPr>
          <w:rFonts w:hint="eastAsia"/>
        </w:rPr>
        <w:t>（</w:t>
      </w:r>
      <w:r>
        <w:t>5</w:t>
      </w:r>
      <w:r>
        <w:rPr>
          <w:rFonts w:hint="eastAsia"/>
        </w:rPr>
        <w:t>）基坑排水措施</w:t>
      </w:r>
    </w:p>
    <w:p w14:paraId="17BA5E82">
      <w:pPr>
        <w:ind w:firstLine="480"/>
      </w:pPr>
      <w:r>
        <w:rPr>
          <w:rFonts w:hint="eastAsia"/>
        </w:rPr>
        <w:t>围堰内抽水完成后，应在封底混凝土顶部适当位置用砌块砌筑排水沟，用以拦截渗水，并排出场外。在围堰基坑内的底部各拐角点设置集水井，用以排除基坑内积水。</w:t>
      </w:r>
    </w:p>
    <w:p w14:paraId="2B467137">
      <w:pPr>
        <w:ind w:firstLine="480"/>
      </w:pPr>
      <w:r>
        <w:rPr>
          <w:rFonts w:hint="eastAsia"/>
        </w:rPr>
        <w:t>（</w:t>
      </w:r>
      <w:r>
        <w:t>6</w:t>
      </w:r>
      <w:r>
        <w:rPr>
          <w:rFonts w:hint="eastAsia"/>
        </w:rPr>
        <w:t>）钢板桩围堰拆除</w:t>
      </w:r>
    </w:p>
    <w:p w14:paraId="2AE91245">
      <w:pPr>
        <w:ind w:firstLine="480"/>
      </w:pPr>
      <w:r>
        <w:rPr>
          <w:rFonts w:hint="eastAsia"/>
        </w:rPr>
        <w:t>钢板桩围堰拆除与施打是一个对立的过程待桥墩施工出水面及临时支撑拆除完成后进行。</w:t>
      </w:r>
    </w:p>
    <w:p w14:paraId="4F7694CE">
      <w:pPr>
        <w:ind w:firstLine="480"/>
      </w:pPr>
      <w:r>
        <w:rPr>
          <w:rFonts w:hint="eastAsia"/>
        </w:rPr>
        <w:t>工艺流程为围堰注水→内支撑的拆除→钢板桩拔除。</w:t>
      </w:r>
    </w:p>
    <w:p w14:paraId="18216833">
      <w:pPr>
        <w:ind w:firstLine="480"/>
      </w:pPr>
      <w:r>
        <w:rPr>
          <w:rFonts w:hint="eastAsia"/>
          <w:lang w:eastAsia="zh-CN"/>
        </w:rPr>
        <w:t>（</w:t>
      </w:r>
      <w:r>
        <w:rPr>
          <w:rFonts w:hint="eastAsia"/>
          <w:lang w:val="en-US" w:eastAsia="zh-CN"/>
        </w:rPr>
        <w:t>7</w:t>
      </w:r>
      <w:r>
        <w:rPr>
          <w:rFonts w:hint="eastAsia"/>
          <w:lang w:eastAsia="zh-CN"/>
        </w:rPr>
        <w:t>）</w:t>
      </w:r>
      <w:r>
        <w:rPr>
          <w:rFonts w:hint="eastAsia"/>
        </w:rPr>
        <w:t>围堰注水以及内支撑的拆除</w:t>
      </w:r>
    </w:p>
    <w:p w14:paraId="6C2BDC6B">
      <w:pPr>
        <w:ind w:firstLine="480"/>
      </w:pPr>
      <w:r>
        <w:rPr>
          <w:rFonts w:hint="eastAsia"/>
        </w:rPr>
        <w:t>先采用水泵向围堰内灌水，同时自下而上拆除内支撑，先拆除下支撑，将水灌进一层，再拆除上部支撑。</w:t>
      </w:r>
    </w:p>
    <w:p w14:paraId="6928C58A">
      <w:pPr>
        <w:ind w:firstLine="480"/>
      </w:pPr>
      <w:r>
        <w:rPr>
          <w:rFonts w:hint="eastAsia"/>
          <w:lang w:eastAsia="zh-CN"/>
        </w:rPr>
        <w:t>（</w:t>
      </w:r>
      <w:r>
        <w:rPr>
          <w:rFonts w:hint="eastAsia"/>
          <w:lang w:val="en-US" w:eastAsia="zh-CN"/>
        </w:rPr>
        <w:t>8</w:t>
      </w:r>
      <w:r>
        <w:rPr>
          <w:rFonts w:hint="eastAsia"/>
          <w:lang w:eastAsia="zh-CN"/>
        </w:rPr>
        <w:t>）</w:t>
      </w:r>
      <w:r>
        <w:rPr>
          <w:rFonts w:hint="eastAsia"/>
        </w:rPr>
        <w:t>钢板桩拔除</w:t>
      </w:r>
    </w:p>
    <w:p w14:paraId="17BACE02">
      <w:pPr>
        <w:ind w:firstLine="480"/>
      </w:pPr>
      <w:r>
        <w:rPr>
          <w:rFonts w:hint="eastAsia"/>
        </w:rPr>
        <w:t>先用打拔桩机夹住钢板桩头部振动</w:t>
      </w:r>
      <w:r>
        <w:t>1min</w:t>
      </w:r>
      <w:r>
        <w:rPr>
          <w:rFonts w:hint="eastAsia"/>
        </w:rPr>
        <w:t>～</w:t>
      </w:r>
      <w:r>
        <w:t>2min</w:t>
      </w:r>
      <w:r>
        <w:rPr>
          <w:rFonts w:hint="eastAsia"/>
        </w:rPr>
        <w:t>，使钢板桩周围的土松动，产生“液化”，减少土对桩的摩阻力，然后慢慢的往上振拔，拔桩时注意桩机的负荷情况，发现上拔困难或拔不上来时，停止拔桩，可先行往下施打少许，再往上拨，如此反复可将桩拔出来。对较难拔除的板桩可先用柴油锤将桩振下</w:t>
      </w:r>
      <w:r>
        <w:t>100</w:t>
      </w:r>
      <w:r>
        <w:rPr>
          <w:rFonts w:hint="eastAsia"/>
        </w:rPr>
        <w:t>－</w:t>
      </w:r>
      <w:r>
        <w:t>300mm</w:t>
      </w:r>
      <w:r>
        <w:rPr>
          <w:rFonts w:hint="eastAsia"/>
        </w:rPr>
        <w:t>，再与振动锤交替振打、振拔。对引拔阻力较大的钢板桩，采用间歇振动的方法，每次振动</w:t>
      </w:r>
      <w:r>
        <w:t>15min</w:t>
      </w:r>
      <w:r>
        <w:rPr>
          <w:rFonts w:hint="eastAsia"/>
        </w:rPr>
        <w:t>，振动锤连续不超过</w:t>
      </w:r>
      <w:r>
        <w:t xml:space="preserve">1.5h </w:t>
      </w:r>
      <w:r>
        <w:rPr>
          <w:rFonts w:hint="eastAsia"/>
        </w:rPr>
        <w:t>。同时钢板桩拔除方向应为先由下游方向开始，对称施工至上游方向。</w:t>
      </w:r>
    </w:p>
    <w:p w14:paraId="29C84DE3">
      <w:pPr>
        <w:numPr>
          <w:ilvl w:val="0"/>
          <w:numId w:val="5"/>
        </w:numPr>
        <w:ind w:firstLine="480"/>
      </w:pPr>
      <w:r>
        <w:rPr>
          <w:rFonts w:hint="eastAsia"/>
        </w:rPr>
        <w:t>注意事项</w:t>
      </w:r>
    </w:p>
    <w:p w14:paraId="6AF9E960">
      <w:pPr>
        <w:ind w:firstLine="480"/>
      </w:pPr>
      <w:r>
        <w:rPr>
          <w:rFonts w:hint="eastAsia"/>
          <w:lang w:val="en-US" w:eastAsia="zh-CN"/>
        </w:rPr>
        <w:t>1）</w:t>
      </w:r>
      <w:r>
        <w:rPr>
          <w:rFonts w:hint="eastAsia"/>
        </w:rPr>
        <w:t>严格控制钢板桩围堰四周的水位及荷载。</w:t>
      </w:r>
    </w:p>
    <w:p w14:paraId="212FC190">
      <w:pPr>
        <w:ind w:firstLine="480"/>
      </w:pPr>
      <w:r>
        <w:rPr>
          <w:rFonts w:hint="eastAsia"/>
          <w:lang w:val="en-US" w:eastAsia="zh-CN"/>
        </w:rPr>
        <w:t>2）</w:t>
      </w:r>
      <w:r>
        <w:rPr>
          <w:rFonts w:hint="eastAsia"/>
        </w:rPr>
        <w:t>按钢板桩围堰设计方案要求，做好围堰内排水，潜水泵将基坑内积水抽至围堰外。</w:t>
      </w:r>
    </w:p>
    <w:p w14:paraId="34D6ACE8">
      <w:pPr>
        <w:ind w:firstLine="480"/>
      </w:pPr>
      <w:r>
        <w:rPr>
          <w:rFonts w:hint="eastAsia"/>
          <w:lang w:val="en-US" w:eastAsia="zh-CN"/>
        </w:rPr>
        <w:t>3）</w:t>
      </w:r>
      <w:r>
        <w:t xml:space="preserve"> </w:t>
      </w:r>
      <w:r>
        <w:rPr>
          <w:rFonts w:hint="eastAsia"/>
        </w:rPr>
        <w:t>施工过程中应经常检查排水沟，确保排水通畅，并作好围堰内基坑的沉降、钢管桩位移观测，发现变化异常时及时分析，进行补救。</w:t>
      </w:r>
    </w:p>
    <w:p w14:paraId="59396742">
      <w:pPr>
        <w:ind w:firstLine="480"/>
      </w:pPr>
      <w:r>
        <w:rPr>
          <w:rFonts w:hint="eastAsia"/>
          <w:lang w:val="en-US" w:eastAsia="zh-CN"/>
        </w:rPr>
        <w:t>4）</w:t>
      </w:r>
      <w:r>
        <w:rPr>
          <w:rFonts w:hint="eastAsia"/>
        </w:rPr>
        <w:t>恶劣天气暴雨前后对围堰的支护结构做全面的安全检查，如有异常，及时要求施工人员撤离现场。</w:t>
      </w:r>
    </w:p>
    <w:p w14:paraId="11C8C749">
      <w:pPr>
        <w:ind w:firstLine="480"/>
      </w:pPr>
      <w:r>
        <w:rPr>
          <w:rFonts w:hint="eastAsia"/>
          <w:lang w:val="en-US" w:eastAsia="zh-CN"/>
        </w:rPr>
        <w:t>5）</w:t>
      </w:r>
      <w:r>
        <w:rPr>
          <w:rFonts w:hint="eastAsia"/>
        </w:rPr>
        <w:t>施工中若发现地质剖面段实际地层较设计选用的钻孔地层软弱，或有其它可能危及钢板桩围堰的稳定及安全时，应立即通知监理和设计人员，及时采取有效处理措施。</w:t>
      </w:r>
    </w:p>
    <w:p w14:paraId="67963704">
      <w:pPr>
        <w:pStyle w:val="5"/>
        <w:bidi w:val="0"/>
        <w:rPr>
          <w:color w:val="auto"/>
        </w:rPr>
      </w:pPr>
      <w:bookmarkStart w:id="1031" w:name="_Toc26977"/>
      <w:bookmarkStart w:id="1032" w:name="_Toc11080"/>
      <w:bookmarkStart w:id="1033" w:name="_Toc5843"/>
      <w:bookmarkStart w:id="1034" w:name="_Toc11427"/>
      <w:bookmarkStart w:id="1035" w:name="_Toc26659"/>
      <w:bookmarkStart w:id="1036" w:name="_Toc2912"/>
      <w:bookmarkStart w:id="1037" w:name="_Toc19691"/>
      <w:bookmarkStart w:id="1038" w:name="_Toc586"/>
      <w:bookmarkStart w:id="1039" w:name="_Toc29236"/>
      <w:bookmarkStart w:id="1040" w:name="_Toc22352"/>
      <w:bookmarkStart w:id="1041" w:name="_Toc2920"/>
      <w:bookmarkStart w:id="1042" w:name="_Toc2535"/>
      <w:r>
        <w:rPr>
          <w:rFonts w:hint="eastAsia"/>
          <w:color w:val="auto"/>
          <w:lang w:val="en-US" w:eastAsia="zh-CN"/>
        </w:rPr>
        <w:t>8</w:t>
      </w:r>
      <w:r>
        <w:rPr>
          <w:rFonts w:hint="default"/>
          <w:color w:val="auto"/>
          <w:lang w:val="en-US" w:eastAsia="zh-CN"/>
        </w:rPr>
        <w:t>.</w:t>
      </w:r>
      <w:r>
        <w:rPr>
          <w:rFonts w:hint="eastAsia"/>
          <w:color w:val="auto"/>
          <w:lang w:val="en-US" w:eastAsia="zh-CN"/>
        </w:rPr>
        <w:t>2.</w:t>
      </w:r>
      <w:r>
        <w:rPr>
          <w:rFonts w:hint="default"/>
          <w:color w:val="auto"/>
          <w:lang w:val="en-US" w:eastAsia="zh-CN"/>
        </w:rPr>
        <w:t>4</w:t>
      </w:r>
      <w:r>
        <w:rPr>
          <w:rFonts w:hint="eastAsia"/>
          <w:color w:val="auto"/>
          <w:lang w:val="en-US" w:eastAsia="zh-CN"/>
        </w:rPr>
        <w:t xml:space="preserve"> </w:t>
      </w:r>
      <w:r>
        <w:rPr>
          <w:rFonts w:hint="eastAsia"/>
          <w:color w:val="auto"/>
        </w:rPr>
        <w:t>承台</w:t>
      </w:r>
      <w:bookmarkEnd w:id="953"/>
      <w:bookmarkEnd w:id="1031"/>
      <w:bookmarkEnd w:id="1032"/>
      <w:bookmarkEnd w:id="1033"/>
      <w:bookmarkEnd w:id="1034"/>
      <w:bookmarkEnd w:id="1035"/>
      <w:bookmarkEnd w:id="1036"/>
      <w:bookmarkEnd w:id="1037"/>
      <w:r>
        <w:rPr>
          <w:rFonts w:hint="eastAsia"/>
          <w:color w:val="auto"/>
        </w:rPr>
        <w:t>系梁工程</w:t>
      </w:r>
      <w:bookmarkEnd w:id="1038"/>
      <w:bookmarkEnd w:id="1039"/>
      <w:bookmarkEnd w:id="1040"/>
      <w:bookmarkEnd w:id="1041"/>
      <w:bookmarkEnd w:id="1042"/>
    </w:p>
    <w:p w14:paraId="2379389D">
      <w:pPr>
        <w:pStyle w:val="6"/>
        <w:bidi w:val="0"/>
      </w:pPr>
      <w:bookmarkStart w:id="1043" w:name="_Toc5747"/>
      <w:bookmarkStart w:id="1044" w:name="_Toc21849"/>
      <w:bookmarkStart w:id="1045" w:name="_Toc52"/>
      <w:bookmarkStart w:id="1046" w:name="_Toc24242"/>
      <w:bookmarkStart w:id="1047" w:name="_Toc20122"/>
      <w:bookmarkStart w:id="1048" w:name="_Toc269"/>
      <w:bookmarkStart w:id="1049" w:name="_Toc20393"/>
      <w:r>
        <w:rPr>
          <w:rFonts w:hint="eastAsia"/>
          <w:lang w:val="en-US" w:eastAsia="zh-CN"/>
        </w:rPr>
        <w:t>8</w:t>
      </w:r>
      <w:r>
        <w:rPr>
          <w:rFonts w:hint="default"/>
          <w:lang w:val="en-US" w:eastAsia="zh-CN"/>
        </w:rPr>
        <w:t>.</w:t>
      </w:r>
      <w:r>
        <w:rPr>
          <w:rFonts w:hint="eastAsia"/>
          <w:lang w:val="en-US" w:eastAsia="zh-CN"/>
        </w:rPr>
        <w:t>2.4</w:t>
      </w:r>
      <w:r>
        <w:rPr>
          <w:rFonts w:hint="default"/>
          <w:lang w:val="en-US" w:eastAsia="zh-CN"/>
        </w:rPr>
        <w:t>.1.</w:t>
      </w:r>
      <w:r>
        <w:rPr>
          <w:rFonts w:hint="eastAsia"/>
        </w:rPr>
        <w:t>承台工程</w:t>
      </w:r>
      <w:bookmarkEnd w:id="1043"/>
      <w:bookmarkEnd w:id="1044"/>
      <w:bookmarkEnd w:id="1045"/>
      <w:bookmarkEnd w:id="1046"/>
    </w:p>
    <w:p w14:paraId="3958DD59">
      <w:pPr>
        <w:numPr>
          <w:ilvl w:val="0"/>
          <w:numId w:val="6"/>
        </w:numPr>
        <w:ind w:firstLine="482"/>
        <w:rPr>
          <w:rFonts w:hint="eastAsia"/>
          <w:b/>
          <w:bCs/>
          <w:highlight w:val="none"/>
        </w:rPr>
      </w:pPr>
      <w:r>
        <w:rPr>
          <w:rFonts w:hint="eastAsia"/>
          <w:b/>
          <w:bCs/>
          <w:highlight w:val="none"/>
        </w:rPr>
        <w:t>承台施工工艺</w:t>
      </w:r>
      <w:bookmarkEnd w:id="1047"/>
      <w:bookmarkEnd w:id="1048"/>
      <w:bookmarkEnd w:id="1049"/>
    </w:p>
    <w:p w14:paraId="1C962B7E">
      <w:pPr>
        <w:pStyle w:val="22"/>
        <w:numPr>
          <w:ilvl w:val="0"/>
          <w:numId w:val="0"/>
        </w:numPr>
        <w:jc w:val="both"/>
        <w:rPr>
          <w:rFonts w:hint="eastAsia"/>
          <w:color w:val="auto"/>
          <w:highlight w:val="yellow"/>
        </w:rPr>
      </w:pPr>
      <w:bookmarkStart w:id="1050" w:name="_Toc21951"/>
      <w:r>
        <w:rPr>
          <w:rFonts w:hint="eastAsia" w:ascii="仿宋" w:hAnsi="仿宋" w:eastAsia="仿宋" w:cs="仿宋"/>
          <w:lang w:val="en-US" w:eastAsia="zh-CN"/>
        </w:rPr>
        <w:t xml:space="preserve">          </w:t>
      </w:r>
      <w:bookmarkEnd w:id="1050"/>
      <w:r>
        <w:rPr>
          <w:rFonts w:hint="eastAsia" w:ascii="仿宋" w:hAnsi="仿宋" w:eastAsia="仿宋" w:cs="仿宋"/>
        </w:rPr>
        <w:drawing>
          <wp:inline distT="0" distB="0" distL="114300" distR="114300">
            <wp:extent cx="5128260" cy="5396230"/>
            <wp:effectExtent l="0" t="0" r="7620" b="13970"/>
            <wp:docPr id="14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图片 28"/>
                    <pic:cNvPicPr>
                      <a:picLocks noChangeAspect="1"/>
                    </pic:cNvPicPr>
                  </pic:nvPicPr>
                  <pic:blipFill>
                    <a:blip r:embed="rId118"/>
                    <a:stretch>
                      <a:fillRect/>
                    </a:stretch>
                  </pic:blipFill>
                  <pic:spPr>
                    <a:xfrm>
                      <a:off x="0" y="0"/>
                      <a:ext cx="5128260" cy="5396230"/>
                    </a:xfrm>
                    <a:prstGeom prst="rect">
                      <a:avLst/>
                    </a:prstGeom>
                    <a:noFill/>
                    <a:ln>
                      <a:noFill/>
                    </a:ln>
                  </pic:spPr>
                </pic:pic>
              </a:graphicData>
            </a:graphic>
          </wp:inline>
        </w:drawing>
      </w:r>
    </w:p>
    <w:p w14:paraId="44B01ED1">
      <w:pPr>
        <w:pStyle w:val="103"/>
        <w:ind w:firstLine="3002" w:firstLineChars="1300"/>
        <w:jc w:val="both"/>
        <w:rPr>
          <w:color w:val="auto"/>
          <w:highlight w:val="none"/>
        </w:rPr>
      </w:pPr>
      <w:r>
        <w:rPr>
          <w:rFonts w:hint="eastAsia"/>
          <w:color w:val="auto"/>
          <w:highlight w:val="none"/>
        </w:rPr>
        <w:t>承台施工工艺流程</w:t>
      </w:r>
    </w:p>
    <w:p w14:paraId="0B09A863">
      <w:pPr>
        <w:ind w:firstLine="482"/>
        <w:rPr>
          <w:b/>
        </w:rPr>
      </w:pPr>
      <w:r>
        <w:rPr>
          <w:b/>
        </w:rPr>
        <w:t>2</w:t>
      </w:r>
      <w:r>
        <w:rPr>
          <w:rFonts w:hint="eastAsia"/>
          <w:b/>
        </w:rPr>
        <w:t>、基坑开挖</w:t>
      </w:r>
    </w:p>
    <w:p w14:paraId="6F89E6FB">
      <w:pPr>
        <w:ind w:firstLine="480"/>
      </w:pPr>
      <w:r>
        <w:rPr>
          <w:rFonts w:hint="eastAsia"/>
        </w:rPr>
        <w:t>桥墩桩基施工完毕并经桩基检测合格后，复测桩基中心线，并对承台进行放样后即可进行承台基坑开挖。承台基坑采用人工配合挖掘机开挖，其坡度视土质和地形情况设置，预留</w:t>
      </w:r>
      <w:r>
        <w:t>20cm</w:t>
      </w:r>
      <w:r>
        <w:rPr>
          <w:rFonts w:hint="eastAsia"/>
        </w:rPr>
        <w:t>由人工辅助清理，避免超挖基坑，然后铺设混凝土垫层。若开挖后有水，底部四周设置汇水沟和集水井，潜水泵抽水，保证承台底面处于无水状态施工。基坑开挖成型后，风镐凿除桩头</w:t>
      </w:r>
      <w:r>
        <w:t>,</w:t>
      </w:r>
      <w:r>
        <w:rPr>
          <w:rFonts w:hint="eastAsia"/>
        </w:rPr>
        <w:t>采用环切法，桩头预留</w:t>
      </w:r>
      <w:r>
        <w:t>15cm</w:t>
      </w:r>
      <w:r>
        <w:rPr>
          <w:rFonts w:hint="eastAsia"/>
        </w:rPr>
        <w:t>由人工进行清平，以避免对桩头造成破坏。监理检查合格后方可施工。</w:t>
      </w:r>
    </w:p>
    <w:p w14:paraId="579F50DA">
      <w:pPr>
        <w:ind w:firstLine="482"/>
        <w:rPr>
          <w:b/>
        </w:rPr>
      </w:pPr>
      <w:r>
        <w:rPr>
          <w:b/>
        </w:rPr>
        <w:t>3</w:t>
      </w:r>
      <w:r>
        <w:rPr>
          <w:rFonts w:hint="eastAsia"/>
          <w:b/>
        </w:rPr>
        <w:t>、钢筋加工</w:t>
      </w:r>
    </w:p>
    <w:p w14:paraId="19DE6D58">
      <w:pPr>
        <w:ind w:firstLine="480"/>
      </w:pPr>
      <w:r>
        <w:rPr>
          <w:rFonts w:hint="eastAsia"/>
        </w:rPr>
        <w:t>钢筋在钢筋加工场内集中下料，统一弯制成形，现场绑扎。绑扎时注意桩基钢筋及立柱预埋钢筋的处理。</w:t>
      </w:r>
    </w:p>
    <w:p w14:paraId="79E0BECF">
      <w:pPr>
        <w:ind w:firstLine="482"/>
        <w:rPr>
          <w:b/>
        </w:rPr>
      </w:pPr>
      <w:r>
        <w:rPr>
          <w:b/>
        </w:rPr>
        <w:t>4</w:t>
      </w:r>
      <w:r>
        <w:rPr>
          <w:rFonts w:hint="eastAsia"/>
          <w:b/>
        </w:rPr>
        <w:t>、拼装模板</w:t>
      </w:r>
    </w:p>
    <w:p w14:paraId="19E770D3">
      <w:pPr>
        <w:ind w:firstLine="480"/>
      </w:pPr>
      <w:r>
        <w:rPr>
          <w:rFonts w:hint="eastAsia"/>
        </w:rPr>
        <w:t>承台采用钢模板，每块模板不小于</w:t>
      </w:r>
      <w:r>
        <w:t>1.5m</w:t>
      </w:r>
      <w:r>
        <w:rPr>
          <w:vertAlign w:val="superscript"/>
        </w:rPr>
        <w:t>2</w:t>
      </w:r>
      <w:r>
        <w:rPr>
          <w:rFonts w:hint="eastAsia"/>
        </w:rPr>
        <w:t>。现场拼装模板时，将模板放置在垫层上，接缝间用海绵条填塞，模板内侧涂隔离剂，同时为了保证混凝土表面光洁，模板内缝贴胶带纸。安装侧模板时，应防止模板位移和侧向弯曲。承台在模板外设立支撑固定，顶部设置拉杆，保证模板内部尺寸不超出施工规范要求。监理检查合格后方可施工。</w:t>
      </w:r>
    </w:p>
    <w:p w14:paraId="05DAA954">
      <w:pPr>
        <w:ind w:firstLine="482"/>
        <w:rPr>
          <w:b/>
        </w:rPr>
      </w:pPr>
      <w:bookmarkStart w:id="1051" w:name="_Toc20405"/>
      <w:bookmarkStart w:id="1052" w:name="_Toc25422"/>
      <w:bookmarkStart w:id="1053" w:name="_Toc30792"/>
      <w:bookmarkStart w:id="1054" w:name="_Toc392933505"/>
      <w:bookmarkStart w:id="1055" w:name="_Toc28661"/>
      <w:bookmarkStart w:id="1056" w:name="_Toc7537"/>
      <w:bookmarkStart w:id="1057" w:name="_Toc10819"/>
      <w:bookmarkStart w:id="1058" w:name="_Toc22648"/>
      <w:r>
        <w:rPr>
          <w:b/>
        </w:rPr>
        <w:t>5</w:t>
      </w:r>
      <w:r>
        <w:rPr>
          <w:rFonts w:hint="eastAsia"/>
          <w:b/>
        </w:rPr>
        <w:t>、浇筑混凝土</w:t>
      </w:r>
    </w:p>
    <w:p w14:paraId="30B16B61">
      <w:pPr>
        <w:ind w:firstLine="480"/>
      </w:pPr>
      <w:r>
        <w:rPr>
          <w:rFonts w:hint="eastAsia"/>
        </w:rPr>
        <w:t>混凝土浇筑前，模板内的杂物、积水和钢筋上的污垢应清理干净。检查钢筋、预埋件和模板支撑及模板接缝情况，符合要求后方可浇筑混凝土。混凝土由混凝土输送车进行运输，设置滑槽浇筑混凝土。浇筑时应分层分段浇筑，应在下层混凝土初凝或能重塑前浇筑完成上层混凝土。上下层同时浇筑时，上层与下层前后浇筑距离应保持</w:t>
      </w:r>
      <w:r>
        <w:t>1.5m</w:t>
      </w:r>
      <w:r>
        <w:rPr>
          <w:rFonts w:hint="eastAsia"/>
        </w:rPr>
        <w:t>以上。浇筑混凝土时分层厚度控制在</w:t>
      </w:r>
      <w:r>
        <w:t>0.3</w:t>
      </w:r>
      <w:r>
        <w:rPr>
          <w:rFonts w:hint="eastAsia"/>
        </w:rPr>
        <w:t>～</w:t>
      </w:r>
      <w:r>
        <w:t>0.4m</w:t>
      </w:r>
      <w:r>
        <w:rPr>
          <w:rFonts w:hint="eastAsia"/>
        </w:rPr>
        <w:t>之间。</w:t>
      </w:r>
    </w:p>
    <w:p w14:paraId="6829CE42">
      <w:pPr>
        <w:ind w:firstLine="480"/>
      </w:pPr>
      <w:r>
        <w:rPr>
          <w:rFonts w:hint="eastAsia"/>
        </w:rPr>
        <w:t>使用插入式振动器时，移动间距不应超过振动器作用半径的</w:t>
      </w:r>
      <w:r>
        <w:t>1.5</w:t>
      </w:r>
      <w:r>
        <w:rPr>
          <w:rFonts w:hint="eastAsia"/>
        </w:rPr>
        <w:t>倍；与侧模应保持</w:t>
      </w:r>
      <w:r>
        <w:t>50</w:t>
      </w:r>
      <w:r>
        <w:rPr>
          <w:rFonts w:hint="eastAsia"/>
        </w:rPr>
        <w:t>～</w:t>
      </w:r>
      <w:r>
        <w:t>100mm</w:t>
      </w:r>
      <w:r>
        <w:rPr>
          <w:rFonts w:hint="eastAsia"/>
        </w:rPr>
        <w:t>的距离；插入下层混凝土</w:t>
      </w:r>
      <w:r>
        <w:t>50</w:t>
      </w:r>
      <w:r>
        <w:rPr>
          <w:rFonts w:hint="eastAsia"/>
        </w:rPr>
        <w:t>～</w:t>
      </w:r>
      <w:r>
        <w:t>100mm</w:t>
      </w:r>
      <w:r>
        <w:rPr>
          <w:rFonts w:hint="eastAsia"/>
        </w:rPr>
        <w:t>；每一处振动完毕后应边振动边徐徐提出振动棒；应避免振动棒碰撞模板、钢筋及其他预埋件。对每一振动部位，必须振动到该部位混凝土密实为止。密实的标志是混凝土停止下沉，不再冒出气泡，表面呈现平坦、泛浆。混凝土的浇筑应连续进行，如因故必须间断时，其间断时间应小于前层混凝土的初凝时间或能重塑的时间。施工过程中注意各种预埋件的设置工作。监理检查合格后方可施工。</w:t>
      </w:r>
    </w:p>
    <w:p w14:paraId="712F784C">
      <w:pPr>
        <w:ind w:firstLine="482"/>
        <w:rPr>
          <w:b/>
        </w:rPr>
      </w:pPr>
      <w:r>
        <w:rPr>
          <w:b/>
        </w:rPr>
        <w:t>6</w:t>
      </w:r>
      <w:r>
        <w:rPr>
          <w:rFonts w:hint="eastAsia"/>
          <w:b/>
        </w:rPr>
        <w:t>、养护</w:t>
      </w:r>
    </w:p>
    <w:p w14:paraId="5DEBE2CA">
      <w:pPr>
        <w:ind w:firstLine="480"/>
      </w:pPr>
      <w:r>
        <w:rPr>
          <w:rFonts w:hint="eastAsia"/>
        </w:rPr>
        <w:t>浇灌完成后，对混凝土裸露面应及时进行修整、抹平，待定浆后再抹第二遍并压光或拉毛。当裸露面面积较大或气候不良时，应覆盖防护，但在开始养生前，覆盖物不得接触混凝土面。洒水养护的时间一般为</w:t>
      </w:r>
      <w:r>
        <w:t>7</w:t>
      </w:r>
      <w:r>
        <w:rPr>
          <w:rFonts w:hint="eastAsia"/>
        </w:rPr>
        <w:t>天。</w:t>
      </w:r>
    </w:p>
    <w:p w14:paraId="3C86A55B">
      <w:pPr>
        <w:ind w:firstLine="482"/>
        <w:rPr>
          <w:b/>
          <w:bCs/>
        </w:rPr>
      </w:pPr>
      <w:r>
        <w:rPr>
          <w:b/>
          <w:bCs/>
        </w:rPr>
        <w:t>7</w:t>
      </w:r>
      <w:r>
        <w:rPr>
          <w:rFonts w:hint="eastAsia"/>
          <w:b/>
          <w:bCs/>
        </w:rPr>
        <w:t>、承台基坑回填</w:t>
      </w:r>
      <w:bookmarkEnd w:id="1051"/>
      <w:bookmarkEnd w:id="1052"/>
      <w:bookmarkEnd w:id="1053"/>
    </w:p>
    <w:p w14:paraId="78CA6375">
      <w:pPr>
        <w:ind w:left="240" w:right="240" w:firstLine="480"/>
      </w:pPr>
      <w:r>
        <w:rPr>
          <w:rFonts w:hint="eastAsia"/>
        </w:rPr>
        <w:t>待承台模板拆除后，报监理工程师检查验收，得到监理工程师同意后组织力量进行回填。回填材料利用原基坑开挖出的土方，回填时分层进行，每层厚度不得超过</w:t>
      </w:r>
      <w:r>
        <w:t>20cm</w:t>
      </w:r>
      <w:r>
        <w:rPr>
          <w:rFonts w:hint="eastAsia"/>
        </w:rPr>
        <w:t>，用蛙式打夯机进行夯实，密实度满足标准要求。位于河道中的基坑回填必须采用抗冲刷能力较好的卵石、片石等材料，其粒径不小于天然河床料。</w:t>
      </w:r>
    </w:p>
    <w:bookmarkEnd w:id="1054"/>
    <w:bookmarkEnd w:id="1055"/>
    <w:bookmarkEnd w:id="1056"/>
    <w:bookmarkEnd w:id="1057"/>
    <w:bookmarkEnd w:id="1058"/>
    <w:p w14:paraId="0799AB58">
      <w:pPr>
        <w:pStyle w:val="5"/>
        <w:bidi w:val="0"/>
        <w:rPr>
          <w:color w:val="auto"/>
        </w:rPr>
      </w:pPr>
      <w:bookmarkStart w:id="1059" w:name="_Toc23948"/>
      <w:bookmarkStart w:id="1060" w:name="_Toc31252"/>
      <w:bookmarkStart w:id="1061" w:name="_Toc30217"/>
      <w:bookmarkStart w:id="1062" w:name="_Toc26035"/>
      <w:bookmarkStart w:id="1063" w:name="_Toc35524920"/>
      <w:bookmarkStart w:id="1064" w:name="_Toc18012"/>
      <w:bookmarkStart w:id="1065" w:name="_Toc11535"/>
      <w:bookmarkStart w:id="1066" w:name="_Toc18931"/>
      <w:bookmarkStart w:id="1067" w:name="_Toc5214"/>
      <w:bookmarkStart w:id="1068" w:name="_Toc2197"/>
      <w:bookmarkStart w:id="1069" w:name="_Toc17374"/>
      <w:bookmarkStart w:id="1070" w:name="_Toc30160"/>
      <w:bookmarkStart w:id="1071" w:name="_Toc11943"/>
      <w:bookmarkStart w:id="1072" w:name="_Toc4041"/>
      <w:bookmarkStart w:id="1073" w:name="_Toc12737"/>
      <w:bookmarkStart w:id="1074" w:name="_Toc2152"/>
      <w:bookmarkStart w:id="1075" w:name="_Toc9066"/>
      <w:bookmarkStart w:id="1076" w:name="_Toc15019"/>
      <w:bookmarkStart w:id="1077" w:name="_Toc19933"/>
      <w:bookmarkStart w:id="1078" w:name="_Toc4435"/>
      <w:bookmarkStart w:id="1079" w:name="_Toc868"/>
      <w:bookmarkStart w:id="1080" w:name="_Toc17839"/>
      <w:r>
        <w:rPr>
          <w:rFonts w:hint="eastAsia"/>
          <w:color w:val="auto"/>
          <w:lang w:val="en-US" w:eastAsia="zh-CN"/>
        </w:rPr>
        <w:t>8.2.</w:t>
      </w:r>
      <w:r>
        <w:rPr>
          <w:rFonts w:hint="default"/>
          <w:color w:val="auto"/>
          <w:lang w:val="en-US" w:eastAsia="zh-CN"/>
        </w:rPr>
        <w:t>5</w:t>
      </w:r>
      <w:r>
        <w:rPr>
          <w:rFonts w:hint="eastAsia"/>
          <w:color w:val="auto"/>
        </w:rPr>
        <w:t>墩台、盖梁</w:t>
      </w:r>
      <w:bookmarkEnd w:id="1059"/>
      <w:bookmarkEnd w:id="1060"/>
      <w:bookmarkEnd w:id="1061"/>
      <w:bookmarkEnd w:id="1062"/>
      <w:bookmarkEnd w:id="1063"/>
      <w:bookmarkEnd w:id="1064"/>
      <w:bookmarkEnd w:id="1065"/>
      <w:bookmarkEnd w:id="1066"/>
      <w:bookmarkEnd w:id="1067"/>
      <w:bookmarkEnd w:id="1068"/>
      <w:r>
        <w:rPr>
          <w:rFonts w:hint="eastAsia"/>
          <w:color w:val="auto"/>
        </w:rPr>
        <w:t>工程</w:t>
      </w:r>
      <w:bookmarkEnd w:id="1069"/>
      <w:bookmarkEnd w:id="1070"/>
      <w:bookmarkEnd w:id="1071"/>
      <w:bookmarkEnd w:id="1072"/>
      <w:bookmarkEnd w:id="1073"/>
    </w:p>
    <w:p w14:paraId="2BC03BAA">
      <w:pPr>
        <w:bidi w:val="0"/>
        <w:ind w:left="0" w:leftChars="0" w:firstLine="482" w:firstLineChars="200"/>
        <w:rPr>
          <w:b/>
          <w:bCs/>
          <w:color w:val="auto"/>
          <w:highlight w:val="none"/>
        </w:rPr>
      </w:pPr>
      <w:bookmarkStart w:id="1081" w:name="_Toc13860"/>
      <w:bookmarkStart w:id="1082" w:name="_Toc16155"/>
      <w:bookmarkStart w:id="1083" w:name="_Toc16541"/>
      <w:bookmarkStart w:id="1084" w:name="_Toc17070"/>
      <w:r>
        <w:rPr>
          <w:rFonts w:hint="eastAsia"/>
          <w:b/>
          <w:bCs/>
          <w:color w:val="auto"/>
          <w:highlight w:val="none"/>
          <w:lang w:val="en-US" w:eastAsia="zh-CN"/>
        </w:rPr>
        <w:t>一、圆柱墩</w:t>
      </w:r>
      <w:r>
        <w:rPr>
          <w:b/>
          <w:bCs/>
          <w:color w:val="auto"/>
          <w:highlight w:val="none"/>
        </w:rPr>
        <w:t>施工</w:t>
      </w:r>
    </w:p>
    <w:p w14:paraId="520CACA3">
      <w:pPr>
        <w:bidi w:val="0"/>
        <w:rPr>
          <w:rFonts w:hint="default" w:eastAsia="宋体"/>
          <w:color w:val="auto"/>
          <w:highlight w:val="none"/>
          <w:lang w:val="en-US" w:eastAsia="zh-CN"/>
        </w:rPr>
      </w:pPr>
      <w:r>
        <w:rPr>
          <w:color w:val="auto"/>
          <w:highlight w:val="none"/>
        </w:rPr>
        <w:t>本项目圆柱墩直径分别为1</w:t>
      </w:r>
      <w:r>
        <w:rPr>
          <w:rFonts w:hint="eastAsia"/>
          <w:color w:val="auto"/>
          <w:highlight w:val="none"/>
          <w:lang w:val="en-US" w:eastAsia="zh-CN"/>
        </w:rPr>
        <w:t>2</w:t>
      </w:r>
      <w:r>
        <w:rPr>
          <w:color w:val="auto"/>
          <w:highlight w:val="none"/>
        </w:rPr>
        <w:t>0cm、1</w:t>
      </w:r>
      <w:r>
        <w:rPr>
          <w:rFonts w:hint="eastAsia"/>
          <w:color w:val="auto"/>
          <w:highlight w:val="none"/>
          <w:lang w:val="en-US" w:eastAsia="zh-CN"/>
        </w:rPr>
        <w:t>4</w:t>
      </w:r>
      <w:r>
        <w:rPr>
          <w:color w:val="auto"/>
          <w:highlight w:val="none"/>
        </w:rPr>
        <w:t>0cm、1</w:t>
      </w:r>
      <w:r>
        <w:rPr>
          <w:rFonts w:hint="eastAsia"/>
          <w:color w:val="auto"/>
          <w:highlight w:val="none"/>
          <w:lang w:val="en-US" w:eastAsia="zh-CN"/>
        </w:rPr>
        <w:t>5</w:t>
      </w:r>
      <w:r>
        <w:rPr>
          <w:color w:val="auto"/>
          <w:highlight w:val="none"/>
        </w:rPr>
        <w:t>0cm、1</w:t>
      </w:r>
      <w:r>
        <w:rPr>
          <w:rFonts w:hint="eastAsia"/>
          <w:color w:val="auto"/>
          <w:highlight w:val="none"/>
          <w:lang w:val="en-US" w:eastAsia="zh-CN"/>
        </w:rPr>
        <w:t>6</w:t>
      </w:r>
      <w:r>
        <w:rPr>
          <w:color w:val="auto"/>
          <w:highlight w:val="none"/>
        </w:rPr>
        <w:t>0cm</w:t>
      </w:r>
      <w:r>
        <w:rPr>
          <w:rFonts w:hint="eastAsia"/>
          <w:color w:val="auto"/>
          <w:highlight w:val="none"/>
          <w:lang w:val="en-US" w:eastAsia="zh-CN"/>
        </w:rPr>
        <w:t>和18</w:t>
      </w:r>
      <w:r>
        <w:rPr>
          <w:color w:val="auto"/>
          <w:highlight w:val="none"/>
        </w:rPr>
        <w:t>0cm</w:t>
      </w:r>
      <w:r>
        <w:rPr>
          <w:rFonts w:hint="eastAsia"/>
          <w:color w:val="auto"/>
          <w:highlight w:val="none"/>
          <w:lang w:val="en-US" w:eastAsia="zh-CN"/>
        </w:rPr>
        <w:t>。</w:t>
      </w:r>
    </w:p>
    <w:p w14:paraId="182A22A6">
      <w:pPr>
        <w:bidi w:val="0"/>
        <w:rPr>
          <w:color w:val="auto"/>
          <w:highlight w:val="none"/>
        </w:rPr>
      </w:pPr>
      <w:r>
        <w:rPr>
          <w:color w:val="auto"/>
          <w:highlight w:val="none"/>
        </w:rPr>
        <w:t>1)施工工艺</w:t>
      </w:r>
    </w:p>
    <w:p w14:paraId="0DEDF9D5">
      <w:pPr>
        <w:bidi w:val="0"/>
        <w:rPr>
          <w:color w:val="auto"/>
          <w:highlight w:val="none"/>
        </w:rPr>
      </w:pPr>
      <w:r>
        <w:rPr>
          <w:color w:val="auto"/>
          <w:highlight w:val="none"/>
        </w:rPr>
        <w:t>施工准备-场地平整-墩柱接触面凿毛处理-测放墩位-墩柱钢筋笼制作-搭设</w:t>
      </w:r>
      <w:r>
        <w:rPr>
          <w:rFonts w:hint="eastAsia"/>
          <w:color w:val="auto"/>
          <w:highlight w:val="none"/>
          <w:lang w:val="en-US" w:eastAsia="zh-CN"/>
        </w:rPr>
        <w:t>梯笼</w:t>
      </w:r>
      <w:r>
        <w:rPr>
          <w:color w:val="auto"/>
          <w:highlight w:val="none"/>
        </w:rPr>
        <w:t>-接长墩柱钢筋笼-墩柱模板支护-灌注墩柱砼-砼拆模、养生(工艺流程见图</w:t>
      </w:r>
      <w:r>
        <w:rPr>
          <w:rFonts w:hint="eastAsia"/>
          <w:color w:val="auto"/>
          <w:highlight w:val="none"/>
          <w:lang w:val="en-US" w:eastAsia="zh-CN"/>
        </w:rPr>
        <w:t>下图）</w:t>
      </w:r>
      <w:r>
        <w:rPr>
          <w:color w:val="auto"/>
          <w:highlight w:val="none"/>
        </w:rPr>
        <w:t>。</w:t>
      </w:r>
    </w:p>
    <w:p w14:paraId="05B4C058"/>
    <w:p w14:paraId="14D07EA6">
      <w:pPr>
        <w:bidi w:val="0"/>
        <w:ind w:firstLine="723" w:firstLineChars="300"/>
        <w:rPr>
          <w:rFonts w:hint="eastAsia"/>
          <w:b/>
          <w:bCs/>
          <w:color w:val="auto"/>
          <w:highlight w:val="none"/>
          <w:lang w:val="en-US" w:eastAsia="zh-CN"/>
        </w:rPr>
      </w:pPr>
      <w:r>
        <w:rPr>
          <w:rFonts w:hint="eastAsia"/>
          <w:b/>
          <w:bCs/>
          <w:color w:val="auto"/>
          <w:highlight w:val="none"/>
          <w:lang w:val="en-US" w:eastAsia="zh-CN"/>
        </w:rPr>
        <w:drawing>
          <wp:inline distT="0" distB="0" distL="114300" distR="114300">
            <wp:extent cx="4479290" cy="5063490"/>
            <wp:effectExtent l="0" t="0" r="0" b="0"/>
            <wp:docPr id="1480" name="ECB019B1-382A-4266-B25C-5B523AA43C14-1" descr="C:/Users/Administrator/AppData/Local/Temp/wps.MVzqF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ECB019B1-382A-4266-B25C-5B523AA43C14-1" descr="C:/Users/Administrator/AppData/Local/Temp/wps.MVzqFgwps"/>
                    <pic:cNvPicPr>
                      <a:picLocks noChangeAspect="1"/>
                    </pic:cNvPicPr>
                  </pic:nvPicPr>
                  <pic:blipFill>
                    <a:blip r:embed="rId119"/>
                    <a:stretch>
                      <a:fillRect/>
                    </a:stretch>
                  </pic:blipFill>
                  <pic:spPr>
                    <a:xfrm>
                      <a:off x="0" y="0"/>
                      <a:ext cx="4479290" cy="5063490"/>
                    </a:xfrm>
                    <a:prstGeom prst="rect">
                      <a:avLst/>
                    </a:prstGeom>
                    <a:noFill/>
                    <a:ln>
                      <a:noFill/>
                    </a:ln>
                  </pic:spPr>
                </pic:pic>
              </a:graphicData>
            </a:graphic>
          </wp:inline>
        </w:drawing>
      </w:r>
    </w:p>
    <w:p w14:paraId="530AAE36">
      <w:pPr>
        <w:pStyle w:val="14"/>
        <w:bidi w:val="0"/>
      </w:pPr>
      <w:bookmarkStart w:id="1085" w:name="_Toc26304"/>
      <w:bookmarkStart w:id="1086" w:name="_Toc27173"/>
      <w:bookmarkStart w:id="1087" w:name="_Toc8906"/>
      <w:bookmarkStart w:id="1088" w:name="_Toc18335"/>
      <w:r>
        <w:rPr>
          <w:rFonts w:hint="eastAsia"/>
          <w:lang w:val="en-US" w:eastAsia="zh-CN"/>
        </w:rPr>
        <w:t>二、</w:t>
      </w:r>
      <w:r>
        <w:rPr>
          <w:rFonts w:hint="eastAsia"/>
        </w:rPr>
        <w:t>盖梁</w:t>
      </w:r>
      <w:r>
        <w:rPr>
          <w:rFonts w:hint="eastAsia"/>
          <w:lang w:val="en-US" w:eastAsia="zh-CN"/>
        </w:rPr>
        <w:t>及</w:t>
      </w:r>
      <w:r>
        <w:t>系梁</w:t>
      </w:r>
      <w:r>
        <w:rPr>
          <w:rFonts w:hint="eastAsia"/>
        </w:rPr>
        <w:t>施工工艺流程</w:t>
      </w:r>
      <w:bookmarkEnd w:id="1081"/>
      <w:bookmarkEnd w:id="1082"/>
      <w:bookmarkEnd w:id="1083"/>
      <w:bookmarkEnd w:id="1084"/>
      <w:bookmarkEnd w:id="1085"/>
      <w:bookmarkEnd w:id="1086"/>
      <w:bookmarkEnd w:id="1087"/>
      <w:bookmarkEnd w:id="1088"/>
    </w:p>
    <w:p w14:paraId="50DF6B33">
      <w:pPr>
        <w:ind w:firstLine="480"/>
        <w:rPr>
          <w:rFonts w:hint="eastAsia" w:eastAsia="宋体"/>
          <w:color w:val="auto"/>
          <w:highlight w:val="none"/>
          <w:lang w:eastAsia="zh-CN"/>
        </w:rPr>
      </w:pPr>
      <w:bookmarkStart w:id="1089" w:name="_Toc2215"/>
      <w:bookmarkStart w:id="1090" w:name="_Toc32670"/>
      <w:bookmarkStart w:id="1091" w:name="_Toc28233"/>
      <w:bookmarkStart w:id="1092" w:name="_Toc11734"/>
      <w:r>
        <w:rPr>
          <w:color w:val="auto"/>
          <w:highlight w:val="none"/>
        </w:rPr>
        <w:t>抱箍法施工</w:t>
      </w:r>
      <w:r>
        <w:rPr>
          <w:rFonts w:hint="eastAsia"/>
          <w:color w:val="auto"/>
          <w:highlight w:val="none"/>
          <w:lang w:eastAsia="zh-CN"/>
        </w:rPr>
        <w:t>：</w:t>
      </w:r>
    </w:p>
    <w:p w14:paraId="2AFC5CA4">
      <w:pPr>
        <w:bidi w:val="0"/>
        <w:rPr>
          <w:color w:val="auto"/>
          <w:highlight w:val="none"/>
        </w:rPr>
      </w:pPr>
      <w:r>
        <w:rPr>
          <w:color w:val="auto"/>
          <w:highlight w:val="none"/>
        </w:rPr>
        <w:t>①施工工艺</w:t>
      </w:r>
    </w:p>
    <w:p w14:paraId="73D44E41">
      <w:pPr>
        <w:bidi w:val="0"/>
        <w:rPr>
          <w:rFonts w:hint="eastAsia"/>
          <w:color w:val="auto"/>
          <w:highlight w:val="none"/>
          <w:lang w:eastAsia="zh-CN"/>
        </w:rPr>
      </w:pPr>
      <w:r>
        <w:rPr>
          <w:color w:val="auto"/>
          <w:highlight w:val="none"/>
        </w:rPr>
        <w:t>施工准备一测量放线一安装抱箍一安装纵梁一安装横梁一铺设底模—安装钢筋笼一浇筑混凝土一拆模一养护(工艺流程见图</w:t>
      </w:r>
      <w:r>
        <w:rPr>
          <w:rFonts w:hint="eastAsia"/>
          <w:color w:val="auto"/>
          <w:highlight w:val="none"/>
          <w:lang w:eastAsia="zh-CN"/>
        </w:rPr>
        <w:t>）</w:t>
      </w:r>
    </w:p>
    <w:p w14:paraId="596DB8F9">
      <w:pPr>
        <w:pStyle w:val="14"/>
        <w:jc w:val="center"/>
        <w:rPr>
          <w:rFonts w:hint="eastAsia"/>
          <w:lang w:eastAsia="zh-CN"/>
        </w:rPr>
      </w:pPr>
      <w:r>
        <w:rPr>
          <w:rFonts w:hint="eastAsia"/>
          <w:lang w:eastAsia="zh-CN"/>
        </w:rPr>
        <w:drawing>
          <wp:inline distT="0" distB="0" distL="114300" distR="114300">
            <wp:extent cx="3712210" cy="4601210"/>
            <wp:effectExtent l="0" t="0" r="0" b="0"/>
            <wp:docPr id="1482" name="ECB019B1-382A-4266-B25C-5B523AA43C14-2" descr="C:/Users/Administrator/AppData/Local/Temp/wps.ltVMU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ECB019B1-382A-4266-B25C-5B523AA43C14-2" descr="C:/Users/Administrator/AppData/Local/Temp/wps.ltVMUewps"/>
                    <pic:cNvPicPr>
                      <a:picLocks noChangeAspect="1"/>
                    </pic:cNvPicPr>
                  </pic:nvPicPr>
                  <pic:blipFill>
                    <a:blip r:embed="rId120"/>
                    <a:stretch>
                      <a:fillRect/>
                    </a:stretch>
                  </pic:blipFill>
                  <pic:spPr>
                    <a:xfrm>
                      <a:off x="0" y="0"/>
                      <a:ext cx="3712210" cy="4601210"/>
                    </a:xfrm>
                    <a:prstGeom prst="rect">
                      <a:avLst/>
                    </a:prstGeom>
                    <a:noFill/>
                    <a:ln>
                      <a:noFill/>
                    </a:ln>
                  </pic:spPr>
                </pic:pic>
              </a:graphicData>
            </a:graphic>
          </wp:inline>
        </w:drawing>
      </w:r>
    </w:p>
    <w:p w14:paraId="17296F06">
      <w:pPr>
        <w:bidi w:val="0"/>
        <w:rPr>
          <w:color w:val="auto"/>
          <w:highlight w:val="none"/>
        </w:rPr>
      </w:pPr>
      <w:r>
        <w:rPr>
          <w:color w:val="auto"/>
          <w:highlight w:val="none"/>
        </w:rPr>
        <w:t>②施工方法</w:t>
      </w:r>
    </w:p>
    <w:p w14:paraId="5F5B2FF5">
      <w:pPr>
        <w:bidi w:val="0"/>
        <w:rPr>
          <w:color w:val="auto"/>
          <w:highlight w:val="none"/>
        </w:rPr>
      </w:pPr>
      <w:r>
        <w:rPr>
          <w:color w:val="auto"/>
          <w:highlight w:val="none"/>
        </w:rPr>
        <w:t>(1)施工准备</w:t>
      </w:r>
    </w:p>
    <w:p w14:paraId="7C07F543">
      <w:pPr>
        <w:bidi w:val="0"/>
        <w:rPr>
          <w:color w:val="auto"/>
          <w:highlight w:val="none"/>
        </w:rPr>
      </w:pPr>
      <w:r>
        <w:rPr>
          <w:color w:val="auto"/>
          <w:highlight w:val="none"/>
        </w:rPr>
        <w:t>桥墩在立柱施工完成后，根据盖梁(柱系梁)设计标高反算出抱箍钢带下缘在墩柱的确切位置，并做标记，以便抱箍准确就位。为方便盖梁(柱系梁)底模的安装。</w:t>
      </w:r>
    </w:p>
    <w:p w14:paraId="31F37D92">
      <w:pPr>
        <w:bidi w:val="0"/>
        <w:ind w:left="0" w:leftChars="0" w:firstLine="480" w:firstLineChars="200"/>
        <w:rPr>
          <w:color w:val="auto"/>
          <w:highlight w:val="none"/>
        </w:rPr>
      </w:pPr>
      <w:r>
        <w:rPr>
          <w:color w:val="auto"/>
          <w:highlight w:val="none"/>
        </w:rPr>
        <w:t>(2)测量放样</w:t>
      </w:r>
    </w:p>
    <w:p w14:paraId="2A740ECD">
      <w:pPr>
        <w:bidi w:val="0"/>
        <w:rPr>
          <w:color w:val="auto"/>
          <w:highlight w:val="none"/>
        </w:rPr>
      </w:pPr>
      <w:r>
        <w:rPr>
          <w:color w:val="auto"/>
          <w:highlight w:val="none"/>
        </w:rPr>
        <w:t>在盖梁施工前，对墩柱进行施工测量，作为安装盖梁底模的依据。墩柱施工测量包括：墩柱中心位置测量、墩柱顶</w:t>
      </w:r>
      <w:r>
        <w:rPr>
          <w:rFonts w:hint="eastAsia"/>
          <w:color w:val="auto"/>
          <w:highlight w:val="none"/>
          <w:lang w:eastAsia="zh-CN"/>
        </w:rPr>
        <w:t>高程</w:t>
      </w:r>
      <w:r>
        <w:rPr>
          <w:color w:val="auto"/>
          <w:highlight w:val="none"/>
        </w:rPr>
        <w:t>测量。墩柱中心测量</w:t>
      </w:r>
      <w:r>
        <w:rPr>
          <w:rFonts w:hint="eastAsia"/>
          <w:color w:val="auto"/>
          <w:highlight w:val="none"/>
          <w:lang w:eastAsia="zh-CN"/>
        </w:rPr>
        <w:t>采用</w:t>
      </w:r>
      <w:r>
        <w:rPr>
          <w:color w:val="auto"/>
          <w:highlight w:val="none"/>
        </w:rPr>
        <w:t>全站仪进行；高程测量是根据施工中设立的临时水准点，用水准仪直接进行。</w:t>
      </w:r>
    </w:p>
    <w:p w14:paraId="67EF223C">
      <w:pPr>
        <w:bidi w:val="0"/>
        <w:rPr>
          <w:color w:val="auto"/>
          <w:highlight w:val="none"/>
        </w:rPr>
      </w:pPr>
      <w:r>
        <w:rPr>
          <w:color w:val="auto"/>
          <w:highlight w:val="none"/>
        </w:rPr>
        <w:t>(3)抱箍安装</w:t>
      </w:r>
    </w:p>
    <w:p w14:paraId="5B952D46">
      <w:pPr>
        <w:bidi w:val="0"/>
        <w:rPr>
          <w:color w:val="auto"/>
          <w:highlight w:val="none"/>
        </w:rPr>
      </w:pPr>
      <w:r>
        <w:rPr>
          <w:color w:val="auto"/>
          <w:highlight w:val="none"/>
        </w:rPr>
        <w:t>安装抱箍的目的是利用抱箍握紧墩柱产生的</w:t>
      </w:r>
      <w:r>
        <w:rPr>
          <w:rFonts w:hint="eastAsia"/>
          <w:color w:val="auto"/>
          <w:highlight w:val="none"/>
          <w:lang w:eastAsia="zh-CN"/>
        </w:rPr>
        <w:t>摩擦</w:t>
      </w:r>
      <w:r>
        <w:rPr>
          <w:color w:val="auto"/>
          <w:highlight w:val="none"/>
        </w:rPr>
        <w:t>力通过纵梁和横梁共同作用来承担</w:t>
      </w:r>
      <w:r>
        <w:rPr>
          <w:rFonts w:hint="eastAsia"/>
          <w:color w:val="auto"/>
          <w:highlight w:val="none"/>
          <w:lang w:eastAsia="zh-CN"/>
        </w:rPr>
        <w:t>盖梁</w:t>
      </w:r>
      <w:r>
        <w:rPr>
          <w:color w:val="auto"/>
          <w:highlight w:val="none"/>
        </w:rPr>
        <w:t>自身重量和施工荷载。承重抱箍</w:t>
      </w:r>
      <w:r>
        <w:rPr>
          <w:rFonts w:hint="eastAsia"/>
          <w:color w:val="auto"/>
          <w:highlight w:val="none"/>
          <w:lang w:eastAsia="zh-CN"/>
        </w:rPr>
        <w:t>采用</w:t>
      </w:r>
      <w:r>
        <w:rPr>
          <w:color w:val="auto"/>
          <w:highlight w:val="none"/>
        </w:rPr>
        <w:t>两块半圆形模板制作两半圆模板连接处设置纵梁支撑牛腿，牛腿宽度为500mm。半圆模板每侧</w:t>
      </w:r>
      <w:r>
        <w:rPr>
          <w:rFonts w:hint="eastAsia"/>
          <w:color w:val="auto"/>
          <w:highlight w:val="none"/>
          <w:lang w:eastAsia="zh-CN"/>
        </w:rPr>
        <w:t>采用</w:t>
      </w:r>
      <w:r>
        <w:rPr>
          <w:color w:val="auto"/>
          <w:highlight w:val="none"/>
        </w:rPr>
        <w:t>双排高强度螺栓连接。</w:t>
      </w:r>
    </w:p>
    <w:p w14:paraId="1D048464">
      <w:pPr>
        <w:bidi w:val="0"/>
        <w:rPr>
          <w:color w:val="auto"/>
          <w:highlight w:val="none"/>
        </w:rPr>
      </w:pPr>
      <w:r>
        <w:rPr>
          <w:color w:val="auto"/>
          <w:highlight w:val="none"/>
        </w:rPr>
        <w:t>在进行抱箍承载力简算后，为增加安全系数，在抱箍和墩柱之间夹一层</w:t>
      </w:r>
      <w:r>
        <w:rPr>
          <w:rFonts w:hint="eastAsia"/>
          <w:color w:val="auto"/>
          <w:highlight w:val="none"/>
          <w:lang w:val="en-US" w:eastAsia="zh-CN"/>
        </w:rPr>
        <w:t>6</w:t>
      </w:r>
      <w:r>
        <w:rPr>
          <w:color w:val="auto"/>
          <w:highlight w:val="none"/>
        </w:rPr>
        <w:t>mm厚橡胶垫，既增加抱箍和墩柱的摩擦力，又避免墩柱被抱箍啃伤。</w:t>
      </w:r>
    </w:p>
    <w:p w14:paraId="326E4787">
      <w:pPr>
        <w:bidi w:val="0"/>
        <w:rPr>
          <w:color w:val="auto"/>
          <w:highlight w:val="none"/>
        </w:rPr>
      </w:pPr>
      <w:r>
        <w:rPr>
          <w:color w:val="auto"/>
          <w:highlight w:val="none"/>
        </w:rPr>
        <w:t>抱箍在每次使用前需经过认真检查，必须保证所有焊缝均饱满、不开焊，否则应加焊。抱箍用高强螺栓在紧固时必须保证每个螺栓受力均匀且达到设计拉力强度，确保抱箍与墩柱之间有充分的摩擦力以及承受上部荷载。在施工时，现场管理人员必须对每个螺栓的紧固情况进行认真检查。</w:t>
      </w:r>
    </w:p>
    <w:p w14:paraId="709F0500">
      <w:pPr>
        <w:bidi w:val="0"/>
        <w:rPr>
          <w:color w:val="auto"/>
          <w:highlight w:val="none"/>
        </w:rPr>
      </w:pPr>
      <w:r>
        <w:rPr>
          <w:color w:val="auto"/>
          <w:highlight w:val="none"/>
        </w:rPr>
        <w:t>抱箍顶面控制高程h：墩柱顶面设计高程一纵梁高度一横梁高度一底模厚度+预留沉降量(10mm)。</w:t>
      </w:r>
    </w:p>
    <w:p w14:paraId="53BE7EC4">
      <w:pPr>
        <w:bidi w:val="0"/>
        <w:rPr>
          <w:color w:val="auto"/>
          <w:highlight w:val="none"/>
        </w:rPr>
      </w:pPr>
      <w:r>
        <w:rPr>
          <w:color w:val="auto"/>
          <w:highlight w:val="none"/>
        </w:rPr>
        <w:t>(4)纵梁安装</w:t>
      </w:r>
    </w:p>
    <w:p w14:paraId="69450AEE">
      <w:pPr>
        <w:bidi w:val="0"/>
        <w:rPr>
          <w:color w:val="auto"/>
          <w:highlight w:val="none"/>
        </w:rPr>
      </w:pPr>
      <w:r>
        <w:rPr>
          <w:color w:val="auto"/>
          <w:highlight w:val="none"/>
        </w:rPr>
        <w:t>纵梁</w:t>
      </w:r>
      <w:r>
        <w:rPr>
          <w:rFonts w:hint="eastAsia"/>
          <w:color w:val="auto"/>
          <w:highlight w:val="none"/>
          <w:lang w:eastAsia="zh-CN"/>
        </w:rPr>
        <w:t>采用</w:t>
      </w:r>
      <w:r>
        <w:rPr>
          <w:color w:val="auto"/>
          <w:highlight w:val="none"/>
        </w:rPr>
        <w:t>工字钢搭设，工字钢规格根据施工盖梁大小进行受力验算后确定。墩柱两侧各设置一根工字钢，分别置于抱箍两侧牛腿上；两纵梁</w:t>
      </w:r>
      <w:r>
        <w:rPr>
          <w:rFonts w:hint="eastAsia"/>
          <w:color w:val="auto"/>
          <w:highlight w:val="none"/>
          <w:lang w:eastAsia="zh-CN"/>
        </w:rPr>
        <w:t>采用</w:t>
      </w:r>
      <w:r>
        <w:rPr>
          <w:color w:val="auto"/>
          <w:highlight w:val="none"/>
        </w:rPr>
        <w:t>直径16mm对拉杆连接，使纵梁可靠固定于两墩柱之间。纵梁顶面控制高程h：墩柱顶面设计高程一横梁高度一底模厚度+预留沉降量(10mm)。</w:t>
      </w:r>
    </w:p>
    <w:p w14:paraId="79961F26">
      <w:pPr>
        <w:bidi w:val="0"/>
        <w:rPr>
          <w:color w:val="auto"/>
          <w:highlight w:val="none"/>
        </w:rPr>
      </w:pPr>
      <w:r>
        <w:rPr>
          <w:color w:val="auto"/>
          <w:highlight w:val="none"/>
        </w:rPr>
        <w:t>(</w:t>
      </w:r>
      <w:r>
        <w:rPr>
          <w:rFonts w:hint="eastAsia"/>
          <w:color w:val="auto"/>
          <w:highlight w:val="none"/>
          <w:lang w:val="en-US" w:eastAsia="zh-CN"/>
        </w:rPr>
        <w:t>5</w:t>
      </w:r>
      <w:r>
        <w:rPr>
          <w:color w:val="auto"/>
          <w:highlight w:val="none"/>
        </w:rPr>
        <w:t>)横梁安装</w:t>
      </w:r>
    </w:p>
    <w:p w14:paraId="6D209E09">
      <w:pPr>
        <w:bidi w:val="0"/>
        <w:rPr>
          <w:color w:val="auto"/>
          <w:highlight w:val="none"/>
        </w:rPr>
      </w:pPr>
      <w:r>
        <w:rPr>
          <w:color w:val="auto"/>
          <w:highlight w:val="none"/>
        </w:rPr>
        <w:t>横梁</w:t>
      </w:r>
      <w:r>
        <w:rPr>
          <w:rFonts w:hint="eastAsia"/>
          <w:color w:val="auto"/>
          <w:highlight w:val="none"/>
          <w:lang w:eastAsia="zh-CN"/>
        </w:rPr>
        <w:t>采用</w:t>
      </w:r>
      <w:r>
        <w:rPr>
          <w:rFonts w:hint="eastAsia"/>
          <w:color w:val="auto"/>
          <w:highlight w:val="none"/>
          <w:lang w:val="en-US" w:eastAsia="zh-CN"/>
        </w:rPr>
        <w:t>工字钢</w:t>
      </w:r>
      <w:r>
        <w:rPr>
          <w:color w:val="auto"/>
          <w:highlight w:val="none"/>
        </w:rPr>
        <w:t>搭设，</w:t>
      </w:r>
      <w:r>
        <w:rPr>
          <w:rFonts w:hint="eastAsia"/>
          <w:color w:val="auto"/>
          <w:highlight w:val="none"/>
          <w:lang w:val="en-US" w:eastAsia="zh-CN"/>
        </w:rPr>
        <w:t>工字钢</w:t>
      </w:r>
      <w:r>
        <w:rPr>
          <w:color w:val="auto"/>
          <w:highlight w:val="none"/>
        </w:rPr>
        <w:t>长度为</w:t>
      </w:r>
      <w:r>
        <w:rPr>
          <w:rFonts w:hint="eastAsia"/>
          <w:color w:val="auto"/>
          <w:highlight w:val="none"/>
          <w:lang w:val="en-US" w:eastAsia="zh-CN"/>
        </w:rPr>
        <w:t>4-4.5</w:t>
      </w:r>
      <w:r>
        <w:rPr>
          <w:color w:val="auto"/>
          <w:highlight w:val="none"/>
        </w:rPr>
        <w:t>m，铺设纵向间距为0.5m。</w:t>
      </w:r>
      <w:r>
        <w:rPr>
          <w:rFonts w:hint="eastAsia"/>
          <w:color w:val="auto"/>
          <w:highlight w:val="none"/>
          <w:lang w:val="en-US" w:eastAsia="zh-CN"/>
        </w:rPr>
        <w:t>工字钢</w:t>
      </w:r>
      <w:r>
        <w:rPr>
          <w:color w:val="auto"/>
          <w:highlight w:val="none"/>
        </w:rPr>
        <w:t>伸出盖梁底板不小于0.8m用做施工工作平台使用。横梁</w:t>
      </w:r>
      <w:r>
        <w:rPr>
          <w:rFonts w:hint="eastAsia"/>
          <w:color w:val="auto"/>
          <w:highlight w:val="none"/>
          <w:lang w:eastAsia="zh-CN"/>
        </w:rPr>
        <w:t>采用</w:t>
      </w:r>
      <w:r>
        <w:rPr>
          <w:color w:val="auto"/>
          <w:highlight w:val="none"/>
        </w:rPr>
        <w:t>4mm铁线与纵梁绑扎牢固，防止横向纵向窜动。</w:t>
      </w:r>
    </w:p>
    <w:p w14:paraId="098339C3">
      <w:pPr>
        <w:bidi w:val="0"/>
        <w:rPr>
          <w:rFonts w:hint="eastAsia"/>
          <w:color w:val="auto"/>
          <w:highlight w:val="none"/>
          <w:lang w:eastAsia="zh-CN"/>
        </w:rPr>
      </w:pPr>
      <w:r>
        <w:rPr>
          <w:color w:val="auto"/>
          <w:highlight w:val="none"/>
        </w:rPr>
        <w:t>横梁顶面控制高程h：墩柱顶面设计高程一底模厚度+预留沉降量(l</w:t>
      </w:r>
      <w:r>
        <w:rPr>
          <w:rFonts w:hint="eastAsia"/>
          <w:color w:val="auto"/>
          <w:highlight w:val="none"/>
          <w:lang w:val="en-US" w:eastAsia="zh-CN"/>
        </w:rPr>
        <w:t>0</w:t>
      </w:r>
      <w:r>
        <w:rPr>
          <w:color w:val="auto"/>
          <w:highlight w:val="none"/>
        </w:rPr>
        <w:t>mm)</w:t>
      </w:r>
      <w:r>
        <w:rPr>
          <w:rFonts w:hint="eastAsia"/>
          <w:color w:val="auto"/>
          <w:highlight w:val="none"/>
          <w:lang w:eastAsia="zh-CN"/>
        </w:rPr>
        <w:t>。</w:t>
      </w:r>
    </w:p>
    <w:p w14:paraId="79CF4A09">
      <w:pPr>
        <w:bidi w:val="0"/>
        <w:rPr>
          <w:rFonts w:hint="eastAsia" w:eastAsia="宋体"/>
          <w:color w:val="auto"/>
          <w:highlight w:val="none"/>
          <w:lang w:val="en-US" w:eastAsia="zh-CN"/>
        </w:rPr>
      </w:pPr>
      <w:r>
        <w:rPr>
          <w:color w:val="auto"/>
          <w:highlight w:val="none"/>
        </w:rPr>
        <w:t>(</w:t>
      </w:r>
      <w:r>
        <w:rPr>
          <w:rFonts w:hint="eastAsia"/>
          <w:color w:val="auto"/>
          <w:highlight w:val="none"/>
          <w:lang w:val="en-US" w:eastAsia="zh-CN"/>
        </w:rPr>
        <w:t>6</w:t>
      </w:r>
      <w:r>
        <w:rPr>
          <w:color w:val="auto"/>
          <w:highlight w:val="none"/>
        </w:rPr>
        <w:t>)</w:t>
      </w:r>
      <w:r>
        <w:rPr>
          <w:rFonts w:hint="eastAsia"/>
          <w:color w:val="auto"/>
          <w:highlight w:val="none"/>
          <w:lang w:val="en-US" w:eastAsia="zh-CN"/>
        </w:rPr>
        <w:t>铺设底模</w:t>
      </w:r>
    </w:p>
    <w:p w14:paraId="4F0D3CE2">
      <w:pPr>
        <w:bidi w:val="0"/>
        <w:rPr>
          <w:color w:val="auto"/>
          <w:highlight w:val="none"/>
        </w:rPr>
      </w:pPr>
      <w:r>
        <w:rPr>
          <w:color w:val="auto"/>
          <w:highlight w:val="none"/>
        </w:rPr>
        <w:t>①墩柱顶凿毛</w:t>
      </w:r>
    </w:p>
    <w:p w14:paraId="5F3EA05F">
      <w:pPr>
        <w:bidi w:val="0"/>
        <w:rPr>
          <w:color w:val="auto"/>
          <w:highlight w:val="none"/>
        </w:rPr>
      </w:pPr>
      <w:r>
        <w:rPr>
          <w:color w:val="auto"/>
          <w:highlight w:val="none"/>
        </w:rPr>
        <w:t>在浇注混凝土时，墩柱顶混凝土标高按比设计标高高5cm控制。待墩柱混凝土浇筑完成24小时后，混凝土强度达到设计强度的75%以上后，对墩柱顶进行凿毛处理，凿除顶部的水泥砂浆和松弱层，凿毛至新鲜混凝土，并用空压机吹干净。标高控制在比设计标高高3cm左右，以便于安装盖梁(柱系梁)底模。</w:t>
      </w:r>
    </w:p>
    <w:p w14:paraId="71343AFB">
      <w:pPr>
        <w:bidi w:val="0"/>
        <w:rPr>
          <w:color w:val="auto"/>
          <w:highlight w:val="none"/>
        </w:rPr>
      </w:pPr>
      <w:r>
        <w:rPr>
          <w:color w:val="auto"/>
          <w:highlight w:val="none"/>
        </w:rPr>
        <w:t>②模板制作和验收</w:t>
      </w:r>
    </w:p>
    <w:p w14:paraId="7B13A4C8">
      <w:pPr>
        <w:bidi w:val="0"/>
        <w:rPr>
          <w:color w:val="auto"/>
          <w:highlight w:val="none"/>
        </w:rPr>
      </w:pPr>
      <w:r>
        <w:rPr>
          <w:color w:val="auto"/>
          <w:highlight w:val="none"/>
        </w:rPr>
        <w:t>盖梁侧模、端模、底模以及抱箍模板均</w:t>
      </w:r>
      <w:r>
        <w:rPr>
          <w:rFonts w:hint="eastAsia"/>
          <w:color w:val="auto"/>
          <w:highlight w:val="none"/>
          <w:lang w:eastAsia="zh-CN"/>
        </w:rPr>
        <w:t>采用</w:t>
      </w:r>
      <w:r>
        <w:rPr>
          <w:color w:val="auto"/>
          <w:highlight w:val="none"/>
        </w:rPr>
        <w:t>定型钢模板。各部位模板强度、刚度和稳定性应满足施工要求。钢模板在厂家定做加工。模板加工毛刺、焊渣要清理干净，除锈要彻底，防锈涂漆刷均匀。模板加工要求各部位焊接牢固，焊缝尺寸符合要求，焊缝外形应光滑、均匀，不得有漏焊、焊穿、裂纹等缺陷，不得产生夹渣、咬肉、开焊、气孔等缺陷。</w:t>
      </w:r>
    </w:p>
    <w:p w14:paraId="09292F78">
      <w:pPr>
        <w:bidi w:val="0"/>
        <w:ind w:left="0" w:leftChars="0" w:firstLine="0" w:firstLineChars="0"/>
        <w:rPr>
          <w:color w:val="auto"/>
          <w:highlight w:val="none"/>
        </w:rPr>
      </w:pPr>
      <w:r>
        <w:rPr>
          <w:color w:val="auto"/>
          <w:highlight w:val="none"/>
        </w:rPr>
        <w:t>钢模板使用前须进行现场试拼装。每节模板拼装后都应仔细检查，拼装过程中模板的位置要准确，接缝要平齐，相邻模板安装后，要及时安装插销，再用钩头螺栓或对拉螺栓等和钢楞连成一个整体，要保证接缝严密，防止漏浆。模板拼好后要进行全面测量检查，并按拼装顺序进行编号，经检查验收合格后方可投入使用</w:t>
      </w:r>
    </w:p>
    <w:p w14:paraId="21280FD7">
      <w:pPr>
        <w:bidi w:val="0"/>
        <w:rPr>
          <w:rFonts w:hint="eastAsia" w:eastAsia="宋体"/>
          <w:color w:val="auto"/>
          <w:highlight w:val="none"/>
          <w:lang w:eastAsia="zh-CN"/>
        </w:rPr>
      </w:pPr>
      <w:r>
        <w:rPr>
          <w:color w:val="auto"/>
          <w:highlight w:val="none"/>
        </w:rPr>
        <w:t>③铺筑盖梁(墩柱系梁)底</w:t>
      </w:r>
      <w:r>
        <w:rPr>
          <w:rFonts w:hint="eastAsia"/>
          <w:color w:val="auto"/>
          <w:highlight w:val="none"/>
          <w:lang w:val="en-US" w:eastAsia="zh-CN"/>
        </w:rPr>
        <w:t>模</w:t>
      </w:r>
    </w:p>
    <w:p w14:paraId="750771F6">
      <w:pPr>
        <w:bidi w:val="0"/>
        <w:rPr>
          <w:color w:val="auto"/>
          <w:highlight w:val="none"/>
        </w:rPr>
      </w:pPr>
      <w:r>
        <w:rPr>
          <w:color w:val="auto"/>
          <w:highlight w:val="none"/>
        </w:rPr>
        <w:t>盖梁(系梁)模板</w:t>
      </w:r>
      <w:r>
        <w:rPr>
          <w:rFonts w:hint="eastAsia"/>
          <w:color w:val="auto"/>
          <w:highlight w:val="none"/>
          <w:lang w:eastAsia="zh-CN"/>
        </w:rPr>
        <w:t>采用</w:t>
      </w:r>
      <w:r>
        <w:rPr>
          <w:color w:val="auto"/>
          <w:highlight w:val="none"/>
        </w:rPr>
        <w:t>专业的模板生产厂家制成大块定型钢模，盖梁侧模进行分节制作。安装</w:t>
      </w:r>
      <w:r>
        <w:rPr>
          <w:rFonts w:hint="eastAsia"/>
          <w:color w:val="auto"/>
          <w:highlight w:val="none"/>
          <w:lang w:eastAsia="zh-CN"/>
        </w:rPr>
        <w:t>采用</w:t>
      </w:r>
      <w:r>
        <w:rPr>
          <w:color w:val="auto"/>
          <w:highlight w:val="none"/>
        </w:rPr>
        <w:t>人工配合吊车进行安装，对接缝处</w:t>
      </w:r>
      <w:r>
        <w:rPr>
          <w:rFonts w:hint="eastAsia"/>
          <w:color w:val="auto"/>
          <w:highlight w:val="none"/>
          <w:lang w:eastAsia="zh-CN"/>
        </w:rPr>
        <w:t>采用</w:t>
      </w:r>
      <w:r>
        <w:rPr>
          <w:color w:val="auto"/>
          <w:highlight w:val="none"/>
        </w:rPr>
        <w:t>泡沫胶或双面胶密封，防止漏浆。</w:t>
      </w:r>
    </w:p>
    <w:p w14:paraId="52382A26">
      <w:pPr>
        <w:bidi w:val="0"/>
        <w:rPr>
          <w:rFonts w:hint="eastAsia" w:eastAsia="宋体"/>
          <w:color w:val="auto"/>
          <w:highlight w:val="none"/>
          <w:lang w:eastAsia="zh-CN"/>
        </w:rPr>
      </w:pPr>
      <w:r>
        <w:rPr>
          <w:color w:val="auto"/>
          <w:highlight w:val="none"/>
        </w:rPr>
        <w:t>(</w:t>
      </w:r>
      <w:r>
        <w:rPr>
          <w:rFonts w:hint="eastAsia"/>
          <w:color w:val="auto"/>
          <w:highlight w:val="none"/>
          <w:lang w:val="en-US" w:eastAsia="zh-CN"/>
        </w:rPr>
        <w:t>7</w:t>
      </w:r>
      <w:r>
        <w:rPr>
          <w:color w:val="auto"/>
          <w:highlight w:val="none"/>
        </w:rPr>
        <w:t>)钢筋绑扎及</w:t>
      </w:r>
      <w:r>
        <w:rPr>
          <w:rFonts w:hint="eastAsia"/>
          <w:color w:val="auto"/>
          <w:highlight w:val="none"/>
          <w:lang w:eastAsia="zh-CN"/>
        </w:rPr>
        <w:t>安装</w:t>
      </w:r>
    </w:p>
    <w:p w14:paraId="681317A9">
      <w:pPr>
        <w:bidi w:val="0"/>
        <w:rPr>
          <w:color w:val="auto"/>
          <w:highlight w:val="none"/>
        </w:rPr>
      </w:pPr>
      <w:r>
        <w:rPr>
          <w:color w:val="auto"/>
          <w:highlight w:val="none"/>
        </w:rPr>
        <w:t>钢筋在加工车间加工半成品，运至现场后，用吊车配合人工安装，就位后核对钢筋骨架轴线位置，满足设计要求。为确保钢筋保护层的厚度，</w:t>
      </w:r>
      <w:r>
        <w:rPr>
          <w:rFonts w:hint="eastAsia"/>
          <w:color w:val="auto"/>
          <w:highlight w:val="none"/>
          <w:lang w:eastAsia="zh-CN"/>
        </w:rPr>
        <w:t>采取</w:t>
      </w:r>
      <w:r>
        <w:rPr>
          <w:color w:val="auto"/>
          <w:highlight w:val="none"/>
        </w:rPr>
        <w:t>混凝土垫块进行定位。构件侧面和底面的垫块数量不应少于4个/m2。施工中应按验标严格控制钢筋保护层厚度。</w:t>
      </w:r>
    </w:p>
    <w:p w14:paraId="2CDDDE31">
      <w:pPr>
        <w:bidi w:val="0"/>
        <w:rPr>
          <w:color w:val="auto"/>
          <w:highlight w:val="none"/>
        </w:rPr>
      </w:pPr>
      <w:r>
        <w:rPr>
          <w:color w:val="auto"/>
          <w:highlight w:val="none"/>
        </w:rPr>
        <w:t>(</w:t>
      </w:r>
      <w:r>
        <w:rPr>
          <w:rFonts w:hint="eastAsia"/>
          <w:color w:val="auto"/>
          <w:highlight w:val="none"/>
          <w:lang w:val="en-US" w:eastAsia="zh-CN"/>
        </w:rPr>
        <w:t>8</w:t>
      </w:r>
      <w:r>
        <w:rPr>
          <w:color w:val="auto"/>
          <w:highlight w:val="none"/>
        </w:rPr>
        <w:t>)侧模安装</w:t>
      </w:r>
    </w:p>
    <w:p w14:paraId="4687D940">
      <w:pPr>
        <w:bidi w:val="0"/>
        <w:rPr>
          <w:color w:val="auto"/>
          <w:highlight w:val="none"/>
        </w:rPr>
      </w:pPr>
      <w:r>
        <w:rPr>
          <w:color w:val="auto"/>
          <w:highlight w:val="none"/>
        </w:rPr>
        <w:t>盖梁(柱系梁)钢筋安设绑扎完成后经监理检查合格后便可开始模板的安设工作。架模时应严格按设计图纸加工拼成组件</w:t>
      </w:r>
      <w:r>
        <w:rPr>
          <w:rFonts w:hint="eastAsia"/>
          <w:color w:val="auto"/>
          <w:highlight w:val="none"/>
          <w:lang w:eastAsia="zh-CN"/>
        </w:rPr>
        <w:t>，</w:t>
      </w:r>
      <w:r>
        <w:rPr>
          <w:color w:val="auto"/>
          <w:highlight w:val="none"/>
        </w:rPr>
        <w:t>确保各部尺寸及螺栓位置符合设计要求。严格检查接缝处密封性能。模板合拢并初步就位后，以垂线吊中及刻度尺量测的方法检查模板位置。自检合格后报检，经监理工程师检查验收认可后，进行砼浇筑工序。</w:t>
      </w:r>
    </w:p>
    <w:p w14:paraId="01566D2F">
      <w:pPr>
        <w:bidi w:val="0"/>
        <w:ind w:left="0" w:leftChars="0" w:firstLine="480" w:firstLineChars="200"/>
        <w:rPr>
          <w:color w:val="auto"/>
          <w:highlight w:val="none"/>
        </w:rPr>
      </w:pPr>
      <w:r>
        <w:rPr>
          <w:color w:val="auto"/>
          <w:highlight w:val="none"/>
        </w:rPr>
        <w:t>(</w:t>
      </w:r>
      <w:r>
        <w:rPr>
          <w:rFonts w:hint="eastAsia"/>
          <w:color w:val="auto"/>
          <w:highlight w:val="none"/>
          <w:lang w:val="en-US" w:eastAsia="zh-CN"/>
        </w:rPr>
        <w:t>9</w:t>
      </w:r>
      <w:r>
        <w:rPr>
          <w:color w:val="auto"/>
          <w:highlight w:val="none"/>
        </w:rPr>
        <w:t>)混凝土浇筑</w:t>
      </w:r>
    </w:p>
    <w:p w14:paraId="7A250376">
      <w:pPr>
        <w:bidi w:val="0"/>
        <w:ind w:left="0" w:leftChars="0" w:firstLine="480" w:firstLineChars="200"/>
        <w:rPr>
          <w:rFonts w:hint="default"/>
          <w:color w:val="auto"/>
          <w:highlight w:val="none"/>
          <w:lang w:val="en-US" w:eastAsia="zh-CN"/>
        </w:rPr>
      </w:pPr>
      <w:r>
        <w:rPr>
          <w:color w:val="auto"/>
          <w:highlight w:val="none"/>
        </w:rPr>
        <w:t>混凝土灌筑过程中应随时观察模板的变形，出现不正常的变形时，应及时处理。混凝土拌和物自高处倾卸时，其自由落体高度不超过2m；当超过2m时，应</w:t>
      </w:r>
      <w:r>
        <w:rPr>
          <w:rFonts w:hint="eastAsia"/>
          <w:color w:val="auto"/>
          <w:highlight w:val="none"/>
          <w:lang w:eastAsia="zh-CN"/>
        </w:rPr>
        <w:t>采用</w:t>
      </w:r>
      <w:r>
        <w:rPr>
          <w:color w:val="auto"/>
          <w:highlight w:val="none"/>
        </w:rPr>
        <w:t>串筒、溜管或振动溜管等设施；倾落高度超过6m时，除设串筒、溜管等设施外，还应设减速装置；串筒、溜管等距出料口下面的拌和物下落高度不宜超过l</w:t>
      </w:r>
      <w:r>
        <w:rPr>
          <w:rFonts w:hint="eastAsia"/>
          <w:color w:val="auto"/>
          <w:highlight w:val="none"/>
          <w:lang w:val="en-US" w:eastAsia="zh-CN"/>
        </w:rPr>
        <w:t>0m。</w:t>
      </w:r>
    </w:p>
    <w:p w14:paraId="1F22A1C5">
      <w:pPr>
        <w:bidi w:val="0"/>
        <w:rPr>
          <w:rFonts w:hint="eastAsia"/>
          <w:color w:val="auto"/>
          <w:highlight w:val="none"/>
          <w:lang w:eastAsia="zh-CN"/>
        </w:rPr>
      </w:pPr>
      <w:r>
        <w:rPr>
          <w:color w:val="auto"/>
          <w:highlight w:val="none"/>
        </w:rPr>
        <w:t>混凝土振捣</w:t>
      </w:r>
      <w:r>
        <w:rPr>
          <w:rFonts w:hint="eastAsia"/>
          <w:color w:val="auto"/>
          <w:highlight w:val="none"/>
          <w:lang w:eastAsia="zh-CN"/>
        </w:rPr>
        <w:t>采用</w:t>
      </w:r>
      <w:r>
        <w:rPr>
          <w:color w:val="auto"/>
          <w:highlight w:val="none"/>
        </w:rPr>
        <w:t>巾50mm插入式振捣器，分层浇筑和振捣，分层厚度不大于30cm,在下层混凝土初凝或能重塑前浇筑完上层混凝土，振捣时严禁碰撞钢筋和模板。振动时要快插慢拔，不断上下移动振动棒，以便捣实均匀，减少混凝土表面气泡。振动棒分层振捣，插入下层混凝土中5〜l</w:t>
      </w:r>
      <w:r>
        <w:rPr>
          <w:rFonts w:hint="eastAsia"/>
          <w:color w:val="auto"/>
          <w:highlight w:val="none"/>
          <w:lang w:val="en-US" w:eastAsia="zh-CN"/>
        </w:rPr>
        <w:t>0</w:t>
      </w:r>
      <w:r>
        <w:rPr>
          <w:color w:val="auto"/>
          <w:highlight w:val="none"/>
        </w:rPr>
        <w:t>cm,移动间距不超过30cm,与侧模保持5〜10cm距离，对每一个振动部位，振动到该部位混凝土密实为止，即混凝土不再冒出气泡，表面平坦泛浆。</w:t>
      </w:r>
    </w:p>
    <w:p w14:paraId="5B8C4E5A">
      <w:pPr>
        <w:bidi w:val="0"/>
        <w:rPr>
          <w:color w:val="auto"/>
          <w:highlight w:val="none"/>
        </w:rPr>
      </w:pPr>
      <w:r>
        <w:rPr>
          <w:color w:val="auto"/>
          <w:highlight w:val="none"/>
        </w:rPr>
        <w:t>(</w:t>
      </w:r>
      <w:r>
        <w:rPr>
          <w:rFonts w:hint="eastAsia"/>
          <w:color w:val="auto"/>
          <w:highlight w:val="none"/>
          <w:lang w:val="en-US" w:eastAsia="zh-CN"/>
        </w:rPr>
        <w:t>10</w:t>
      </w:r>
      <w:r>
        <w:rPr>
          <w:color w:val="auto"/>
          <w:highlight w:val="none"/>
        </w:rPr>
        <w:t>)拆模</w:t>
      </w:r>
    </w:p>
    <w:p w14:paraId="477A325C">
      <w:pPr>
        <w:bidi w:val="0"/>
        <w:rPr>
          <w:color w:val="auto"/>
          <w:highlight w:val="none"/>
        </w:rPr>
      </w:pPr>
      <w:r>
        <w:rPr>
          <w:color w:val="auto"/>
          <w:highlight w:val="none"/>
        </w:rPr>
        <w:t>非承重侧模板应在混凝土强度能保证其表面及棱角不致因拆模而受损坏时方可拆除，一般应在混凝土抗压强度达到2.5MPa时方可拆除侧模板。拆除模板时应专人指挥，以防模板碰撞而损伤桥墩。</w:t>
      </w:r>
    </w:p>
    <w:p w14:paraId="265397F3">
      <w:pPr>
        <w:bidi w:val="0"/>
        <w:rPr>
          <w:color w:val="auto"/>
          <w:highlight w:val="none"/>
        </w:rPr>
      </w:pPr>
      <w:r>
        <w:rPr>
          <w:color w:val="auto"/>
          <w:highlight w:val="none"/>
        </w:rPr>
        <w:t>(</w:t>
      </w:r>
      <w:r>
        <w:rPr>
          <w:rFonts w:hint="eastAsia"/>
          <w:color w:val="auto"/>
          <w:highlight w:val="none"/>
          <w:lang w:val="en-US" w:eastAsia="zh-CN"/>
        </w:rPr>
        <w:t>11</w:t>
      </w:r>
      <w:r>
        <w:rPr>
          <w:color w:val="auto"/>
          <w:highlight w:val="none"/>
        </w:rPr>
        <w:t>)混凝土养护</w:t>
      </w:r>
    </w:p>
    <w:p w14:paraId="765F949E">
      <w:pPr>
        <w:bidi w:val="0"/>
        <w:rPr>
          <w:color w:val="auto"/>
          <w:highlight w:val="none"/>
        </w:rPr>
      </w:pPr>
      <w:r>
        <w:rPr>
          <w:color w:val="auto"/>
          <w:highlight w:val="none"/>
        </w:rPr>
        <w:t>在一般气温情况下，混凝土养护在灌筑后立即开始进行。在平均气温高于+5度的条件下，可以</w:t>
      </w:r>
      <w:r>
        <w:rPr>
          <w:rFonts w:hint="eastAsia"/>
          <w:color w:val="auto"/>
          <w:highlight w:val="none"/>
          <w:lang w:eastAsia="zh-CN"/>
        </w:rPr>
        <w:t>采用</w:t>
      </w:r>
      <w:r>
        <w:rPr>
          <w:color w:val="auto"/>
          <w:highlight w:val="none"/>
        </w:rPr>
        <w:t>滴水养护法，</w:t>
      </w:r>
      <w:r>
        <w:rPr>
          <w:rFonts w:hint="eastAsia"/>
          <w:color w:val="auto"/>
          <w:highlight w:val="none"/>
          <w:lang w:eastAsia="zh-CN"/>
        </w:rPr>
        <w:t>采用</w:t>
      </w:r>
      <w:r>
        <w:rPr>
          <w:color w:val="auto"/>
          <w:highlight w:val="none"/>
        </w:rPr>
        <w:t>塑料薄膜等材料覆盖其外露面，并用水桶置于盖梁顶，用细软管进行滴水养护，保证混凝土经常保持湿润状态，直到规定养护时间。对</w:t>
      </w:r>
      <w:r>
        <w:rPr>
          <w:rFonts w:hint="eastAsia"/>
          <w:color w:val="auto"/>
          <w:highlight w:val="none"/>
          <w:lang w:eastAsia="zh-CN"/>
        </w:rPr>
        <w:t>采用</w:t>
      </w:r>
      <w:r>
        <w:rPr>
          <w:color w:val="auto"/>
          <w:highlight w:val="none"/>
        </w:rPr>
        <w:t>硅酸盐水泥、普通硅酸盐水泥或矿渣水泥拌制的混凝土，养护不得小于7d；对掺用缓凝形外加剂或抗渗性要求的混凝土，养护不得少于14d,大体积混凝土，养护不宜小于28d。</w:t>
      </w:r>
    </w:p>
    <w:p w14:paraId="09AC11BC">
      <w:pPr>
        <w:pStyle w:val="5"/>
        <w:bidi w:val="0"/>
        <w:rPr>
          <w:color w:val="auto"/>
        </w:rPr>
      </w:pPr>
      <w:bookmarkStart w:id="1093" w:name="_Toc6021"/>
      <w:r>
        <w:rPr>
          <w:rFonts w:hint="eastAsia"/>
          <w:color w:val="auto"/>
          <w:lang w:val="en-US" w:eastAsia="zh-CN"/>
        </w:rPr>
        <w:t>8</w:t>
      </w:r>
      <w:r>
        <w:rPr>
          <w:rFonts w:hint="default"/>
          <w:color w:val="auto"/>
          <w:lang w:val="en-US" w:eastAsia="zh-CN"/>
        </w:rPr>
        <w:t>.</w:t>
      </w:r>
      <w:r>
        <w:rPr>
          <w:rFonts w:hint="eastAsia"/>
          <w:color w:val="auto"/>
          <w:lang w:val="en-US" w:eastAsia="zh-CN"/>
        </w:rPr>
        <w:t>2.</w:t>
      </w:r>
      <w:r>
        <w:rPr>
          <w:rFonts w:hint="default"/>
          <w:color w:val="auto"/>
          <w:lang w:val="en-US" w:eastAsia="zh-CN"/>
        </w:rPr>
        <w:t>6</w:t>
      </w:r>
      <w:r>
        <w:rPr>
          <w:rFonts w:hint="eastAsia"/>
          <w:color w:val="auto"/>
          <w:lang w:val="en-US" w:eastAsia="zh-CN"/>
        </w:rPr>
        <w:t xml:space="preserve"> 钢箱梁施工</w:t>
      </w:r>
      <w:bookmarkEnd w:id="1093"/>
    </w:p>
    <w:p w14:paraId="21FD0925">
      <w:pPr>
        <w:pStyle w:val="23"/>
        <w:spacing w:line="360" w:lineRule="auto"/>
        <w:ind w:left="0" w:leftChars="0" w:firstLine="480" w:firstLineChars="200"/>
        <w:rPr>
          <w:rFonts w:hint="eastAsia" w:asciiTheme="minorEastAsia" w:hAnsiTheme="minorEastAsia" w:eastAsiaTheme="minorEastAsia" w:cstheme="minorEastAsia"/>
          <w:b w:val="0"/>
          <w:bCs w:val="0"/>
          <w:color w:val="auto"/>
          <w:highlight w:val="none"/>
          <w:lang w:val="en-US" w:eastAsia="zh-CN"/>
        </w:rPr>
      </w:pPr>
      <w:bookmarkStart w:id="1094" w:name="_Toc19025154"/>
      <w:bookmarkStart w:id="1095" w:name="_Toc11003"/>
      <w:r>
        <w:rPr>
          <w:rFonts w:hint="eastAsia" w:asciiTheme="minorEastAsia" w:hAnsiTheme="minorEastAsia" w:eastAsiaTheme="minorEastAsia" w:cstheme="minorEastAsia"/>
          <w:b w:val="0"/>
          <w:bCs w:val="0"/>
          <w:color w:val="auto"/>
          <w:highlight w:val="none"/>
          <w:lang w:val="en-US" w:eastAsia="zh-CN"/>
        </w:rPr>
        <w:t>外凤楼大桥177m 钢箱梁：起终为外凤楼大桥第四联，从第11号墩至第14号墩，(53+69+55)m, 因该段受红树林保护区影响，采用顶推法施工。</w:t>
      </w:r>
    </w:p>
    <w:p w14:paraId="3A2AB27A">
      <w:pPr>
        <w:pStyle w:val="23"/>
        <w:spacing w:line="360" w:lineRule="auto"/>
        <w:ind w:left="0" w:leftChars="0" w:firstLine="480" w:firstLineChars="200"/>
        <w:rPr>
          <w:rFonts w:hint="eastAsia" w:asciiTheme="minorEastAsia" w:hAnsiTheme="minorEastAsia" w:eastAsiaTheme="minorEastAsia" w:cstheme="minorEastAsia"/>
          <w:b w:val="0"/>
          <w:bCs w:val="0"/>
          <w:color w:val="auto"/>
          <w:highlight w:val="none"/>
          <w:lang w:val="en-US" w:eastAsia="zh-CN"/>
        </w:rPr>
      </w:pPr>
      <w:r>
        <w:rPr>
          <w:rFonts w:hint="eastAsia" w:asciiTheme="minorEastAsia" w:hAnsiTheme="minorEastAsia" w:eastAsiaTheme="minorEastAsia" w:cstheme="minorEastAsia"/>
          <w:b w:val="0"/>
          <w:bCs w:val="0"/>
          <w:color w:val="auto"/>
          <w:highlight w:val="none"/>
          <w:lang w:val="en-US" w:eastAsia="zh-CN"/>
        </w:rPr>
        <w:t>大梧分离式立交桥（2×45）m 钢箱梁：起终点桩号为 K0+202.512~K0+292.512（不含台长），主梁采用单箱三室连续钢箱梁，梁内缘中心线高 1.8m，桥面宽 16m。钢箱梁横坡通过腹板高度调节。顶板标准段采用 16mm，中支点前后8m 范围内加厚至 22mm；底板采用 16mm边、中腹板全桥采用 16mm 板厚，腹板采用板肋加劲，加劲肋板厚 16mm。横隔板标准间距 2.0m，横隔板分为普通横隔板（实腹式、框架式）和支点处横隔板。普通横隔板板厚为 12mm，边支点处横隔板板厚为 20mm，中支点处横隔板板厚为 24mm。</w:t>
      </w:r>
    </w:p>
    <w:p w14:paraId="4E09126B">
      <w:pPr>
        <w:pStyle w:val="23"/>
        <w:spacing w:line="360" w:lineRule="auto"/>
        <w:ind w:left="0" w:leftChars="0" w:firstLine="480" w:firstLineChars="200"/>
        <w:rPr>
          <w:rFonts w:hint="default"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cstheme="minorEastAsia"/>
          <w:b w:val="0"/>
          <w:bCs w:val="0"/>
          <w:color w:val="auto"/>
          <w:highlight w:val="none"/>
          <w:lang w:val="en-US" w:eastAsia="zh-CN"/>
        </w:rPr>
        <w:t>金星互通A匝道桥中心桩号 AK2+140.340，正交 90°，桥长 312.68m，桥宽 16.5m~39.22m。上部采用 2×30+3×30.06+（35+30）+3×30mPC 现浇箱梁、PC 连续 T 梁、连续钢箱梁。下部构造采用柱式墩配桩基础；U 台配桩基础；肋台配桩基础。第三联采用 35+30 米连续钢箱梁上跨高速主线。</w:t>
      </w:r>
    </w:p>
    <w:p w14:paraId="758BD81A">
      <w:pPr>
        <w:pStyle w:val="6"/>
        <w:bidi w:val="0"/>
        <w:rPr>
          <w:rFonts w:hint="eastAsia"/>
          <w:lang w:val="en-US" w:eastAsia="zh-CN"/>
        </w:rPr>
      </w:pPr>
      <w:r>
        <w:rPr>
          <w:rFonts w:hint="eastAsia"/>
          <w:lang w:val="en-US" w:eastAsia="zh-CN"/>
        </w:rPr>
        <w:t>8.2.6.1钢箱梁制造工艺</w:t>
      </w:r>
      <w:bookmarkEnd w:id="1094"/>
    </w:p>
    <w:p w14:paraId="2BA6D037">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096" w:name="_Toc486086548"/>
      <w:bookmarkStart w:id="1097" w:name="_Toc493171884"/>
      <w:bookmarkStart w:id="1098" w:name="_Toc20800"/>
      <w:bookmarkStart w:id="1099" w:name="_Toc16635"/>
      <w:r>
        <w:rPr>
          <w:rFonts w:hint="eastAsia" w:asciiTheme="minorEastAsia" w:hAnsiTheme="minorEastAsia" w:eastAsiaTheme="minorEastAsia"/>
          <w:b w:val="0"/>
          <w:bCs w:val="0"/>
          <w:color w:val="auto"/>
          <w:highlight w:val="none"/>
          <w:lang w:val="en-US" w:eastAsia="zh-CN"/>
        </w:rPr>
        <w:t>1</w:t>
      </w:r>
      <w:bookmarkEnd w:id="1096"/>
      <w:bookmarkEnd w:id="1097"/>
      <w:bookmarkEnd w:id="1098"/>
      <w:bookmarkEnd w:id="1099"/>
      <w:r>
        <w:rPr>
          <w:rFonts w:hint="eastAsia" w:asciiTheme="minorEastAsia" w:hAnsiTheme="minorEastAsia" w:eastAsiaTheme="minorEastAsia"/>
          <w:b w:val="0"/>
          <w:bCs w:val="0"/>
          <w:color w:val="auto"/>
          <w:highlight w:val="none"/>
          <w:lang w:val="en-US" w:eastAsia="zh-CN"/>
        </w:rPr>
        <w:t>、钢箱梁结构划分</w:t>
      </w:r>
    </w:p>
    <w:p w14:paraId="20E5DF50">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根据要求分段划分，钢箱梁分段主要分为箱型分段及挑臂分段，箱型分段由顶底板单元件、腹板单元件、隔板单元件组成，挑臂分段由挑臂部件、挑臂顶板单元件组成。</w:t>
      </w:r>
    </w:p>
    <w:p w14:paraId="51550457">
      <w:pPr>
        <w:pStyle w:val="22"/>
        <w:rPr>
          <w:rFonts w:hint="eastAsia" w:asciiTheme="minorEastAsia" w:hAnsiTheme="minorEastAsia" w:eastAsiaTheme="minorEastAsia"/>
          <w:b w:val="0"/>
          <w:bCs w:val="0"/>
          <w:color w:val="auto"/>
          <w:highlight w:val="none"/>
          <w:lang w:val="en-US" w:eastAsia="zh-CN"/>
        </w:rPr>
      </w:pPr>
    </w:p>
    <w:p w14:paraId="7E0815E1">
      <w:pPr>
        <w:pStyle w:val="22"/>
        <w:rPr>
          <w:rFonts w:hint="eastAsia" w:asciiTheme="minorEastAsia" w:hAnsiTheme="minorEastAsia" w:eastAsiaTheme="minorEastAsia"/>
          <w:b w:val="0"/>
          <w:bCs w:val="0"/>
          <w:color w:val="auto"/>
          <w:highlight w:val="none"/>
          <w:lang w:val="en-US" w:eastAsia="zh-CN"/>
        </w:rPr>
      </w:pPr>
    </w:p>
    <w:p w14:paraId="78A95DCA">
      <w:pPr>
        <w:pStyle w:val="22"/>
        <w:ind w:left="0" w:leftChars="0" w:firstLine="0" w:firstLineChars="0"/>
        <w:jc w:val="both"/>
        <w:rPr>
          <w:rFonts w:hint="eastAsia" w:asciiTheme="minorEastAsia" w:hAnsiTheme="minorEastAsia" w:eastAsiaTheme="minorEastAsia"/>
          <w:b w:val="0"/>
          <w:bCs w:val="0"/>
          <w:color w:val="auto"/>
          <w:highlight w:val="none"/>
          <w:lang w:val="en-US" w:eastAsia="zh-CN"/>
        </w:rPr>
      </w:pPr>
    </w:p>
    <w:p w14:paraId="65C91146">
      <w:pPr>
        <w:jc w:val="center"/>
        <w:rPr>
          <w:sz w:val="21"/>
          <w:szCs w:val="21"/>
        </w:rPr>
      </w:pPr>
      <w:r>
        <w:rPr>
          <w:rFonts w:hint="eastAsia" w:ascii="黑体" w:hAnsi="黑体" w:eastAsia="黑体" w:cs="黑体"/>
          <w:b/>
          <w:sz w:val="18"/>
          <w:szCs w:val="18"/>
        </w:rPr>
        <w:t>钢箱梁单元件划分</w:t>
      </w:r>
    </w:p>
    <w:p w14:paraId="02135B36">
      <w:pPr>
        <w:pStyle w:val="22"/>
        <w:rPr>
          <w:rFonts w:hint="eastAsia"/>
          <w:lang w:val="en-US" w:eastAsia="zh-CN"/>
        </w:rPr>
      </w:pPr>
    </w:p>
    <w:p w14:paraId="403BA142">
      <w:pPr>
        <w:jc w:val="center"/>
      </w:pPr>
      <w:r>
        <w:drawing>
          <wp:inline distT="0" distB="0" distL="0" distR="0">
            <wp:extent cx="5270500" cy="3126105"/>
            <wp:effectExtent l="0" t="0" r="2540" b="13335"/>
            <wp:docPr id="15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图片 43"/>
                    <pic:cNvPicPr>
                      <a:picLocks noChangeAspect="1" noChangeArrowheads="1"/>
                    </pic:cNvPicPr>
                  </pic:nvPicPr>
                  <pic:blipFill>
                    <a:blip r:embed="rId121" cstate="print"/>
                    <a:srcRect t="5163"/>
                    <a:stretch>
                      <a:fillRect/>
                    </a:stretch>
                  </pic:blipFill>
                  <pic:spPr>
                    <a:xfrm>
                      <a:off x="0" y="0"/>
                      <a:ext cx="5270500" cy="3126105"/>
                    </a:xfrm>
                    <a:prstGeom prst="rect">
                      <a:avLst/>
                    </a:prstGeom>
                    <a:noFill/>
                    <a:ln w="9525">
                      <a:noFill/>
                      <a:miter lim="800000"/>
                      <a:headEnd/>
                      <a:tailEnd/>
                    </a:ln>
                  </pic:spPr>
                </pic:pic>
              </a:graphicData>
            </a:graphic>
          </wp:inline>
        </w:drawing>
      </w:r>
    </w:p>
    <w:p w14:paraId="58A4A3AE">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2、总体制造思路</w:t>
      </w:r>
    </w:p>
    <w:p w14:paraId="00D647B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所有钢箱梁均在厂内制造成立体分段，采用“反造法”（分段总装时，以顶板面为胎架面进行“反造”）。“长度分轮次”、“宽度全匹配”制造，总装胎架设横坡、纵向两端标高水平放置，整联纵、横向匹配制造；分段在厂内完成喷砂、涂装后发运至现场。</w:t>
      </w:r>
    </w:p>
    <w:p w14:paraId="28CAFCC6">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00" w:name="_Toc474327466"/>
      <w:bookmarkStart w:id="1101" w:name="_Toc475559298"/>
      <w:bookmarkStart w:id="1102" w:name="_Toc468378990"/>
      <w:bookmarkStart w:id="1103" w:name="_Toc493171886"/>
      <w:bookmarkStart w:id="1104" w:name="_Toc475559579"/>
      <w:bookmarkStart w:id="1105" w:name="_Toc486086550"/>
      <w:bookmarkStart w:id="1106" w:name="_Toc12226"/>
      <w:bookmarkStart w:id="1107" w:name="_Toc8541"/>
      <w:r>
        <w:rPr>
          <w:rFonts w:hint="eastAsia" w:asciiTheme="minorEastAsia" w:hAnsiTheme="minorEastAsia" w:eastAsiaTheme="minorEastAsia"/>
          <w:b w:val="0"/>
          <w:bCs w:val="0"/>
          <w:color w:val="auto"/>
          <w:highlight w:val="none"/>
          <w:lang w:val="en-US" w:eastAsia="zh-CN"/>
        </w:rPr>
        <w:t>3、主要制作工序</w:t>
      </w:r>
      <w:bookmarkEnd w:id="1100"/>
      <w:bookmarkEnd w:id="1101"/>
      <w:bookmarkEnd w:id="1102"/>
      <w:bookmarkEnd w:id="1103"/>
      <w:bookmarkEnd w:id="1104"/>
      <w:bookmarkEnd w:id="1105"/>
      <w:bookmarkEnd w:id="1106"/>
      <w:bookmarkEnd w:id="1107"/>
    </w:p>
    <w:p w14:paraId="2AB34282">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08" w:name="_Toc493171887"/>
      <w:bookmarkStart w:id="1109" w:name="_Toc9832"/>
      <w:bookmarkStart w:id="1110" w:name="_Toc486086551"/>
      <w:bookmarkStart w:id="1111" w:name="_Toc9196"/>
      <w:bookmarkStart w:id="1112" w:name="_Toc475559580"/>
      <w:r>
        <w:rPr>
          <w:rFonts w:hint="eastAsia" w:asciiTheme="minorEastAsia" w:hAnsiTheme="minorEastAsia" w:eastAsiaTheme="minorEastAsia"/>
          <w:b w:val="0"/>
          <w:bCs w:val="0"/>
          <w:color w:val="auto"/>
          <w:highlight w:val="none"/>
          <w:lang w:val="en-US" w:eastAsia="zh-CN"/>
        </w:rPr>
        <w:t>1）钢材取样</w:t>
      </w:r>
      <w:bookmarkEnd w:id="1108"/>
      <w:bookmarkEnd w:id="1109"/>
      <w:bookmarkEnd w:id="1110"/>
      <w:bookmarkEnd w:id="1111"/>
    </w:p>
    <w:p w14:paraId="3D0EF72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回厂钢材按同一厂家、同一材质、同一板厚、同一出厂状态每10个炉（批）号抽检1组试件。</w:t>
      </w:r>
    </w:p>
    <w:p w14:paraId="0C9B8FCB">
      <w:pPr>
        <w:jc w:val="center"/>
        <w:rPr>
          <w:sz w:val="21"/>
          <w:szCs w:val="21"/>
        </w:rPr>
      </w:pPr>
      <w:r>
        <w:rPr>
          <w:sz w:val="21"/>
          <w:szCs w:val="21"/>
        </w:rPr>
        <w:drawing>
          <wp:inline distT="0" distB="0" distL="0" distR="0">
            <wp:extent cx="2476500" cy="1524000"/>
            <wp:effectExtent l="0" t="0" r="7620" b="0"/>
            <wp:docPr id="1570" name="图片 1570" descr="IMG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图片 1570" descr="IMG_019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2476500" cy="1524000"/>
                    </a:xfrm>
                    <a:prstGeom prst="rect">
                      <a:avLst/>
                    </a:prstGeom>
                    <a:noFill/>
                    <a:ln>
                      <a:noFill/>
                    </a:ln>
                  </pic:spPr>
                </pic:pic>
              </a:graphicData>
            </a:graphic>
          </wp:inline>
        </w:drawing>
      </w:r>
    </w:p>
    <w:p w14:paraId="0537BD1E">
      <w:pPr>
        <w:jc w:val="center"/>
        <w:rPr>
          <w:rFonts w:hint="eastAsia" w:ascii="黑体" w:hAnsi="黑体" w:eastAsia="黑体" w:cs="黑体"/>
          <w:b/>
          <w:sz w:val="18"/>
          <w:szCs w:val="18"/>
        </w:rPr>
      </w:pPr>
      <w:r>
        <w:rPr>
          <w:rFonts w:hint="eastAsia" w:ascii="黑体" w:hAnsi="黑体" w:eastAsia="黑体" w:cs="黑体"/>
          <w:b/>
          <w:sz w:val="18"/>
          <w:szCs w:val="18"/>
        </w:rPr>
        <w:t>钢材取样</w:t>
      </w:r>
    </w:p>
    <w:bookmarkEnd w:id="1112"/>
    <w:p w14:paraId="439108D7">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13" w:name="_Toc24008"/>
      <w:bookmarkStart w:id="1114" w:name="_Toc475559583"/>
      <w:bookmarkStart w:id="1115" w:name="_Toc9353"/>
      <w:bookmarkStart w:id="1116" w:name="_Toc493171891"/>
      <w:bookmarkStart w:id="1117" w:name="_Toc486086555"/>
      <w:r>
        <w:rPr>
          <w:rFonts w:hint="eastAsia" w:asciiTheme="minorEastAsia" w:hAnsiTheme="minorEastAsia" w:eastAsiaTheme="minorEastAsia"/>
          <w:b w:val="0"/>
          <w:bCs w:val="0"/>
          <w:color w:val="auto"/>
          <w:highlight w:val="none"/>
          <w:lang w:val="en-US" w:eastAsia="zh-CN"/>
        </w:rPr>
        <w:t>2）下料</w:t>
      </w:r>
      <w:bookmarkEnd w:id="1113"/>
      <w:bookmarkEnd w:id="1114"/>
      <w:bookmarkEnd w:id="1115"/>
      <w:bookmarkEnd w:id="1116"/>
      <w:bookmarkEnd w:id="1117"/>
    </w:p>
    <w:p w14:paraId="2EAC32DA">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零件下料原则上采用预加补偿量一次下料的方法，对于外形尺寸较大的零件采用预加补偿量一次下料后拼板或二次下料的方法，确保零件的外形尺寸精度，符合下表。</w:t>
      </w:r>
    </w:p>
    <w:p w14:paraId="2DA869FE">
      <w:pPr>
        <w:rPr>
          <w:rFonts w:hint="eastAsia" w:eastAsia="宋体"/>
          <w:b/>
          <w:sz w:val="21"/>
          <w:szCs w:val="21"/>
          <w:lang w:eastAsia="zh-CN"/>
        </w:rPr>
      </w:pPr>
      <w:r>
        <w:rPr>
          <w:rFonts w:hint="eastAsia"/>
          <w:b/>
          <w:sz w:val="21"/>
          <w:szCs w:val="21"/>
        </w:rPr>
        <w:t>零件切割设备</w:t>
      </w:r>
      <w:r>
        <w:rPr>
          <w:rFonts w:hint="eastAsia"/>
          <w:b/>
          <w:sz w:val="21"/>
          <w:szCs w:val="21"/>
          <w:lang w:eastAsia="zh-CN"/>
        </w:rPr>
        <w:t>：</w:t>
      </w:r>
    </w:p>
    <w:p w14:paraId="68A1B613">
      <w:pPr>
        <w:jc w:val="center"/>
        <w:rPr>
          <w:sz w:val="21"/>
          <w:szCs w:val="21"/>
        </w:rPr>
      </w:pPr>
      <w:r>
        <w:rPr>
          <w:sz w:val="21"/>
          <w:szCs w:val="21"/>
        </w:rPr>
        <w:drawing>
          <wp:inline distT="0" distB="0" distL="0" distR="0">
            <wp:extent cx="2380615" cy="1716405"/>
            <wp:effectExtent l="9525" t="9525" r="17780" b="11430"/>
            <wp:docPr id="1572" name="图片 1572" descr="说明: P1040509"/>
            <wp:cNvGraphicFramePr/>
            <a:graphic xmlns:a="http://schemas.openxmlformats.org/drawingml/2006/main">
              <a:graphicData uri="http://schemas.openxmlformats.org/drawingml/2006/picture">
                <pic:pic xmlns:pic="http://schemas.openxmlformats.org/drawingml/2006/picture">
                  <pic:nvPicPr>
                    <pic:cNvPr id="1572" name="图片 1572" descr="说明: P1040509"/>
                    <pic:cNvPicPr>
                      <a:picLocks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2377674" cy="1714338"/>
                    </a:xfrm>
                    <a:prstGeom prst="rect">
                      <a:avLst/>
                    </a:prstGeom>
                    <a:noFill/>
                    <a:ln w="3175" cmpd="sng">
                      <a:solidFill>
                        <a:schemeClr val="accent1">
                          <a:lumMod val="100000"/>
                          <a:lumOff val="0"/>
                        </a:schemeClr>
                      </a:solidFill>
                      <a:miter lim="800000"/>
                      <a:headEnd/>
                      <a:tailEnd/>
                    </a:ln>
                    <a:effectLst/>
                  </pic:spPr>
                </pic:pic>
              </a:graphicData>
            </a:graphic>
          </wp:inline>
        </w:drawing>
      </w:r>
      <w:r>
        <w:rPr>
          <w:sz w:val="21"/>
          <w:szCs w:val="21"/>
        </w:rPr>
        <w:drawing>
          <wp:inline distT="0" distB="0" distL="0" distR="0">
            <wp:extent cx="2371725" cy="1716405"/>
            <wp:effectExtent l="9525" t="9525" r="11430" b="11430"/>
            <wp:docPr id="1573" name="图片 1573" descr="说明: 柳梧桥流程图 (8)"/>
            <wp:cNvGraphicFramePr/>
            <a:graphic xmlns:a="http://schemas.openxmlformats.org/drawingml/2006/main">
              <a:graphicData uri="http://schemas.openxmlformats.org/drawingml/2006/picture">
                <pic:pic xmlns:pic="http://schemas.openxmlformats.org/drawingml/2006/picture">
                  <pic:nvPicPr>
                    <pic:cNvPr id="1573" name="图片 1573" descr="说明: 柳梧桥流程图 (8)"/>
                    <pic:cNvPicPr>
                      <a:picLocks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2369060" cy="1714338"/>
                    </a:xfrm>
                    <a:prstGeom prst="rect">
                      <a:avLst/>
                    </a:prstGeom>
                    <a:noFill/>
                    <a:ln w="6350" cmpd="sng">
                      <a:solidFill>
                        <a:schemeClr val="accent1">
                          <a:lumMod val="100000"/>
                          <a:lumOff val="0"/>
                        </a:schemeClr>
                      </a:solidFill>
                      <a:miter lim="800000"/>
                      <a:headEnd/>
                      <a:tailEnd/>
                    </a:ln>
                    <a:effectLst/>
                  </pic:spPr>
                </pic:pic>
              </a:graphicData>
            </a:graphic>
          </wp:inline>
        </w:drawing>
      </w:r>
    </w:p>
    <w:p w14:paraId="36072426">
      <w:pPr>
        <w:ind w:firstLine="1066" w:firstLineChars="590"/>
        <w:jc w:val="left"/>
        <w:rPr>
          <w:b/>
          <w:sz w:val="21"/>
          <w:szCs w:val="21"/>
        </w:rPr>
      </w:pPr>
      <w:r>
        <w:rPr>
          <w:rFonts w:hint="eastAsia" w:ascii="黑体" w:hAnsi="黑体" w:eastAsia="黑体" w:cs="黑体"/>
          <w:b/>
          <w:sz w:val="18"/>
          <w:szCs w:val="18"/>
        </w:rPr>
        <w:t>数控火焰精密切割机</w:t>
      </w:r>
      <w:r>
        <w:rPr>
          <w:rFonts w:hint="eastAsia"/>
          <w:b/>
          <w:sz w:val="21"/>
          <w:szCs w:val="21"/>
        </w:rPr>
        <w:t xml:space="preserve">                         </w:t>
      </w:r>
      <w:r>
        <w:rPr>
          <w:rFonts w:hint="eastAsia" w:ascii="黑体" w:hAnsi="黑体" w:eastAsia="黑体" w:cs="黑体"/>
          <w:b/>
          <w:sz w:val="18"/>
          <w:szCs w:val="18"/>
        </w:rPr>
        <w:t xml:space="preserve"> 数控拉条机</w:t>
      </w:r>
    </w:p>
    <w:p w14:paraId="08A29F30">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18" w:name="_Toc493171892"/>
      <w:bookmarkStart w:id="1119" w:name="_Toc8029"/>
      <w:bookmarkStart w:id="1120" w:name="_Toc5839"/>
      <w:bookmarkStart w:id="1121" w:name="_Toc486086556"/>
      <w:bookmarkStart w:id="1122" w:name="_Toc475559585"/>
      <w:r>
        <w:rPr>
          <w:rFonts w:hint="eastAsia" w:asciiTheme="minorEastAsia" w:hAnsiTheme="minorEastAsia" w:eastAsiaTheme="minorEastAsia"/>
          <w:b w:val="0"/>
          <w:bCs w:val="0"/>
          <w:color w:val="auto"/>
          <w:highlight w:val="none"/>
          <w:lang w:val="en-US" w:eastAsia="zh-CN"/>
        </w:rPr>
        <w:t>3）零件加工</w:t>
      </w:r>
      <w:bookmarkEnd w:id="1118"/>
      <w:bookmarkEnd w:id="1119"/>
      <w:bookmarkEnd w:id="1120"/>
      <w:bookmarkEnd w:id="1121"/>
    </w:p>
    <w:p w14:paraId="42743FE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①人孔加强圈成型加工</w:t>
      </w:r>
    </w:p>
    <w:p w14:paraId="18353A3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横隔板加强圈可采用三鑫辊或折弯机进行压制，加工时，应注意坡口的朝向。</w:t>
      </w:r>
    </w:p>
    <w:p w14:paraId="12B6422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②支座垫板机加工</w:t>
      </w:r>
    </w:p>
    <w:p w14:paraId="3C2EADBA">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支座垫板（与钢箱梁结合面）采用立式车床刨成与钢箱梁底板紧密贴合的斜面，另一面刨成平面。支座垫板加工完成后，应用油性笔做好标记。</w:t>
      </w:r>
    </w:p>
    <w:p w14:paraId="70E8D77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③零件过渡坡口加工</w:t>
      </w:r>
    </w:p>
    <w:p w14:paraId="75B8BDC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零件过渡坡口均采用铣边机加工，加工时，需注意过渡坡口的朝向。</w:t>
      </w:r>
    </w:p>
    <w:p w14:paraId="0E26C74F">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23" w:name="_Toc493171893"/>
      <w:bookmarkStart w:id="1124" w:name="_Toc486086557"/>
      <w:bookmarkStart w:id="1125" w:name="_Toc9655"/>
      <w:bookmarkStart w:id="1126" w:name="_Toc25100"/>
      <w:r>
        <w:rPr>
          <w:rFonts w:hint="eastAsia" w:asciiTheme="minorEastAsia" w:hAnsiTheme="minorEastAsia" w:eastAsiaTheme="minorEastAsia"/>
          <w:b w:val="0"/>
          <w:bCs w:val="0"/>
          <w:color w:val="auto"/>
          <w:highlight w:val="none"/>
          <w:lang w:val="en-US" w:eastAsia="zh-CN"/>
        </w:rPr>
        <w:t>4）零件矫正</w:t>
      </w:r>
      <w:bookmarkEnd w:id="1122"/>
      <w:bookmarkEnd w:id="1123"/>
      <w:bookmarkEnd w:id="1124"/>
      <w:bookmarkEnd w:id="1125"/>
      <w:bookmarkEnd w:id="1126"/>
    </w:p>
    <w:p w14:paraId="0925EBD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零件矫正及组拼件允许偏差：</w:t>
      </w:r>
    </w:p>
    <w:p w14:paraId="55157F8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主要受力零件冷作弯曲时，环境温度不宜低于-5℃，内侧弯曲半径不得小于板厚的15倍，小于者必须热煨，热煨温度宜控制在900～1000℃之间。冷作弯曲后零件边缘不得产生裂纹。</w:t>
      </w:r>
    </w:p>
    <w:p w14:paraId="69E18FD4">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③零件可采用机械矫正或热矫正。</w:t>
      </w:r>
    </w:p>
    <w:p w14:paraId="13034343">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④冷矫正后的钢料表面不应有明显的凹痕和其他损伤，否则仍需进行整形。采用热矫时，热矫温度应控制在600-800℃，矫正后零件温度应缓慢冷却，降至室温以前，不得锤击零件钢材或用水急冷。</w:t>
      </w:r>
    </w:p>
    <w:p w14:paraId="1AD56869">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bookmarkStart w:id="1127" w:name="_Toc493171894"/>
      <w:bookmarkStart w:id="1128" w:name="_Toc475559591"/>
      <w:bookmarkStart w:id="1129" w:name="_Toc19112"/>
      <w:bookmarkStart w:id="1130" w:name="_Toc1782"/>
      <w:bookmarkStart w:id="1131" w:name="_Toc486086558"/>
      <w:r>
        <w:rPr>
          <w:rFonts w:hint="eastAsia" w:cs="Times New Roman" w:asciiTheme="minorEastAsia" w:hAnsiTheme="minorEastAsia" w:eastAsiaTheme="minorEastAsia"/>
          <w:b w:val="0"/>
          <w:bCs w:val="0"/>
          <w:color w:val="auto"/>
          <w:highlight w:val="none"/>
          <w:lang w:val="en-US" w:eastAsia="zh-CN"/>
        </w:rPr>
        <w:t>5）不等厚钢板拼板</w:t>
      </w:r>
      <w:bookmarkEnd w:id="1127"/>
      <w:bookmarkEnd w:id="1128"/>
      <w:bookmarkEnd w:id="1129"/>
      <w:bookmarkEnd w:id="1130"/>
      <w:bookmarkEnd w:id="1131"/>
    </w:p>
    <w:tbl>
      <w:tblPr>
        <w:tblStyle w:val="47"/>
        <w:tblW w:w="86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2355"/>
        <w:gridCol w:w="5469"/>
      </w:tblGrid>
      <w:tr w14:paraId="3A680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blHeader/>
          <w:jc w:val="center"/>
        </w:trPr>
        <w:tc>
          <w:tcPr>
            <w:tcW w:w="807" w:type="dxa"/>
            <w:vAlign w:val="center"/>
          </w:tcPr>
          <w:p w14:paraId="7D9AD17C">
            <w:pPr>
              <w:spacing w:line="276" w:lineRule="auto"/>
              <w:ind w:firstLine="33" w:firstLineChars="16"/>
              <w:jc w:val="center"/>
              <w:rPr>
                <w:sz w:val="21"/>
                <w:szCs w:val="21"/>
              </w:rPr>
            </w:pPr>
            <w:r>
              <w:rPr>
                <w:rFonts w:hint="eastAsia"/>
                <w:sz w:val="21"/>
                <w:szCs w:val="21"/>
              </w:rPr>
              <w:t>步骤</w:t>
            </w:r>
          </w:p>
        </w:tc>
        <w:tc>
          <w:tcPr>
            <w:tcW w:w="2355" w:type="dxa"/>
            <w:vAlign w:val="center"/>
          </w:tcPr>
          <w:p w14:paraId="3156D0E2">
            <w:pPr>
              <w:spacing w:line="276" w:lineRule="auto"/>
              <w:ind w:firstLine="33" w:firstLineChars="16"/>
              <w:jc w:val="center"/>
              <w:rPr>
                <w:sz w:val="21"/>
                <w:szCs w:val="21"/>
              </w:rPr>
            </w:pPr>
            <w:r>
              <w:rPr>
                <w:rFonts w:hint="eastAsia"/>
                <w:sz w:val="21"/>
                <w:szCs w:val="21"/>
              </w:rPr>
              <w:t>图示</w:t>
            </w:r>
          </w:p>
        </w:tc>
        <w:tc>
          <w:tcPr>
            <w:tcW w:w="5469" w:type="dxa"/>
            <w:vAlign w:val="center"/>
          </w:tcPr>
          <w:p w14:paraId="37301698">
            <w:pPr>
              <w:spacing w:line="276" w:lineRule="auto"/>
              <w:ind w:firstLine="33" w:firstLineChars="16"/>
              <w:jc w:val="center"/>
              <w:rPr>
                <w:sz w:val="21"/>
                <w:szCs w:val="21"/>
              </w:rPr>
            </w:pPr>
            <w:r>
              <w:rPr>
                <w:rFonts w:hint="eastAsia"/>
                <w:sz w:val="21"/>
                <w:szCs w:val="21"/>
              </w:rPr>
              <w:t>说明</w:t>
            </w:r>
          </w:p>
        </w:tc>
      </w:tr>
      <w:tr w14:paraId="55CD5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40272093">
            <w:pPr>
              <w:spacing w:line="276" w:lineRule="auto"/>
              <w:ind w:firstLine="33" w:firstLineChars="16"/>
              <w:jc w:val="center"/>
              <w:rPr>
                <w:sz w:val="21"/>
                <w:szCs w:val="21"/>
              </w:rPr>
            </w:pPr>
            <w:r>
              <w:rPr>
                <w:rFonts w:hint="eastAsia"/>
                <w:sz w:val="21"/>
                <w:szCs w:val="21"/>
              </w:rPr>
              <w:t>1</w:t>
            </w:r>
          </w:p>
        </w:tc>
        <w:tc>
          <w:tcPr>
            <w:tcW w:w="2355" w:type="dxa"/>
            <w:vAlign w:val="center"/>
          </w:tcPr>
          <w:p w14:paraId="1374DEEC">
            <w:pPr>
              <w:spacing w:line="276" w:lineRule="auto"/>
              <w:ind w:firstLine="33" w:firstLineChars="16"/>
              <w:jc w:val="center"/>
              <w:rPr>
                <w:sz w:val="21"/>
                <w:szCs w:val="21"/>
              </w:rPr>
            </w:pPr>
            <w:r>
              <w:rPr>
                <w:rFonts w:hint="eastAsia"/>
                <w:sz w:val="21"/>
                <w:szCs w:val="21"/>
              </w:rPr>
              <w:t>不等厚拼板零件下料</w:t>
            </w:r>
          </w:p>
        </w:tc>
        <w:tc>
          <w:tcPr>
            <w:tcW w:w="5469" w:type="dxa"/>
            <w:vAlign w:val="center"/>
          </w:tcPr>
          <w:p w14:paraId="3A312E30">
            <w:pPr>
              <w:spacing w:line="276" w:lineRule="auto"/>
              <w:ind w:firstLine="33" w:firstLineChars="16"/>
              <w:jc w:val="center"/>
              <w:rPr>
                <w:sz w:val="21"/>
                <w:szCs w:val="21"/>
              </w:rPr>
            </w:pPr>
            <w:r>
              <w:rPr>
                <w:rFonts w:hint="eastAsia"/>
                <w:sz w:val="21"/>
                <w:szCs w:val="21"/>
              </w:rPr>
              <w:t>零件下料后检查编号、外形尺寸、对角线、坡口、材质等。</w:t>
            </w:r>
          </w:p>
        </w:tc>
      </w:tr>
      <w:tr w14:paraId="44CB3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01AF75D2">
            <w:pPr>
              <w:spacing w:line="276" w:lineRule="auto"/>
              <w:ind w:firstLine="33" w:firstLineChars="16"/>
              <w:jc w:val="center"/>
              <w:rPr>
                <w:sz w:val="21"/>
                <w:szCs w:val="21"/>
              </w:rPr>
            </w:pPr>
            <w:r>
              <w:rPr>
                <w:rFonts w:hint="eastAsia"/>
                <w:sz w:val="21"/>
                <w:szCs w:val="21"/>
              </w:rPr>
              <w:t>2</w:t>
            </w:r>
          </w:p>
        </w:tc>
        <w:tc>
          <w:tcPr>
            <w:tcW w:w="2355" w:type="dxa"/>
            <w:vAlign w:val="center"/>
          </w:tcPr>
          <w:p w14:paraId="43D28F8E">
            <w:pPr>
              <w:spacing w:line="276" w:lineRule="auto"/>
              <w:ind w:firstLine="33" w:firstLineChars="16"/>
              <w:jc w:val="center"/>
              <w:rPr>
                <w:sz w:val="21"/>
                <w:szCs w:val="21"/>
              </w:rPr>
            </w:pPr>
            <w:r>
              <w:rPr>
                <w:rFonts w:hint="eastAsia"/>
                <w:sz w:val="21"/>
                <w:szCs w:val="21"/>
              </w:rPr>
              <w:t>厚板零件过渡坡口铣边</w:t>
            </w:r>
          </w:p>
        </w:tc>
        <w:tc>
          <w:tcPr>
            <w:tcW w:w="5469" w:type="dxa"/>
            <w:vAlign w:val="center"/>
          </w:tcPr>
          <w:p w14:paraId="5CFC8212">
            <w:pPr>
              <w:spacing w:line="276" w:lineRule="auto"/>
              <w:ind w:firstLine="33" w:firstLineChars="16"/>
              <w:jc w:val="center"/>
              <w:rPr>
                <w:sz w:val="21"/>
                <w:szCs w:val="21"/>
              </w:rPr>
            </w:pPr>
            <w:r>
              <w:rPr>
                <w:rFonts w:hint="eastAsia" w:hAnsi="宋体"/>
                <w:sz w:val="21"/>
                <w:szCs w:val="21"/>
              </w:rPr>
              <w:t>采用铣边机加工厚板过渡坡口</w:t>
            </w:r>
          </w:p>
        </w:tc>
      </w:tr>
      <w:tr w14:paraId="0F760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6D79D209">
            <w:pPr>
              <w:spacing w:line="276" w:lineRule="auto"/>
              <w:ind w:firstLine="33" w:firstLineChars="16"/>
              <w:jc w:val="center"/>
              <w:rPr>
                <w:sz w:val="21"/>
                <w:szCs w:val="21"/>
              </w:rPr>
            </w:pPr>
            <w:r>
              <w:rPr>
                <w:rFonts w:hint="eastAsia"/>
                <w:sz w:val="21"/>
                <w:szCs w:val="21"/>
              </w:rPr>
              <w:t>3</w:t>
            </w:r>
          </w:p>
        </w:tc>
        <w:tc>
          <w:tcPr>
            <w:tcW w:w="2355" w:type="dxa"/>
            <w:vAlign w:val="center"/>
          </w:tcPr>
          <w:p w14:paraId="40E08616">
            <w:pPr>
              <w:spacing w:line="276" w:lineRule="auto"/>
              <w:ind w:firstLine="33" w:firstLineChars="16"/>
              <w:jc w:val="center"/>
              <w:rPr>
                <w:sz w:val="21"/>
                <w:szCs w:val="21"/>
              </w:rPr>
            </w:pPr>
            <w:r>
              <w:rPr>
                <w:rFonts w:hint="eastAsia"/>
                <w:sz w:val="21"/>
                <w:szCs w:val="21"/>
              </w:rPr>
              <w:t>拼板组装</w:t>
            </w:r>
          </w:p>
        </w:tc>
        <w:tc>
          <w:tcPr>
            <w:tcW w:w="5469" w:type="dxa"/>
            <w:vAlign w:val="center"/>
          </w:tcPr>
          <w:p w14:paraId="17409096">
            <w:pPr>
              <w:spacing w:line="276" w:lineRule="auto"/>
              <w:ind w:firstLine="33" w:firstLineChars="16"/>
              <w:jc w:val="center"/>
              <w:rPr>
                <w:sz w:val="21"/>
                <w:szCs w:val="21"/>
              </w:rPr>
            </w:pPr>
            <w:r>
              <w:rPr>
                <w:rFonts w:hint="eastAsia" w:hAnsi="宋体"/>
                <w:sz w:val="21"/>
                <w:szCs w:val="21"/>
              </w:rPr>
              <w:t>按施工图纸尺寸组装不等厚拼板零件，检查合格后按要求装焊引熄弧板。</w:t>
            </w:r>
          </w:p>
        </w:tc>
      </w:tr>
      <w:tr w14:paraId="5E68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15493A4D">
            <w:pPr>
              <w:spacing w:line="276" w:lineRule="auto"/>
              <w:ind w:firstLine="33" w:firstLineChars="16"/>
              <w:jc w:val="center"/>
              <w:rPr>
                <w:sz w:val="21"/>
                <w:szCs w:val="21"/>
              </w:rPr>
            </w:pPr>
            <w:r>
              <w:rPr>
                <w:rFonts w:hint="eastAsia"/>
                <w:sz w:val="21"/>
                <w:szCs w:val="21"/>
              </w:rPr>
              <w:t>4</w:t>
            </w:r>
          </w:p>
        </w:tc>
        <w:tc>
          <w:tcPr>
            <w:tcW w:w="2355" w:type="dxa"/>
            <w:vAlign w:val="center"/>
          </w:tcPr>
          <w:p w14:paraId="34E616EB">
            <w:pPr>
              <w:spacing w:line="276" w:lineRule="auto"/>
              <w:ind w:firstLine="33" w:firstLineChars="16"/>
              <w:jc w:val="center"/>
              <w:rPr>
                <w:sz w:val="21"/>
                <w:szCs w:val="21"/>
              </w:rPr>
            </w:pPr>
            <w:r>
              <w:rPr>
                <w:rFonts w:hint="eastAsia"/>
                <w:sz w:val="21"/>
                <w:szCs w:val="21"/>
              </w:rPr>
              <w:t>拼板焊接</w:t>
            </w:r>
          </w:p>
        </w:tc>
        <w:tc>
          <w:tcPr>
            <w:tcW w:w="5469" w:type="dxa"/>
            <w:vAlign w:val="center"/>
          </w:tcPr>
          <w:p w14:paraId="227FD7A1">
            <w:pPr>
              <w:spacing w:line="276" w:lineRule="auto"/>
              <w:ind w:firstLine="33" w:firstLineChars="16"/>
              <w:jc w:val="center"/>
              <w:rPr>
                <w:sz w:val="21"/>
                <w:szCs w:val="21"/>
              </w:rPr>
            </w:pPr>
            <w:r>
              <w:rPr>
                <w:rFonts w:hint="eastAsia" w:hAnsi="宋体"/>
                <w:sz w:val="21"/>
                <w:szCs w:val="21"/>
              </w:rPr>
              <w:t>严格按照《焊接工艺规程》中的要求进行焊接。</w:t>
            </w:r>
          </w:p>
        </w:tc>
      </w:tr>
      <w:tr w14:paraId="2B1A5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5D9C30FF">
            <w:pPr>
              <w:spacing w:line="276" w:lineRule="auto"/>
              <w:ind w:firstLine="33" w:firstLineChars="16"/>
              <w:jc w:val="center"/>
              <w:rPr>
                <w:sz w:val="21"/>
                <w:szCs w:val="21"/>
              </w:rPr>
            </w:pPr>
            <w:r>
              <w:rPr>
                <w:rFonts w:hint="eastAsia"/>
                <w:sz w:val="21"/>
                <w:szCs w:val="21"/>
              </w:rPr>
              <w:t>5</w:t>
            </w:r>
          </w:p>
        </w:tc>
        <w:tc>
          <w:tcPr>
            <w:tcW w:w="2355" w:type="dxa"/>
            <w:vAlign w:val="center"/>
          </w:tcPr>
          <w:p w14:paraId="5A27923A">
            <w:pPr>
              <w:spacing w:line="276" w:lineRule="auto"/>
              <w:ind w:firstLine="33" w:firstLineChars="16"/>
              <w:jc w:val="center"/>
              <w:rPr>
                <w:sz w:val="21"/>
                <w:szCs w:val="21"/>
              </w:rPr>
            </w:pPr>
            <w:r>
              <w:rPr>
                <w:rFonts w:hint="eastAsia"/>
                <w:sz w:val="21"/>
                <w:szCs w:val="21"/>
              </w:rPr>
              <w:t>拼板校正</w:t>
            </w:r>
          </w:p>
        </w:tc>
        <w:tc>
          <w:tcPr>
            <w:tcW w:w="5469" w:type="dxa"/>
            <w:shd w:val="clear" w:color="auto" w:fill="auto"/>
            <w:vAlign w:val="center"/>
          </w:tcPr>
          <w:p w14:paraId="3E35E3D6">
            <w:pPr>
              <w:spacing w:line="276" w:lineRule="auto"/>
              <w:ind w:firstLine="33" w:firstLineChars="16"/>
              <w:jc w:val="center"/>
              <w:rPr>
                <w:sz w:val="21"/>
                <w:szCs w:val="21"/>
              </w:rPr>
            </w:pPr>
            <w:r>
              <w:rPr>
                <w:rFonts w:hint="eastAsia" w:hAnsi="宋体"/>
                <w:sz w:val="21"/>
                <w:szCs w:val="21"/>
              </w:rPr>
              <w:t>检查</w:t>
            </w:r>
            <w:r>
              <w:rPr>
                <w:rFonts w:hint="eastAsia"/>
                <w:sz w:val="21"/>
                <w:szCs w:val="21"/>
              </w:rPr>
              <w:t>拼板</w:t>
            </w:r>
            <w:r>
              <w:rPr>
                <w:rFonts w:hint="eastAsia" w:hAnsi="宋体"/>
                <w:sz w:val="21"/>
                <w:szCs w:val="21"/>
              </w:rPr>
              <w:t>平面度，局部采用火焰矫正，矫正温度控制在600℃～800℃，自然冷却，严禁过烧、锤击和水冷。</w:t>
            </w:r>
          </w:p>
        </w:tc>
      </w:tr>
      <w:tr w14:paraId="2C7B1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7" w:type="dxa"/>
            <w:vAlign w:val="center"/>
          </w:tcPr>
          <w:p w14:paraId="77C00E4D">
            <w:pPr>
              <w:spacing w:line="276" w:lineRule="auto"/>
              <w:ind w:firstLine="33" w:firstLineChars="16"/>
              <w:jc w:val="center"/>
              <w:rPr>
                <w:sz w:val="21"/>
                <w:szCs w:val="21"/>
              </w:rPr>
            </w:pPr>
            <w:r>
              <w:rPr>
                <w:rFonts w:hint="eastAsia"/>
                <w:sz w:val="21"/>
                <w:szCs w:val="21"/>
              </w:rPr>
              <w:t>6</w:t>
            </w:r>
          </w:p>
        </w:tc>
        <w:tc>
          <w:tcPr>
            <w:tcW w:w="2355" w:type="dxa"/>
            <w:vAlign w:val="center"/>
          </w:tcPr>
          <w:p w14:paraId="63F844DC">
            <w:pPr>
              <w:spacing w:line="276" w:lineRule="auto"/>
              <w:ind w:firstLine="33" w:firstLineChars="16"/>
              <w:jc w:val="center"/>
              <w:rPr>
                <w:sz w:val="21"/>
                <w:szCs w:val="21"/>
              </w:rPr>
            </w:pPr>
            <w:r>
              <w:rPr>
                <w:rFonts w:hint="eastAsia"/>
                <w:sz w:val="21"/>
                <w:szCs w:val="21"/>
              </w:rPr>
              <w:t>拼板检查、标记、标识</w:t>
            </w:r>
          </w:p>
        </w:tc>
        <w:tc>
          <w:tcPr>
            <w:tcW w:w="5469" w:type="dxa"/>
            <w:vAlign w:val="center"/>
          </w:tcPr>
          <w:p w14:paraId="5B8E4804">
            <w:pPr>
              <w:spacing w:line="276" w:lineRule="auto"/>
              <w:jc w:val="center"/>
              <w:rPr>
                <w:sz w:val="21"/>
                <w:szCs w:val="21"/>
              </w:rPr>
            </w:pPr>
            <w:r>
              <w:rPr>
                <w:rFonts w:hint="eastAsia" w:hAnsi="宋体"/>
                <w:bCs/>
                <w:sz w:val="21"/>
                <w:szCs w:val="21"/>
              </w:rPr>
              <w:t>检查</w:t>
            </w:r>
            <w:r>
              <w:rPr>
                <w:rFonts w:hint="eastAsia"/>
                <w:sz w:val="21"/>
                <w:szCs w:val="21"/>
              </w:rPr>
              <w:t>拼板</w:t>
            </w:r>
            <w:r>
              <w:rPr>
                <w:rFonts w:hint="eastAsia" w:hAnsi="宋体"/>
                <w:bCs/>
                <w:sz w:val="21"/>
                <w:szCs w:val="21"/>
              </w:rPr>
              <w:t>长度、宽度、对角线差、焊接质量等。合格后进行</w:t>
            </w:r>
            <w:r>
              <w:rPr>
                <w:rFonts w:hint="eastAsia"/>
                <w:sz w:val="21"/>
                <w:szCs w:val="21"/>
              </w:rPr>
              <w:t>拼板</w:t>
            </w:r>
            <w:r>
              <w:rPr>
                <w:rFonts w:hint="eastAsia" w:hAnsi="宋体"/>
                <w:bCs/>
                <w:sz w:val="21"/>
                <w:szCs w:val="21"/>
              </w:rPr>
              <w:t>编号的标识，转下道工序</w:t>
            </w:r>
          </w:p>
        </w:tc>
      </w:tr>
    </w:tbl>
    <w:p w14:paraId="31A16400">
      <w:pPr>
        <w:pStyle w:val="6"/>
        <w:bidi w:val="0"/>
        <w:rPr>
          <w:rFonts w:hint="eastAsia"/>
          <w:lang w:val="en-US" w:eastAsia="zh-CN"/>
        </w:rPr>
      </w:pPr>
      <w:bookmarkStart w:id="1132" w:name="_Toc486719531"/>
      <w:bookmarkStart w:id="1133" w:name="_Toc486762414"/>
      <w:bookmarkStart w:id="1134" w:name="_Toc483062530"/>
      <w:r>
        <w:rPr>
          <w:rFonts w:hint="eastAsia"/>
          <w:lang w:val="en-US" w:eastAsia="zh-CN"/>
        </w:rPr>
        <w:t>8.2.6.2单元件制造</w:t>
      </w:r>
      <w:bookmarkEnd w:id="1132"/>
      <w:bookmarkEnd w:id="1133"/>
      <w:bookmarkEnd w:id="1134"/>
    </w:p>
    <w:p w14:paraId="4A9CF04F">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1、面、底、腹板单元件制造</w:t>
      </w:r>
    </w:p>
    <w:p w14:paraId="4294D2E4">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以顶板单元制造为例，一般施工步骤：零件检查→定位划线→U肋/I肋装配→U肋/I肋焊接→校正→标记。</w:t>
      </w:r>
    </w:p>
    <w:tbl>
      <w:tblPr>
        <w:tblStyle w:val="47"/>
        <w:tblW w:w="8562" w:type="dxa"/>
        <w:tblInd w:w="-34" w:type="dxa"/>
        <w:tblLayout w:type="fixed"/>
        <w:tblCellMar>
          <w:top w:w="0" w:type="dxa"/>
          <w:left w:w="108" w:type="dxa"/>
          <w:bottom w:w="0" w:type="dxa"/>
          <w:right w:w="108" w:type="dxa"/>
        </w:tblCellMar>
      </w:tblPr>
      <w:tblGrid>
        <w:gridCol w:w="656"/>
        <w:gridCol w:w="3935"/>
        <w:gridCol w:w="3971"/>
      </w:tblGrid>
      <w:tr w14:paraId="3481E49A">
        <w:tblPrEx>
          <w:tblCellMar>
            <w:top w:w="0" w:type="dxa"/>
            <w:left w:w="108" w:type="dxa"/>
            <w:bottom w:w="0" w:type="dxa"/>
            <w:right w:w="108" w:type="dxa"/>
          </w:tblCellMar>
        </w:tblPrEx>
        <w:trPr>
          <w:trHeight w:val="270" w:hRule="atLeast"/>
          <w:tblHeader/>
        </w:trPr>
        <w:tc>
          <w:tcPr>
            <w:tcW w:w="656" w:type="dxa"/>
            <w:tcBorders>
              <w:top w:val="single" w:color="auto" w:sz="4" w:space="0"/>
              <w:left w:val="single" w:color="auto" w:sz="4" w:space="0"/>
              <w:bottom w:val="single" w:color="auto" w:sz="4" w:space="0"/>
              <w:right w:val="single" w:color="auto" w:sz="4" w:space="0"/>
            </w:tcBorders>
            <w:shd w:val="clear" w:color="auto" w:fill="auto"/>
            <w:vAlign w:val="center"/>
          </w:tcPr>
          <w:p w14:paraId="63BA3C80">
            <w:pPr>
              <w:widowControl/>
              <w:spacing w:beforeLines="50"/>
              <w:ind w:left="0" w:leftChars="0" w:firstLine="0" w:firstLineChars="0"/>
              <w:jc w:val="both"/>
              <w:rPr>
                <w:rFonts w:hAnsi="宋体"/>
                <w:b w:val="0"/>
                <w:bCs/>
                <w:sz w:val="21"/>
                <w:szCs w:val="21"/>
              </w:rPr>
            </w:pPr>
            <w:r>
              <w:rPr>
                <w:rFonts w:hint="eastAsia" w:hAnsi="宋体"/>
                <w:b w:val="0"/>
                <w:bCs/>
                <w:sz w:val="21"/>
                <w:szCs w:val="21"/>
              </w:rPr>
              <w:t>步骤</w:t>
            </w:r>
          </w:p>
        </w:tc>
        <w:tc>
          <w:tcPr>
            <w:tcW w:w="3935" w:type="dxa"/>
            <w:tcBorders>
              <w:top w:val="single" w:color="auto" w:sz="4" w:space="0"/>
              <w:left w:val="nil"/>
              <w:bottom w:val="single" w:color="auto" w:sz="4" w:space="0"/>
              <w:right w:val="single" w:color="auto" w:sz="4" w:space="0"/>
            </w:tcBorders>
            <w:shd w:val="clear" w:color="auto" w:fill="auto"/>
            <w:vAlign w:val="center"/>
          </w:tcPr>
          <w:p w14:paraId="4011F6EB">
            <w:pPr>
              <w:widowControl/>
              <w:spacing w:beforeLines="50"/>
              <w:jc w:val="center"/>
              <w:rPr>
                <w:rFonts w:hAnsi="宋体"/>
                <w:b w:val="0"/>
                <w:bCs/>
                <w:sz w:val="21"/>
                <w:szCs w:val="21"/>
              </w:rPr>
            </w:pPr>
            <w:r>
              <w:rPr>
                <w:rFonts w:hint="eastAsia" w:hAnsi="宋体"/>
                <w:b w:val="0"/>
                <w:bCs/>
                <w:sz w:val="21"/>
                <w:szCs w:val="21"/>
              </w:rPr>
              <w:t>工序示意图</w:t>
            </w:r>
          </w:p>
        </w:tc>
        <w:tc>
          <w:tcPr>
            <w:tcW w:w="3971" w:type="dxa"/>
            <w:tcBorders>
              <w:top w:val="single" w:color="auto" w:sz="4" w:space="0"/>
              <w:left w:val="nil"/>
              <w:bottom w:val="single" w:color="auto" w:sz="4" w:space="0"/>
              <w:right w:val="single" w:color="auto" w:sz="4" w:space="0"/>
            </w:tcBorders>
            <w:shd w:val="clear" w:color="auto" w:fill="auto"/>
            <w:vAlign w:val="center"/>
          </w:tcPr>
          <w:p w14:paraId="10CC557F">
            <w:pPr>
              <w:widowControl/>
              <w:spacing w:beforeLines="50"/>
              <w:jc w:val="center"/>
              <w:rPr>
                <w:rFonts w:hAnsi="宋体"/>
                <w:b w:val="0"/>
                <w:bCs/>
                <w:sz w:val="21"/>
                <w:szCs w:val="21"/>
              </w:rPr>
            </w:pPr>
            <w:r>
              <w:rPr>
                <w:rFonts w:hint="eastAsia" w:hAnsi="宋体"/>
                <w:b w:val="0"/>
                <w:bCs/>
                <w:sz w:val="21"/>
                <w:szCs w:val="21"/>
              </w:rPr>
              <w:t>工序简述</w:t>
            </w:r>
          </w:p>
        </w:tc>
      </w:tr>
      <w:tr w14:paraId="7FC033EF">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381FBD6A">
            <w:pPr>
              <w:widowControl/>
              <w:spacing w:beforeLines="50"/>
              <w:jc w:val="center"/>
              <w:rPr>
                <w:rFonts w:hAnsi="宋体"/>
                <w:sz w:val="21"/>
                <w:szCs w:val="21"/>
              </w:rPr>
            </w:pPr>
            <w:r>
              <w:rPr>
                <w:rFonts w:hint="eastAsia" w:hAnsi="宋体"/>
                <w:sz w:val="21"/>
                <w:szCs w:val="21"/>
              </w:rPr>
              <w:t>1</w:t>
            </w:r>
          </w:p>
        </w:tc>
        <w:tc>
          <w:tcPr>
            <w:tcW w:w="3935" w:type="dxa"/>
            <w:tcBorders>
              <w:top w:val="nil"/>
              <w:left w:val="nil"/>
              <w:bottom w:val="single" w:color="auto" w:sz="4" w:space="0"/>
              <w:right w:val="single" w:color="auto" w:sz="4" w:space="0"/>
            </w:tcBorders>
            <w:shd w:val="clear" w:color="auto" w:fill="auto"/>
            <w:vAlign w:val="center"/>
          </w:tcPr>
          <w:p w14:paraId="45B87720">
            <w:pPr>
              <w:widowControl/>
              <w:spacing w:beforeLines="50"/>
              <w:jc w:val="center"/>
              <w:rPr>
                <w:rFonts w:hAnsi="宋体"/>
                <w:sz w:val="21"/>
                <w:szCs w:val="21"/>
              </w:rPr>
            </w:pPr>
            <w:r>
              <w:rPr>
                <w:rFonts w:hint="eastAsia" w:hAnsi="宋体"/>
                <w:sz w:val="21"/>
                <w:szCs w:val="21"/>
              </w:rPr>
              <w:t>喷粉划线零件复检</w:t>
            </w:r>
          </w:p>
          <w:p w14:paraId="5A3260DB">
            <w:pPr>
              <w:widowControl/>
              <w:spacing w:beforeLines="50"/>
              <w:jc w:val="center"/>
              <w:rPr>
                <w:rFonts w:hAnsi="宋体"/>
                <w:sz w:val="21"/>
                <w:szCs w:val="21"/>
              </w:rPr>
            </w:pPr>
            <w:r>
              <w:rPr>
                <w:rFonts w:hAnsi="宋体"/>
                <w:sz w:val="21"/>
                <w:szCs w:val="21"/>
              </w:rPr>
              <w:drawing>
                <wp:inline distT="0" distB="0" distL="0" distR="0">
                  <wp:extent cx="1724025" cy="723900"/>
                  <wp:effectExtent l="0" t="0" r="13335" b="7620"/>
                  <wp:docPr id="1574" name="图片 1574" descr="说明: C:\Users\Administrator\Desktop\二十里铺单元件、部件制造\1.png"/>
                  <wp:cNvGraphicFramePr/>
                  <a:graphic xmlns:a="http://schemas.openxmlformats.org/drawingml/2006/main">
                    <a:graphicData uri="http://schemas.openxmlformats.org/drawingml/2006/picture">
                      <pic:pic xmlns:pic="http://schemas.openxmlformats.org/drawingml/2006/picture">
                        <pic:nvPicPr>
                          <pic:cNvPr id="1574" name="图片 1574" descr="说明: C:\Users\Administrator\Desktop\二十里铺单元件、部件制造\1.png"/>
                          <pic:cNvPicPr>
                            <a:picLocks noChangeArrowheads="1"/>
                          </pic:cNvPicPr>
                        </pic:nvPicPr>
                        <pic:blipFill>
                          <a:blip r:embed="rId125" cstate="print">
                            <a:clrChange>
                              <a:clrFrom>
                                <a:srgbClr val="C0C0C0"/>
                              </a:clrFrom>
                              <a:clrTo>
                                <a:srgbClr val="C0C0C0">
                                  <a:alpha val="0"/>
                                </a:srgbClr>
                              </a:clrTo>
                            </a:clrChange>
                            <a:extLst>
                              <a:ext uri="{28A0092B-C50C-407E-A947-70E740481C1C}">
                                <a14:useLocalDpi xmlns:a14="http://schemas.microsoft.com/office/drawing/2010/main" val="0"/>
                              </a:ext>
                            </a:extLst>
                          </a:blip>
                          <a:srcRect/>
                          <a:stretch>
                            <a:fillRect/>
                          </a:stretch>
                        </pic:blipFill>
                        <pic:spPr>
                          <a:xfrm>
                            <a:off x="0" y="0"/>
                            <a:ext cx="1724025" cy="723900"/>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61F73DAA">
            <w:pPr>
              <w:widowControl/>
              <w:spacing w:beforeLines="50"/>
              <w:jc w:val="left"/>
              <w:rPr>
                <w:rFonts w:hAnsi="宋体"/>
                <w:sz w:val="21"/>
                <w:szCs w:val="21"/>
              </w:rPr>
            </w:pPr>
            <w:r>
              <w:rPr>
                <w:rFonts w:hint="eastAsia" w:hAnsi="宋体"/>
                <w:sz w:val="21"/>
                <w:szCs w:val="21"/>
              </w:rPr>
              <w:t>检查来料的零件号、外形尺寸、对角线、坡口、材质等。</w:t>
            </w:r>
          </w:p>
        </w:tc>
      </w:tr>
      <w:tr w14:paraId="455BA874">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05E0B1F7">
            <w:pPr>
              <w:widowControl/>
              <w:spacing w:beforeLines="50"/>
              <w:jc w:val="center"/>
              <w:rPr>
                <w:rFonts w:hAnsi="宋体"/>
                <w:sz w:val="21"/>
                <w:szCs w:val="21"/>
              </w:rPr>
            </w:pPr>
            <w:r>
              <w:rPr>
                <w:rFonts w:hint="eastAsia" w:hAnsi="宋体"/>
                <w:sz w:val="21"/>
                <w:szCs w:val="21"/>
              </w:rPr>
              <w:t>2</w:t>
            </w:r>
          </w:p>
        </w:tc>
        <w:tc>
          <w:tcPr>
            <w:tcW w:w="3935" w:type="dxa"/>
            <w:tcBorders>
              <w:top w:val="nil"/>
              <w:left w:val="nil"/>
              <w:bottom w:val="single" w:color="auto" w:sz="4" w:space="0"/>
              <w:right w:val="single" w:color="auto" w:sz="4" w:space="0"/>
            </w:tcBorders>
            <w:shd w:val="clear" w:color="auto" w:fill="auto"/>
            <w:vAlign w:val="center"/>
          </w:tcPr>
          <w:p w14:paraId="4332A6DB">
            <w:pPr>
              <w:widowControl/>
              <w:spacing w:beforeLines="50"/>
              <w:jc w:val="center"/>
              <w:rPr>
                <w:rFonts w:hAnsi="宋体"/>
                <w:sz w:val="21"/>
                <w:szCs w:val="21"/>
              </w:rPr>
            </w:pPr>
            <w:r>
              <w:rPr>
                <w:rFonts w:hint="eastAsia" w:hAnsi="宋体"/>
                <w:sz w:val="21"/>
                <w:szCs w:val="21"/>
              </w:rPr>
              <w:t>U肋</w:t>
            </w:r>
            <w:r>
              <w:rPr>
                <w:rFonts w:hint="eastAsia" w:hAnsi="宋体" w:eastAsiaTheme="minorEastAsia"/>
                <w:sz w:val="21"/>
                <w:szCs w:val="21"/>
              </w:rPr>
              <w:t>/I肋</w:t>
            </w:r>
            <w:r>
              <w:rPr>
                <w:rFonts w:hint="eastAsia" w:hAnsi="宋体"/>
                <w:sz w:val="21"/>
                <w:szCs w:val="21"/>
              </w:rPr>
              <w:t>装配</w:t>
            </w:r>
          </w:p>
          <w:p w14:paraId="6F2AC4F5">
            <w:pPr>
              <w:widowControl/>
              <w:spacing w:beforeLines="50"/>
              <w:jc w:val="center"/>
              <w:rPr>
                <w:rFonts w:hAnsi="宋体"/>
                <w:sz w:val="21"/>
                <w:szCs w:val="21"/>
              </w:rPr>
            </w:pPr>
            <w:r>
              <w:rPr>
                <w:rFonts w:hAnsi="宋体"/>
                <w:sz w:val="21"/>
                <w:szCs w:val="21"/>
              </w:rPr>
              <w:drawing>
                <wp:inline distT="0" distB="0" distL="0" distR="0">
                  <wp:extent cx="2009775" cy="876300"/>
                  <wp:effectExtent l="0" t="0" r="1905" b="7620"/>
                  <wp:docPr id="1575" name="图片 1575" descr="微信图片_20170419151831"/>
                  <wp:cNvGraphicFramePr/>
                  <a:graphic xmlns:a="http://schemas.openxmlformats.org/drawingml/2006/main">
                    <a:graphicData uri="http://schemas.openxmlformats.org/drawingml/2006/picture">
                      <pic:pic xmlns:pic="http://schemas.openxmlformats.org/drawingml/2006/picture">
                        <pic:nvPicPr>
                          <pic:cNvPr id="1575" name="图片 1575" descr="微信图片_20170419151831"/>
                          <pic:cNvPicPr>
                            <a:picLocks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2009775" cy="876300"/>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243DE346">
            <w:pPr>
              <w:widowControl/>
              <w:spacing w:beforeLines="50"/>
              <w:jc w:val="left"/>
              <w:rPr>
                <w:rFonts w:hAnsi="宋体"/>
                <w:sz w:val="21"/>
                <w:szCs w:val="21"/>
              </w:rPr>
            </w:pPr>
            <w:r>
              <w:rPr>
                <w:rFonts w:hint="eastAsia" w:hAnsi="宋体"/>
                <w:sz w:val="21"/>
                <w:szCs w:val="21"/>
              </w:rPr>
              <w:t>摆放纵肋并将端头对齐。纵肋装配机从纵肋一端向另一端进行装配。</w:t>
            </w:r>
          </w:p>
        </w:tc>
      </w:tr>
      <w:tr w14:paraId="1B1D27B0">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604A2437">
            <w:pPr>
              <w:widowControl/>
              <w:spacing w:beforeLines="50"/>
              <w:jc w:val="center"/>
              <w:rPr>
                <w:rFonts w:hAnsi="宋体"/>
                <w:sz w:val="21"/>
                <w:szCs w:val="21"/>
              </w:rPr>
            </w:pPr>
            <w:r>
              <w:rPr>
                <w:rFonts w:hint="eastAsia" w:hAnsi="宋体"/>
                <w:sz w:val="21"/>
                <w:szCs w:val="21"/>
              </w:rPr>
              <w:t>3</w:t>
            </w:r>
          </w:p>
        </w:tc>
        <w:tc>
          <w:tcPr>
            <w:tcW w:w="3935" w:type="dxa"/>
            <w:tcBorders>
              <w:top w:val="nil"/>
              <w:left w:val="nil"/>
              <w:bottom w:val="single" w:color="auto" w:sz="4" w:space="0"/>
              <w:right w:val="single" w:color="auto" w:sz="4" w:space="0"/>
            </w:tcBorders>
            <w:shd w:val="clear" w:color="auto" w:fill="auto"/>
            <w:vAlign w:val="center"/>
          </w:tcPr>
          <w:p w14:paraId="31CE5850">
            <w:pPr>
              <w:widowControl/>
              <w:spacing w:beforeLines="50"/>
              <w:jc w:val="center"/>
              <w:rPr>
                <w:rFonts w:hAnsi="宋体"/>
                <w:sz w:val="21"/>
                <w:szCs w:val="21"/>
              </w:rPr>
            </w:pPr>
            <w:r>
              <w:rPr>
                <w:rFonts w:hint="eastAsia" w:hAnsi="宋体"/>
                <w:sz w:val="21"/>
                <w:szCs w:val="21"/>
              </w:rPr>
              <w:t>U肋</w:t>
            </w:r>
            <w:r>
              <w:rPr>
                <w:rFonts w:hint="eastAsia" w:hAnsi="宋体" w:eastAsiaTheme="minorEastAsia"/>
                <w:sz w:val="21"/>
                <w:szCs w:val="21"/>
              </w:rPr>
              <w:t>/I肋</w:t>
            </w:r>
            <w:r>
              <w:rPr>
                <w:rFonts w:hint="eastAsia" w:hAnsi="宋体"/>
                <w:sz w:val="21"/>
                <w:szCs w:val="21"/>
              </w:rPr>
              <w:t>焊接</w:t>
            </w:r>
          </w:p>
          <w:p w14:paraId="091BE6C4">
            <w:pPr>
              <w:widowControl/>
              <w:spacing w:beforeLines="50"/>
              <w:jc w:val="center"/>
              <w:rPr>
                <w:rFonts w:hAnsi="宋体"/>
                <w:sz w:val="21"/>
                <w:szCs w:val="21"/>
              </w:rPr>
            </w:pPr>
            <w:r>
              <w:rPr>
                <w:rFonts w:hAnsi="宋体"/>
                <w:sz w:val="21"/>
                <w:szCs w:val="21"/>
              </w:rPr>
              <w:drawing>
                <wp:inline distT="0" distB="0" distL="0" distR="0">
                  <wp:extent cx="1876425" cy="1143000"/>
                  <wp:effectExtent l="0" t="0" r="13335" b="0"/>
                  <wp:docPr id="1576" name="图片 1576" descr="说明: 反变形焊接"/>
                  <wp:cNvGraphicFramePr/>
                  <a:graphic xmlns:a="http://schemas.openxmlformats.org/drawingml/2006/main">
                    <a:graphicData uri="http://schemas.openxmlformats.org/drawingml/2006/picture">
                      <pic:pic xmlns:pic="http://schemas.openxmlformats.org/drawingml/2006/picture">
                        <pic:nvPicPr>
                          <pic:cNvPr id="1576" name="图片 1576" descr="说明: 反变形焊接"/>
                          <pic:cNvPicPr>
                            <a:picLocks noChangeArrowheads="1"/>
                          </pic:cNvPicPr>
                        </pic:nvPicPr>
                        <pic:blipFill>
                          <a:blip r:embed="rId127" cstate="print">
                            <a:extLst>
                              <a:ext uri="{28A0092B-C50C-407E-A947-70E740481C1C}">
                                <a14:useLocalDpi xmlns:a14="http://schemas.microsoft.com/office/drawing/2010/main" val="0"/>
                              </a:ext>
                            </a:extLst>
                          </a:blip>
                          <a:srcRect l="2626" t="3444" r="6285" b="8339"/>
                          <a:stretch>
                            <a:fillRect/>
                          </a:stretch>
                        </pic:blipFill>
                        <pic:spPr>
                          <a:xfrm>
                            <a:off x="0" y="0"/>
                            <a:ext cx="1876425" cy="1143000"/>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69E0A749">
            <w:pPr>
              <w:widowControl/>
              <w:spacing w:beforeLines="50"/>
              <w:jc w:val="left"/>
              <w:rPr>
                <w:rFonts w:hAnsi="宋体"/>
                <w:sz w:val="21"/>
                <w:szCs w:val="21"/>
              </w:rPr>
            </w:pPr>
            <w:r>
              <w:rPr>
                <w:rFonts w:hint="eastAsia" w:hAnsi="宋体"/>
                <w:sz w:val="21"/>
                <w:szCs w:val="21"/>
              </w:rPr>
              <w:t>单元件置于反变形亚船形焊接摇摆胎架上焊接。</w:t>
            </w:r>
          </w:p>
        </w:tc>
      </w:tr>
      <w:tr w14:paraId="6414B086">
        <w:tblPrEx>
          <w:tblCellMar>
            <w:top w:w="0" w:type="dxa"/>
            <w:left w:w="108" w:type="dxa"/>
            <w:bottom w:w="0" w:type="dxa"/>
            <w:right w:w="108" w:type="dxa"/>
          </w:tblCellMar>
        </w:tblPrEx>
        <w:trPr>
          <w:trHeight w:val="2743"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1E950673">
            <w:pPr>
              <w:widowControl/>
              <w:spacing w:beforeLines="50"/>
              <w:jc w:val="center"/>
              <w:rPr>
                <w:rFonts w:hAnsi="宋体"/>
                <w:sz w:val="21"/>
                <w:szCs w:val="21"/>
              </w:rPr>
            </w:pPr>
            <w:r>
              <w:rPr>
                <w:rFonts w:hint="eastAsia" w:hAnsi="宋体"/>
                <w:sz w:val="21"/>
                <w:szCs w:val="21"/>
              </w:rPr>
              <w:t>4</w:t>
            </w:r>
          </w:p>
        </w:tc>
        <w:tc>
          <w:tcPr>
            <w:tcW w:w="3935" w:type="dxa"/>
            <w:tcBorders>
              <w:top w:val="nil"/>
              <w:left w:val="nil"/>
              <w:bottom w:val="single" w:color="auto" w:sz="4" w:space="0"/>
              <w:right w:val="single" w:color="auto" w:sz="4" w:space="0"/>
            </w:tcBorders>
            <w:shd w:val="clear" w:color="auto" w:fill="auto"/>
            <w:vAlign w:val="center"/>
          </w:tcPr>
          <w:p w14:paraId="1BB45A9D">
            <w:pPr>
              <w:widowControl/>
              <w:spacing w:beforeLines="50"/>
              <w:jc w:val="center"/>
              <w:rPr>
                <w:rFonts w:hAnsi="宋体"/>
                <w:sz w:val="21"/>
                <w:szCs w:val="21"/>
              </w:rPr>
            </w:pPr>
            <w:r>
              <w:rPr>
                <w:rFonts w:hint="eastAsia" w:hAnsi="宋体"/>
                <w:sz w:val="21"/>
                <w:szCs w:val="21"/>
              </w:rPr>
              <w:t>单元件校正</w:t>
            </w:r>
          </w:p>
          <w:p w14:paraId="797A8192">
            <w:pPr>
              <w:widowControl/>
              <w:spacing w:beforeLines="50"/>
              <w:jc w:val="center"/>
              <w:rPr>
                <w:rFonts w:hAnsi="宋体"/>
                <w:sz w:val="21"/>
                <w:szCs w:val="21"/>
              </w:rPr>
            </w:pPr>
            <w:r>
              <w:rPr>
                <w:rFonts w:hAnsi="宋体"/>
                <w:sz w:val="21"/>
                <w:szCs w:val="21"/>
              </w:rPr>
              <w:drawing>
                <wp:inline distT="0" distB="0" distL="0" distR="0">
                  <wp:extent cx="1847850" cy="1253490"/>
                  <wp:effectExtent l="0" t="0" r="11430" b="11430"/>
                  <wp:docPr id="1577" name="图片 1577" descr="说明: DSC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图片 1577" descr="说明: DSC00038"/>
                          <pic:cNvPicPr>
                            <a:picLocks noChangeAspect="1" noChangeArrowheads="1"/>
                          </pic:cNvPicPr>
                        </pic:nvPicPr>
                        <pic:blipFill>
                          <a:blip r:embed="rId128" cstate="print">
                            <a:extLst>
                              <a:ext uri="{28A0092B-C50C-407E-A947-70E740481C1C}">
                                <a14:useLocalDpi xmlns:a14="http://schemas.microsoft.com/office/drawing/2010/main" val="0"/>
                              </a:ext>
                            </a:extLst>
                          </a:blip>
                          <a:srcRect l="6201" t="371" r="4828" b="19963"/>
                          <a:stretch>
                            <a:fillRect/>
                          </a:stretch>
                        </pic:blipFill>
                        <pic:spPr>
                          <a:xfrm>
                            <a:off x="0" y="0"/>
                            <a:ext cx="1849729" cy="1254883"/>
                          </a:xfrm>
                          <a:prstGeom prst="rect">
                            <a:avLst/>
                          </a:prstGeom>
                          <a:noFill/>
                          <a:ln>
                            <a:noFill/>
                          </a:ln>
                        </pic:spPr>
                      </pic:pic>
                    </a:graphicData>
                  </a:graphic>
                </wp:inline>
              </w:drawing>
            </w:r>
          </w:p>
        </w:tc>
        <w:tc>
          <w:tcPr>
            <w:tcW w:w="3971" w:type="dxa"/>
            <w:tcBorders>
              <w:top w:val="nil"/>
              <w:left w:val="nil"/>
              <w:bottom w:val="single" w:color="auto" w:sz="4" w:space="0"/>
              <w:right w:val="single" w:color="auto" w:sz="4" w:space="0"/>
            </w:tcBorders>
            <w:shd w:val="clear" w:color="auto" w:fill="auto"/>
            <w:vAlign w:val="center"/>
          </w:tcPr>
          <w:p w14:paraId="4F1667EB">
            <w:pPr>
              <w:widowControl/>
              <w:spacing w:beforeLines="50"/>
              <w:jc w:val="left"/>
              <w:rPr>
                <w:rFonts w:hAnsi="宋体"/>
                <w:sz w:val="21"/>
                <w:szCs w:val="21"/>
              </w:rPr>
            </w:pPr>
            <w:r>
              <w:rPr>
                <w:rFonts w:hint="eastAsia" w:hAnsi="宋体"/>
                <w:sz w:val="21"/>
                <w:szCs w:val="21"/>
              </w:rPr>
              <w:t>检查单元件平面度，局部采用火焰矫正，矫正温度控制在600℃～800℃，自然冷却，严禁过烧、锤击和水冷。</w:t>
            </w:r>
          </w:p>
        </w:tc>
      </w:tr>
      <w:tr w14:paraId="7D579D2B">
        <w:tblPrEx>
          <w:tblCellMar>
            <w:top w:w="0" w:type="dxa"/>
            <w:left w:w="108" w:type="dxa"/>
            <w:bottom w:w="0" w:type="dxa"/>
            <w:right w:w="108" w:type="dxa"/>
          </w:tblCellMar>
        </w:tblPrEx>
        <w:trPr>
          <w:trHeight w:val="1002" w:hRule="atLeast"/>
        </w:trPr>
        <w:tc>
          <w:tcPr>
            <w:tcW w:w="656" w:type="dxa"/>
            <w:tcBorders>
              <w:top w:val="nil"/>
              <w:left w:val="single" w:color="auto" w:sz="4" w:space="0"/>
              <w:bottom w:val="single" w:color="auto" w:sz="4" w:space="0"/>
              <w:right w:val="single" w:color="auto" w:sz="4" w:space="0"/>
            </w:tcBorders>
            <w:shd w:val="clear" w:color="auto" w:fill="auto"/>
            <w:vAlign w:val="center"/>
          </w:tcPr>
          <w:p w14:paraId="693AC97D">
            <w:pPr>
              <w:widowControl/>
              <w:spacing w:beforeLines="50"/>
              <w:jc w:val="center"/>
              <w:rPr>
                <w:rFonts w:hAnsi="宋体"/>
                <w:sz w:val="21"/>
                <w:szCs w:val="21"/>
              </w:rPr>
            </w:pPr>
            <w:r>
              <w:rPr>
                <w:rFonts w:hint="eastAsia" w:hAnsi="宋体"/>
                <w:sz w:val="21"/>
                <w:szCs w:val="21"/>
              </w:rPr>
              <w:t>5</w:t>
            </w:r>
          </w:p>
        </w:tc>
        <w:tc>
          <w:tcPr>
            <w:tcW w:w="3935" w:type="dxa"/>
            <w:tcBorders>
              <w:top w:val="nil"/>
              <w:left w:val="nil"/>
              <w:bottom w:val="single" w:color="auto" w:sz="4" w:space="0"/>
              <w:right w:val="single" w:color="auto" w:sz="4" w:space="0"/>
            </w:tcBorders>
            <w:shd w:val="clear" w:color="auto" w:fill="auto"/>
            <w:vAlign w:val="center"/>
          </w:tcPr>
          <w:p w14:paraId="39D7B36F">
            <w:pPr>
              <w:widowControl/>
              <w:spacing w:beforeLines="50"/>
              <w:jc w:val="center"/>
              <w:rPr>
                <w:rFonts w:hAnsi="宋体"/>
                <w:sz w:val="21"/>
                <w:szCs w:val="21"/>
              </w:rPr>
            </w:pPr>
            <w:r>
              <w:rPr>
                <w:rFonts w:hint="eastAsia" w:hAnsi="宋体"/>
                <w:sz w:val="21"/>
                <w:szCs w:val="21"/>
              </w:rPr>
              <w:t>单元件检查、标记、标识</w:t>
            </w:r>
          </w:p>
        </w:tc>
        <w:tc>
          <w:tcPr>
            <w:tcW w:w="3971" w:type="dxa"/>
            <w:tcBorders>
              <w:top w:val="nil"/>
              <w:left w:val="nil"/>
              <w:bottom w:val="single" w:color="auto" w:sz="4" w:space="0"/>
              <w:right w:val="single" w:color="auto" w:sz="4" w:space="0"/>
            </w:tcBorders>
            <w:shd w:val="clear" w:color="auto" w:fill="auto"/>
            <w:vAlign w:val="center"/>
          </w:tcPr>
          <w:p w14:paraId="653E549C">
            <w:pPr>
              <w:widowControl/>
              <w:spacing w:beforeLines="50"/>
              <w:jc w:val="left"/>
              <w:rPr>
                <w:rFonts w:hAnsi="宋体"/>
                <w:sz w:val="21"/>
                <w:szCs w:val="21"/>
              </w:rPr>
            </w:pPr>
            <w:r>
              <w:rPr>
                <w:rFonts w:hint="eastAsia" w:hAnsi="宋体"/>
                <w:sz w:val="21"/>
                <w:szCs w:val="21"/>
              </w:rPr>
              <w:t>检查标准单元件长度、宽度、对角线差、焊接质量等。合格后进行梁段编号的标识，转下道工序</w:t>
            </w:r>
          </w:p>
        </w:tc>
      </w:tr>
    </w:tbl>
    <w:p w14:paraId="02BFF75E">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2、横隔板单元件制造</w:t>
      </w:r>
    </w:p>
    <w:p w14:paraId="021A57FD">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横隔板单元件制造一般施工步骤：零件检查→人孔加强圈装配→人孔加强圈焊接→校正→标记。</w:t>
      </w:r>
    </w:p>
    <w:p w14:paraId="0B8CA9B3">
      <w:pPr>
        <w:pStyle w:val="22"/>
        <w:rPr>
          <w:rFonts w:hint="eastAsia" w:cs="Times New Roman" w:asciiTheme="minorEastAsia" w:hAnsiTheme="minorEastAsia" w:eastAsiaTheme="minorEastAsia"/>
          <w:b w:val="0"/>
          <w:bCs w:val="0"/>
          <w:color w:val="auto"/>
          <w:highlight w:val="none"/>
          <w:lang w:val="en-US" w:eastAsia="zh-CN"/>
        </w:rPr>
      </w:pPr>
    </w:p>
    <w:p w14:paraId="1F1A960D">
      <w:pPr>
        <w:pStyle w:val="22"/>
        <w:rPr>
          <w:rFonts w:hint="eastAsia" w:cs="Times New Roman" w:asciiTheme="minorEastAsia" w:hAnsiTheme="minorEastAsia" w:eastAsiaTheme="minorEastAsia"/>
          <w:b w:val="0"/>
          <w:bCs w:val="0"/>
          <w:color w:val="auto"/>
          <w:highlight w:val="none"/>
          <w:lang w:val="en-US" w:eastAsia="zh-CN"/>
        </w:rPr>
      </w:pPr>
    </w:p>
    <w:p w14:paraId="4EFBFB74">
      <w:pPr>
        <w:pStyle w:val="22"/>
        <w:rPr>
          <w:rFonts w:hint="eastAsia" w:cs="Times New Roman" w:asciiTheme="minorEastAsia" w:hAnsiTheme="minorEastAsia" w:eastAsiaTheme="minorEastAsia"/>
          <w:b w:val="0"/>
          <w:bCs w:val="0"/>
          <w:color w:val="auto"/>
          <w:highlight w:val="none"/>
          <w:lang w:val="en-US" w:eastAsia="zh-CN"/>
        </w:rPr>
      </w:pPr>
    </w:p>
    <w:p w14:paraId="2F75B020">
      <w:pPr>
        <w:pStyle w:val="22"/>
        <w:rPr>
          <w:rFonts w:hint="eastAsia" w:cs="Times New Roman" w:asciiTheme="minorEastAsia" w:hAnsiTheme="minorEastAsia" w:eastAsiaTheme="minorEastAsia"/>
          <w:b w:val="0"/>
          <w:bCs w:val="0"/>
          <w:color w:val="auto"/>
          <w:highlight w:val="none"/>
          <w:lang w:val="en-US" w:eastAsia="zh-CN"/>
        </w:rPr>
      </w:pPr>
    </w:p>
    <w:p w14:paraId="262C47DD">
      <w:pPr>
        <w:pStyle w:val="22"/>
        <w:rPr>
          <w:rFonts w:hint="eastAsia" w:cs="Times New Roman" w:asciiTheme="minorEastAsia" w:hAnsiTheme="minorEastAsia" w:eastAsiaTheme="minorEastAsia"/>
          <w:b w:val="0"/>
          <w:bCs w:val="0"/>
          <w:color w:val="auto"/>
          <w:highlight w:val="none"/>
          <w:lang w:val="en-US" w:eastAsia="zh-CN"/>
        </w:rPr>
      </w:pPr>
    </w:p>
    <w:tbl>
      <w:tblPr>
        <w:tblStyle w:val="47"/>
        <w:tblW w:w="8528" w:type="dxa"/>
        <w:jc w:val="center"/>
        <w:tblLayout w:type="fixed"/>
        <w:tblCellMar>
          <w:top w:w="0" w:type="dxa"/>
          <w:left w:w="108" w:type="dxa"/>
          <w:bottom w:w="0" w:type="dxa"/>
          <w:right w:w="108" w:type="dxa"/>
        </w:tblCellMar>
      </w:tblPr>
      <w:tblGrid>
        <w:gridCol w:w="643"/>
        <w:gridCol w:w="4056"/>
        <w:gridCol w:w="3829"/>
      </w:tblGrid>
      <w:tr w14:paraId="101D3AA3">
        <w:tblPrEx>
          <w:tblCellMar>
            <w:top w:w="0" w:type="dxa"/>
            <w:left w:w="108" w:type="dxa"/>
            <w:bottom w:w="0" w:type="dxa"/>
            <w:right w:w="108" w:type="dxa"/>
          </w:tblCellMar>
        </w:tblPrEx>
        <w:trPr>
          <w:trHeight w:val="499" w:hRule="atLeast"/>
          <w:tblHeader/>
          <w:jc w:val="center"/>
        </w:trPr>
        <w:tc>
          <w:tcPr>
            <w:tcW w:w="643" w:type="dxa"/>
            <w:tcBorders>
              <w:top w:val="single" w:color="auto" w:sz="4" w:space="0"/>
              <w:left w:val="single" w:color="auto" w:sz="4" w:space="0"/>
              <w:bottom w:val="single" w:color="auto" w:sz="4" w:space="0"/>
              <w:right w:val="single" w:color="auto" w:sz="4" w:space="0"/>
            </w:tcBorders>
            <w:shd w:val="clear" w:color="auto" w:fill="auto"/>
            <w:vAlign w:val="center"/>
          </w:tcPr>
          <w:p w14:paraId="2D3921BC">
            <w:pPr>
              <w:widowControl/>
              <w:spacing w:beforeLines="50"/>
              <w:ind w:left="0" w:leftChars="0" w:firstLine="0" w:firstLineChars="0"/>
              <w:jc w:val="both"/>
              <w:rPr>
                <w:rFonts w:hAnsi="宋体"/>
                <w:b/>
                <w:sz w:val="21"/>
                <w:szCs w:val="21"/>
              </w:rPr>
            </w:pPr>
            <w:r>
              <w:rPr>
                <w:rFonts w:hint="eastAsia" w:hAnsi="宋体"/>
                <w:b/>
                <w:sz w:val="21"/>
                <w:szCs w:val="21"/>
              </w:rPr>
              <w:t>步骤</w:t>
            </w:r>
          </w:p>
        </w:tc>
        <w:tc>
          <w:tcPr>
            <w:tcW w:w="4056" w:type="dxa"/>
            <w:tcBorders>
              <w:top w:val="single" w:color="auto" w:sz="4" w:space="0"/>
              <w:left w:val="nil"/>
              <w:bottom w:val="single" w:color="auto" w:sz="4" w:space="0"/>
              <w:right w:val="single" w:color="auto" w:sz="4" w:space="0"/>
            </w:tcBorders>
            <w:shd w:val="clear" w:color="auto" w:fill="auto"/>
            <w:vAlign w:val="center"/>
          </w:tcPr>
          <w:p w14:paraId="2783521F">
            <w:pPr>
              <w:widowControl/>
              <w:spacing w:beforeLines="50"/>
              <w:jc w:val="center"/>
              <w:rPr>
                <w:rFonts w:hAnsi="宋体"/>
                <w:b/>
                <w:sz w:val="21"/>
                <w:szCs w:val="21"/>
              </w:rPr>
            </w:pPr>
            <w:r>
              <w:rPr>
                <w:rFonts w:hint="eastAsia" w:hAnsi="宋体"/>
                <w:b/>
                <w:sz w:val="21"/>
                <w:szCs w:val="21"/>
              </w:rPr>
              <w:t>工序示意图</w:t>
            </w:r>
          </w:p>
        </w:tc>
        <w:tc>
          <w:tcPr>
            <w:tcW w:w="3829" w:type="dxa"/>
            <w:tcBorders>
              <w:top w:val="single" w:color="auto" w:sz="4" w:space="0"/>
              <w:left w:val="nil"/>
              <w:bottom w:val="single" w:color="auto" w:sz="4" w:space="0"/>
              <w:right w:val="single" w:color="auto" w:sz="4" w:space="0"/>
            </w:tcBorders>
            <w:shd w:val="clear" w:color="auto" w:fill="auto"/>
            <w:vAlign w:val="center"/>
          </w:tcPr>
          <w:p w14:paraId="1DF55F1A">
            <w:pPr>
              <w:widowControl/>
              <w:spacing w:beforeLines="50"/>
              <w:jc w:val="center"/>
              <w:rPr>
                <w:rFonts w:hAnsi="宋体"/>
                <w:b/>
                <w:sz w:val="21"/>
                <w:szCs w:val="21"/>
              </w:rPr>
            </w:pPr>
            <w:r>
              <w:rPr>
                <w:rFonts w:hint="eastAsia" w:hAnsi="宋体"/>
                <w:b/>
                <w:sz w:val="21"/>
                <w:szCs w:val="21"/>
              </w:rPr>
              <w:t>工序简述</w:t>
            </w:r>
          </w:p>
        </w:tc>
      </w:tr>
      <w:tr w14:paraId="5161389C">
        <w:tblPrEx>
          <w:tblCellMar>
            <w:top w:w="0" w:type="dxa"/>
            <w:left w:w="108" w:type="dxa"/>
            <w:bottom w:w="0" w:type="dxa"/>
            <w:right w:w="108" w:type="dxa"/>
          </w:tblCellMar>
        </w:tblPrEx>
        <w:trPr>
          <w:trHeight w:val="2324" w:hRule="atLeast"/>
          <w:jc w:val="center"/>
        </w:trPr>
        <w:tc>
          <w:tcPr>
            <w:tcW w:w="643" w:type="dxa"/>
            <w:tcBorders>
              <w:top w:val="nil"/>
              <w:left w:val="single" w:color="auto" w:sz="4" w:space="0"/>
              <w:bottom w:val="single" w:color="auto" w:sz="4" w:space="0"/>
              <w:right w:val="single" w:color="auto" w:sz="4" w:space="0"/>
            </w:tcBorders>
            <w:shd w:val="clear" w:color="auto" w:fill="auto"/>
            <w:vAlign w:val="center"/>
          </w:tcPr>
          <w:p w14:paraId="398B7F94">
            <w:pPr>
              <w:widowControl/>
              <w:spacing w:beforeLines="50"/>
              <w:jc w:val="center"/>
              <w:rPr>
                <w:rFonts w:hAnsi="宋体"/>
                <w:sz w:val="21"/>
                <w:szCs w:val="21"/>
              </w:rPr>
            </w:pPr>
            <w:r>
              <w:rPr>
                <w:rFonts w:hint="eastAsia" w:hAnsi="宋体"/>
                <w:sz w:val="21"/>
                <w:szCs w:val="21"/>
              </w:rPr>
              <w:t>1</w:t>
            </w:r>
          </w:p>
        </w:tc>
        <w:tc>
          <w:tcPr>
            <w:tcW w:w="4056" w:type="dxa"/>
            <w:tcBorders>
              <w:top w:val="nil"/>
              <w:left w:val="nil"/>
              <w:bottom w:val="single" w:color="auto" w:sz="4" w:space="0"/>
              <w:right w:val="single" w:color="auto" w:sz="4" w:space="0"/>
            </w:tcBorders>
            <w:shd w:val="clear" w:color="auto" w:fill="auto"/>
            <w:vAlign w:val="center"/>
          </w:tcPr>
          <w:p w14:paraId="1CD48914">
            <w:pPr>
              <w:widowControl/>
              <w:spacing w:beforeLines="50" w:line="240" w:lineRule="auto"/>
              <w:jc w:val="center"/>
              <w:rPr>
                <w:rFonts w:hAnsi="宋体"/>
                <w:sz w:val="21"/>
                <w:szCs w:val="21"/>
              </w:rPr>
            </w:pPr>
            <w:r>
              <w:rPr>
                <w:rFonts w:hint="eastAsia" w:hAnsi="宋体"/>
                <w:sz w:val="21"/>
                <w:szCs w:val="21"/>
              </w:rPr>
              <w:t>零件复检</w:t>
            </w:r>
          </w:p>
          <w:p w14:paraId="461B85F9">
            <w:pPr>
              <w:widowControl/>
              <w:spacing w:beforeLines="50" w:line="240" w:lineRule="auto"/>
              <w:jc w:val="center"/>
              <w:rPr>
                <w:rFonts w:hAnsi="宋体"/>
                <w:sz w:val="21"/>
                <w:szCs w:val="21"/>
              </w:rPr>
            </w:pPr>
            <w:r>
              <w:rPr>
                <w:rFonts w:hAnsi="宋体"/>
                <w:sz w:val="21"/>
                <w:szCs w:val="21"/>
              </w:rPr>
              <w:drawing>
                <wp:inline distT="0" distB="0" distL="0" distR="0">
                  <wp:extent cx="1435735" cy="897890"/>
                  <wp:effectExtent l="0" t="0" r="12065" b="0"/>
                  <wp:docPr id="157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图片 34"/>
                          <pic:cNvPicPr>
                            <a:picLocks noChangeAspect="1" noChangeArrowheads="1"/>
                          </pic:cNvPicPr>
                        </pic:nvPicPr>
                        <pic:blipFill>
                          <a:blip r:embed="rId129" cstate="print">
                            <a:clrChange>
                              <a:clrFrom>
                                <a:srgbClr val="C0C0C0"/>
                              </a:clrFrom>
                              <a:clrTo>
                                <a:srgbClr val="C0C0C0">
                                  <a:alpha val="0"/>
                                </a:srgbClr>
                              </a:clrTo>
                            </a:clrChange>
                          </a:blip>
                          <a:srcRect t="6612"/>
                          <a:stretch>
                            <a:fillRect/>
                          </a:stretch>
                        </pic:blipFill>
                        <pic:spPr>
                          <a:xfrm>
                            <a:off x="0" y="0"/>
                            <a:ext cx="1436039" cy="898497"/>
                          </a:xfrm>
                          <a:prstGeom prst="rect">
                            <a:avLst/>
                          </a:prstGeom>
                          <a:noFill/>
                          <a:ln w="9525">
                            <a:noFill/>
                            <a:miter lim="800000"/>
                            <a:headEnd/>
                            <a:tailEnd/>
                          </a:ln>
                        </pic:spPr>
                      </pic:pic>
                    </a:graphicData>
                  </a:graphic>
                </wp:inline>
              </w:drawing>
            </w:r>
          </w:p>
        </w:tc>
        <w:tc>
          <w:tcPr>
            <w:tcW w:w="3829" w:type="dxa"/>
            <w:tcBorders>
              <w:top w:val="nil"/>
              <w:left w:val="nil"/>
              <w:bottom w:val="single" w:color="auto" w:sz="4" w:space="0"/>
              <w:right w:val="single" w:color="auto" w:sz="4" w:space="0"/>
            </w:tcBorders>
            <w:shd w:val="clear" w:color="auto" w:fill="auto"/>
            <w:vAlign w:val="center"/>
          </w:tcPr>
          <w:p w14:paraId="56FB9FA5">
            <w:pPr>
              <w:widowControl/>
              <w:spacing w:beforeLines="50"/>
              <w:jc w:val="left"/>
              <w:rPr>
                <w:rFonts w:hAnsi="宋体"/>
                <w:sz w:val="21"/>
                <w:szCs w:val="21"/>
              </w:rPr>
            </w:pPr>
            <w:r>
              <w:rPr>
                <w:rFonts w:hint="eastAsia" w:hAnsi="宋体"/>
                <w:sz w:val="21"/>
                <w:szCs w:val="21"/>
              </w:rPr>
              <w:t>检查零件的编号、项目工号、材质、炉（批）号、外形尺寸、坡口等。</w:t>
            </w:r>
          </w:p>
        </w:tc>
      </w:tr>
      <w:tr w14:paraId="3ECB3D4A">
        <w:tblPrEx>
          <w:tblCellMar>
            <w:top w:w="0" w:type="dxa"/>
            <w:left w:w="108" w:type="dxa"/>
            <w:bottom w:w="0" w:type="dxa"/>
            <w:right w:w="108" w:type="dxa"/>
          </w:tblCellMar>
        </w:tblPrEx>
        <w:trPr>
          <w:trHeight w:val="499" w:hRule="atLeast"/>
          <w:jc w:val="center"/>
        </w:trPr>
        <w:tc>
          <w:tcPr>
            <w:tcW w:w="643" w:type="dxa"/>
            <w:tcBorders>
              <w:top w:val="nil"/>
              <w:left w:val="single" w:color="auto" w:sz="4" w:space="0"/>
              <w:bottom w:val="single" w:color="auto" w:sz="4" w:space="0"/>
              <w:right w:val="single" w:color="auto" w:sz="4" w:space="0"/>
            </w:tcBorders>
            <w:shd w:val="clear" w:color="auto" w:fill="auto"/>
            <w:vAlign w:val="center"/>
          </w:tcPr>
          <w:p w14:paraId="466F7F24">
            <w:pPr>
              <w:widowControl/>
              <w:spacing w:beforeLines="50"/>
              <w:jc w:val="center"/>
              <w:rPr>
                <w:rFonts w:hAnsi="宋体"/>
                <w:sz w:val="21"/>
                <w:szCs w:val="21"/>
              </w:rPr>
            </w:pPr>
            <w:r>
              <w:rPr>
                <w:rFonts w:hint="eastAsia" w:hAnsi="宋体"/>
                <w:sz w:val="21"/>
                <w:szCs w:val="21"/>
              </w:rPr>
              <w:t>2</w:t>
            </w:r>
          </w:p>
        </w:tc>
        <w:tc>
          <w:tcPr>
            <w:tcW w:w="4056" w:type="dxa"/>
            <w:tcBorders>
              <w:top w:val="nil"/>
              <w:left w:val="nil"/>
              <w:bottom w:val="single" w:color="auto" w:sz="4" w:space="0"/>
              <w:right w:val="single" w:color="auto" w:sz="4" w:space="0"/>
            </w:tcBorders>
            <w:shd w:val="clear" w:color="auto" w:fill="auto"/>
            <w:vAlign w:val="center"/>
          </w:tcPr>
          <w:p w14:paraId="389E7F88">
            <w:pPr>
              <w:widowControl/>
              <w:spacing w:beforeLines="50" w:line="240" w:lineRule="auto"/>
              <w:jc w:val="center"/>
              <w:rPr>
                <w:rFonts w:hAnsi="宋体"/>
                <w:sz w:val="21"/>
                <w:szCs w:val="21"/>
              </w:rPr>
            </w:pPr>
            <w:r>
              <w:rPr>
                <w:rFonts w:hint="eastAsia" w:hAnsi="宋体"/>
                <w:sz w:val="21"/>
                <w:szCs w:val="21"/>
              </w:rPr>
              <w:t>单元件组装</w:t>
            </w:r>
          </w:p>
          <w:p w14:paraId="4FC94ACB">
            <w:pPr>
              <w:widowControl/>
              <w:spacing w:beforeLines="50"/>
              <w:jc w:val="center"/>
              <w:rPr>
                <w:rFonts w:hAnsi="宋体"/>
                <w:sz w:val="21"/>
                <w:szCs w:val="21"/>
              </w:rPr>
            </w:pPr>
            <w:r>
              <w:rPr>
                <w:rFonts w:hAnsi="宋体"/>
                <w:sz w:val="21"/>
                <w:szCs w:val="21"/>
              </w:rPr>
              <w:drawing>
                <wp:inline distT="0" distB="0" distL="0" distR="0">
                  <wp:extent cx="1737995" cy="1001395"/>
                  <wp:effectExtent l="0" t="0" r="0" b="4445"/>
                  <wp:docPr id="1579"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579"/>
                          <pic:cNvPicPr>
                            <a:picLocks noChangeAspect="1" noChangeArrowheads="1"/>
                          </pic:cNvPicPr>
                        </pic:nvPicPr>
                        <pic:blipFill>
                          <a:blip r:embed="rId130" cstate="print">
                            <a:clrChange>
                              <a:clrFrom>
                                <a:srgbClr val="C0C0C0"/>
                              </a:clrFrom>
                              <a:clrTo>
                                <a:srgbClr val="C0C0C0">
                                  <a:alpha val="0"/>
                                </a:srgbClr>
                              </a:clrTo>
                            </a:clrChange>
                          </a:blip>
                          <a:srcRect t="6338" b="4930"/>
                          <a:stretch>
                            <a:fillRect/>
                          </a:stretch>
                        </pic:blipFill>
                        <pic:spPr>
                          <a:xfrm>
                            <a:off x="0" y="0"/>
                            <a:ext cx="1738189" cy="1001864"/>
                          </a:xfrm>
                          <a:prstGeom prst="rect">
                            <a:avLst/>
                          </a:prstGeom>
                          <a:noFill/>
                          <a:ln w="9525">
                            <a:noFill/>
                            <a:miter lim="800000"/>
                            <a:headEnd/>
                            <a:tailEnd/>
                          </a:ln>
                        </pic:spPr>
                      </pic:pic>
                    </a:graphicData>
                  </a:graphic>
                </wp:inline>
              </w:drawing>
            </w:r>
          </w:p>
        </w:tc>
        <w:tc>
          <w:tcPr>
            <w:tcW w:w="3829" w:type="dxa"/>
            <w:tcBorders>
              <w:top w:val="nil"/>
              <w:left w:val="nil"/>
              <w:bottom w:val="single" w:color="auto" w:sz="4" w:space="0"/>
              <w:right w:val="single" w:color="auto" w:sz="4" w:space="0"/>
            </w:tcBorders>
            <w:shd w:val="clear" w:color="auto" w:fill="auto"/>
            <w:vAlign w:val="center"/>
          </w:tcPr>
          <w:p w14:paraId="7F7E7E7A">
            <w:pPr>
              <w:widowControl/>
              <w:spacing w:beforeLines="50"/>
              <w:jc w:val="left"/>
              <w:rPr>
                <w:rFonts w:hAnsi="宋体"/>
                <w:sz w:val="21"/>
                <w:szCs w:val="21"/>
              </w:rPr>
            </w:pPr>
            <w:r>
              <w:rPr>
                <w:rFonts w:hint="eastAsia" w:hAnsi="宋体"/>
                <w:sz w:val="21"/>
                <w:szCs w:val="21"/>
              </w:rPr>
              <w:t>各结构对线组装定位，注意控制人孔加强圈与横隔板间的垂直度。</w:t>
            </w:r>
          </w:p>
        </w:tc>
      </w:tr>
      <w:tr w14:paraId="4E12653D">
        <w:tblPrEx>
          <w:tblCellMar>
            <w:top w:w="0" w:type="dxa"/>
            <w:left w:w="108" w:type="dxa"/>
            <w:bottom w:w="0" w:type="dxa"/>
            <w:right w:w="108" w:type="dxa"/>
          </w:tblCellMar>
        </w:tblPrEx>
        <w:trPr>
          <w:trHeight w:val="499" w:hRule="atLeast"/>
          <w:jc w:val="center"/>
        </w:trPr>
        <w:tc>
          <w:tcPr>
            <w:tcW w:w="643" w:type="dxa"/>
            <w:tcBorders>
              <w:top w:val="nil"/>
              <w:left w:val="single" w:color="auto" w:sz="4" w:space="0"/>
              <w:bottom w:val="single" w:color="auto" w:sz="4" w:space="0"/>
              <w:right w:val="single" w:color="auto" w:sz="4" w:space="0"/>
            </w:tcBorders>
            <w:shd w:val="clear" w:color="auto" w:fill="auto"/>
            <w:vAlign w:val="center"/>
          </w:tcPr>
          <w:p w14:paraId="76E5CA2C">
            <w:pPr>
              <w:widowControl/>
              <w:spacing w:beforeLines="50"/>
              <w:jc w:val="center"/>
              <w:rPr>
                <w:rFonts w:hAnsi="宋体"/>
                <w:sz w:val="21"/>
                <w:szCs w:val="21"/>
              </w:rPr>
            </w:pPr>
            <w:r>
              <w:rPr>
                <w:rFonts w:hint="eastAsia" w:hAnsi="宋体"/>
                <w:sz w:val="21"/>
                <w:szCs w:val="21"/>
              </w:rPr>
              <w:t>3</w:t>
            </w:r>
          </w:p>
        </w:tc>
        <w:tc>
          <w:tcPr>
            <w:tcW w:w="4056" w:type="dxa"/>
            <w:tcBorders>
              <w:top w:val="nil"/>
              <w:left w:val="nil"/>
              <w:bottom w:val="single" w:color="auto" w:sz="4" w:space="0"/>
              <w:right w:val="single" w:color="auto" w:sz="4" w:space="0"/>
            </w:tcBorders>
            <w:shd w:val="clear" w:color="auto" w:fill="auto"/>
            <w:vAlign w:val="center"/>
          </w:tcPr>
          <w:p w14:paraId="262B9243">
            <w:pPr>
              <w:widowControl/>
              <w:spacing w:beforeLines="50"/>
              <w:jc w:val="center"/>
              <w:rPr>
                <w:rFonts w:hAnsi="宋体"/>
                <w:sz w:val="21"/>
                <w:szCs w:val="21"/>
              </w:rPr>
            </w:pPr>
            <w:r>
              <w:rPr>
                <w:rFonts w:hint="eastAsia" w:hAnsi="宋体"/>
                <w:sz w:val="21"/>
                <w:szCs w:val="21"/>
              </w:rPr>
              <w:t>焊接</w:t>
            </w:r>
          </w:p>
        </w:tc>
        <w:tc>
          <w:tcPr>
            <w:tcW w:w="3829" w:type="dxa"/>
            <w:tcBorders>
              <w:top w:val="nil"/>
              <w:left w:val="nil"/>
              <w:bottom w:val="single" w:color="auto" w:sz="4" w:space="0"/>
              <w:right w:val="single" w:color="auto" w:sz="4" w:space="0"/>
            </w:tcBorders>
            <w:shd w:val="clear" w:color="auto" w:fill="auto"/>
            <w:vAlign w:val="center"/>
          </w:tcPr>
          <w:p w14:paraId="04CF9630">
            <w:pPr>
              <w:widowControl/>
              <w:spacing w:beforeLines="50"/>
              <w:jc w:val="left"/>
              <w:rPr>
                <w:rFonts w:hAnsi="宋体"/>
                <w:sz w:val="21"/>
                <w:szCs w:val="21"/>
              </w:rPr>
            </w:pPr>
            <w:r>
              <w:rPr>
                <w:rFonts w:hint="eastAsia" w:hAnsi="宋体"/>
                <w:sz w:val="21"/>
                <w:szCs w:val="21"/>
              </w:rPr>
              <w:t>严格按照《焊接工艺规程》中的要求进行焊接。</w:t>
            </w:r>
          </w:p>
        </w:tc>
      </w:tr>
      <w:tr w14:paraId="68B6F236">
        <w:tblPrEx>
          <w:tblCellMar>
            <w:top w:w="0" w:type="dxa"/>
            <w:left w:w="108" w:type="dxa"/>
            <w:bottom w:w="0" w:type="dxa"/>
            <w:right w:w="108" w:type="dxa"/>
          </w:tblCellMar>
        </w:tblPrEx>
        <w:trPr>
          <w:trHeight w:val="499" w:hRule="atLeast"/>
          <w:jc w:val="center"/>
        </w:trPr>
        <w:tc>
          <w:tcPr>
            <w:tcW w:w="643" w:type="dxa"/>
            <w:tcBorders>
              <w:top w:val="nil"/>
              <w:left w:val="single" w:color="auto" w:sz="4" w:space="0"/>
              <w:bottom w:val="single" w:color="auto" w:sz="4" w:space="0"/>
              <w:right w:val="single" w:color="auto" w:sz="4" w:space="0"/>
            </w:tcBorders>
            <w:shd w:val="clear" w:color="auto" w:fill="auto"/>
            <w:vAlign w:val="center"/>
          </w:tcPr>
          <w:p w14:paraId="1D76C582">
            <w:pPr>
              <w:widowControl/>
              <w:spacing w:beforeLines="50"/>
              <w:jc w:val="center"/>
              <w:rPr>
                <w:rFonts w:hAnsi="宋体"/>
                <w:sz w:val="21"/>
                <w:szCs w:val="21"/>
              </w:rPr>
            </w:pPr>
            <w:r>
              <w:rPr>
                <w:rFonts w:hint="eastAsia" w:hAnsi="宋体"/>
                <w:sz w:val="21"/>
                <w:szCs w:val="21"/>
              </w:rPr>
              <w:t>4</w:t>
            </w:r>
          </w:p>
        </w:tc>
        <w:tc>
          <w:tcPr>
            <w:tcW w:w="4056" w:type="dxa"/>
            <w:tcBorders>
              <w:top w:val="nil"/>
              <w:left w:val="nil"/>
              <w:bottom w:val="single" w:color="auto" w:sz="4" w:space="0"/>
              <w:right w:val="single" w:color="auto" w:sz="4" w:space="0"/>
            </w:tcBorders>
            <w:shd w:val="clear" w:color="auto" w:fill="auto"/>
            <w:vAlign w:val="center"/>
          </w:tcPr>
          <w:p w14:paraId="78B1E296">
            <w:pPr>
              <w:widowControl/>
              <w:spacing w:beforeLines="50"/>
              <w:jc w:val="center"/>
              <w:rPr>
                <w:rFonts w:hAnsi="宋体"/>
                <w:sz w:val="21"/>
                <w:szCs w:val="21"/>
              </w:rPr>
            </w:pPr>
            <w:r>
              <w:rPr>
                <w:rFonts w:hint="eastAsia" w:hAnsi="宋体"/>
                <w:sz w:val="21"/>
                <w:szCs w:val="21"/>
              </w:rPr>
              <w:t>矫正</w:t>
            </w:r>
          </w:p>
        </w:tc>
        <w:tc>
          <w:tcPr>
            <w:tcW w:w="3829" w:type="dxa"/>
            <w:tcBorders>
              <w:top w:val="nil"/>
              <w:left w:val="nil"/>
              <w:bottom w:val="single" w:color="auto" w:sz="4" w:space="0"/>
              <w:right w:val="single" w:color="auto" w:sz="4" w:space="0"/>
            </w:tcBorders>
            <w:shd w:val="clear" w:color="auto" w:fill="auto"/>
            <w:vAlign w:val="center"/>
          </w:tcPr>
          <w:p w14:paraId="77035277">
            <w:pPr>
              <w:widowControl/>
              <w:spacing w:beforeLines="50"/>
              <w:jc w:val="left"/>
              <w:rPr>
                <w:rFonts w:hAnsi="宋体"/>
                <w:sz w:val="21"/>
                <w:szCs w:val="21"/>
              </w:rPr>
            </w:pPr>
            <w:r>
              <w:rPr>
                <w:rFonts w:hint="eastAsia" w:hAnsi="宋体"/>
                <w:sz w:val="21"/>
                <w:szCs w:val="21"/>
              </w:rPr>
              <w:t>火焰矫正温度控制在600℃～800℃，严禁过烧、直接锤击和水冷。</w:t>
            </w:r>
          </w:p>
        </w:tc>
      </w:tr>
      <w:tr w14:paraId="0CC9973C">
        <w:tblPrEx>
          <w:tblCellMar>
            <w:top w:w="0" w:type="dxa"/>
            <w:left w:w="108" w:type="dxa"/>
            <w:bottom w:w="0" w:type="dxa"/>
            <w:right w:w="108" w:type="dxa"/>
          </w:tblCellMar>
        </w:tblPrEx>
        <w:trPr>
          <w:trHeight w:val="499" w:hRule="atLeast"/>
          <w:jc w:val="center"/>
        </w:trPr>
        <w:tc>
          <w:tcPr>
            <w:tcW w:w="643" w:type="dxa"/>
            <w:tcBorders>
              <w:top w:val="nil"/>
              <w:left w:val="single" w:color="auto" w:sz="4" w:space="0"/>
              <w:bottom w:val="single" w:color="auto" w:sz="4" w:space="0"/>
              <w:right w:val="single" w:color="auto" w:sz="4" w:space="0"/>
            </w:tcBorders>
            <w:shd w:val="clear" w:color="auto" w:fill="auto"/>
            <w:vAlign w:val="center"/>
          </w:tcPr>
          <w:p w14:paraId="2A093293">
            <w:pPr>
              <w:widowControl/>
              <w:spacing w:beforeLines="50"/>
              <w:jc w:val="center"/>
              <w:rPr>
                <w:rFonts w:hAnsi="宋体"/>
                <w:sz w:val="21"/>
                <w:szCs w:val="21"/>
              </w:rPr>
            </w:pPr>
            <w:r>
              <w:rPr>
                <w:rFonts w:hint="eastAsia" w:hAnsi="宋体"/>
                <w:sz w:val="21"/>
                <w:szCs w:val="21"/>
              </w:rPr>
              <w:t>5</w:t>
            </w:r>
          </w:p>
        </w:tc>
        <w:tc>
          <w:tcPr>
            <w:tcW w:w="4056" w:type="dxa"/>
            <w:tcBorders>
              <w:top w:val="nil"/>
              <w:left w:val="nil"/>
              <w:bottom w:val="single" w:color="auto" w:sz="4" w:space="0"/>
              <w:right w:val="single" w:color="auto" w:sz="4" w:space="0"/>
            </w:tcBorders>
            <w:shd w:val="clear" w:color="auto" w:fill="auto"/>
            <w:vAlign w:val="center"/>
          </w:tcPr>
          <w:p w14:paraId="46F06841">
            <w:pPr>
              <w:widowControl/>
              <w:spacing w:beforeLines="50"/>
              <w:jc w:val="center"/>
              <w:rPr>
                <w:rFonts w:hAnsi="宋体"/>
                <w:sz w:val="21"/>
                <w:szCs w:val="21"/>
              </w:rPr>
            </w:pPr>
            <w:r>
              <w:rPr>
                <w:rFonts w:hint="eastAsia" w:hAnsi="宋体"/>
                <w:sz w:val="21"/>
                <w:szCs w:val="21"/>
              </w:rPr>
              <w:t>单元件检查、标记、标识</w:t>
            </w:r>
          </w:p>
        </w:tc>
        <w:tc>
          <w:tcPr>
            <w:tcW w:w="3829" w:type="dxa"/>
            <w:tcBorders>
              <w:top w:val="nil"/>
              <w:left w:val="nil"/>
              <w:bottom w:val="single" w:color="auto" w:sz="4" w:space="0"/>
              <w:right w:val="single" w:color="auto" w:sz="4" w:space="0"/>
            </w:tcBorders>
            <w:shd w:val="clear" w:color="auto" w:fill="auto"/>
            <w:vAlign w:val="center"/>
          </w:tcPr>
          <w:p w14:paraId="50589384">
            <w:pPr>
              <w:widowControl/>
              <w:spacing w:beforeLines="50"/>
              <w:jc w:val="left"/>
              <w:rPr>
                <w:rFonts w:hAnsi="宋体"/>
                <w:sz w:val="21"/>
                <w:szCs w:val="21"/>
              </w:rPr>
            </w:pPr>
            <w:r>
              <w:rPr>
                <w:rFonts w:hint="eastAsia" w:hAnsi="宋体"/>
                <w:sz w:val="21"/>
                <w:szCs w:val="21"/>
              </w:rPr>
              <w:t>检查标准单元件长度、宽度、对角线差、焊接质量等。合格后采用油性笔做好单元件的编码、方向等标识，转下道工序。</w:t>
            </w:r>
          </w:p>
        </w:tc>
      </w:tr>
    </w:tbl>
    <w:p w14:paraId="01703765">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bookmarkStart w:id="1135" w:name="_Toc17801"/>
      <w:bookmarkStart w:id="1136" w:name="_Toc493171895"/>
      <w:bookmarkStart w:id="1137" w:name="_Toc486086559"/>
      <w:bookmarkStart w:id="1138" w:name="_Toc475559592"/>
      <w:bookmarkStart w:id="1139" w:name="_Toc24650"/>
      <w:r>
        <w:rPr>
          <w:rFonts w:hint="eastAsia" w:cs="Times New Roman" w:asciiTheme="minorEastAsia" w:hAnsiTheme="minorEastAsia" w:eastAsiaTheme="minorEastAsia"/>
          <w:b w:val="0"/>
          <w:bCs w:val="0"/>
          <w:color w:val="auto"/>
          <w:highlight w:val="none"/>
          <w:lang w:val="en-US" w:eastAsia="zh-CN"/>
        </w:rPr>
        <w:t>3、钢箱梁分段制造</w:t>
      </w:r>
      <w:bookmarkEnd w:id="1135"/>
      <w:bookmarkEnd w:id="1136"/>
      <w:bookmarkEnd w:id="1137"/>
      <w:bookmarkEnd w:id="1138"/>
      <w:bookmarkEnd w:id="1139"/>
    </w:p>
    <w:p w14:paraId="2163909D">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（1）主线钢箱梁分段匹配总装流程：</w:t>
      </w:r>
    </w:p>
    <w:p w14:paraId="13D3BBF3">
      <w:pPr>
        <w:pStyle w:val="23"/>
        <w:spacing w:line="360" w:lineRule="auto"/>
        <w:ind w:firstLine="480"/>
        <w:rPr>
          <w:rFonts w:hint="eastAsia" w:cs="Times New Roman" w:asciiTheme="minorEastAsia" w:hAnsiTheme="minorEastAsia" w:eastAsiaTheme="minorEastAsia"/>
          <w:b w:val="0"/>
          <w:bCs w:val="0"/>
          <w:color w:val="auto"/>
          <w:highlight w:val="none"/>
          <w:lang w:val="en-US" w:eastAsia="zh-CN"/>
        </w:rPr>
      </w:pPr>
      <w:r>
        <w:rPr>
          <w:rFonts w:hint="eastAsia" w:cs="Times New Roman" w:asciiTheme="minorEastAsia" w:hAnsiTheme="minorEastAsia" w:eastAsiaTheme="minorEastAsia"/>
          <w:b w:val="0"/>
          <w:bCs w:val="0"/>
          <w:color w:val="auto"/>
          <w:highlight w:val="none"/>
          <w:lang w:val="en-US" w:eastAsia="zh-CN"/>
        </w:rPr>
        <w:t>本项目分段总装采用“反造法”。桥长、桥宽方向均匹配制造，下图所示制造流程仅示意单个节段横向匹配。</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4032"/>
        <w:gridCol w:w="3587"/>
      </w:tblGrid>
      <w:tr w14:paraId="18D05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65E0E745">
            <w:pPr>
              <w:jc w:val="center"/>
              <w:rPr>
                <w:rFonts w:hAnsi="宋体"/>
                <w:sz w:val="21"/>
                <w:szCs w:val="21"/>
              </w:rPr>
            </w:pPr>
            <w:r>
              <w:rPr>
                <w:rFonts w:hint="eastAsia" w:hAnsi="宋体"/>
                <w:sz w:val="21"/>
                <w:szCs w:val="21"/>
              </w:rPr>
              <w:t>序号</w:t>
            </w:r>
          </w:p>
        </w:tc>
        <w:tc>
          <w:tcPr>
            <w:tcW w:w="1953" w:type="pct"/>
            <w:vAlign w:val="center"/>
          </w:tcPr>
          <w:p w14:paraId="5217998E">
            <w:pPr>
              <w:jc w:val="center"/>
              <w:rPr>
                <w:rFonts w:hAnsi="宋体"/>
                <w:sz w:val="21"/>
                <w:szCs w:val="21"/>
              </w:rPr>
            </w:pPr>
            <w:r>
              <w:rPr>
                <w:rFonts w:hint="eastAsia" w:hAnsi="宋体"/>
                <w:sz w:val="21"/>
                <w:szCs w:val="21"/>
              </w:rPr>
              <w:t>工序示意图</w:t>
            </w:r>
          </w:p>
        </w:tc>
        <w:tc>
          <w:tcPr>
            <w:tcW w:w="2656" w:type="pct"/>
            <w:vAlign w:val="center"/>
          </w:tcPr>
          <w:p w14:paraId="7C0AECC2">
            <w:pPr>
              <w:jc w:val="center"/>
              <w:rPr>
                <w:rFonts w:hAnsi="宋体"/>
                <w:sz w:val="21"/>
                <w:szCs w:val="21"/>
              </w:rPr>
            </w:pPr>
            <w:r>
              <w:rPr>
                <w:rFonts w:hint="eastAsia" w:hAnsi="宋体"/>
                <w:sz w:val="21"/>
                <w:szCs w:val="21"/>
              </w:rPr>
              <w:t>工序简述</w:t>
            </w:r>
          </w:p>
        </w:tc>
      </w:tr>
      <w:tr w14:paraId="124BB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3AF60C94">
            <w:pPr>
              <w:jc w:val="center"/>
              <w:rPr>
                <w:rFonts w:hAnsi="宋体"/>
                <w:sz w:val="21"/>
                <w:szCs w:val="21"/>
              </w:rPr>
            </w:pPr>
            <w:r>
              <w:rPr>
                <w:rFonts w:hint="eastAsia" w:hAnsi="宋体"/>
                <w:sz w:val="21"/>
                <w:szCs w:val="21"/>
              </w:rPr>
              <w:t>1</w:t>
            </w:r>
          </w:p>
        </w:tc>
        <w:tc>
          <w:tcPr>
            <w:tcW w:w="1953" w:type="pct"/>
            <w:vAlign w:val="center"/>
          </w:tcPr>
          <w:p w14:paraId="3375928A">
            <w:pPr>
              <w:jc w:val="center"/>
              <w:rPr>
                <w:rFonts w:hAnsi="宋体"/>
                <w:sz w:val="21"/>
                <w:szCs w:val="21"/>
              </w:rPr>
            </w:pPr>
            <w:r>
              <w:rPr>
                <w:rFonts w:hint="eastAsia" w:hAnsi="宋体"/>
                <w:sz w:val="21"/>
                <w:szCs w:val="21"/>
              </w:rPr>
              <w:t>地样线制作及胎架布置</w:t>
            </w:r>
          </w:p>
        </w:tc>
        <w:tc>
          <w:tcPr>
            <w:tcW w:w="2656" w:type="pct"/>
            <w:vAlign w:val="center"/>
          </w:tcPr>
          <w:p w14:paraId="324E3611">
            <w:pPr>
              <w:rPr>
                <w:rFonts w:hAnsi="宋体"/>
                <w:sz w:val="21"/>
                <w:szCs w:val="21"/>
              </w:rPr>
            </w:pPr>
            <w:r>
              <w:rPr>
                <w:rFonts w:hint="eastAsia" w:hAnsi="宋体"/>
                <w:sz w:val="21"/>
                <w:szCs w:val="21"/>
              </w:rPr>
              <w:t>按照《地样线及胎架布置图》要求划制地样线并布置胎架。</w:t>
            </w:r>
          </w:p>
        </w:tc>
      </w:tr>
      <w:tr w14:paraId="0A93C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054A4CB8">
            <w:pPr>
              <w:jc w:val="center"/>
              <w:rPr>
                <w:rFonts w:hAnsi="宋体"/>
                <w:sz w:val="21"/>
                <w:szCs w:val="21"/>
              </w:rPr>
            </w:pPr>
            <w:r>
              <w:rPr>
                <w:rFonts w:hint="eastAsia" w:hAnsi="宋体"/>
                <w:sz w:val="21"/>
                <w:szCs w:val="21"/>
              </w:rPr>
              <w:t>2</w:t>
            </w:r>
          </w:p>
        </w:tc>
        <w:tc>
          <w:tcPr>
            <w:tcW w:w="1953" w:type="pct"/>
            <w:vAlign w:val="center"/>
          </w:tcPr>
          <w:p w14:paraId="6CC05999">
            <w:pPr>
              <w:jc w:val="center"/>
              <w:rPr>
                <w:rFonts w:hAnsi="宋体"/>
                <w:sz w:val="21"/>
                <w:szCs w:val="21"/>
              </w:rPr>
            </w:pPr>
            <w:r>
              <w:rPr>
                <w:rFonts w:hint="eastAsia" w:hAnsi="宋体"/>
                <w:sz w:val="21"/>
                <w:szCs w:val="21"/>
              </w:rPr>
              <w:t>零件、部件、单元件复检</w:t>
            </w:r>
          </w:p>
        </w:tc>
        <w:tc>
          <w:tcPr>
            <w:tcW w:w="2656" w:type="pct"/>
            <w:vAlign w:val="center"/>
          </w:tcPr>
          <w:p w14:paraId="6FB74F62">
            <w:pPr>
              <w:rPr>
                <w:rFonts w:hAnsi="宋体"/>
                <w:sz w:val="21"/>
                <w:szCs w:val="21"/>
              </w:rPr>
            </w:pPr>
            <w:r>
              <w:rPr>
                <w:rFonts w:hint="eastAsia" w:hAnsi="宋体"/>
                <w:sz w:val="21"/>
                <w:szCs w:val="21"/>
              </w:rPr>
              <w:t>检查零件、部件、单元件的编号、外形尺寸、坡口、方向标识等。</w:t>
            </w:r>
          </w:p>
        </w:tc>
      </w:tr>
      <w:tr w14:paraId="7916C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8" w:hRule="atLeast"/>
          <w:jc w:val="center"/>
        </w:trPr>
        <w:tc>
          <w:tcPr>
            <w:tcW w:w="391" w:type="pct"/>
            <w:vAlign w:val="center"/>
          </w:tcPr>
          <w:p w14:paraId="71B2F31F">
            <w:pPr>
              <w:jc w:val="center"/>
              <w:rPr>
                <w:rFonts w:hAnsi="宋体"/>
                <w:sz w:val="21"/>
                <w:szCs w:val="21"/>
              </w:rPr>
            </w:pPr>
            <w:r>
              <w:rPr>
                <w:rFonts w:hint="eastAsia" w:hAnsi="宋体"/>
                <w:sz w:val="21"/>
                <w:szCs w:val="21"/>
              </w:rPr>
              <w:t>3</w:t>
            </w:r>
          </w:p>
        </w:tc>
        <w:tc>
          <w:tcPr>
            <w:tcW w:w="1953" w:type="pct"/>
            <w:vAlign w:val="center"/>
          </w:tcPr>
          <w:p w14:paraId="6F46BB70">
            <w:pPr>
              <w:spacing w:line="240" w:lineRule="auto"/>
              <w:jc w:val="center"/>
              <w:rPr>
                <w:rFonts w:hAnsi="宋体"/>
                <w:sz w:val="21"/>
                <w:szCs w:val="21"/>
              </w:rPr>
            </w:pPr>
            <w:r>
              <w:rPr>
                <w:rFonts w:hint="eastAsia" w:hAnsi="宋体"/>
                <w:sz w:val="21"/>
                <w:szCs w:val="21"/>
              </w:rPr>
              <w:t>顶板单元件上胎架定位</w:t>
            </w:r>
          </w:p>
          <w:p w14:paraId="02253F94">
            <w:pPr>
              <w:rPr>
                <w:rFonts w:hAnsi="宋体"/>
                <w:sz w:val="21"/>
                <w:szCs w:val="21"/>
              </w:rPr>
            </w:pPr>
            <w:r>
              <w:rPr>
                <w:rFonts w:hAnsi="宋体"/>
                <w:sz w:val="21"/>
                <w:szCs w:val="21"/>
              </w:rPr>
              <w:drawing>
                <wp:inline distT="0" distB="0" distL="0" distR="0">
                  <wp:extent cx="2103755" cy="1208405"/>
                  <wp:effectExtent l="0" t="0" r="14605" b="10795"/>
                  <wp:docPr id="158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49"/>
                          <pic:cNvPicPr>
                            <a:picLocks noChangeAspect="1" noChangeArrowheads="1"/>
                          </pic:cNvPicPr>
                        </pic:nvPicPr>
                        <pic:blipFill>
                          <a:blip r:embed="rId131" cstate="print">
                            <a:clrChange>
                              <a:clrFrom>
                                <a:srgbClr val="000000"/>
                              </a:clrFrom>
                              <a:clrTo>
                                <a:srgbClr val="000000">
                                  <a:alpha val="0"/>
                                </a:srgbClr>
                              </a:clrTo>
                            </a:clrChange>
                          </a:blip>
                          <a:srcRect t="5590"/>
                          <a:stretch>
                            <a:fillRect/>
                          </a:stretch>
                        </pic:blipFill>
                        <pic:spPr>
                          <a:xfrm>
                            <a:off x="0" y="0"/>
                            <a:ext cx="2104280" cy="1208598"/>
                          </a:xfrm>
                          <a:prstGeom prst="rect">
                            <a:avLst/>
                          </a:prstGeom>
                          <a:noFill/>
                          <a:ln w="9525">
                            <a:noFill/>
                            <a:miter lim="800000"/>
                            <a:headEnd/>
                            <a:tailEnd/>
                          </a:ln>
                        </pic:spPr>
                      </pic:pic>
                    </a:graphicData>
                  </a:graphic>
                </wp:inline>
              </w:drawing>
            </w:r>
          </w:p>
        </w:tc>
        <w:tc>
          <w:tcPr>
            <w:tcW w:w="2656" w:type="pct"/>
            <w:vAlign w:val="center"/>
          </w:tcPr>
          <w:p w14:paraId="1C39E74B">
            <w:pPr>
              <w:rPr>
                <w:rFonts w:hAnsi="宋体"/>
                <w:sz w:val="21"/>
                <w:szCs w:val="21"/>
              </w:rPr>
            </w:pPr>
            <w:r>
              <w:rPr>
                <w:rFonts w:hint="eastAsia" w:hAnsi="宋体"/>
                <w:sz w:val="21"/>
                <w:szCs w:val="21"/>
              </w:rPr>
              <w:t>顶板单元件对地样线定位，顶板与胎架模板之间刚性连接固定。</w:t>
            </w:r>
          </w:p>
        </w:tc>
      </w:tr>
      <w:tr w14:paraId="5845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391" w:type="pct"/>
            <w:vAlign w:val="center"/>
          </w:tcPr>
          <w:p w14:paraId="41C841BE">
            <w:pPr>
              <w:jc w:val="center"/>
              <w:rPr>
                <w:rFonts w:hAnsi="宋体"/>
                <w:sz w:val="21"/>
                <w:szCs w:val="21"/>
              </w:rPr>
            </w:pPr>
            <w:r>
              <w:rPr>
                <w:rFonts w:hint="eastAsia" w:hAnsi="宋体"/>
                <w:sz w:val="21"/>
                <w:szCs w:val="21"/>
              </w:rPr>
              <w:tab/>
            </w:r>
            <w:r>
              <w:rPr>
                <w:rFonts w:hint="eastAsia" w:hAnsi="宋体"/>
                <w:sz w:val="21"/>
                <w:szCs w:val="21"/>
              </w:rPr>
              <w:t>4</w:t>
            </w:r>
          </w:p>
        </w:tc>
        <w:tc>
          <w:tcPr>
            <w:tcW w:w="1953" w:type="pct"/>
            <w:vAlign w:val="center"/>
          </w:tcPr>
          <w:p w14:paraId="50EC0587">
            <w:pPr>
              <w:jc w:val="center"/>
              <w:rPr>
                <w:rFonts w:hAnsi="宋体"/>
                <w:sz w:val="21"/>
                <w:szCs w:val="21"/>
              </w:rPr>
            </w:pPr>
            <w:r>
              <w:rPr>
                <w:rFonts w:hint="eastAsia" w:hAnsi="宋体"/>
                <w:sz w:val="21"/>
                <w:szCs w:val="21"/>
              </w:rPr>
              <w:t>中腹板单元件组装</w:t>
            </w:r>
          </w:p>
          <w:p w14:paraId="134D9887">
            <w:pPr>
              <w:jc w:val="center"/>
              <w:rPr>
                <w:rFonts w:hAnsi="宋体"/>
                <w:sz w:val="21"/>
                <w:szCs w:val="21"/>
              </w:rPr>
            </w:pPr>
            <w:r>
              <w:rPr>
                <w:rFonts w:hAnsi="宋体"/>
                <w:sz w:val="21"/>
                <w:szCs w:val="21"/>
              </w:rPr>
              <w:drawing>
                <wp:inline distT="0" distB="0" distL="0" distR="0">
                  <wp:extent cx="2103755" cy="1176655"/>
                  <wp:effectExtent l="0" t="0" r="0" b="0"/>
                  <wp:docPr id="158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52"/>
                          <pic:cNvPicPr>
                            <a:picLocks noChangeAspect="1" noChangeArrowheads="1"/>
                          </pic:cNvPicPr>
                        </pic:nvPicPr>
                        <pic:blipFill>
                          <a:blip r:embed="rId132" cstate="print">
                            <a:clrChange>
                              <a:clrFrom>
                                <a:srgbClr val="000000"/>
                              </a:clrFrom>
                              <a:clrTo>
                                <a:srgbClr val="000000">
                                  <a:alpha val="0"/>
                                </a:srgbClr>
                              </a:clrTo>
                            </a:clrChange>
                          </a:blip>
                          <a:srcRect t="9756"/>
                          <a:stretch>
                            <a:fillRect/>
                          </a:stretch>
                        </pic:blipFill>
                        <pic:spPr>
                          <a:xfrm>
                            <a:off x="0" y="0"/>
                            <a:ext cx="2104280" cy="1176793"/>
                          </a:xfrm>
                          <a:prstGeom prst="rect">
                            <a:avLst/>
                          </a:prstGeom>
                          <a:noFill/>
                          <a:ln w="9525">
                            <a:noFill/>
                            <a:miter lim="800000"/>
                            <a:headEnd/>
                            <a:tailEnd/>
                          </a:ln>
                        </pic:spPr>
                      </pic:pic>
                    </a:graphicData>
                  </a:graphic>
                </wp:inline>
              </w:drawing>
            </w:r>
          </w:p>
        </w:tc>
        <w:tc>
          <w:tcPr>
            <w:tcW w:w="2656" w:type="pct"/>
            <w:vAlign w:val="center"/>
          </w:tcPr>
          <w:p w14:paraId="784BCB20">
            <w:pPr>
              <w:rPr>
                <w:rFonts w:hAnsi="宋体"/>
                <w:sz w:val="21"/>
                <w:szCs w:val="21"/>
              </w:rPr>
            </w:pPr>
            <w:r>
              <w:rPr>
                <w:rFonts w:hint="eastAsia" w:hAnsi="宋体"/>
                <w:sz w:val="21"/>
                <w:szCs w:val="21"/>
              </w:rPr>
              <w:t>根据顶板上的中腹板定位线确定中腹板单元件的位置，调整好腹板与顶板的角度后将腹板与顶板点焊固定。</w:t>
            </w:r>
          </w:p>
          <w:p w14:paraId="370DAA73">
            <w:pPr>
              <w:rPr>
                <w:rFonts w:hAnsi="宋体"/>
                <w:sz w:val="21"/>
                <w:szCs w:val="21"/>
              </w:rPr>
            </w:pPr>
          </w:p>
        </w:tc>
      </w:tr>
      <w:tr w14:paraId="2D9EE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8" w:hRule="atLeast"/>
          <w:jc w:val="center"/>
        </w:trPr>
        <w:tc>
          <w:tcPr>
            <w:tcW w:w="391" w:type="pct"/>
            <w:vAlign w:val="center"/>
          </w:tcPr>
          <w:p w14:paraId="65B5BF32">
            <w:pPr>
              <w:jc w:val="center"/>
              <w:rPr>
                <w:rFonts w:hAnsi="宋体"/>
                <w:sz w:val="21"/>
                <w:szCs w:val="21"/>
              </w:rPr>
            </w:pPr>
            <w:r>
              <w:rPr>
                <w:rFonts w:hint="eastAsia" w:hAnsi="宋体"/>
                <w:sz w:val="21"/>
                <w:szCs w:val="21"/>
              </w:rPr>
              <w:t>5</w:t>
            </w:r>
          </w:p>
        </w:tc>
        <w:tc>
          <w:tcPr>
            <w:tcW w:w="1953" w:type="pct"/>
            <w:vAlign w:val="center"/>
          </w:tcPr>
          <w:p w14:paraId="448B4510">
            <w:pPr>
              <w:jc w:val="center"/>
              <w:rPr>
                <w:rFonts w:hAnsi="宋体"/>
                <w:sz w:val="21"/>
                <w:szCs w:val="21"/>
              </w:rPr>
            </w:pPr>
            <w:r>
              <w:rPr>
                <w:rFonts w:hint="eastAsia" w:hAnsi="宋体"/>
                <w:sz w:val="21"/>
                <w:szCs w:val="21"/>
              </w:rPr>
              <w:t>横隔板单元件组装</w:t>
            </w:r>
          </w:p>
          <w:p w14:paraId="2E20691C">
            <w:pPr>
              <w:jc w:val="center"/>
              <w:rPr>
                <w:rFonts w:hAnsi="宋体"/>
                <w:sz w:val="21"/>
                <w:szCs w:val="21"/>
              </w:rPr>
            </w:pPr>
            <w:r>
              <w:rPr>
                <w:rFonts w:hAnsi="宋体"/>
                <w:sz w:val="21"/>
                <w:szCs w:val="21"/>
              </w:rPr>
              <w:drawing>
                <wp:inline distT="0" distB="0" distL="0" distR="0">
                  <wp:extent cx="2106930" cy="1200785"/>
                  <wp:effectExtent l="0" t="0" r="0" b="3175"/>
                  <wp:docPr id="158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55"/>
                          <pic:cNvPicPr>
                            <a:picLocks noChangeAspect="1" noChangeArrowheads="1"/>
                          </pic:cNvPicPr>
                        </pic:nvPicPr>
                        <pic:blipFill>
                          <a:blip r:embed="rId133" cstate="print">
                            <a:clrChange>
                              <a:clrFrom>
                                <a:srgbClr val="000000"/>
                              </a:clrFrom>
                              <a:clrTo>
                                <a:srgbClr val="000000">
                                  <a:alpha val="0"/>
                                </a:srgbClr>
                              </a:clrTo>
                            </a:clrChange>
                          </a:blip>
                          <a:srcRect/>
                          <a:stretch>
                            <a:fillRect/>
                          </a:stretch>
                        </pic:blipFill>
                        <pic:spPr>
                          <a:xfrm>
                            <a:off x="0" y="0"/>
                            <a:ext cx="2106930" cy="1200785"/>
                          </a:xfrm>
                          <a:prstGeom prst="rect">
                            <a:avLst/>
                          </a:prstGeom>
                          <a:noFill/>
                          <a:ln w="9525">
                            <a:noFill/>
                            <a:miter lim="800000"/>
                            <a:headEnd/>
                            <a:tailEnd/>
                          </a:ln>
                        </pic:spPr>
                      </pic:pic>
                    </a:graphicData>
                  </a:graphic>
                </wp:inline>
              </w:drawing>
            </w:r>
          </w:p>
        </w:tc>
        <w:tc>
          <w:tcPr>
            <w:tcW w:w="2656" w:type="pct"/>
            <w:vAlign w:val="center"/>
          </w:tcPr>
          <w:p w14:paraId="2A0DEB50">
            <w:pPr>
              <w:rPr>
                <w:rFonts w:hAnsi="宋体"/>
                <w:sz w:val="21"/>
                <w:szCs w:val="21"/>
              </w:rPr>
            </w:pPr>
            <w:r>
              <w:rPr>
                <w:rFonts w:hint="eastAsia" w:hAnsi="宋体"/>
                <w:sz w:val="21"/>
                <w:szCs w:val="21"/>
              </w:rPr>
              <w:t>注意控制横隔板与顶板的角度及横隔板外侧边缘与腹板定位线的位置关系。横隔板组装后需采用不小于L75*6的角钢等型材进行临时支撑。</w:t>
            </w:r>
          </w:p>
        </w:tc>
      </w:tr>
      <w:tr w14:paraId="6C352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8" w:hRule="atLeast"/>
          <w:jc w:val="center"/>
        </w:trPr>
        <w:tc>
          <w:tcPr>
            <w:tcW w:w="391" w:type="pct"/>
            <w:vAlign w:val="center"/>
          </w:tcPr>
          <w:p w14:paraId="56E00A80">
            <w:pPr>
              <w:jc w:val="center"/>
              <w:rPr>
                <w:rFonts w:hAnsi="宋体"/>
                <w:sz w:val="21"/>
                <w:szCs w:val="21"/>
              </w:rPr>
            </w:pPr>
            <w:r>
              <w:rPr>
                <w:rFonts w:hint="eastAsia" w:hAnsi="宋体"/>
                <w:sz w:val="21"/>
                <w:szCs w:val="21"/>
              </w:rPr>
              <w:t>6</w:t>
            </w:r>
          </w:p>
        </w:tc>
        <w:tc>
          <w:tcPr>
            <w:tcW w:w="1953" w:type="pct"/>
            <w:vAlign w:val="center"/>
          </w:tcPr>
          <w:p w14:paraId="294C0AB5">
            <w:pPr>
              <w:jc w:val="center"/>
              <w:rPr>
                <w:rFonts w:hAnsi="宋体"/>
                <w:sz w:val="21"/>
                <w:szCs w:val="21"/>
              </w:rPr>
            </w:pPr>
            <w:r>
              <w:rPr>
                <w:rFonts w:hint="eastAsia" w:hAnsi="宋体"/>
                <w:sz w:val="21"/>
                <w:szCs w:val="21"/>
              </w:rPr>
              <w:t>依次组装两侧中腹板及隔板单元件</w:t>
            </w:r>
          </w:p>
          <w:p w14:paraId="7F0D1748">
            <w:pPr>
              <w:jc w:val="center"/>
              <w:rPr>
                <w:rFonts w:hAnsi="宋体"/>
                <w:sz w:val="21"/>
                <w:szCs w:val="21"/>
              </w:rPr>
            </w:pPr>
            <w:r>
              <w:rPr>
                <w:rFonts w:hAnsi="宋体"/>
                <w:sz w:val="21"/>
                <w:szCs w:val="21"/>
              </w:rPr>
              <w:drawing>
                <wp:inline distT="0" distB="0" distL="0" distR="0">
                  <wp:extent cx="2115185" cy="1200785"/>
                  <wp:effectExtent l="0" t="0" r="0" b="3175"/>
                  <wp:docPr id="1583" name="图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图片 1583"/>
                          <pic:cNvPicPr>
                            <a:picLocks noChangeAspect="1" noChangeArrowheads="1"/>
                          </pic:cNvPicPr>
                        </pic:nvPicPr>
                        <pic:blipFill>
                          <a:blip r:embed="rId134" cstate="print">
                            <a:clrChange>
                              <a:clrFrom>
                                <a:srgbClr val="000000"/>
                              </a:clrFrom>
                              <a:clrTo>
                                <a:srgbClr val="000000">
                                  <a:alpha val="0"/>
                                </a:srgbClr>
                              </a:clrTo>
                            </a:clrChange>
                          </a:blip>
                          <a:srcRect/>
                          <a:stretch>
                            <a:fillRect/>
                          </a:stretch>
                        </pic:blipFill>
                        <pic:spPr>
                          <a:xfrm>
                            <a:off x="0" y="0"/>
                            <a:ext cx="2115185" cy="1200785"/>
                          </a:xfrm>
                          <a:prstGeom prst="rect">
                            <a:avLst/>
                          </a:prstGeom>
                          <a:noFill/>
                          <a:ln w="9525">
                            <a:noFill/>
                            <a:miter lim="800000"/>
                            <a:headEnd/>
                            <a:tailEnd/>
                          </a:ln>
                        </pic:spPr>
                      </pic:pic>
                    </a:graphicData>
                  </a:graphic>
                </wp:inline>
              </w:drawing>
            </w:r>
          </w:p>
        </w:tc>
        <w:tc>
          <w:tcPr>
            <w:tcW w:w="2656" w:type="pct"/>
            <w:vAlign w:val="center"/>
          </w:tcPr>
          <w:p w14:paraId="25FD8278">
            <w:pPr>
              <w:rPr>
                <w:rFonts w:hAnsi="宋体"/>
                <w:sz w:val="21"/>
                <w:szCs w:val="21"/>
              </w:rPr>
            </w:pPr>
            <w:r>
              <w:rPr>
                <w:rFonts w:hint="eastAsia" w:hAnsi="宋体"/>
                <w:sz w:val="21"/>
                <w:szCs w:val="21"/>
              </w:rPr>
              <w:t>根据顶板上的中腹板定位线确定中腹板单元件的位置，调整好腹板与顶板的角度后将腹板与顶板点焊固定。</w:t>
            </w:r>
          </w:p>
          <w:p w14:paraId="0341DEF9">
            <w:pPr>
              <w:rPr>
                <w:rFonts w:hAnsi="宋体"/>
                <w:sz w:val="21"/>
                <w:szCs w:val="21"/>
              </w:rPr>
            </w:pPr>
          </w:p>
        </w:tc>
      </w:tr>
      <w:tr w14:paraId="3D01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8" w:hRule="atLeast"/>
          <w:jc w:val="center"/>
        </w:trPr>
        <w:tc>
          <w:tcPr>
            <w:tcW w:w="391" w:type="pct"/>
            <w:vAlign w:val="center"/>
          </w:tcPr>
          <w:p w14:paraId="0D512083">
            <w:pPr>
              <w:jc w:val="center"/>
              <w:rPr>
                <w:rFonts w:hAnsi="宋体"/>
                <w:sz w:val="21"/>
                <w:szCs w:val="21"/>
              </w:rPr>
            </w:pPr>
            <w:r>
              <w:rPr>
                <w:rFonts w:hint="eastAsia" w:hAnsi="宋体"/>
                <w:sz w:val="21"/>
                <w:szCs w:val="21"/>
              </w:rPr>
              <w:t>7</w:t>
            </w:r>
          </w:p>
        </w:tc>
        <w:tc>
          <w:tcPr>
            <w:tcW w:w="1953" w:type="pct"/>
            <w:vAlign w:val="center"/>
          </w:tcPr>
          <w:p w14:paraId="5E25F0AE">
            <w:pPr>
              <w:jc w:val="center"/>
              <w:rPr>
                <w:rFonts w:hAnsi="宋体"/>
                <w:sz w:val="21"/>
                <w:szCs w:val="21"/>
              </w:rPr>
            </w:pPr>
            <w:r>
              <w:rPr>
                <w:rFonts w:hint="eastAsia" w:hAnsi="宋体"/>
                <w:sz w:val="21"/>
                <w:szCs w:val="21"/>
              </w:rPr>
              <w:t>组装外腹板单元件</w:t>
            </w:r>
          </w:p>
          <w:p w14:paraId="68A19A8E">
            <w:pPr>
              <w:jc w:val="center"/>
              <w:rPr>
                <w:rFonts w:hAnsi="宋体"/>
                <w:sz w:val="21"/>
                <w:szCs w:val="21"/>
              </w:rPr>
            </w:pPr>
            <w:r>
              <w:rPr>
                <w:rFonts w:hAnsi="宋体"/>
                <w:sz w:val="21"/>
                <w:szCs w:val="21"/>
              </w:rPr>
              <w:drawing>
                <wp:inline distT="0" distB="0" distL="0" distR="0">
                  <wp:extent cx="2106930" cy="1264285"/>
                  <wp:effectExtent l="0" t="0" r="0" b="635"/>
                  <wp:docPr id="158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图片 61"/>
                          <pic:cNvPicPr>
                            <a:picLocks noChangeAspect="1" noChangeArrowheads="1"/>
                          </pic:cNvPicPr>
                        </pic:nvPicPr>
                        <pic:blipFill>
                          <a:blip r:embed="rId135" cstate="print">
                            <a:clrChange>
                              <a:clrFrom>
                                <a:srgbClr val="000000"/>
                              </a:clrFrom>
                              <a:clrTo>
                                <a:srgbClr val="000000">
                                  <a:alpha val="0"/>
                                </a:srgbClr>
                              </a:clrTo>
                            </a:clrChange>
                          </a:blip>
                          <a:srcRect/>
                          <a:stretch>
                            <a:fillRect/>
                          </a:stretch>
                        </pic:blipFill>
                        <pic:spPr>
                          <a:xfrm>
                            <a:off x="0" y="0"/>
                            <a:ext cx="2106930" cy="1264285"/>
                          </a:xfrm>
                          <a:prstGeom prst="rect">
                            <a:avLst/>
                          </a:prstGeom>
                          <a:noFill/>
                          <a:ln w="9525">
                            <a:noFill/>
                            <a:miter lim="800000"/>
                            <a:headEnd/>
                            <a:tailEnd/>
                          </a:ln>
                        </pic:spPr>
                      </pic:pic>
                    </a:graphicData>
                  </a:graphic>
                </wp:inline>
              </w:drawing>
            </w:r>
          </w:p>
        </w:tc>
        <w:tc>
          <w:tcPr>
            <w:tcW w:w="2656" w:type="pct"/>
            <w:vAlign w:val="center"/>
          </w:tcPr>
          <w:p w14:paraId="70AEDB8F">
            <w:pPr>
              <w:rPr>
                <w:rFonts w:hAnsi="宋体"/>
                <w:sz w:val="21"/>
                <w:szCs w:val="21"/>
              </w:rPr>
            </w:pPr>
            <w:r>
              <w:rPr>
                <w:rFonts w:hint="eastAsia" w:hAnsi="宋体"/>
                <w:sz w:val="21"/>
                <w:szCs w:val="21"/>
              </w:rPr>
              <w:t>根据地样线及顶板上的腹板定位线确定腹板单元件的位置。</w:t>
            </w:r>
          </w:p>
          <w:p w14:paraId="11C1BFD2">
            <w:pPr>
              <w:rPr>
                <w:rFonts w:hAnsi="宋体"/>
                <w:sz w:val="21"/>
                <w:szCs w:val="21"/>
              </w:rPr>
            </w:pPr>
            <w:r>
              <w:rPr>
                <w:rFonts w:hint="eastAsia" w:hAnsi="宋体"/>
                <w:sz w:val="21"/>
                <w:szCs w:val="21"/>
              </w:rPr>
              <w:t>注意控制腹板与顶板的角度以及与顶板端口的位置关系。</w:t>
            </w:r>
          </w:p>
        </w:tc>
      </w:tr>
      <w:tr w14:paraId="6DB0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5F3F18DC">
            <w:pPr>
              <w:jc w:val="center"/>
              <w:rPr>
                <w:rFonts w:hAnsi="宋体"/>
                <w:sz w:val="21"/>
                <w:szCs w:val="21"/>
              </w:rPr>
            </w:pPr>
            <w:r>
              <w:rPr>
                <w:rFonts w:hint="eastAsia" w:hAnsi="宋体"/>
                <w:sz w:val="21"/>
                <w:szCs w:val="21"/>
              </w:rPr>
              <w:t>8</w:t>
            </w:r>
          </w:p>
        </w:tc>
        <w:tc>
          <w:tcPr>
            <w:tcW w:w="1953" w:type="pct"/>
            <w:vAlign w:val="center"/>
          </w:tcPr>
          <w:p w14:paraId="3CD7A952">
            <w:pPr>
              <w:ind w:firstLine="840" w:firstLineChars="400"/>
              <w:rPr>
                <w:rFonts w:hAnsi="宋体"/>
                <w:sz w:val="21"/>
                <w:szCs w:val="21"/>
              </w:rPr>
            </w:pPr>
            <w:r>
              <w:rPr>
                <w:rFonts w:hint="eastAsia" w:hAnsi="宋体"/>
                <w:sz w:val="21"/>
                <w:szCs w:val="21"/>
              </w:rPr>
              <w:t>组装挑梁部件</w:t>
            </w:r>
          </w:p>
          <w:p w14:paraId="652E0B99">
            <w:pPr>
              <w:rPr>
                <w:rFonts w:hAnsi="宋体"/>
                <w:sz w:val="21"/>
                <w:szCs w:val="21"/>
              </w:rPr>
            </w:pPr>
            <w:r>
              <w:rPr>
                <w:rFonts w:hAnsi="宋体"/>
                <w:sz w:val="21"/>
                <w:szCs w:val="21"/>
              </w:rPr>
              <w:drawing>
                <wp:inline distT="0" distB="0" distL="0" distR="0">
                  <wp:extent cx="2106930" cy="1200785"/>
                  <wp:effectExtent l="0" t="0" r="11430" b="3175"/>
                  <wp:docPr id="158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图片 64"/>
                          <pic:cNvPicPr>
                            <a:picLocks noChangeAspect="1" noChangeArrowheads="1"/>
                          </pic:cNvPicPr>
                        </pic:nvPicPr>
                        <pic:blipFill>
                          <a:blip r:embed="rId136" cstate="print">
                            <a:clrChange>
                              <a:clrFrom>
                                <a:srgbClr val="000000"/>
                              </a:clrFrom>
                              <a:clrTo>
                                <a:srgbClr val="000000">
                                  <a:alpha val="0"/>
                                </a:srgbClr>
                              </a:clrTo>
                            </a:clrChange>
                          </a:blip>
                          <a:srcRect/>
                          <a:stretch>
                            <a:fillRect/>
                          </a:stretch>
                        </pic:blipFill>
                        <pic:spPr>
                          <a:xfrm>
                            <a:off x="0" y="0"/>
                            <a:ext cx="2106930" cy="1200785"/>
                          </a:xfrm>
                          <a:prstGeom prst="rect">
                            <a:avLst/>
                          </a:prstGeom>
                          <a:noFill/>
                          <a:ln w="9525">
                            <a:noFill/>
                            <a:miter lim="800000"/>
                            <a:headEnd/>
                            <a:tailEnd/>
                          </a:ln>
                        </pic:spPr>
                      </pic:pic>
                    </a:graphicData>
                  </a:graphic>
                </wp:inline>
              </w:drawing>
            </w:r>
          </w:p>
        </w:tc>
        <w:tc>
          <w:tcPr>
            <w:tcW w:w="2656" w:type="pct"/>
            <w:vAlign w:val="center"/>
          </w:tcPr>
          <w:p w14:paraId="668935EC">
            <w:pPr>
              <w:rPr>
                <w:rFonts w:hAnsi="宋体"/>
                <w:sz w:val="21"/>
                <w:szCs w:val="21"/>
              </w:rPr>
            </w:pPr>
            <w:r>
              <w:rPr>
                <w:rFonts w:hint="eastAsia" w:hAnsi="宋体"/>
                <w:sz w:val="21"/>
                <w:szCs w:val="21"/>
              </w:rPr>
              <w:t>根据纵横基准线和顶板上的隔板定位线定位组装两侧挑梁部件，并利用专用工装固定并焊接。</w:t>
            </w:r>
          </w:p>
        </w:tc>
      </w:tr>
      <w:tr w14:paraId="64747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1DEEA813">
            <w:pPr>
              <w:jc w:val="center"/>
              <w:rPr>
                <w:rFonts w:hAnsi="宋体"/>
                <w:sz w:val="21"/>
                <w:szCs w:val="21"/>
              </w:rPr>
            </w:pPr>
            <w:r>
              <w:rPr>
                <w:rFonts w:hint="eastAsia" w:hAnsi="宋体"/>
                <w:sz w:val="21"/>
                <w:szCs w:val="21"/>
              </w:rPr>
              <w:t>9</w:t>
            </w:r>
          </w:p>
        </w:tc>
        <w:tc>
          <w:tcPr>
            <w:tcW w:w="1953" w:type="pct"/>
            <w:vAlign w:val="center"/>
          </w:tcPr>
          <w:p w14:paraId="212890F5">
            <w:pPr>
              <w:jc w:val="center"/>
              <w:rPr>
                <w:rFonts w:hAnsi="宋体"/>
                <w:sz w:val="21"/>
                <w:szCs w:val="21"/>
              </w:rPr>
            </w:pPr>
            <w:r>
              <w:rPr>
                <w:rFonts w:hint="eastAsia" w:hAnsi="宋体"/>
                <w:sz w:val="21"/>
                <w:szCs w:val="21"/>
              </w:rPr>
              <w:t>焊接</w:t>
            </w:r>
          </w:p>
        </w:tc>
        <w:tc>
          <w:tcPr>
            <w:tcW w:w="2656" w:type="pct"/>
            <w:vAlign w:val="center"/>
          </w:tcPr>
          <w:p w14:paraId="79E5AA17">
            <w:pPr>
              <w:rPr>
                <w:rFonts w:hAnsi="宋体"/>
                <w:sz w:val="21"/>
                <w:szCs w:val="21"/>
              </w:rPr>
            </w:pPr>
            <w:r>
              <w:rPr>
                <w:rFonts w:hint="eastAsia" w:hAnsi="宋体"/>
                <w:sz w:val="21"/>
                <w:szCs w:val="21"/>
              </w:rPr>
              <w:t>严格按照《焊接工艺规程》中的要求施焊。</w:t>
            </w:r>
          </w:p>
        </w:tc>
      </w:tr>
      <w:tr w14:paraId="1AAC9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5" w:hRule="atLeast"/>
          <w:jc w:val="center"/>
        </w:trPr>
        <w:tc>
          <w:tcPr>
            <w:tcW w:w="391" w:type="pct"/>
            <w:vAlign w:val="center"/>
          </w:tcPr>
          <w:p w14:paraId="5745FEFA">
            <w:pPr>
              <w:jc w:val="center"/>
              <w:rPr>
                <w:rFonts w:hAnsi="宋体"/>
                <w:sz w:val="21"/>
                <w:szCs w:val="21"/>
              </w:rPr>
            </w:pPr>
            <w:r>
              <w:rPr>
                <w:rFonts w:hint="eastAsia" w:hAnsi="宋体"/>
                <w:sz w:val="21"/>
                <w:szCs w:val="21"/>
              </w:rPr>
              <w:t>10</w:t>
            </w:r>
          </w:p>
        </w:tc>
        <w:tc>
          <w:tcPr>
            <w:tcW w:w="1953" w:type="pct"/>
            <w:vAlign w:val="center"/>
          </w:tcPr>
          <w:p w14:paraId="0CFCD01B">
            <w:pPr>
              <w:jc w:val="center"/>
              <w:rPr>
                <w:rFonts w:hAnsi="宋体"/>
                <w:sz w:val="21"/>
                <w:szCs w:val="21"/>
              </w:rPr>
            </w:pPr>
            <w:r>
              <w:rPr>
                <w:rFonts w:hint="eastAsia" w:hAnsi="宋体"/>
                <w:sz w:val="21"/>
                <w:szCs w:val="21"/>
              </w:rPr>
              <w:t>底板单元件定位</w:t>
            </w:r>
          </w:p>
          <w:p w14:paraId="08A206B8">
            <w:pPr>
              <w:jc w:val="center"/>
              <w:rPr>
                <w:rFonts w:hAnsi="宋体"/>
                <w:sz w:val="21"/>
                <w:szCs w:val="21"/>
              </w:rPr>
            </w:pPr>
            <w:r>
              <w:rPr>
                <w:rFonts w:hint="eastAsia" w:hAnsi="宋体"/>
                <w:sz w:val="21"/>
                <w:szCs w:val="21"/>
              </w:rPr>
              <w:drawing>
                <wp:inline distT="0" distB="0" distL="0" distR="0">
                  <wp:extent cx="2095500" cy="1181100"/>
                  <wp:effectExtent l="0" t="0" r="7620" b="7620"/>
                  <wp:docPr id="1586" name="图片 1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图片 15" descr="8"/>
                          <pic:cNvPicPr>
                            <a:picLocks noChangeAspect="1" noChangeArrowheads="1"/>
                          </pic:cNvPicPr>
                        </pic:nvPicPr>
                        <pic:blipFill>
                          <a:blip r:embed="rId137" cstate="print"/>
                          <a:srcRect/>
                          <a:stretch>
                            <a:fillRect/>
                          </a:stretch>
                        </pic:blipFill>
                        <pic:spPr>
                          <a:xfrm>
                            <a:off x="0" y="0"/>
                            <a:ext cx="2095500" cy="1181100"/>
                          </a:xfrm>
                          <a:prstGeom prst="rect">
                            <a:avLst/>
                          </a:prstGeom>
                          <a:noFill/>
                          <a:ln w="9525">
                            <a:noFill/>
                            <a:miter lim="800000"/>
                            <a:headEnd/>
                            <a:tailEnd/>
                          </a:ln>
                        </pic:spPr>
                      </pic:pic>
                    </a:graphicData>
                  </a:graphic>
                </wp:inline>
              </w:drawing>
            </w:r>
          </w:p>
        </w:tc>
        <w:tc>
          <w:tcPr>
            <w:tcW w:w="2656" w:type="pct"/>
            <w:vAlign w:val="center"/>
          </w:tcPr>
          <w:p w14:paraId="3666BA6B">
            <w:pPr>
              <w:jc w:val="left"/>
              <w:rPr>
                <w:rFonts w:hAnsi="宋体"/>
                <w:sz w:val="21"/>
                <w:szCs w:val="21"/>
              </w:rPr>
            </w:pPr>
            <w:r>
              <w:rPr>
                <w:rFonts w:hint="eastAsia" w:hAnsi="宋体"/>
                <w:sz w:val="21"/>
                <w:szCs w:val="21"/>
              </w:rPr>
              <w:t>底板的纵、横向定位中心线与地样线上对应的线对齐，确定底板的位置。注意控制节段端口尺寸及顶、底、腹板间的错边量。</w:t>
            </w:r>
          </w:p>
        </w:tc>
      </w:tr>
      <w:tr w14:paraId="0DE40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1" w:type="pct"/>
            <w:vAlign w:val="center"/>
          </w:tcPr>
          <w:p w14:paraId="73927B36">
            <w:pPr>
              <w:jc w:val="center"/>
              <w:rPr>
                <w:rFonts w:hAnsi="宋体"/>
                <w:sz w:val="21"/>
                <w:szCs w:val="21"/>
              </w:rPr>
            </w:pPr>
            <w:r>
              <w:rPr>
                <w:rFonts w:hint="eastAsia" w:hAnsi="宋体"/>
                <w:sz w:val="21"/>
                <w:szCs w:val="21"/>
              </w:rPr>
              <w:t>11</w:t>
            </w:r>
          </w:p>
        </w:tc>
        <w:tc>
          <w:tcPr>
            <w:tcW w:w="1953" w:type="pct"/>
            <w:vAlign w:val="center"/>
          </w:tcPr>
          <w:p w14:paraId="5F19B15A">
            <w:pPr>
              <w:jc w:val="center"/>
              <w:rPr>
                <w:rFonts w:hAnsi="宋体"/>
                <w:sz w:val="21"/>
                <w:szCs w:val="21"/>
              </w:rPr>
            </w:pPr>
            <w:r>
              <w:rPr>
                <w:rFonts w:hint="eastAsia" w:hAnsi="宋体"/>
                <w:sz w:val="21"/>
                <w:szCs w:val="21"/>
              </w:rPr>
              <w:t>脱胎前焊接</w:t>
            </w:r>
          </w:p>
        </w:tc>
        <w:tc>
          <w:tcPr>
            <w:tcW w:w="2656" w:type="pct"/>
            <w:vAlign w:val="center"/>
          </w:tcPr>
          <w:p w14:paraId="484495C7">
            <w:pPr>
              <w:jc w:val="center"/>
              <w:rPr>
                <w:rFonts w:hAnsi="宋体"/>
                <w:sz w:val="21"/>
                <w:szCs w:val="21"/>
              </w:rPr>
            </w:pPr>
            <w:r>
              <w:rPr>
                <w:rFonts w:hint="eastAsia" w:hAnsi="宋体"/>
                <w:sz w:val="21"/>
                <w:szCs w:val="21"/>
              </w:rPr>
              <w:t>严格按照《焊接工艺规程》中的要求施焊。</w:t>
            </w:r>
          </w:p>
        </w:tc>
      </w:tr>
      <w:tr w14:paraId="6B0AB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60F0713A">
            <w:pPr>
              <w:jc w:val="center"/>
              <w:rPr>
                <w:rFonts w:hAnsi="宋体"/>
                <w:sz w:val="21"/>
                <w:szCs w:val="21"/>
              </w:rPr>
            </w:pPr>
            <w:r>
              <w:rPr>
                <w:rFonts w:hint="eastAsia" w:hAnsi="宋体"/>
                <w:sz w:val="21"/>
                <w:szCs w:val="21"/>
              </w:rPr>
              <w:t>12</w:t>
            </w:r>
          </w:p>
        </w:tc>
        <w:tc>
          <w:tcPr>
            <w:tcW w:w="1953" w:type="pct"/>
            <w:vAlign w:val="center"/>
          </w:tcPr>
          <w:p w14:paraId="6391C13B">
            <w:pPr>
              <w:jc w:val="center"/>
              <w:rPr>
                <w:rFonts w:hAnsi="宋体"/>
                <w:sz w:val="21"/>
                <w:szCs w:val="21"/>
              </w:rPr>
            </w:pPr>
            <w:r>
              <w:rPr>
                <w:rFonts w:hint="eastAsia" w:hAnsi="宋体"/>
                <w:sz w:val="21"/>
                <w:szCs w:val="21"/>
              </w:rPr>
              <w:t>矫正</w:t>
            </w:r>
          </w:p>
        </w:tc>
        <w:tc>
          <w:tcPr>
            <w:tcW w:w="2656" w:type="pct"/>
            <w:vAlign w:val="center"/>
          </w:tcPr>
          <w:p w14:paraId="2B1CB0E7">
            <w:pPr>
              <w:rPr>
                <w:rFonts w:hAnsi="宋体"/>
                <w:sz w:val="21"/>
                <w:szCs w:val="21"/>
              </w:rPr>
            </w:pPr>
            <w:r>
              <w:rPr>
                <w:rFonts w:hint="eastAsia" w:hAnsi="宋体"/>
                <w:sz w:val="21"/>
                <w:szCs w:val="21"/>
              </w:rPr>
              <w:t>火焰矫正温度控制在600℃～800℃，严禁过烧、直接锤击和水冷。</w:t>
            </w:r>
          </w:p>
        </w:tc>
      </w:tr>
      <w:tr w14:paraId="00AB3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391" w:type="pct"/>
            <w:vAlign w:val="center"/>
          </w:tcPr>
          <w:p w14:paraId="282BCEF8">
            <w:pPr>
              <w:jc w:val="center"/>
              <w:rPr>
                <w:rFonts w:hAnsi="宋体"/>
                <w:sz w:val="21"/>
                <w:szCs w:val="21"/>
              </w:rPr>
            </w:pPr>
            <w:r>
              <w:rPr>
                <w:rFonts w:hint="eastAsia" w:hAnsi="宋体"/>
                <w:sz w:val="21"/>
                <w:szCs w:val="21"/>
              </w:rPr>
              <w:t>13</w:t>
            </w:r>
          </w:p>
        </w:tc>
        <w:tc>
          <w:tcPr>
            <w:tcW w:w="1953" w:type="pct"/>
            <w:vAlign w:val="center"/>
          </w:tcPr>
          <w:p w14:paraId="444F1422">
            <w:pPr>
              <w:jc w:val="center"/>
              <w:rPr>
                <w:rFonts w:hAnsi="宋体"/>
                <w:sz w:val="21"/>
                <w:szCs w:val="21"/>
              </w:rPr>
            </w:pPr>
            <w:r>
              <w:rPr>
                <w:rFonts w:hint="eastAsia" w:hAnsi="宋体"/>
                <w:sz w:val="21"/>
                <w:szCs w:val="21"/>
              </w:rPr>
              <w:t>箱梁分段隔板单元件切割</w:t>
            </w:r>
          </w:p>
        </w:tc>
        <w:tc>
          <w:tcPr>
            <w:tcW w:w="2656" w:type="pct"/>
            <w:vAlign w:val="center"/>
          </w:tcPr>
          <w:p w14:paraId="5B076781">
            <w:pPr>
              <w:ind w:firstLine="735" w:firstLineChars="350"/>
              <w:rPr>
                <w:rFonts w:hAnsi="宋体"/>
                <w:sz w:val="21"/>
                <w:szCs w:val="21"/>
              </w:rPr>
            </w:pPr>
            <w:r>
              <w:rPr>
                <w:rFonts w:hint="eastAsia" w:hAnsi="宋体"/>
                <w:sz w:val="21"/>
                <w:szCs w:val="21"/>
              </w:rPr>
              <w:t>锁点分割并开制坡口</w:t>
            </w:r>
          </w:p>
        </w:tc>
      </w:tr>
      <w:tr w14:paraId="412E0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8" w:hRule="atLeast"/>
          <w:jc w:val="center"/>
        </w:trPr>
        <w:tc>
          <w:tcPr>
            <w:tcW w:w="391" w:type="pct"/>
            <w:vAlign w:val="center"/>
          </w:tcPr>
          <w:p w14:paraId="17140D34">
            <w:pPr>
              <w:jc w:val="center"/>
              <w:rPr>
                <w:rFonts w:hAnsi="宋体"/>
                <w:sz w:val="21"/>
                <w:szCs w:val="21"/>
              </w:rPr>
            </w:pPr>
            <w:r>
              <w:rPr>
                <w:rFonts w:hint="eastAsia" w:hAnsi="宋体"/>
                <w:sz w:val="21"/>
                <w:szCs w:val="21"/>
              </w:rPr>
              <w:t>14</w:t>
            </w:r>
          </w:p>
        </w:tc>
        <w:tc>
          <w:tcPr>
            <w:tcW w:w="1953" w:type="pct"/>
            <w:vAlign w:val="center"/>
          </w:tcPr>
          <w:p w14:paraId="7B36F365">
            <w:pPr>
              <w:jc w:val="center"/>
              <w:rPr>
                <w:rFonts w:hAnsi="宋体"/>
                <w:sz w:val="21"/>
                <w:szCs w:val="21"/>
              </w:rPr>
            </w:pPr>
            <w:r>
              <w:rPr>
                <w:rFonts w:hint="eastAsia" w:hAnsi="宋体"/>
                <w:sz w:val="21"/>
                <w:szCs w:val="21"/>
              </w:rPr>
              <w:t>箱梁脱胎、翻身并矫正</w:t>
            </w:r>
          </w:p>
          <w:p w14:paraId="211DCDEE">
            <w:pPr>
              <w:jc w:val="center"/>
              <w:rPr>
                <w:rFonts w:hAnsi="宋体"/>
                <w:sz w:val="21"/>
                <w:szCs w:val="21"/>
              </w:rPr>
            </w:pPr>
            <w:r>
              <w:rPr>
                <w:rFonts w:hAnsi="宋体"/>
                <w:sz w:val="21"/>
                <w:szCs w:val="21"/>
              </w:rPr>
              <w:drawing>
                <wp:inline distT="0" distB="0" distL="0" distR="0">
                  <wp:extent cx="2106930" cy="1137285"/>
                  <wp:effectExtent l="0" t="0" r="11430" b="5715"/>
                  <wp:docPr id="15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21"/>
                          <pic:cNvPicPr>
                            <a:picLocks noChangeAspect="1" noChangeArrowheads="1"/>
                          </pic:cNvPicPr>
                        </pic:nvPicPr>
                        <pic:blipFill>
                          <a:blip r:embed="rId138" cstate="print">
                            <a:clrChange>
                              <a:clrFrom>
                                <a:srgbClr val="000000"/>
                              </a:clrFrom>
                              <a:clrTo>
                                <a:srgbClr val="000000">
                                  <a:alpha val="0"/>
                                </a:srgbClr>
                              </a:clrTo>
                            </a:clrChange>
                          </a:blip>
                          <a:srcRect/>
                          <a:stretch>
                            <a:fillRect/>
                          </a:stretch>
                        </pic:blipFill>
                        <pic:spPr>
                          <a:xfrm>
                            <a:off x="0" y="0"/>
                            <a:ext cx="2106930" cy="1137285"/>
                          </a:xfrm>
                          <a:prstGeom prst="rect">
                            <a:avLst/>
                          </a:prstGeom>
                          <a:noFill/>
                          <a:ln w="9525">
                            <a:noFill/>
                            <a:miter lim="800000"/>
                            <a:headEnd/>
                            <a:tailEnd/>
                          </a:ln>
                        </pic:spPr>
                      </pic:pic>
                    </a:graphicData>
                  </a:graphic>
                </wp:inline>
              </w:drawing>
            </w:r>
          </w:p>
        </w:tc>
        <w:tc>
          <w:tcPr>
            <w:tcW w:w="2656" w:type="pct"/>
            <w:vAlign w:val="center"/>
          </w:tcPr>
          <w:p w14:paraId="0E91C482">
            <w:pPr>
              <w:rPr>
                <w:rFonts w:hAnsi="宋体"/>
                <w:sz w:val="21"/>
                <w:szCs w:val="21"/>
              </w:rPr>
            </w:pPr>
            <w:r>
              <w:rPr>
                <w:rFonts w:hint="eastAsia" w:hAnsi="宋体"/>
                <w:sz w:val="21"/>
                <w:szCs w:val="21"/>
              </w:rPr>
              <w:t>翻身</w:t>
            </w:r>
            <w:r>
              <w:rPr>
                <w:rFonts w:hint="eastAsia" w:hAnsi="宋体"/>
                <w:sz w:val="21"/>
                <w:szCs w:val="21"/>
                <w:lang w:eastAsia="zh-CN"/>
              </w:rPr>
              <w:t>：</w:t>
            </w:r>
            <w:r>
              <w:rPr>
                <w:rFonts w:hint="eastAsia" w:hAnsi="宋体"/>
                <w:sz w:val="21"/>
                <w:szCs w:val="21"/>
              </w:rPr>
              <w:t>严禁主焊缝未焊完下胎翻身；翻身使用翻身吊耳并报检合格后方可进行分段脱胎、翻身；箱梁翻身后用火焰矫正，温度控制在600℃～800℃，严禁过烧、直接锤击和水冷。</w:t>
            </w:r>
          </w:p>
        </w:tc>
      </w:tr>
      <w:tr w14:paraId="40C1B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1205BE54">
            <w:pPr>
              <w:jc w:val="center"/>
              <w:rPr>
                <w:rFonts w:hAnsi="宋体"/>
                <w:sz w:val="21"/>
                <w:szCs w:val="21"/>
              </w:rPr>
            </w:pPr>
            <w:r>
              <w:rPr>
                <w:rFonts w:hint="eastAsia" w:hAnsi="宋体"/>
                <w:sz w:val="21"/>
                <w:szCs w:val="21"/>
              </w:rPr>
              <w:t>15</w:t>
            </w:r>
          </w:p>
        </w:tc>
        <w:tc>
          <w:tcPr>
            <w:tcW w:w="1953" w:type="pct"/>
            <w:vAlign w:val="center"/>
          </w:tcPr>
          <w:p w14:paraId="106A2C84">
            <w:pPr>
              <w:jc w:val="center"/>
              <w:rPr>
                <w:rFonts w:hAnsi="宋体"/>
                <w:sz w:val="21"/>
                <w:szCs w:val="21"/>
              </w:rPr>
            </w:pPr>
            <w:r>
              <w:rPr>
                <w:rFonts w:hint="eastAsia" w:hAnsi="宋体"/>
                <w:sz w:val="21"/>
                <w:szCs w:val="21"/>
              </w:rPr>
              <w:t>整体焊接</w:t>
            </w:r>
          </w:p>
        </w:tc>
        <w:tc>
          <w:tcPr>
            <w:tcW w:w="2656" w:type="pct"/>
            <w:vAlign w:val="center"/>
          </w:tcPr>
          <w:p w14:paraId="612553F9">
            <w:pPr>
              <w:jc w:val="center"/>
              <w:rPr>
                <w:rFonts w:hAnsi="宋体"/>
                <w:sz w:val="21"/>
                <w:szCs w:val="21"/>
              </w:rPr>
            </w:pPr>
            <w:r>
              <w:rPr>
                <w:rFonts w:hint="eastAsia" w:hAnsi="宋体"/>
                <w:sz w:val="21"/>
                <w:szCs w:val="21"/>
              </w:rPr>
              <w:t>严格按照《焊接工艺规程》中的要求施焊。</w:t>
            </w:r>
          </w:p>
        </w:tc>
      </w:tr>
      <w:tr w14:paraId="45DB9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2AC5830B">
            <w:pPr>
              <w:jc w:val="center"/>
              <w:rPr>
                <w:rFonts w:hAnsi="宋体"/>
                <w:sz w:val="21"/>
                <w:szCs w:val="21"/>
              </w:rPr>
            </w:pPr>
            <w:r>
              <w:rPr>
                <w:rFonts w:hint="eastAsia" w:hAnsi="宋体"/>
                <w:sz w:val="21"/>
                <w:szCs w:val="21"/>
              </w:rPr>
              <w:t>16</w:t>
            </w:r>
          </w:p>
        </w:tc>
        <w:tc>
          <w:tcPr>
            <w:tcW w:w="1953" w:type="pct"/>
            <w:vAlign w:val="center"/>
          </w:tcPr>
          <w:p w14:paraId="5DE5DE35">
            <w:pPr>
              <w:jc w:val="center"/>
              <w:rPr>
                <w:rFonts w:hAnsi="宋体"/>
                <w:sz w:val="21"/>
                <w:szCs w:val="21"/>
              </w:rPr>
            </w:pPr>
            <w:r>
              <w:rPr>
                <w:rFonts w:hint="eastAsia" w:hAnsi="宋体"/>
                <w:sz w:val="21"/>
                <w:szCs w:val="21"/>
              </w:rPr>
              <w:t>装焊附件</w:t>
            </w:r>
          </w:p>
        </w:tc>
        <w:tc>
          <w:tcPr>
            <w:tcW w:w="2656" w:type="pct"/>
            <w:vAlign w:val="center"/>
          </w:tcPr>
          <w:p w14:paraId="321D29E0">
            <w:pPr>
              <w:rPr>
                <w:rFonts w:hAnsi="宋体"/>
                <w:sz w:val="21"/>
                <w:szCs w:val="21"/>
              </w:rPr>
            </w:pPr>
            <w:r>
              <w:rPr>
                <w:rFonts w:hint="eastAsia" w:hAnsi="宋体"/>
                <w:sz w:val="21"/>
                <w:szCs w:val="21"/>
              </w:rPr>
              <w:t>装焊吊耳、剪力钉等附件（吊耳安装严格参照《焊接式临时吊耳》）。</w:t>
            </w:r>
          </w:p>
        </w:tc>
      </w:tr>
      <w:tr w14:paraId="282A7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66576586">
            <w:pPr>
              <w:jc w:val="center"/>
              <w:rPr>
                <w:rFonts w:hAnsi="宋体"/>
                <w:sz w:val="21"/>
                <w:szCs w:val="21"/>
              </w:rPr>
            </w:pPr>
            <w:r>
              <w:rPr>
                <w:rFonts w:hint="eastAsia" w:hAnsi="宋体"/>
                <w:sz w:val="21"/>
                <w:szCs w:val="21"/>
              </w:rPr>
              <w:t>17</w:t>
            </w:r>
          </w:p>
        </w:tc>
        <w:tc>
          <w:tcPr>
            <w:tcW w:w="1953" w:type="pct"/>
            <w:vAlign w:val="center"/>
          </w:tcPr>
          <w:p w14:paraId="4D38D495">
            <w:pPr>
              <w:jc w:val="center"/>
              <w:rPr>
                <w:rFonts w:hAnsi="宋体"/>
                <w:sz w:val="21"/>
                <w:szCs w:val="21"/>
              </w:rPr>
            </w:pPr>
            <w:r>
              <w:rPr>
                <w:rFonts w:hint="eastAsia" w:hAnsi="宋体"/>
                <w:sz w:val="21"/>
                <w:szCs w:val="21"/>
              </w:rPr>
              <w:t>矫正</w:t>
            </w:r>
          </w:p>
        </w:tc>
        <w:tc>
          <w:tcPr>
            <w:tcW w:w="2656" w:type="pct"/>
            <w:vAlign w:val="center"/>
          </w:tcPr>
          <w:p w14:paraId="6570A03D">
            <w:pPr>
              <w:rPr>
                <w:rFonts w:hAnsi="宋体"/>
                <w:sz w:val="21"/>
                <w:szCs w:val="21"/>
              </w:rPr>
            </w:pPr>
            <w:r>
              <w:rPr>
                <w:rFonts w:hint="eastAsia" w:hAnsi="宋体"/>
                <w:sz w:val="21"/>
                <w:szCs w:val="21"/>
              </w:rPr>
              <w:t>火焰矫正温度控制在600℃～800℃，严禁过烧、直接锤击和水冷。</w:t>
            </w:r>
          </w:p>
        </w:tc>
      </w:tr>
      <w:tr w14:paraId="0210A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1F8D7C41">
            <w:pPr>
              <w:jc w:val="center"/>
              <w:rPr>
                <w:rFonts w:hAnsi="宋体"/>
                <w:sz w:val="21"/>
                <w:szCs w:val="21"/>
              </w:rPr>
            </w:pPr>
            <w:r>
              <w:rPr>
                <w:rFonts w:hint="eastAsia" w:hAnsi="宋体"/>
                <w:sz w:val="21"/>
                <w:szCs w:val="21"/>
              </w:rPr>
              <w:t>18</w:t>
            </w:r>
          </w:p>
        </w:tc>
        <w:tc>
          <w:tcPr>
            <w:tcW w:w="1953" w:type="pct"/>
            <w:vAlign w:val="center"/>
          </w:tcPr>
          <w:p w14:paraId="7CD22C69">
            <w:pPr>
              <w:jc w:val="center"/>
              <w:rPr>
                <w:rFonts w:hAnsi="宋体"/>
                <w:sz w:val="21"/>
                <w:szCs w:val="21"/>
              </w:rPr>
            </w:pPr>
            <w:r>
              <w:rPr>
                <w:rFonts w:hint="eastAsia" w:hAnsi="宋体"/>
                <w:sz w:val="21"/>
                <w:szCs w:val="21"/>
              </w:rPr>
              <w:t>安装标记点制作</w:t>
            </w:r>
          </w:p>
        </w:tc>
        <w:tc>
          <w:tcPr>
            <w:tcW w:w="2656" w:type="pct"/>
            <w:vAlign w:val="center"/>
          </w:tcPr>
          <w:p w14:paraId="716A7A99">
            <w:pPr>
              <w:rPr>
                <w:rFonts w:hAnsi="宋体"/>
                <w:sz w:val="21"/>
                <w:szCs w:val="21"/>
              </w:rPr>
            </w:pPr>
            <w:r>
              <w:rPr>
                <w:rFonts w:hint="eastAsia" w:hAnsi="宋体"/>
                <w:sz w:val="21"/>
                <w:szCs w:val="21"/>
              </w:rPr>
              <w:t>根据施工图纸，以节段纵横基准线为基准制作安装标记点， 安装标记点应采用样冲进行标记。</w:t>
            </w:r>
          </w:p>
        </w:tc>
      </w:tr>
      <w:tr w14:paraId="29E3E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391" w:type="pct"/>
            <w:vAlign w:val="center"/>
          </w:tcPr>
          <w:p w14:paraId="7221C475">
            <w:pPr>
              <w:jc w:val="center"/>
              <w:rPr>
                <w:rFonts w:hAnsi="宋体"/>
                <w:sz w:val="21"/>
                <w:szCs w:val="21"/>
              </w:rPr>
            </w:pPr>
            <w:r>
              <w:rPr>
                <w:rFonts w:hint="eastAsia" w:hAnsi="宋体"/>
                <w:sz w:val="21"/>
                <w:szCs w:val="21"/>
              </w:rPr>
              <w:t>19</w:t>
            </w:r>
          </w:p>
        </w:tc>
        <w:tc>
          <w:tcPr>
            <w:tcW w:w="1953" w:type="pct"/>
            <w:vAlign w:val="center"/>
          </w:tcPr>
          <w:p w14:paraId="6336ED7A">
            <w:pPr>
              <w:jc w:val="center"/>
              <w:rPr>
                <w:rFonts w:hAnsi="宋体"/>
                <w:sz w:val="21"/>
                <w:szCs w:val="21"/>
              </w:rPr>
            </w:pPr>
            <w:r>
              <w:rPr>
                <w:rFonts w:hint="eastAsia" w:hAnsi="宋体"/>
                <w:sz w:val="21"/>
                <w:szCs w:val="21"/>
              </w:rPr>
              <w:t>涂装</w:t>
            </w:r>
          </w:p>
        </w:tc>
        <w:tc>
          <w:tcPr>
            <w:tcW w:w="2656" w:type="pct"/>
            <w:vAlign w:val="center"/>
          </w:tcPr>
          <w:p w14:paraId="38C49FA9">
            <w:pPr>
              <w:rPr>
                <w:rFonts w:hAnsi="宋体"/>
                <w:sz w:val="21"/>
                <w:szCs w:val="21"/>
              </w:rPr>
            </w:pPr>
            <w:r>
              <w:rPr>
                <w:rFonts w:hint="eastAsia" w:hAnsi="宋体"/>
                <w:sz w:val="21"/>
                <w:szCs w:val="21"/>
              </w:rPr>
              <w:t>严格按照《涂装工艺规程》进行施工。</w:t>
            </w:r>
          </w:p>
        </w:tc>
      </w:tr>
    </w:tbl>
    <w:p w14:paraId="308DA2D7">
      <w:pPr>
        <w:pStyle w:val="6"/>
        <w:bidi w:val="0"/>
        <w:rPr>
          <w:rFonts w:hint="eastAsia"/>
          <w:lang w:val="en-US" w:eastAsia="zh-CN"/>
        </w:rPr>
      </w:pPr>
      <w:bookmarkStart w:id="1140" w:name="_Toc19025155"/>
      <w:bookmarkStart w:id="1141" w:name="_Toc475559594"/>
      <w:bookmarkStart w:id="1142" w:name="_Toc486086569"/>
      <w:bookmarkStart w:id="1143" w:name="_Toc4390"/>
      <w:bookmarkStart w:id="1144" w:name="_Toc468378993"/>
      <w:bookmarkStart w:id="1145" w:name="_Toc7934"/>
      <w:bookmarkStart w:id="1146" w:name="_Toc493171904"/>
      <w:bookmarkStart w:id="1147" w:name="_Toc475559301"/>
      <w:r>
        <w:rPr>
          <w:rFonts w:hint="eastAsia"/>
          <w:lang w:val="en-US" w:eastAsia="zh-CN"/>
        </w:rPr>
        <w:t>8.2.6.3焊接工艺</w:t>
      </w:r>
      <w:bookmarkEnd w:id="1140"/>
    </w:p>
    <w:p w14:paraId="07A14633">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1、一般要求</w:t>
      </w:r>
    </w:p>
    <w:p w14:paraId="7ED62CD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（1）焊工资格</w:t>
      </w:r>
    </w:p>
    <w:p w14:paraId="3CF6A52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参与本项目的焊工必须取得焊工资格等级证书，且只能从事上岗证书中认定范围内的工作，并在上岗前接受工艺人员的技术交底。</w:t>
      </w:r>
    </w:p>
    <w:p w14:paraId="1C8E8DE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（2）焊前准备</w:t>
      </w:r>
    </w:p>
    <w:p w14:paraId="2F0BC9A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①焊接前应将待焊区域及两侧20～30mm范围内的铁锈、氧化皮、油污、油漆</w:t>
      </w:r>
    </w:p>
    <w:p w14:paraId="46A5B52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等有害物打磨清理干净，露出金属光泽。</w:t>
      </w:r>
    </w:p>
    <w:p w14:paraId="46BEC62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②封闭部位施焊时应采取良好的通风及排烟措施，以防中毒。</w:t>
      </w:r>
    </w:p>
    <w:p w14:paraId="2A8BC87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③焊接设备必须完好，能灵活调节，电流表、电压表均在检验的有效期内。</w:t>
      </w:r>
    </w:p>
    <w:p w14:paraId="1498EFB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④.切割坡口要求打磨光顺，不得有超标的凹陷或凸起。</w:t>
      </w:r>
    </w:p>
    <w:p w14:paraId="47306D2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⑤早晚空气湿度大于80％或钢板潮湿时要经过去潮处理后才能焊接（包括点焊）。</w:t>
      </w:r>
    </w:p>
    <w:p w14:paraId="055F30A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（3）焊接</w:t>
      </w:r>
    </w:p>
    <w:p w14:paraId="2CFF2171">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①多层多道焊中的各层各道之间的焊渣必须彻底清除干净。</w:t>
      </w:r>
    </w:p>
    <w:p w14:paraId="65BDE10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②引熄弧板坡口形式应与焊缝相同。</w:t>
      </w:r>
    </w:p>
    <w:p w14:paraId="00B26D03">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③未要求缓焊的角焊缝转角处（含过焊孔）包角应良好，焊缝的起落弧处应回焊20mm以上。</w:t>
      </w:r>
    </w:p>
    <w:p w14:paraId="3A54B9E1">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气体保护焊在风速超过2米/秒的时候应采取良好的防风措施。CO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气体纯度不低于99.5％。</w:t>
      </w:r>
    </w:p>
    <w:p w14:paraId="48CDF88A">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⑤埋弧自动焊焊接时应使用焊剂漏斗。焊剂覆盖在焊缝上的厚度不小于20mm，且不大于60mm，焊接时不应急于敲去焊渣。如果焊接过程中出现断弧现象，必须将断弧处刨成1：5的坡度，搭接50mm再施焊。</w:t>
      </w:r>
    </w:p>
    <w:p w14:paraId="40BE6F6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⑥施焊时母材的非焊接部位严禁焊接引弧。</w:t>
      </w:r>
    </w:p>
    <w:p w14:paraId="54AFD7AD">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⑦施工人员如果发现焊缝出现裂纹，应及时通知工艺员，查明原因后才能按工艺员制定的方案施工。</w:t>
      </w:r>
    </w:p>
    <w:p w14:paraId="747B04F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⑧焊后清理：焊缝焊接完，应及时清理熔渣及飞溅物。</w:t>
      </w:r>
    </w:p>
    <w:p w14:paraId="12D689F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（4）火焰矫正时，矫正温度控制在600℃～800℃，并应自然冷却到环境温度，温度未降至环境温度时，不得锤击钢料，严禁水冷却。</w:t>
      </w:r>
    </w:p>
    <w:p w14:paraId="38754D9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2、焊接材料</w:t>
      </w:r>
    </w:p>
    <w:p w14:paraId="515264E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埋弧自动焊焊丝+焊剂：    H10Mn2，φ5.0mm+SJ101；</w:t>
      </w:r>
    </w:p>
    <w:p w14:paraId="09543BD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气体保护焊实芯焊丝：  ER50-6，φ1.2mm；</w:t>
      </w:r>
    </w:p>
    <w:p w14:paraId="33513C9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CO</w:t>
      </w:r>
      <w:r>
        <w:rPr>
          <w:rFonts w:hint="eastAsia" w:asciiTheme="minorEastAsia" w:hAnsiTheme="minorEastAsia" w:eastAsiaTheme="minorEastAsia"/>
          <w:b w:val="0"/>
          <w:bCs w:val="0"/>
          <w:color w:val="auto"/>
          <w:highlight w:val="none"/>
          <w:vertAlign w:val="subscript"/>
          <w:lang w:val="en-US" w:eastAsia="zh-CN"/>
        </w:rPr>
        <w:t>2</w:t>
      </w:r>
      <w:r>
        <w:rPr>
          <w:rFonts w:hint="eastAsia" w:asciiTheme="minorEastAsia" w:hAnsiTheme="minorEastAsia" w:eastAsiaTheme="minorEastAsia"/>
          <w:b w:val="0"/>
          <w:bCs w:val="0"/>
          <w:color w:val="auto"/>
          <w:highlight w:val="none"/>
          <w:lang w:val="en-US" w:eastAsia="zh-CN"/>
        </w:rPr>
        <w:t>气体保护焊药芯焊丝：  E501T-1,φ1.2mm；</w:t>
      </w:r>
    </w:p>
    <w:p w14:paraId="1257C91E">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手工电弧焊焊条：         E5015， φ4.0mm；</w:t>
      </w:r>
    </w:p>
    <w:p w14:paraId="12C4A5C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陶质衬垫：               TG2.0；（用于钢板拼板对接焊缝）</w:t>
      </w:r>
    </w:p>
    <w:p w14:paraId="3C350EE0">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                         TG2.02M（用于钢板大间隙对接焊缝）</w:t>
      </w:r>
    </w:p>
    <w:p w14:paraId="7D032931">
      <w:pPr>
        <w:pStyle w:val="6"/>
        <w:bidi w:val="0"/>
        <w:rPr>
          <w:rFonts w:hint="eastAsia"/>
          <w:lang w:val="en-US" w:eastAsia="zh-CN"/>
        </w:rPr>
      </w:pPr>
      <w:bookmarkStart w:id="1148" w:name="_Toc19025156"/>
      <w:r>
        <w:rPr>
          <w:rFonts w:hint="eastAsia"/>
          <w:lang w:val="en-US" w:eastAsia="zh-CN"/>
        </w:rPr>
        <w:t>8.2.6.4涂装工艺</w:t>
      </w:r>
      <w:bookmarkEnd w:id="1148"/>
    </w:p>
    <w:bookmarkEnd w:id="1141"/>
    <w:bookmarkEnd w:id="1142"/>
    <w:bookmarkEnd w:id="1143"/>
    <w:bookmarkEnd w:id="1144"/>
    <w:bookmarkEnd w:id="1145"/>
    <w:bookmarkEnd w:id="1146"/>
    <w:bookmarkEnd w:id="1147"/>
    <w:p w14:paraId="22DEEE1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本项目设计要求防腐涂装体系如下：</w:t>
      </w:r>
    </w:p>
    <w:p w14:paraId="3119D4ED">
      <w:pPr>
        <w:pStyle w:val="22"/>
        <w:jc w:val="center"/>
        <w:rPr>
          <w:rFonts w:hint="eastAsia" w:ascii="黑体" w:hAnsi="黑体" w:eastAsia="黑体" w:cs="黑体"/>
          <w:b/>
          <w:bCs/>
          <w:lang w:val="en-US" w:eastAsia="zh-CN"/>
        </w:rPr>
      </w:pPr>
      <w:r>
        <w:rPr>
          <w:rFonts w:hint="eastAsia" w:ascii="黑体" w:hAnsi="黑体" w:eastAsia="黑体" w:cs="黑体"/>
          <w:b/>
          <w:bCs/>
          <w:color w:val="auto"/>
          <w:highlight w:val="none"/>
          <w:lang w:val="en-US" w:eastAsia="zh-CN"/>
        </w:rPr>
        <w:t>表5-1 防腐涂装</w:t>
      </w:r>
    </w:p>
    <w:tbl>
      <w:tblPr>
        <w:tblStyle w:val="47"/>
        <w:tblW w:w="8094"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84"/>
        <w:gridCol w:w="1800"/>
        <w:gridCol w:w="2364"/>
        <w:gridCol w:w="1285"/>
        <w:gridCol w:w="1361"/>
      </w:tblGrid>
      <w:tr w14:paraId="6CFC1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309BE">
            <w:pPr>
              <w:keepNext w:val="0"/>
              <w:keepLines w:val="0"/>
              <w:widowControl/>
              <w:suppressLineNumbers w:val="0"/>
              <w:jc w:val="center"/>
              <w:textAlignment w:val="center"/>
              <w:rPr>
                <w:rFonts w:ascii="Arial" w:hAnsi="Arial" w:cs="Arial"/>
                <w:i w:val="0"/>
                <w:iCs w:val="0"/>
                <w:color w:val="000000"/>
                <w:sz w:val="20"/>
                <w:szCs w:val="20"/>
                <w:u w:val="none"/>
              </w:rPr>
            </w:pPr>
            <w:bookmarkStart w:id="1149" w:name="_Toc19025157"/>
            <w:r>
              <w:rPr>
                <w:rFonts w:hint="default" w:ascii="Arial" w:hAnsi="Arial" w:eastAsia="宋体" w:cs="Arial"/>
                <w:i w:val="0"/>
                <w:iCs w:val="0"/>
                <w:color w:val="000000"/>
                <w:kern w:val="0"/>
                <w:sz w:val="20"/>
                <w:szCs w:val="20"/>
                <w:u w:val="none"/>
                <w:lang w:val="en-US" w:eastAsia="zh-CN" w:bidi="ar"/>
              </w:rPr>
              <w:t>结构部位</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35A6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CE35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涂装体系</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7B85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道数</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E3DA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总膜厚(</w:t>
            </w:r>
            <w:r>
              <w:rPr>
                <w:rFonts w:hint="default" w:ascii="Times New Roman" w:hAnsi="Times New Roman" w:eastAsia="宋体" w:cs="Times New Roman"/>
                <w:i w:val="0"/>
                <w:iCs w:val="0"/>
                <w:color w:val="000000"/>
                <w:kern w:val="0"/>
                <w:sz w:val="21"/>
                <w:szCs w:val="21"/>
                <w:u w:val="none"/>
                <w:lang w:val="en-US" w:eastAsia="zh-CN" w:bidi="ar"/>
              </w:rPr>
              <w:t>μm</w:t>
            </w:r>
            <w:r>
              <w:rPr>
                <w:rFonts w:hint="eastAsia" w:ascii="宋体" w:hAnsi="宋体" w:eastAsia="宋体" w:cs="宋体"/>
                <w:i w:val="0"/>
                <w:iCs w:val="0"/>
                <w:color w:val="000000"/>
                <w:kern w:val="0"/>
                <w:sz w:val="21"/>
                <w:szCs w:val="21"/>
                <w:u w:val="none"/>
                <w:lang w:val="en-US" w:eastAsia="zh-CN" w:bidi="ar"/>
              </w:rPr>
              <w:t>）</w:t>
            </w:r>
          </w:p>
        </w:tc>
      </w:tr>
      <w:tr w14:paraId="76AEF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4D530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钢梁外表面（不包含桥面板顶面）</w:t>
            </w:r>
          </w:p>
        </w:tc>
        <w:tc>
          <w:tcPr>
            <w:tcW w:w="18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F973C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钢板处理</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F812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喷砂</w:t>
            </w:r>
            <w:r>
              <w:rPr>
                <w:rFonts w:hint="eastAsia" w:ascii="宋体" w:hAnsi="宋体" w:eastAsia="宋体" w:cs="宋体"/>
                <w:i w:val="0"/>
                <w:iCs w:val="0"/>
                <w:color w:val="000000"/>
                <w:kern w:val="0"/>
                <w:sz w:val="21"/>
                <w:szCs w:val="21"/>
                <w:u w:val="none"/>
                <w:lang w:val="en-US" w:eastAsia="zh-CN" w:bidi="ar"/>
              </w:rPr>
              <w:t xml:space="preserve"> </w:t>
            </w:r>
            <w:r>
              <w:rPr>
                <w:rFonts w:hint="default" w:ascii="Times New Roman" w:hAnsi="Times New Roman" w:eastAsia="宋体" w:cs="Times New Roman"/>
                <w:i w:val="0"/>
                <w:iCs w:val="0"/>
                <w:color w:val="000000"/>
                <w:kern w:val="0"/>
                <w:sz w:val="21"/>
                <w:szCs w:val="21"/>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B9560">
            <w:pPr>
              <w:jc w:val="center"/>
              <w:rPr>
                <w:rFonts w:hint="default" w:ascii="Arial" w:hAnsi="Arial" w:cs="Arial"/>
                <w:i w:val="0"/>
                <w:iCs w:val="0"/>
                <w:color w:val="000000"/>
                <w:sz w:val="20"/>
                <w:szCs w:val="20"/>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78508">
            <w:pPr>
              <w:jc w:val="center"/>
              <w:rPr>
                <w:rFonts w:hint="default" w:ascii="Arial" w:hAnsi="Arial" w:cs="Arial"/>
                <w:i w:val="0"/>
                <w:iCs w:val="0"/>
                <w:color w:val="000000"/>
                <w:sz w:val="20"/>
                <w:szCs w:val="20"/>
                <w:u w:val="none"/>
              </w:rPr>
            </w:pPr>
          </w:p>
        </w:tc>
      </w:tr>
      <w:tr w14:paraId="5C8FE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23CAD8">
            <w:pPr>
              <w:jc w:val="center"/>
              <w:rPr>
                <w:rFonts w:hint="default" w:ascii="Arial" w:hAnsi="Arial" w:cs="Arial"/>
                <w:i w:val="0"/>
                <w:iCs w:val="0"/>
                <w:color w:val="000000"/>
                <w:sz w:val="20"/>
                <w:szCs w:val="20"/>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2AF961">
            <w:pPr>
              <w:jc w:val="center"/>
              <w:rPr>
                <w:rFonts w:hint="default" w:ascii="Arial" w:hAnsi="Arial" w:cs="Arial"/>
                <w:i w:val="0"/>
                <w:iCs w:val="0"/>
                <w:color w:val="000000"/>
                <w:sz w:val="20"/>
                <w:szCs w:val="20"/>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30EA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无机硅酸锌车间底漆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712A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3402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20</w:t>
            </w:r>
          </w:p>
        </w:tc>
      </w:tr>
      <w:tr w14:paraId="2C133B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EB3D9E">
            <w:pPr>
              <w:jc w:val="center"/>
              <w:rPr>
                <w:rFonts w:hint="default" w:ascii="Arial" w:hAnsi="Arial" w:cs="Arial"/>
                <w:i w:val="0"/>
                <w:iCs w:val="0"/>
                <w:color w:val="000000"/>
                <w:sz w:val="20"/>
                <w:szCs w:val="20"/>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D2F13">
            <w:pPr>
              <w:jc w:val="center"/>
              <w:rPr>
                <w:rFonts w:hint="default" w:ascii="Arial" w:hAnsi="Arial" w:cs="Arial"/>
                <w:i w:val="0"/>
                <w:iCs w:val="0"/>
                <w:color w:val="000000"/>
                <w:sz w:val="20"/>
                <w:szCs w:val="20"/>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DA5D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喷砂</w:t>
            </w:r>
            <w:r>
              <w:rPr>
                <w:rFonts w:hint="eastAsia" w:ascii="宋体" w:hAnsi="宋体" w:eastAsia="宋体" w:cs="宋体"/>
                <w:i w:val="0"/>
                <w:iCs w:val="0"/>
                <w:color w:val="000000"/>
                <w:kern w:val="0"/>
                <w:sz w:val="21"/>
                <w:szCs w:val="21"/>
                <w:u w:val="none"/>
                <w:lang w:val="en-US" w:eastAsia="zh-CN" w:bidi="ar"/>
              </w:rPr>
              <w:t xml:space="preserve"> </w:t>
            </w:r>
            <w:r>
              <w:rPr>
                <w:rFonts w:hint="default" w:ascii="Times New Roman" w:hAnsi="Times New Roman" w:eastAsia="宋体" w:cs="Times New Roman"/>
                <w:i w:val="0"/>
                <w:iCs w:val="0"/>
                <w:color w:val="000000"/>
                <w:kern w:val="0"/>
                <w:sz w:val="21"/>
                <w:szCs w:val="21"/>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80D25">
            <w:pPr>
              <w:jc w:val="center"/>
              <w:rPr>
                <w:rFonts w:hint="default" w:ascii="Arial" w:hAnsi="Arial" w:cs="Arial"/>
                <w:i w:val="0"/>
                <w:iCs w:val="0"/>
                <w:color w:val="000000"/>
                <w:sz w:val="20"/>
                <w:szCs w:val="20"/>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B1531">
            <w:pPr>
              <w:jc w:val="center"/>
              <w:rPr>
                <w:rFonts w:hint="default" w:ascii="Arial" w:hAnsi="Arial" w:cs="Arial"/>
                <w:i w:val="0"/>
                <w:iCs w:val="0"/>
                <w:color w:val="000000"/>
                <w:sz w:val="20"/>
                <w:szCs w:val="20"/>
                <w:u w:val="none"/>
              </w:rPr>
            </w:pPr>
          </w:p>
        </w:tc>
      </w:tr>
      <w:tr w14:paraId="150A7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5D6BD73">
            <w:pPr>
              <w:jc w:val="center"/>
              <w:rPr>
                <w:rFonts w:hint="default" w:ascii="Arial" w:hAnsi="Arial" w:cs="Arial"/>
                <w:i w:val="0"/>
                <w:iCs w:val="0"/>
                <w:color w:val="000000"/>
                <w:sz w:val="20"/>
                <w:szCs w:val="20"/>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697C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底涂层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464D9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冷喷锌材料</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4F00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FC41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70</w:t>
            </w:r>
          </w:p>
        </w:tc>
      </w:tr>
      <w:tr w14:paraId="5B60E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0F75896">
            <w:pPr>
              <w:jc w:val="center"/>
              <w:rPr>
                <w:rFonts w:hint="default" w:ascii="Arial" w:hAnsi="Arial" w:cs="Arial"/>
                <w:i w:val="0"/>
                <w:iCs w:val="0"/>
                <w:color w:val="000000"/>
                <w:sz w:val="20"/>
                <w:szCs w:val="20"/>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6451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中间涂层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D2027">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冷喷锌封闭剂</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98E1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64430">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100</w:t>
            </w:r>
          </w:p>
        </w:tc>
      </w:tr>
      <w:tr w14:paraId="7899B7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965946">
            <w:pPr>
              <w:jc w:val="center"/>
              <w:rPr>
                <w:rFonts w:hint="default" w:ascii="Arial" w:hAnsi="Arial" w:cs="Arial"/>
                <w:i w:val="0"/>
                <w:iCs w:val="0"/>
                <w:color w:val="000000"/>
                <w:sz w:val="20"/>
                <w:szCs w:val="20"/>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6ADE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面涂层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1FF8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聚硅氧烷面漆（工厂）</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8D2B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59BE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50</w:t>
            </w:r>
          </w:p>
        </w:tc>
      </w:tr>
      <w:tr w14:paraId="1825E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268EA3">
            <w:pPr>
              <w:jc w:val="center"/>
              <w:rPr>
                <w:rFonts w:hint="default" w:ascii="Arial" w:hAnsi="Arial" w:cs="Arial"/>
                <w:i w:val="0"/>
                <w:iCs w:val="0"/>
                <w:color w:val="000000"/>
                <w:sz w:val="20"/>
                <w:szCs w:val="20"/>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F789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面涂层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F3E45">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聚硅氧烷面漆（现场）</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0FDD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CBE2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50</w:t>
            </w:r>
          </w:p>
        </w:tc>
      </w:tr>
      <w:tr w14:paraId="3DF1F2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12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5C18F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钢梁内表面（未配抽湿设施）</w:t>
            </w:r>
          </w:p>
        </w:tc>
        <w:tc>
          <w:tcPr>
            <w:tcW w:w="18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109A4">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钢板处理</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3F3E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喷砂</w:t>
            </w:r>
            <w:r>
              <w:rPr>
                <w:rFonts w:hint="eastAsia" w:ascii="宋体" w:hAnsi="宋体" w:eastAsia="宋体" w:cs="宋体"/>
                <w:i w:val="0"/>
                <w:iCs w:val="0"/>
                <w:color w:val="000000"/>
                <w:kern w:val="0"/>
                <w:sz w:val="21"/>
                <w:szCs w:val="21"/>
                <w:u w:val="none"/>
                <w:lang w:val="en-US" w:eastAsia="zh-CN" w:bidi="ar"/>
              </w:rPr>
              <w:t xml:space="preserve"> </w:t>
            </w:r>
            <w:r>
              <w:rPr>
                <w:rFonts w:hint="default" w:ascii="Times New Roman" w:hAnsi="Times New Roman" w:eastAsia="宋体" w:cs="Times New Roman"/>
                <w:i w:val="0"/>
                <w:iCs w:val="0"/>
                <w:color w:val="000000"/>
                <w:kern w:val="0"/>
                <w:sz w:val="21"/>
                <w:szCs w:val="21"/>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DCEEA">
            <w:pPr>
              <w:jc w:val="center"/>
              <w:rPr>
                <w:rFonts w:hint="default" w:ascii="Arial" w:hAnsi="Arial" w:cs="Arial"/>
                <w:i w:val="0"/>
                <w:iCs w:val="0"/>
                <w:color w:val="000000"/>
                <w:sz w:val="20"/>
                <w:szCs w:val="20"/>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51303">
            <w:pPr>
              <w:jc w:val="center"/>
              <w:rPr>
                <w:rFonts w:hint="default" w:ascii="Arial" w:hAnsi="Arial" w:cs="Arial"/>
                <w:i w:val="0"/>
                <w:iCs w:val="0"/>
                <w:color w:val="000000"/>
                <w:sz w:val="20"/>
                <w:szCs w:val="20"/>
                <w:u w:val="none"/>
              </w:rPr>
            </w:pPr>
          </w:p>
        </w:tc>
      </w:tr>
      <w:tr w14:paraId="334E6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2A995F9">
            <w:pPr>
              <w:jc w:val="center"/>
              <w:rPr>
                <w:rFonts w:hint="default" w:ascii="Arial" w:hAnsi="Arial" w:cs="Arial"/>
                <w:i w:val="0"/>
                <w:iCs w:val="0"/>
                <w:color w:val="000000"/>
                <w:sz w:val="20"/>
                <w:szCs w:val="20"/>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9F9CB">
            <w:pPr>
              <w:jc w:val="center"/>
              <w:rPr>
                <w:rFonts w:hint="default" w:ascii="Arial" w:hAnsi="Arial" w:cs="Arial"/>
                <w:i w:val="0"/>
                <w:iCs w:val="0"/>
                <w:color w:val="000000"/>
                <w:sz w:val="20"/>
                <w:szCs w:val="20"/>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1B93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无机硅酸锌车间底漆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0843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0161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20</w:t>
            </w:r>
          </w:p>
        </w:tc>
      </w:tr>
      <w:tr w14:paraId="0E2937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A0BEEB">
            <w:pPr>
              <w:jc w:val="center"/>
              <w:rPr>
                <w:rFonts w:hint="default" w:ascii="Arial" w:hAnsi="Arial" w:cs="Arial"/>
                <w:i w:val="0"/>
                <w:iCs w:val="0"/>
                <w:color w:val="000000"/>
                <w:sz w:val="20"/>
                <w:szCs w:val="20"/>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CD0BE">
            <w:pPr>
              <w:jc w:val="center"/>
              <w:rPr>
                <w:rFonts w:hint="default" w:ascii="Arial" w:hAnsi="Arial" w:cs="Arial"/>
                <w:i w:val="0"/>
                <w:iCs w:val="0"/>
                <w:color w:val="000000"/>
                <w:sz w:val="20"/>
                <w:szCs w:val="20"/>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3F7B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喷砂</w:t>
            </w:r>
            <w:r>
              <w:rPr>
                <w:rFonts w:hint="eastAsia" w:ascii="宋体" w:hAnsi="宋体" w:eastAsia="宋体" w:cs="宋体"/>
                <w:i w:val="0"/>
                <w:iCs w:val="0"/>
                <w:color w:val="000000"/>
                <w:kern w:val="0"/>
                <w:sz w:val="21"/>
                <w:szCs w:val="21"/>
                <w:u w:val="none"/>
                <w:lang w:val="en-US" w:eastAsia="zh-CN" w:bidi="ar"/>
              </w:rPr>
              <w:t xml:space="preserve"> </w:t>
            </w:r>
            <w:r>
              <w:rPr>
                <w:rFonts w:hint="default" w:ascii="Times New Roman" w:hAnsi="Times New Roman" w:eastAsia="宋体" w:cs="Times New Roman"/>
                <w:i w:val="0"/>
                <w:iCs w:val="0"/>
                <w:color w:val="000000"/>
                <w:kern w:val="0"/>
                <w:sz w:val="21"/>
                <w:szCs w:val="21"/>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CAEB3">
            <w:pPr>
              <w:jc w:val="center"/>
              <w:rPr>
                <w:rFonts w:hint="default" w:ascii="Arial" w:hAnsi="Arial" w:cs="Arial"/>
                <w:i w:val="0"/>
                <w:iCs w:val="0"/>
                <w:color w:val="000000"/>
                <w:sz w:val="20"/>
                <w:szCs w:val="20"/>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E3C6A">
            <w:pPr>
              <w:jc w:val="center"/>
              <w:rPr>
                <w:rFonts w:hint="default" w:ascii="Arial" w:hAnsi="Arial" w:cs="Arial"/>
                <w:i w:val="0"/>
                <w:iCs w:val="0"/>
                <w:color w:val="000000"/>
                <w:sz w:val="20"/>
                <w:szCs w:val="20"/>
                <w:u w:val="none"/>
              </w:rPr>
            </w:pPr>
          </w:p>
        </w:tc>
      </w:tr>
      <w:tr w14:paraId="4FE7DD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62B2B5">
            <w:pPr>
              <w:jc w:val="center"/>
              <w:rPr>
                <w:rFonts w:hint="default" w:ascii="Arial" w:hAnsi="Arial" w:cs="Arial"/>
                <w:i w:val="0"/>
                <w:iCs w:val="0"/>
                <w:color w:val="000000"/>
                <w:sz w:val="20"/>
                <w:szCs w:val="20"/>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034D3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底-面合一</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FD48A">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冷喷锌材料</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9192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2</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C276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70</w:t>
            </w:r>
          </w:p>
        </w:tc>
      </w:tr>
      <w:tr w14:paraId="3F93D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3E2673">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桥面板顶面</w:t>
            </w:r>
          </w:p>
        </w:tc>
        <w:tc>
          <w:tcPr>
            <w:tcW w:w="18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6DEA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钢板处理</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FF279">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喷砂</w:t>
            </w:r>
            <w:r>
              <w:rPr>
                <w:rFonts w:hint="eastAsia" w:ascii="宋体" w:hAnsi="宋体" w:eastAsia="宋体" w:cs="宋体"/>
                <w:i w:val="0"/>
                <w:iCs w:val="0"/>
                <w:color w:val="000000"/>
                <w:kern w:val="0"/>
                <w:sz w:val="21"/>
                <w:szCs w:val="21"/>
                <w:u w:val="none"/>
                <w:lang w:val="en-US" w:eastAsia="zh-CN" w:bidi="ar"/>
              </w:rPr>
              <w:t xml:space="preserve"> </w:t>
            </w:r>
            <w:r>
              <w:rPr>
                <w:rFonts w:hint="default" w:ascii="Times New Roman" w:hAnsi="Times New Roman" w:eastAsia="宋体" w:cs="Times New Roman"/>
                <w:i w:val="0"/>
                <w:iCs w:val="0"/>
                <w:color w:val="000000"/>
                <w:kern w:val="0"/>
                <w:sz w:val="21"/>
                <w:szCs w:val="21"/>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B8D95">
            <w:pPr>
              <w:jc w:val="center"/>
              <w:rPr>
                <w:rFonts w:hint="default" w:ascii="Arial" w:hAnsi="Arial" w:cs="Arial"/>
                <w:i w:val="0"/>
                <w:iCs w:val="0"/>
                <w:color w:val="000000"/>
                <w:sz w:val="20"/>
                <w:szCs w:val="20"/>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DC3EE">
            <w:pPr>
              <w:jc w:val="center"/>
              <w:rPr>
                <w:rFonts w:hint="default" w:ascii="Arial" w:hAnsi="Arial" w:cs="Arial"/>
                <w:i w:val="0"/>
                <w:iCs w:val="0"/>
                <w:color w:val="000000"/>
                <w:sz w:val="20"/>
                <w:szCs w:val="20"/>
                <w:u w:val="none"/>
              </w:rPr>
            </w:pPr>
          </w:p>
        </w:tc>
      </w:tr>
      <w:tr w14:paraId="46380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108292">
            <w:pPr>
              <w:jc w:val="center"/>
              <w:rPr>
                <w:rFonts w:hint="default" w:ascii="Arial" w:hAnsi="Arial" w:cs="Arial"/>
                <w:i w:val="0"/>
                <w:iCs w:val="0"/>
                <w:color w:val="000000"/>
                <w:sz w:val="20"/>
                <w:szCs w:val="20"/>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CA8F00">
            <w:pPr>
              <w:jc w:val="center"/>
              <w:rPr>
                <w:rFonts w:hint="default" w:ascii="Arial" w:hAnsi="Arial" w:cs="Arial"/>
                <w:i w:val="0"/>
                <w:iCs w:val="0"/>
                <w:color w:val="000000"/>
                <w:sz w:val="20"/>
                <w:szCs w:val="20"/>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65DDC">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无机硅酸锌车间底漆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EC8A6E">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E4CD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20</w:t>
            </w:r>
          </w:p>
        </w:tc>
      </w:tr>
      <w:tr w14:paraId="2F945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4FE54D">
            <w:pPr>
              <w:jc w:val="center"/>
              <w:rPr>
                <w:rFonts w:hint="default" w:ascii="Arial" w:hAnsi="Arial" w:cs="Arial"/>
                <w:i w:val="0"/>
                <w:iCs w:val="0"/>
                <w:color w:val="000000"/>
                <w:sz w:val="20"/>
                <w:szCs w:val="20"/>
                <w:u w:val="none"/>
              </w:rPr>
            </w:pPr>
          </w:p>
        </w:tc>
        <w:tc>
          <w:tcPr>
            <w:tcW w:w="18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D5938">
            <w:pPr>
              <w:jc w:val="center"/>
              <w:rPr>
                <w:rFonts w:hint="default" w:ascii="Arial" w:hAnsi="Arial" w:cs="Arial"/>
                <w:i w:val="0"/>
                <w:iCs w:val="0"/>
                <w:color w:val="000000"/>
                <w:sz w:val="20"/>
                <w:szCs w:val="20"/>
                <w:u w:val="none"/>
              </w:rPr>
            </w:pP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64206">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喷砂</w:t>
            </w:r>
            <w:r>
              <w:rPr>
                <w:rFonts w:hint="eastAsia" w:ascii="宋体" w:hAnsi="宋体" w:eastAsia="宋体" w:cs="宋体"/>
                <w:i w:val="0"/>
                <w:iCs w:val="0"/>
                <w:color w:val="000000"/>
                <w:kern w:val="0"/>
                <w:sz w:val="21"/>
                <w:szCs w:val="21"/>
                <w:u w:val="none"/>
                <w:lang w:val="en-US" w:eastAsia="zh-CN" w:bidi="ar"/>
              </w:rPr>
              <w:t xml:space="preserve"> </w:t>
            </w:r>
            <w:r>
              <w:rPr>
                <w:rFonts w:hint="default" w:ascii="Times New Roman" w:hAnsi="Times New Roman" w:eastAsia="宋体" w:cs="Times New Roman"/>
                <w:i w:val="0"/>
                <w:iCs w:val="0"/>
                <w:color w:val="000000"/>
                <w:kern w:val="0"/>
                <w:sz w:val="21"/>
                <w:szCs w:val="21"/>
                <w:u w:val="none"/>
                <w:lang w:val="en-US" w:eastAsia="zh-CN" w:bidi="ar"/>
              </w:rPr>
              <w:t>Sa2.5</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5537D">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1</w:t>
            </w: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3428B">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80</w:t>
            </w:r>
          </w:p>
        </w:tc>
      </w:tr>
      <w:tr w14:paraId="437AC2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4" w:hRule="atLeast"/>
        </w:trPr>
        <w:tc>
          <w:tcPr>
            <w:tcW w:w="12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A52D75">
            <w:pPr>
              <w:jc w:val="center"/>
              <w:rPr>
                <w:rFonts w:hint="default" w:ascii="Arial" w:hAnsi="Arial" w:cs="Arial"/>
                <w:i w:val="0"/>
                <w:iCs w:val="0"/>
                <w:color w:val="000000"/>
                <w:sz w:val="20"/>
                <w:szCs w:val="20"/>
                <w:u w:val="none"/>
              </w:rPr>
            </w:pP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71831">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底涂层</w:t>
            </w:r>
          </w:p>
        </w:tc>
        <w:tc>
          <w:tcPr>
            <w:tcW w:w="2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A85EF">
            <w:pPr>
              <w:keepNext w:val="0"/>
              <w:keepLines w:val="0"/>
              <w:widowControl/>
              <w:suppressLineNumbers w:val="0"/>
              <w:jc w:val="center"/>
              <w:textAlignment w:val="center"/>
              <w:rPr>
                <w:rFonts w:hint="default" w:ascii="Arial" w:hAnsi="Arial"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无机富锌底漆</w:t>
            </w:r>
          </w:p>
        </w:tc>
        <w:tc>
          <w:tcPr>
            <w:tcW w:w="12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F5BEE">
            <w:pPr>
              <w:jc w:val="center"/>
              <w:rPr>
                <w:rFonts w:hint="default" w:ascii="Arial" w:hAnsi="Arial" w:cs="Arial"/>
                <w:i w:val="0"/>
                <w:iCs w:val="0"/>
                <w:color w:val="000000"/>
                <w:sz w:val="20"/>
                <w:szCs w:val="20"/>
                <w:u w:val="none"/>
              </w:rPr>
            </w:pPr>
          </w:p>
        </w:tc>
        <w:tc>
          <w:tcPr>
            <w:tcW w:w="13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6A6B5">
            <w:pPr>
              <w:jc w:val="center"/>
              <w:rPr>
                <w:rFonts w:hint="default" w:ascii="Arial" w:hAnsi="Arial" w:cs="Arial"/>
                <w:i w:val="0"/>
                <w:iCs w:val="0"/>
                <w:color w:val="000000"/>
                <w:sz w:val="20"/>
                <w:szCs w:val="20"/>
                <w:u w:val="none"/>
              </w:rPr>
            </w:pPr>
          </w:p>
        </w:tc>
      </w:tr>
    </w:tbl>
    <w:p w14:paraId="5B2AED26">
      <w:pPr>
        <w:pStyle w:val="6"/>
        <w:bidi w:val="0"/>
        <w:rPr>
          <w:rFonts w:hint="eastAsia"/>
          <w:lang w:val="en-US" w:eastAsia="zh-CN"/>
        </w:rPr>
      </w:pPr>
      <w:r>
        <w:rPr>
          <w:rFonts w:hint="eastAsia"/>
          <w:lang w:val="en-US" w:eastAsia="zh-CN"/>
        </w:rPr>
        <w:t>8.2.6.5焊缝无损检测</w:t>
      </w:r>
      <w:bookmarkEnd w:id="1149"/>
    </w:p>
    <w:p w14:paraId="2870204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1、焊缝探伤相关要求</w:t>
      </w:r>
    </w:p>
    <w:p w14:paraId="526D5E0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超声波X射线检验的检查部位均以片位计算，每个片位长300mm，不足300mm的以一个片位计。磁粉探伤布片长度为1000mm，不足1000mm的以一个片位计。</w:t>
      </w:r>
    </w:p>
    <w:p w14:paraId="024ECCD1">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经外观检查合格的焊缝方能进行探伤。</w:t>
      </w:r>
    </w:p>
    <w:p w14:paraId="074EE20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进行局部超声波和磁粉检验的焊缝，当发现裂纹或较多其他缺陷时，应将该条焊缝的检查范围延长至全长。进行射线检验的焊缝，当发现超标缺陷时应加倍检验。</w:t>
      </w:r>
    </w:p>
    <w:p w14:paraId="780D351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用射线和超声波两种方法检验的焊缝，必须达到各自的质量要求，该焊缝方可认为合格。</w:t>
      </w:r>
    </w:p>
    <w:p w14:paraId="5657E39E">
      <w:pPr>
        <w:pStyle w:val="23"/>
        <w:spacing w:line="360" w:lineRule="auto"/>
        <w:ind w:left="0" w:leftChars="0" w:firstLine="0" w:firstLineChars="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2、焊缝探伤相关规定（焊缝探伤相关规定一览表）</w:t>
      </w:r>
    </w:p>
    <w:p w14:paraId="2D657C9C">
      <w:pPr>
        <w:pStyle w:val="22"/>
        <w:jc w:val="center"/>
        <w:rPr>
          <w:rFonts w:hint="eastAsia" w:ascii="黑体" w:hAnsi="黑体" w:eastAsia="黑体" w:cs="黑体"/>
          <w:b/>
          <w:bCs/>
          <w:lang w:val="en-US" w:eastAsia="zh-CN"/>
        </w:rPr>
      </w:pPr>
      <w:r>
        <w:rPr>
          <w:rFonts w:hint="eastAsia" w:ascii="黑体" w:hAnsi="黑体" w:eastAsia="黑体" w:cs="黑体"/>
          <w:b/>
          <w:bCs/>
          <w:color w:val="auto"/>
          <w:highlight w:val="none"/>
          <w:lang w:val="en-US" w:eastAsia="zh-CN"/>
        </w:rPr>
        <w:t>表5-2 焊缝探伤规定</w:t>
      </w:r>
    </w:p>
    <w:tbl>
      <w:tblPr>
        <w:tblStyle w:val="176"/>
        <w:tblW w:w="8515"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41"/>
        <w:gridCol w:w="657"/>
        <w:gridCol w:w="974"/>
        <w:gridCol w:w="693"/>
        <w:gridCol w:w="1865"/>
        <w:gridCol w:w="1327"/>
        <w:gridCol w:w="1258"/>
      </w:tblGrid>
      <w:tr w14:paraId="6872BD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36" w:hRule="atLeast"/>
        </w:trPr>
        <w:tc>
          <w:tcPr>
            <w:tcW w:w="1741" w:type="dxa"/>
            <w:tcBorders>
              <w:top w:val="single" w:color="000000" w:sz="2" w:space="0"/>
              <w:left w:val="single" w:color="000000" w:sz="2" w:space="0"/>
            </w:tcBorders>
            <w:vAlign w:val="top"/>
          </w:tcPr>
          <w:p w14:paraId="28D88B84">
            <w:pPr>
              <w:pStyle w:val="175"/>
              <w:spacing w:before="211" w:line="221" w:lineRule="auto"/>
              <w:jc w:val="center"/>
              <w:rPr>
                <w:rFonts w:hint="eastAsia" w:ascii="宋体" w:hAnsi="宋体" w:eastAsia="宋体" w:cs="宋体"/>
                <w:sz w:val="21"/>
                <w:szCs w:val="21"/>
              </w:rPr>
            </w:pPr>
            <w:r>
              <w:rPr>
                <w:rFonts w:hint="eastAsia" w:ascii="宋体" w:hAnsi="宋体" w:eastAsia="宋体" w:cs="宋体"/>
                <w:spacing w:val="-2"/>
                <w:sz w:val="21"/>
                <w:szCs w:val="21"/>
              </w:rPr>
              <w:t>焊缝部位</w:t>
            </w:r>
          </w:p>
        </w:tc>
        <w:tc>
          <w:tcPr>
            <w:tcW w:w="657" w:type="dxa"/>
            <w:tcBorders>
              <w:top w:val="single" w:color="000000" w:sz="2" w:space="0"/>
            </w:tcBorders>
            <w:vAlign w:val="top"/>
          </w:tcPr>
          <w:p w14:paraId="13AD200C">
            <w:pPr>
              <w:pStyle w:val="175"/>
              <w:spacing w:before="56" w:line="221" w:lineRule="auto"/>
              <w:ind w:left="0" w:leftChars="0" w:firstLine="0" w:firstLineChars="0"/>
              <w:jc w:val="both"/>
              <w:rPr>
                <w:rFonts w:hint="eastAsia" w:ascii="宋体" w:hAnsi="宋体" w:eastAsia="宋体" w:cs="宋体"/>
                <w:spacing w:val="-2"/>
                <w:sz w:val="21"/>
                <w:szCs w:val="21"/>
              </w:rPr>
            </w:pPr>
            <w:r>
              <w:rPr>
                <w:rFonts w:hint="eastAsia" w:ascii="宋体" w:hAnsi="宋体" w:eastAsia="宋体" w:cs="宋体"/>
                <w:spacing w:val="-2"/>
                <w:sz w:val="21"/>
                <w:szCs w:val="21"/>
              </w:rPr>
              <w:t>质量</w:t>
            </w:r>
          </w:p>
          <w:p w14:paraId="32A81B74">
            <w:pPr>
              <w:pStyle w:val="175"/>
              <w:spacing w:before="56"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等级</w:t>
            </w:r>
          </w:p>
        </w:tc>
        <w:tc>
          <w:tcPr>
            <w:tcW w:w="974" w:type="dxa"/>
            <w:tcBorders>
              <w:top w:val="single" w:color="000000" w:sz="2" w:space="0"/>
            </w:tcBorders>
            <w:vAlign w:val="top"/>
          </w:tcPr>
          <w:p w14:paraId="4AC0CCEB">
            <w:pPr>
              <w:pStyle w:val="175"/>
              <w:spacing w:before="55"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探伤方法</w:t>
            </w:r>
          </w:p>
        </w:tc>
        <w:tc>
          <w:tcPr>
            <w:tcW w:w="693" w:type="dxa"/>
            <w:tcBorders>
              <w:top w:val="single" w:color="000000" w:sz="2" w:space="0"/>
            </w:tcBorders>
            <w:vAlign w:val="top"/>
          </w:tcPr>
          <w:p w14:paraId="5FB94DE7">
            <w:pPr>
              <w:pStyle w:val="175"/>
              <w:spacing w:before="55" w:line="221" w:lineRule="auto"/>
              <w:ind w:left="0" w:leftChars="0" w:firstLine="0" w:firstLineChars="0"/>
              <w:jc w:val="both"/>
              <w:rPr>
                <w:rFonts w:hint="eastAsia" w:ascii="宋体" w:hAnsi="宋体" w:eastAsia="宋体" w:cs="宋体"/>
                <w:spacing w:val="-1"/>
                <w:sz w:val="21"/>
                <w:szCs w:val="21"/>
              </w:rPr>
            </w:pPr>
            <w:r>
              <w:rPr>
                <w:rFonts w:hint="eastAsia" w:ascii="宋体" w:hAnsi="宋体" w:eastAsia="宋体" w:cs="宋体"/>
                <w:spacing w:val="-1"/>
                <w:sz w:val="21"/>
                <w:szCs w:val="21"/>
              </w:rPr>
              <w:t>探伤</w:t>
            </w:r>
          </w:p>
          <w:p w14:paraId="5BD085CE">
            <w:pPr>
              <w:pStyle w:val="175"/>
              <w:spacing w:before="55"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比</w:t>
            </w:r>
            <w:r>
              <w:rPr>
                <w:rFonts w:hint="eastAsia" w:ascii="宋体" w:hAnsi="宋体" w:eastAsia="宋体" w:cs="宋体"/>
                <w:sz w:val="21"/>
                <w:szCs w:val="21"/>
              </w:rPr>
              <w:t>例</w:t>
            </w:r>
          </w:p>
        </w:tc>
        <w:tc>
          <w:tcPr>
            <w:tcW w:w="1865" w:type="dxa"/>
            <w:tcBorders>
              <w:top w:val="single" w:color="000000" w:sz="2" w:space="0"/>
            </w:tcBorders>
            <w:vAlign w:val="top"/>
          </w:tcPr>
          <w:p w14:paraId="5DB44098">
            <w:pPr>
              <w:pStyle w:val="175"/>
              <w:spacing w:before="211" w:line="221" w:lineRule="auto"/>
              <w:jc w:val="both"/>
              <w:rPr>
                <w:rFonts w:hint="eastAsia" w:ascii="宋体" w:hAnsi="宋体" w:eastAsia="宋体" w:cs="宋体"/>
                <w:sz w:val="21"/>
                <w:szCs w:val="21"/>
              </w:rPr>
            </w:pPr>
            <w:r>
              <w:rPr>
                <w:rFonts w:hint="eastAsia" w:ascii="宋体" w:hAnsi="宋体" w:eastAsia="宋体" w:cs="宋体"/>
                <w:spacing w:val="-2"/>
                <w:sz w:val="21"/>
                <w:szCs w:val="21"/>
              </w:rPr>
              <w:t>探伤部位</w:t>
            </w:r>
          </w:p>
        </w:tc>
        <w:tc>
          <w:tcPr>
            <w:tcW w:w="1327" w:type="dxa"/>
            <w:tcBorders>
              <w:top w:val="single" w:color="000000" w:sz="2" w:space="0"/>
            </w:tcBorders>
            <w:vAlign w:val="top"/>
          </w:tcPr>
          <w:p w14:paraId="76C8D69E">
            <w:pPr>
              <w:pStyle w:val="175"/>
              <w:spacing w:before="211"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执行标准</w:t>
            </w:r>
          </w:p>
        </w:tc>
        <w:tc>
          <w:tcPr>
            <w:tcW w:w="1258" w:type="dxa"/>
            <w:tcBorders>
              <w:top w:val="single" w:color="000000" w:sz="2" w:space="0"/>
              <w:right w:val="single" w:color="000000" w:sz="2" w:space="0"/>
            </w:tcBorders>
            <w:vAlign w:val="top"/>
          </w:tcPr>
          <w:p w14:paraId="2F3112C6">
            <w:pPr>
              <w:pStyle w:val="175"/>
              <w:spacing w:before="211" w:line="222" w:lineRule="auto"/>
              <w:jc w:val="both"/>
              <w:rPr>
                <w:rFonts w:hint="eastAsia" w:ascii="宋体" w:hAnsi="宋体" w:eastAsia="宋体" w:cs="宋体"/>
                <w:sz w:val="21"/>
                <w:szCs w:val="21"/>
              </w:rPr>
            </w:pPr>
            <w:r>
              <w:rPr>
                <w:rFonts w:hint="eastAsia" w:ascii="宋体" w:hAnsi="宋体" w:eastAsia="宋体" w:cs="宋体"/>
                <w:spacing w:val="-3"/>
                <w:sz w:val="21"/>
                <w:szCs w:val="21"/>
              </w:rPr>
              <w:t>备注</w:t>
            </w:r>
          </w:p>
        </w:tc>
      </w:tr>
      <w:tr w14:paraId="43E1A1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vMerge w:val="restart"/>
            <w:tcBorders>
              <w:left w:val="single" w:color="000000" w:sz="2" w:space="0"/>
              <w:bottom w:val="nil"/>
            </w:tcBorders>
            <w:vAlign w:val="top"/>
          </w:tcPr>
          <w:p w14:paraId="15693DBF">
            <w:pPr>
              <w:spacing w:line="299" w:lineRule="auto"/>
              <w:jc w:val="center"/>
              <w:rPr>
                <w:rFonts w:hint="eastAsia" w:ascii="宋体" w:hAnsi="宋体" w:eastAsia="宋体" w:cs="宋体"/>
                <w:sz w:val="21"/>
                <w:szCs w:val="21"/>
              </w:rPr>
            </w:pPr>
          </w:p>
          <w:p w14:paraId="7178C211">
            <w:pPr>
              <w:pStyle w:val="175"/>
              <w:spacing w:before="68" w:line="276" w:lineRule="auto"/>
              <w:ind w:right="137"/>
              <w:jc w:val="center"/>
              <w:rPr>
                <w:rFonts w:hint="eastAsia" w:ascii="宋体" w:hAnsi="宋体" w:eastAsia="宋体" w:cs="宋体"/>
                <w:sz w:val="21"/>
                <w:szCs w:val="21"/>
              </w:rPr>
            </w:pPr>
            <w:r>
              <w:rPr>
                <w:rFonts w:hint="eastAsia" w:ascii="宋体" w:hAnsi="宋体" w:eastAsia="宋体" w:cs="宋体"/>
                <w:spacing w:val="-2"/>
                <w:sz w:val="21"/>
                <w:szCs w:val="21"/>
              </w:rPr>
              <w:t>顶（底）板、腹</w:t>
            </w:r>
            <w:r>
              <w:rPr>
                <w:rFonts w:hint="eastAsia" w:ascii="宋体" w:hAnsi="宋体" w:eastAsia="宋体" w:cs="宋体"/>
                <w:sz w:val="21"/>
                <w:szCs w:val="21"/>
              </w:rPr>
              <w:t xml:space="preserve"> </w:t>
            </w:r>
            <w:r>
              <w:rPr>
                <w:rFonts w:hint="eastAsia" w:ascii="宋体" w:hAnsi="宋体" w:eastAsia="宋体" w:cs="宋体"/>
                <w:spacing w:val="-2"/>
                <w:sz w:val="21"/>
                <w:szCs w:val="21"/>
              </w:rPr>
              <w:t>板纵向对接</w:t>
            </w:r>
          </w:p>
        </w:tc>
        <w:tc>
          <w:tcPr>
            <w:tcW w:w="657" w:type="dxa"/>
            <w:vMerge w:val="restart"/>
            <w:tcBorders>
              <w:bottom w:val="nil"/>
            </w:tcBorders>
            <w:vAlign w:val="top"/>
          </w:tcPr>
          <w:p w14:paraId="7239CCB4">
            <w:pPr>
              <w:spacing w:line="454" w:lineRule="auto"/>
              <w:jc w:val="center"/>
              <w:rPr>
                <w:rFonts w:hint="eastAsia" w:ascii="宋体" w:hAnsi="宋体" w:eastAsia="宋体" w:cs="宋体"/>
                <w:sz w:val="21"/>
                <w:szCs w:val="21"/>
              </w:rPr>
            </w:pPr>
          </w:p>
          <w:p w14:paraId="5473E44E">
            <w:pPr>
              <w:pStyle w:val="175"/>
              <w:spacing w:before="68"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9"/>
                <w:sz w:val="21"/>
                <w:szCs w:val="21"/>
              </w:rPr>
              <w:t>Ⅰ级</w:t>
            </w:r>
          </w:p>
        </w:tc>
        <w:tc>
          <w:tcPr>
            <w:tcW w:w="974" w:type="dxa"/>
            <w:vAlign w:val="top"/>
          </w:tcPr>
          <w:p w14:paraId="792223C4">
            <w:pPr>
              <w:pStyle w:val="175"/>
              <w:spacing w:before="51" w:line="250" w:lineRule="auto"/>
              <w:ind w:left="0" w:leftChars="0" w:right="182" w:firstLine="0" w:firstLineChars="0"/>
              <w:jc w:val="both"/>
              <w:rPr>
                <w:rFonts w:hint="eastAsia" w:ascii="宋体" w:hAnsi="宋体" w:eastAsia="宋体" w:cs="宋体"/>
                <w:sz w:val="21"/>
                <w:szCs w:val="21"/>
                <w:lang w:eastAsia="zh-CN"/>
              </w:rPr>
            </w:pPr>
            <w:r>
              <w:rPr>
                <w:rFonts w:hint="eastAsia" w:ascii="宋体" w:hAnsi="宋体" w:eastAsia="宋体" w:cs="宋体"/>
                <w:sz w:val="21"/>
                <w:szCs w:val="21"/>
                <w:lang w:val="en-US" w:eastAsia="zh-CN"/>
              </w:rPr>
              <w:t>超声波</w:t>
            </w:r>
          </w:p>
        </w:tc>
        <w:tc>
          <w:tcPr>
            <w:tcW w:w="693" w:type="dxa"/>
            <w:vAlign w:val="top"/>
          </w:tcPr>
          <w:p w14:paraId="32731A6F">
            <w:pPr>
              <w:spacing w:before="240"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0A10FA67">
            <w:pPr>
              <w:pStyle w:val="175"/>
              <w:spacing w:before="203" w:line="221" w:lineRule="auto"/>
              <w:jc w:val="both"/>
              <w:rPr>
                <w:rFonts w:hint="eastAsia" w:ascii="宋体" w:hAnsi="宋体" w:eastAsia="宋体" w:cs="宋体"/>
                <w:sz w:val="21"/>
                <w:szCs w:val="21"/>
              </w:rPr>
            </w:pPr>
            <w:r>
              <w:rPr>
                <w:rFonts w:hint="eastAsia" w:ascii="宋体" w:hAnsi="宋体" w:eastAsia="宋体" w:cs="宋体"/>
                <w:spacing w:val="-2"/>
                <w:sz w:val="21"/>
                <w:szCs w:val="21"/>
              </w:rPr>
              <w:t>焊缝全长</w:t>
            </w:r>
          </w:p>
        </w:tc>
        <w:tc>
          <w:tcPr>
            <w:tcW w:w="1327" w:type="dxa"/>
            <w:vMerge w:val="restart"/>
            <w:tcBorders>
              <w:bottom w:val="nil"/>
            </w:tcBorders>
            <w:vAlign w:val="top"/>
          </w:tcPr>
          <w:p w14:paraId="764B9557">
            <w:pPr>
              <w:spacing w:line="330" w:lineRule="auto"/>
              <w:jc w:val="center"/>
              <w:rPr>
                <w:rFonts w:hint="eastAsia" w:ascii="宋体" w:hAnsi="宋体" w:eastAsia="宋体" w:cs="宋体"/>
                <w:sz w:val="21"/>
                <w:szCs w:val="21"/>
              </w:rPr>
            </w:pPr>
          </w:p>
          <w:p w14:paraId="74C0F5FD">
            <w:pPr>
              <w:spacing w:line="330" w:lineRule="auto"/>
              <w:jc w:val="center"/>
              <w:rPr>
                <w:rFonts w:hint="eastAsia" w:ascii="宋体" w:hAnsi="宋体" w:eastAsia="宋体" w:cs="宋体"/>
                <w:sz w:val="21"/>
                <w:szCs w:val="21"/>
              </w:rPr>
            </w:pPr>
          </w:p>
          <w:p w14:paraId="100FAC4E">
            <w:pPr>
              <w:spacing w:before="61" w:line="187" w:lineRule="auto"/>
              <w:ind w:left="0" w:leftChars="0" w:firstLine="0" w:firstLineChars="0"/>
              <w:jc w:val="both"/>
              <w:rPr>
                <w:rFonts w:hint="eastAsia" w:ascii="宋体" w:hAnsi="宋体" w:eastAsia="宋体" w:cs="宋体"/>
                <w:spacing w:val="-4"/>
                <w:sz w:val="21"/>
                <w:szCs w:val="21"/>
              </w:rPr>
            </w:pPr>
            <w:r>
              <w:rPr>
                <w:rFonts w:hint="eastAsia" w:ascii="宋体" w:hAnsi="宋体" w:eastAsia="宋体" w:cs="宋体"/>
                <w:spacing w:val="-4"/>
                <w:sz w:val="21"/>
                <w:szCs w:val="21"/>
              </w:rPr>
              <w:t>TB</w:t>
            </w:r>
            <w:r>
              <w:rPr>
                <w:rFonts w:hint="eastAsia" w:ascii="宋体" w:hAnsi="宋体" w:eastAsia="宋体" w:cs="宋体"/>
                <w:spacing w:val="23"/>
                <w:w w:val="101"/>
                <w:sz w:val="21"/>
                <w:szCs w:val="21"/>
              </w:rPr>
              <w:t xml:space="preserve"> </w:t>
            </w:r>
            <w:r>
              <w:rPr>
                <w:rFonts w:hint="eastAsia" w:ascii="宋体" w:hAnsi="宋体" w:eastAsia="宋体" w:cs="宋体"/>
                <w:spacing w:val="-4"/>
                <w:sz w:val="21"/>
                <w:szCs w:val="21"/>
              </w:rPr>
              <w:t>10212</w:t>
            </w:r>
          </w:p>
          <w:p w14:paraId="74158497">
            <w:pPr>
              <w:spacing w:before="61"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GB/T</w:t>
            </w:r>
            <w:r>
              <w:rPr>
                <w:rFonts w:hint="eastAsia" w:ascii="宋体" w:hAnsi="宋体" w:eastAsia="宋体" w:cs="宋体"/>
                <w:spacing w:val="18"/>
                <w:w w:val="101"/>
                <w:sz w:val="21"/>
                <w:szCs w:val="21"/>
              </w:rPr>
              <w:t xml:space="preserve"> </w:t>
            </w:r>
            <w:r>
              <w:rPr>
                <w:rFonts w:hint="eastAsia" w:ascii="宋体" w:hAnsi="宋体" w:eastAsia="宋体" w:cs="宋体"/>
                <w:spacing w:val="-4"/>
                <w:sz w:val="21"/>
                <w:szCs w:val="21"/>
              </w:rPr>
              <w:t>11345</w:t>
            </w:r>
          </w:p>
          <w:p w14:paraId="6B284DD2">
            <w:pPr>
              <w:spacing w:before="119"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GB/T 3323</w:t>
            </w:r>
          </w:p>
        </w:tc>
        <w:tc>
          <w:tcPr>
            <w:tcW w:w="1258" w:type="dxa"/>
            <w:tcBorders>
              <w:right w:val="single" w:color="000000" w:sz="2" w:space="0"/>
            </w:tcBorders>
            <w:vAlign w:val="top"/>
          </w:tcPr>
          <w:p w14:paraId="569BB5C7">
            <w:pPr>
              <w:jc w:val="center"/>
              <w:rPr>
                <w:rFonts w:hint="eastAsia" w:ascii="宋体" w:hAnsi="宋体" w:eastAsia="宋体" w:cs="宋体"/>
                <w:sz w:val="21"/>
                <w:szCs w:val="21"/>
              </w:rPr>
            </w:pPr>
          </w:p>
        </w:tc>
      </w:tr>
      <w:tr w14:paraId="72F938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741" w:type="dxa"/>
            <w:vMerge w:val="continue"/>
            <w:tcBorders>
              <w:top w:val="nil"/>
              <w:left w:val="single" w:color="000000" w:sz="2" w:space="0"/>
            </w:tcBorders>
            <w:vAlign w:val="top"/>
          </w:tcPr>
          <w:p w14:paraId="7C1D4D14">
            <w:pPr>
              <w:jc w:val="center"/>
              <w:rPr>
                <w:rFonts w:hint="eastAsia" w:ascii="宋体" w:hAnsi="宋体" w:eastAsia="宋体" w:cs="宋体"/>
                <w:sz w:val="21"/>
                <w:szCs w:val="21"/>
              </w:rPr>
            </w:pPr>
          </w:p>
        </w:tc>
        <w:tc>
          <w:tcPr>
            <w:tcW w:w="657" w:type="dxa"/>
            <w:vMerge w:val="continue"/>
            <w:tcBorders>
              <w:top w:val="nil"/>
            </w:tcBorders>
            <w:vAlign w:val="top"/>
          </w:tcPr>
          <w:p w14:paraId="74984F38">
            <w:pPr>
              <w:jc w:val="center"/>
              <w:rPr>
                <w:rFonts w:hint="eastAsia" w:ascii="宋体" w:hAnsi="宋体" w:eastAsia="宋体" w:cs="宋体"/>
                <w:sz w:val="21"/>
                <w:szCs w:val="21"/>
              </w:rPr>
            </w:pPr>
          </w:p>
        </w:tc>
        <w:tc>
          <w:tcPr>
            <w:tcW w:w="974" w:type="dxa"/>
            <w:vAlign w:val="top"/>
          </w:tcPr>
          <w:p w14:paraId="4A058BF3">
            <w:pPr>
              <w:pStyle w:val="175"/>
              <w:spacing w:before="51" w:line="250" w:lineRule="auto"/>
              <w:ind w:left="0" w:leftChars="0" w:right="182"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X射</w:t>
            </w:r>
            <w:r>
              <w:rPr>
                <w:rFonts w:hint="eastAsia" w:ascii="宋体" w:hAnsi="宋体" w:eastAsia="宋体" w:cs="宋体"/>
                <w:sz w:val="21"/>
                <w:szCs w:val="21"/>
              </w:rPr>
              <w:t>线</w:t>
            </w:r>
          </w:p>
        </w:tc>
        <w:tc>
          <w:tcPr>
            <w:tcW w:w="693" w:type="dxa"/>
            <w:vAlign w:val="top"/>
          </w:tcPr>
          <w:p w14:paraId="55CC4D5D">
            <w:pPr>
              <w:spacing w:before="243" w:line="187" w:lineRule="auto"/>
              <w:jc w:val="center"/>
              <w:rPr>
                <w:rFonts w:hint="eastAsia" w:ascii="宋体" w:hAnsi="宋体" w:eastAsia="宋体" w:cs="宋体"/>
                <w:sz w:val="21"/>
                <w:szCs w:val="21"/>
              </w:rPr>
            </w:pPr>
            <w:r>
              <w:rPr>
                <w:rFonts w:hint="eastAsia" w:ascii="宋体" w:hAnsi="宋体" w:eastAsia="宋体" w:cs="宋体"/>
                <w:spacing w:val="-5"/>
                <w:sz w:val="21"/>
                <w:szCs w:val="21"/>
              </w:rPr>
              <w:t>10%</w:t>
            </w:r>
          </w:p>
        </w:tc>
        <w:tc>
          <w:tcPr>
            <w:tcW w:w="1865" w:type="dxa"/>
            <w:vAlign w:val="top"/>
          </w:tcPr>
          <w:p w14:paraId="322F3770">
            <w:pPr>
              <w:pStyle w:val="175"/>
              <w:spacing w:before="50"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8"/>
                <w:sz w:val="21"/>
                <w:szCs w:val="21"/>
              </w:rPr>
              <w:t>焊缝两端各</w:t>
            </w:r>
            <w:r>
              <w:rPr>
                <w:rFonts w:hint="eastAsia" w:ascii="宋体" w:hAnsi="宋体" w:eastAsia="宋体" w:cs="宋体"/>
                <w:spacing w:val="-45"/>
                <w:sz w:val="21"/>
                <w:szCs w:val="21"/>
              </w:rPr>
              <w:t xml:space="preserve"> </w:t>
            </w:r>
            <w:r>
              <w:rPr>
                <w:rFonts w:hint="eastAsia" w:ascii="宋体" w:hAnsi="宋体" w:eastAsia="宋体" w:cs="宋体"/>
                <w:spacing w:val="8"/>
                <w:sz w:val="21"/>
                <w:szCs w:val="21"/>
              </w:rPr>
              <w:t>250</w:t>
            </w:r>
            <w:r>
              <w:rPr>
                <w:rFonts w:hint="eastAsia" w:ascii="宋体" w:hAnsi="宋体" w:eastAsia="宋体" w:cs="宋体"/>
                <w:spacing w:val="8"/>
                <w:sz w:val="21"/>
                <w:szCs w:val="21"/>
                <w:lang w:eastAsia="zh-CN"/>
              </w:rPr>
              <w:t>～</w:t>
            </w:r>
            <w:r>
              <w:rPr>
                <w:rFonts w:hint="eastAsia" w:ascii="宋体" w:hAnsi="宋体" w:eastAsia="宋体" w:cs="宋体"/>
                <w:spacing w:val="-2"/>
                <w:sz w:val="21"/>
                <w:szCs w:val="21"/>
              </w:rPr>
              <w:t>300mm</w:t>
            </w:r>
          </w:p>
        </w:tc>
        <w:tc>
          <w:tcPr>
            <w:tcW w:w="1327" w:type="dxa"/>
            <w:vMerge w:val="continue"/>
            <w:tcBorders>
              <w:top w:val="nil"/>
              <w:bottom w:val="nil"/>
            </w:tcBorders>
            <w:vAlign w:val="top"/>
          </w:tcPr>
          <w:p w14:paraId="238531A4">
            <w:pPr>
              <w:jc w:val="center"/>
              <w:rPr>
                <w:rFonts w:hint="eastAsia" w:ascii="宋体" w:hAnsi="宋体" w:eastAsia="宋体" w:cs="宋体"/>
                <w:sz w:val="21"/>
                <w:szCs w:val="21"/>
              </w:rPr>
            </w:pPr>
          </w:p>
        </w:tc>
        <w:tc>
          <w:tcPr>
            <w:tcW w:w="1258" w:type="dxa"/>
            <w:tcBorders>
              <w:right w:val="single" w:color="000000" w:sz="2" w:space="0"/>
            </w:tcBorders>
            <w:vAlign w:val="top"/>
          </w:tcPr>
          <w:p w14:paraId="718CB2A7">
            <w:pPr>
              <w:pStyle w:val="175"/>
              <w:spacing w:before="51" w:line="250" w:lineRule="auto"/>
              <w:ind w:left="0" w:leftChars="0" w:right="104" w:firstLine="0" w:firstLineChars="0"/>
              <w:jc w:val="both"/>
              <w:rPr>
                <w:rFonts w:hint="eastAsia" w:ascii="宋体" w:hAnsi="宋体" w:eastAsia="宋体" w:cs="宋体"/>
                <w:sz w:val="21"/>
                <w:szCs w:val="21"/>
              </w:rPr>
            </w:pPr>
            <w:r>
              <w:rPr>
                <w:rFonts w:hint="eastAsia" w:ascii="宋体" w:hAnsi="宋体" w:eastAsia="宋体" w:cs="宋体"/>
                <w:spacing w:val="-10"/>
                <w:sz w:val="21"/>
                <w:szCs w:val="21"/>
              </w:rPr>
              <w:t>接头数量（实际为</w:t>
            </w:r>
            <w:r>
              <w:rPr>
                <w:rFonts w:hint="eastAsia" w:ascii="宋体" w:hAnsi="宋体" w:eastAsia="宋体" w:cs="宋体"/>
                <w:spacing w:val="4"/>
                <w:sz w:val="21"/>
                <w:szCs w:val="21"/>
              </w:rPr>
              <w:t xml:space="preserve"> </w:t>
            </w:r>
            <w:r>
              <w:rPr>
                <w:rFonts w:hint="eastAsia" w:ascii="宋体" w:hAnsi="宋体" w:eastAsia="宋体" w:cs="宋体"/>
                <w:spacing w:val="6"/>
                <w:sz w:val="21"/>
                <w:szCs w:val="21"/>
              </w:rPr>
              <w:t>焊缝长度的</w:t>
            </w:r>
            <w:r>
              <w:rPr>
                <w:rFonts w:hint="eastAsia" w:ascii="宋体" w:hAnsi="宋体" w:eastAsia="宋体" w:cs="宋体"/>
                <w:spacing w:val="-41"/>
                <w:sz w:val="21"/>
                <w:szCs w:val="21"/>
              </w:rPr>
              <w:t xml:space="preserve"> </w:t>
            </w:r>
            <w:r>
              <w:rPr>
                <w:rFonts w:hint="eastAsia" w:ascii="宋体" w:hAnsi="宋体" w:eastAsia="宋体" w:cs="宋体"/>
                <w:spacing w:val="6"/>
                <w:sz w:val="21"/>
                <w:szCs w:val="21"/>
              </w:rPr>
              <w:t>10%)</w:t>
            </w:r>
          </w:p>
        </w:tc>
      </w:tr>
      <w:tr w14:paraId="75BD7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0" w:hRule="atLeast"/>
        </w:trPr>
        <w:tc>
          <w:tcPr>
            <w:tcW w:w="1741" w:type="dxa"/>
            <w:tcBorders>
              <w:left w:val="single" w:color="000000" w:sz="2" w:space="0"/>
            </w:tcBorders>
            <w:vAlign w:val="top"/>
          </w:tcPr>
          <w:p w14:paraId="0E0BBD44">
            <w:pPr>
              <w:pStyle w:val="175"/>
              <w:spacing w:before="49" w:line="220" w:lineRule="auto"/>
              <w:jc w:val="center"/>
              <w:rPr>
                <w:rFonts w:hint="eastAsia" w:ascii="宋体" w:hAnsi="宋体" w:eastAsia="宋体" w:cs="宋体"/>
                <w:sz w:val="21"/>
                <w:szCs w:val="21"/>
              </w:rPr>
            </w:pPr>
            <w:r>
              <w:rPr>
                <w:rFonts w:hint="eastAsia" w:ascii="宋体" w:hAnsi="宋体" w:eastAsia="宋体" w:cs="宋体"/>
                <w:spacing w:val="-1"/>
                <w:sz w:val="21"/>
                <w:szCs w:val="21"/>
              </w:rPr>
              <w:t>支点处横隔板与腹板的熔透角焊</w:t>
            </w:r>
            <w:r>
              <w:rPr>
                <w:rFonts w:hint="eastAsia" w:ascii="宋体" w:hAnsi="宋体" w:eastAsia="宋体" w:cs="宋体"/>
                <w:sz w:val="21"/>
                <w:szCs w:val="21"/>
              </w:rPr>
              <w:t>缝</w:t>
            </w:r>
          </w:p>
        </w:tc>
        <w:tc>
          <w:tcPr>
            <w:tcW w:w="657" w:type="dxa"/>
            <w:vAlign w:val="top"/>
          </w:tcPr>
          <w:p w14:paraId="1FD39135">
            <w:pPr>
              <w:spacing w:line="291" w:lineRule="auto"/>
              <w:jc w:val="center"/>
              <w:rPr>
                <w:rFonts w:hint="eastAsia" w:ascii="宋体" w:hAnsi="宋体" w:eastAsia="宋体" w:cs="宋体"/>
                <w:sz w:val="21"/>
                <w:szCs w:val="21"/>
              </w:rPr>
            </w:pPr>
          </w:p>
          <w:p w14:paraId="023EF841">
            <w:pPr>
              <w:pStyle w:val="175"/>
              <w:spacing w:before="68"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9"/>
                <w:sz w:val="21"/>
                <w:szCs w:val="21"/>
              </w:rPr>
              <w:t>Ⅰ级</w:t>
            </w:r>
          </w:p>
        </w:tc>
        <w:tc>
          <w:tcPr>
            <w:tcW w:w="974" w:type="dxa"/>
            <w:vAlign w:val="top"/>
          </w:tcPr>
          <w:p w14:paraId="21F1419D">
            <w:pPr>
              <w:pStyle w:val="175"/>
              <w:spacing w:before="204" w:line="277" w:lineRule="auto"/>
              <w:ind w:left="0" w:leftChars="0" w:right="179" w:firstLine="0" w:firstLineChars="0"/>
              <w:jc w:val="both"/>
              <w:rPr>
                <w:rFonts w:hint="eastAsia" w:ascii="宋体" w:hAnsi="宋体" w:eastAsia="宋体" w:cs="宋体"/>
                <w:sz w:val="21"/>
                <w:szCs w:val="21"/>
              </w:rPr>
            </w:pPr>
            <w:r>
              <w:rPr>
                <w:rFonts w:hint="eastAsia" w:ascii="宋体" w:hAnsi="宋体" w:eastAsia="宋体" w:cs="宋体"/>
                <w:spacing w:val="-3"/>
                <w:sz w:val="21"/>
                <w:szCs w:val="21"/>
              </w:rPr>
              <w:t>超声</w:t>
            </w:r>
            <w:r>
              <w:rPr>
                <w:rFonts w:hint="eastAsia" w:ascii="宋体" w:hAnsi="宋体" w:eastAsia="宋体" w:cs="宋体"/>
                <w:sz w:val="21"/>
                <w:szCs w:val="21"/>
              </w:rPr>
              <w:t>波</w:t>
            </w:r>
          </w:p>
        </w:tc>
        <w:tc>
          <w:tcPr>
            <w:tcW w:w="693" w:type="dxa"/>
            <w:vAlign w:val="top"/>
          </w:tcPr>
          <w:p w14:paraId="64732706">
            <w:pPr>
              <w:spacing w:line="335" w:lineRule="auto"/>
              <w:jc w:val="center"/>
              <w:rPr>
                <w:rFonts w:hint="eastAsia" w:ascii="宋体" w:hAnsi="宋体" w:eastAsia="宋体" w:cs="宋体"/>
                <w:sz w:val="21"/>
                <w:szCs w:val="21"/>
              </w:rPr>
            </w:pPr>
          </w:p>
          <w:p w14:paraId="215E47A1">
            <w:pPr>
              <w:spacing w:before="60" w:line="187" w:lineRule="auto"/>
              <w:jc w:val="center"/>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57E6490D">
            <w:pPr>
              <w:pStyle w:val="175"/>
              <w:spacing w:before="68" w:line="220" w:lineRule="auto"/>
              <w:jc w:val="both"/>
              <w:rPr>
                <w:rFonts w:hint="eastAsia" w:ascii="宋体" w:hAnsi="宋体" w:eastAsia="宋体" w:cs="宋体"/>
                <w:sz w:val="21"/>
                <w:szCs w:val="21"/>
              </w:rPr>
            </w:pPr>
            <w:r>
              <w:rPr>
                <w:rFonts w:hint="eastAsia" w:ascii="宋体" w:hAnsi="宋体" w:eastAsia="宋体" w:cs="宋体"/>
                <w:spacing w:val="-2"/>
                <w:sz w:val="21"/>
                <w:szCs w:val="21"/>
              </w:rPr>
              <w:t>角焊缝全长</w:t>
            </w:r>
          </w:p>
        </w:tc>
        <w:tc>
          <w:tcPr>
            <w:tcW w:w="1327" w:type="dxa"/>
            <w:vMerge w:val="continue"/>
            <w:tcBorders>
              <w:top w:val="nil"/>
            </w:tcBorders>
            <w:vAlign w:val="top"/>
          </w:tcPr>
          <w:p w14:paraId="592E6BC4">
            <w:pPr>
              <w:jc w:val="center"/>
              <w:rPr>
                <w:rFonts w:hint="eastAsia" w:ascii="宋体" w:hAnsi="宋体" w:eastAsia="宋体" w:cs="宋体"/>
                <w:sz w:val="21"/>
                <w:szCs w:val="21"/>
              </w:rPr>
            </w:pPr>
          </w:p>
        </w:tc>
        <w:tc>
          <w:tcPr>
            <w:tcW w:w="1258" w:type="dxa"/>
            <w:tcBorders>
              <w:right w:val="single" w:color="000000" w:sz="2" w:space="0"/>
            </w:tcBorders>
            <w:vAlign w:val="top"/>
          </w:tcPr>
          <w:p w14:paraId="22B752B7">
            <w:pPr>
              <w:jc w:val="center"/>
              <w:rPr>
                <w:rFonts w:hint="eastAsia" w:ascii="宋体" w:hAnsi="宋体" w:eastAsia="宋体" w:cs="宋体"/>
                <w:sz w:val="21"/>
                <w:szCs w:val="21"/>
              </w:rPr>
            </w:pPr>
          </w:p>
        </w:tc>
      </w:tr>
      <w:tr w14:paraId="04BAEA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4212FED8">
            <w:pPr>
              <w:pStyle w:val="175"/>
              <w:spacing w:before="49" w:line="250" w:lineRule="auto"/>
              <w:ind w:right="233"/>
              <w:jc w:val="center"/>
              <w:rPr>
                <w:rFonts w:hint="eastAsia" w:ascii="宋体" w:hAnsi="宋体" w:eastAsia="宋体" w:cs="宋体"/>
                <w:sz w:val="21"/>
                <w:szCs w:val="21"/>
              </w:rPr>
            </w:pPr>
            <w:r>
              <w:rPr>
                <w:rFonts w:hint="eastAsia" w:ascii="宋体" w:hAnsi="宋体" w:eastAsia="宋体" w:cs="宋体"/>
                <w:spacing w:val="-1"/>
                <w:sz w:val="21"/>
                <w:szCs w:val="21"/>
              </w:rPr>
              <w:t>腹板与底板间</w:t>
            </w:r>
            <w:r>
              <w:rPr>
                <w:rFonts w:hint="eastAsia" w:ascii="宋体" w:hAnsi="宋体" w:eastAsia="宋体" w:cs="宋体"/>
                <w:sz w:val="21"/>
                <w:szCs w:val="21"/>
              </w:rPr>
              <w:t xml:space="preserve"> </w:t>
            </w:r>
            <w:r>
              <w:rPr>
                <w:rFonts w:hint="eastAsia" w:ascii="宋体" w:hAnsi="宋体" w:eastAsia="宋体" w:cs="宋体"/>
                <w:spacing w:val="-1"/>
                <w:sz w:val="21"/>
                <w:szCs w:val="21"/>
              </w:rPr>
              <w:t>坡口角焊缝</w:t>
            </w:r>
          </w:p>
        </w:tc>
        <w:tc>
          <w:tcPr>
            <w:tcW w:w="657" w:type="dxa"/>
            <w:vAlign w:val="top"/>
          </w:tcPr>
          <w:p w14:paraId="5BFD2440">
            <w:pPr>
              <w:pStyle w:val="175"/>
              <w:spacing w:before="205"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9"/>
                <w:sz w:val="21"/>
                <w:szCs w:val="21"/>
              </w:rPr>
              <w:t>Ⅰ级</w:t>
            </w:r>
          </w:p>
        </w:tc>
        <w:tc>
          <w:tcPr>
            <w:tcW w:w="974" w:type="dxa"/>
            <w:vAlign w:val="top"/>
          </w:tcPr>
          <w:p w14:paraId="3EFF5C31">
            <w:pPr>
              <w:pStyle w:val="175"/>
              <w:spacing w:before="49" w:line="250" w:lineRule="auto"/>
              <w:ind w:left="0" w:leftChars="0" w:right="179" w:firstLine="0" w:firstLineChars="0"/>
              <w:jc w:val="both"/>
              <w:rPr>
                <w:rFonts w:hint="eastAsia" w:ascii="宋体" w:hAnsi="宋体" w:eastAsia="宋体" w:cs="宋体"/>
                <w:sz w:val="21"/>
                <w:szCs w:val="21"/>
              </w:rPr>
            </w:pPr>
            <w:r>
              <w:rPr>
                <w:rFonts w:hint="eastAsia" w:ascii="宋体" w:hAnsi="宋体" w:eastAsia="宋体" w:cs="宋体"/>
                <w:spacing w:val="-3"/>
                <w:sz w:val="21"/>
                <w:szCs w:val="21"/>
              </w:rPr>
              <w:t>超声</w:t>
            </w:r>
            <w:r>
              <w:rPr>
                <w:rFonts w:hint="eastAsia" w:ascii="宋体" w:hAnsi="宋体" w:eastAsia="宋体" w:cs="宋体"/>
                <w:sz w:val="21"/>
                <w:szCs w:val="21"/>
              </w:rPr>
              <w:t>波</w:t>
            </w:r>
          </w:p>
        </w:tc>
        <w:tc>
          <w:tcPr>
            <w:tcW w:w="693" w:type="dxa"/>
            <w:vAlign w:val="top"/>
          </w:tcPr>
          <w:p w14:paraId="1F26DAFB">
            <w:pPr>
              <w:spacing w:before="242"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6DA990BB">
            <w:pPr>
              <w:pStyle w:val="175"/>
              <w:spacing w:before="49" w:line="250" w:lineRule="auto"/>
              <w:ind w:right="116"/>
              <w:jc w:val="both"/>
              <w:rPr>
                <w:rFonts w:hint="eastAsia" w:ascii="宋体" w:hAnsi="宋体" w:eastAsia="宋体" w:cs="宋体"/>
                <w:sz w:val="21"/>
                <w:szCs w:val="21"/>
              </w:rPr>
            </w:pPr>
            <w:r>
              <w:rPr>
                <w:rFonts w:hint="eastAsia" w:ascii="宋体" w:hAnsi="宋体" w:eastAsia="宋体" w:cs="宋体"/>
                <w:spacing w:val="-1"/>
                <w:sz w:val="21"/>
                <w:szCs w:val="21"/>
              </w:rPr>
              <w:t>每侧梁段腹板各随机</w:t>
            </w:r>
            <w:r>
              <w:rPr>
                <w:rFonts w:hint="eastAsia" w:ascii="宋体" w:hAnsi="宋体" w:eastAsia="宋体" w:cs="宋体"/>
                <w:spacing w:val="-4"/>
                <w:sz w:val="21"/>
                <w:szCs w:val="21"/>
              </w:rPr>
              <w:t>抽探</w:t>
            </w:r>
            <w:r>
              <w:rPr>
                <w:rFonts w:hint="eastAsia" w:ascii="宋体" w:hAnsi="宋体" w:eastAsia="宋体" w:cs="宋体"/>
                <w:spacing w:val="-27"/>
                <w:sz w:val="21"/>
                <w:szCs w:val="21"/>
              </w:rPr>
              <w:t xml:space="preserve"> </w:t>
            </w:r>
            <w:r>
              <w:rPr>
                <w:rFonts w:hint="eastAsia" w:ascii="宋体" w:hAnsi="宋体" w:eastAsia="宋体" w:cs="宋体"/>
                <w:spacing w:val="-4"/>
                <w:sz w:val="21"/>
                <w:szCs w:val="21"/>
              </w:rPr>
              <w:t>1m</w:t>
            </w:r>
          </w:p>
        </w:tc>
        <w:tc>
          <w:tcPr>
            <w:tcW w:w="1327" w:type="dxa"/>
            <w:vMerge w:val="restart"/>
            <w:tcBorders>
              <w:bottom w:val="nil"/>
            </w:tcBorders>
            <w:vAlign w:val="top"/>
          </w:tcPr>
          <w:p w14:paraId="708A6785">
            <w:pPr>
              <w:spacing w:line="291" w:lineRule="auto"/>
              <w:jc w:val="center"/>
              <w:rPr>
                <w:rFonts w:hint="eastAsia" w:ascii="宋体" w:hAnsi="宋体" w:eastAsia="宋体" w:cs="宋体"/>
                <w:sz w:val="21"/>
                <w:szCs w:val="21"/>
              </w:rPr>
            </w:pPr>
          </w:p>
          <w:p w14:paraId="76B5E9EC">
            <w:pPr>
              <w:spacing w:line="292" w:lineRule="auto"/>
              <w:jc w:val="center"/>
              <w:rPr>
                <w:rFonts w:hint="eastAsia" w:ascii="宋体" w:hAnsi="宋体" w:eastAsia="宋体" w:cs="宋体"/>
                <w:sz w:val="21"/>
                <w:szCs w:val="21"/>
              </w:rPr>
            </w:pPr>
          </w:p>
          <w:p w14:paraId="2B0EAE95">
            <w:pPr>
              <w:spacing w:before="61"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TB</w:t>
            </w:r>
            <w:r>
              <w:rPr>
                <w:rFonts w:hint="eastAsia" w:ascii="宋体" w:hAnsi="宋体" w:eastAsia="宋体" w:cs="宋体"/>
                <w:spacing w:val="23"/>
                <w:w w:val="101"/>
                <w:sz w:val="21"/>
                <w:szCs w:val="21"/>
              </w:rPr>
              <w:t xml:space="preserve"> </w:t>
            </w:r>
            <w:r>
              <w:rPr>
                <w:rFonts w:hint="eastAsia" w:ascii="宋体" w:hAnsi="宋体" w:eastAsia="宋体" w:cs="宋体"/>
                <w:spacing w:val="-4"/>
                <w:sz w:val="21"/>
                <w:szCs w:val="21"/>
              </w:rPr>
              <w:t>10212</w:t>
            </w:r>
          </w:p>
          <w:p w14:paraId="6E9CCE40">
            <w:pPr>
              <w:spacing w:before="119"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JB/T 6061</w:t>
            </w:r>
          </w:p>
        </w:tc>
        <w:tc>
          <w:tcPr>
            <w:tcW w:w="1258" w:type="dxa"/>
            <w:tcBorders>
              <w:right w:val="single" w:color="000000" w:sz="2" w:space="0"/>
            </w:tcBorders>
            <w:vAlign w:val="top"/>
          </w:tcPr>
          <w:p w14:paraId="7B3E3999">
            <w:pPr>
              <w:pStyle w:val="175"/>
              <w:spacing w:before="49"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厚度中间允许</w:t>
            </w:r>
            <w:r>
              <w:rPr>
                <w:rFonts w:hint="eastAsia" w:ascii="宋体" w:hAnsi="宋体" w:eastAsia="宋体" w:cs="宋体"/>
                <w:spacing w:val="-1"/>
                <w:sz w:val="21"/>
                <w:szCs w:val="21"/>
              </w:rPr>
              <w:t>6mm不熔透</w:t>
            </w:r>
          </w:p>
        </w:tc>
      </w:tr>
      <w:tr w14:paraId="0B0F20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vMerge w:val="restart"/>
            <w:tcBorders>
              <w:left w:val="single" w:color="000000" w:sz="2" w:space="0"/>
              <w:bottom w:val="nil"/>
            </w:tcBorders>
            <w:vAlign w:val="top"/>
          </w:tcPr>
          <w:p w14:paraId="286A6373">
            <w:pPr>
              <w:pStyle w:val="175"/>
              <w:spacing w:before="136" w:line="220" w:lineRule="auto"/>
              <w:jc w:val="center"/>
              <w:rPr>
                <w:rFonts w:hint="eastAsia" w:ascii="宋体" w:hAnsi="宋体" w:eastAsia="宋体" w:cs="宋体"/>
                <w:sz w:val="21"/>
                <w:szCs w:val="21"/>
              </w:rPr>
            </w:pPr>
            <w:r>
              <w:rPr>
                <w:rFonts w:hint="eastAsia" w:ascii="宋体" w:hAnsi="宋体" w:eastAsia="宋体" w:cs="宋体"/>
                <w:spacing w:val="-1"/>
                <w:sz w:val="21"/>
                <w:szCs w:val="21"/>
              </w:rPr>
              <w:t>支点处横隔板与顶（底）板角焊</w:t>
            </w:r>
            <w:r>
              <w:rPr>
                <w:rFonts w:hint="eastAsia" w:ascii="宋体" w:hAnsi="宋体" w:eastAsia="宋体" w:cs="宋体"/>
                <w:sz w:val="21"/>
                <w:szCs w:val="21"/>
              </w:rPr>
              <w:t>缝</w:t>
            </w:r>
          </w:p>
        </w:tc>
        <w:tc>
          <w:tcPr>
            <w:tcW w:w="657" w:type="dxa"/>
            <w:vAlign w:val="top"/>
          </w:tcPr>
          <w:p w14:paraId="2014E65D">
            <w:pPr>
              <w:pStyle w:val="175"/>
              <w:spacing w:before="206"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9"/>
                <w:sz w:val="21"/>
                <w:szCs w:val="21"/>
              </w:rPr>
              <w:t>Ⅰ级</w:t>
            </w:r>
          </w:p>
        </w:tc>
        <w:tc>
          <w:tcPr>
            <w:tcW w:w="974" w:type="dxa"/>
            <w:vAlign w:val="top"/>
          </w:tcPr>
          <w:p w14:paraId="46ADDE7A">
            <w:pPr>
              <w:pStyle w:val="175"/>
              <w:spacing w:before="49" w:line="250" w:lineRule="auto"/>
              <w:ind w:left="0" w:leftChars="0" w:right="179" w:firstLine="0" w:firstLineChars="0"/>
              <w:jc w:val="both"/>
              <w:rPr>
                <w:rFonts w:hint="eastAsia" w:ascii="宋体" w:hAnsi="宋体" w:eastAsia="宋体" w:cs="宋体"/>
                <w:sz w:val="21"/>
                <w:szCs w:val="21"/>
              </w:rPr>
            </w:pPr>
            <w:r>
              <w:rPr>
                <w:rFonts w:hint="eastAsia" w:ascii="宋体" w:hAnsi="宋体" w:eastAsia="宋体" w:cs="宋体"/>
                <w:spacing w:val="-3"/>
                <w:sz w:val="21"/>
                <w:szCs w:val="21"/>
              </w:rPr>
              <w:t>超声</w:t>
            </w:r>
            <w:r>
              <w:rPr>
                <w:rFonts w:hint="eastAsia" w:ascii="宋体" w:hAnsi="宋体" w:eastAsia="宋体" w:cs="宋体"/>
                <w:sz w:val="21"/>
                <w:szCs w:val="21"/>
              </w:rPr>
              <w:t>波</w:t>
            </w:r>
          </w:p>
        </w:tc>
        <w:tc>
          <w:tcPr>
            <w:tcW w:w="693" w:type="dxa"/>
            <w:vAlign w:val="top"/>
          </w:tcPr>
          <w:p w14:paraId="07B1D8D7">
            <w:pPr>
              <w:spacing w:before="242"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7BC3FD8C">
            <w:pPr>
              <w:pStyle w:val="175"/>
              <w:spacing w:before="50" w:line="220" w:lineRule="auto"/>
              <w:jc w:val="center"/>
              <w:rPr>
                <w:rFonts w:hint="eastAsia" w:ascii="宋体" w:hAnsi="宋体" w:eastAsia="宋体" w:cs="宋体"/>
                <w:sz w:val="21"/>
                <w:szCs w:val="21"/>
              </w:rPr>
            </w:pPr>
            <w:r>
              <w:rPr>
                <w:rFonts w:hint="eastAsia" w:ascii="宋体" w:hAnsi="宋体" w:eastAsia="宋体" w:cs="宋体"/>
                <w:spacing w:val="-1"/>
                <w:sz w:val="21"/>
                <w:szCs w:val="21"/>
              </w:rPr>
              <w:t>行车道范围随机抽探</w:t>
            </w:r>
            <w:r>
              <w:rPr>
                <w:rFonts w:hint="eastAsia" w:ascii="宋体" w:hAnsi="宋体" w:eastAsia="宋体" w:cs="宋体"/>
                <w:spacing w:val="-6"/>
                <w:sz w:val="21"/>
                <w:szCs w:val="21"/>
              </w:rPr>
              <w:t>1m（累计）</w:t>
            </w:r>
          </w:p>
        </w:tc>
        <w:tc>
          <w:tcPr>
            <w:tcW w:w="1327" w:type="dxa"/>
            <w:vMerge w:val="continue"/>
            <w:tcBorders>
              <w:top w:val="nil"/>
              <w:bottom w:val="nil"/>
            </w:tcBorders>
            <w:vAlign w:val="top"/>
          </w:tcPr>
          <w:p w14:paraId="288F77DE">
            <w:pPr>
              <w:jc w:val="center"/>
              <w:rPr>
                <w:rFonts w:hint="eastAsia" w:ascii="宋体" w:hAnsi="宋体" w:eastAsia="宋体" w:cs="宋体"/>
                <w:sz w:val="21"/>
                <w:szCs w:val="21"/>
              </w:rPr>
            </w:pPr>
          </w:p>
        </w:tc>
        <w:tc>
          <w:tcPr>
            <w:tcW w:w="1258" w:type="dxa"/>
            <w:tcBorders>
              <w:right w:val="single" w:color="000000" w:sz="2" w:space="0"/>
            </w:tcBorders>
            <w:vAlign w:val="top"/>
          </w:tcPr>
          <w:p w14:paraId="7A21ABCA">
            <w:pPr>
              <w:pStyle w:val="175"/>
              <w:spacing w:before="49"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厚度中间允许</w:t>
            </w:r>
            <w:r>
              <w:rPr>
                <w:rFonts w:hint="eastAsia" w:ascii="宋体" w:hAnsi="宋体" w:eastAsia="宋体" w:cs="宋体"/>
                <w:sz w:val="21"/>
                <w:szCs w:val="21"/>
              </w:rPr>
              <w:t>4mm不熔透</w:t>
            </w:r>
          </w:p>
        </w:tc>
      </w:tr>
      <w:tr w14:paraId="4D5251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5" w:hRule="atLeast"/>
        </w:trPr>
        <w:tc>
          <w:tcPr>
            <w:tcW w:w="1741" w:type="dxa"/>
            <w:vMerge w:val="continue"/>
            <w:tcBorders>
              <w:top w:val="nil"/>
              <w:left w:val="single" w:color="000000" w:sz="2" w:space="0"/>
            </w:tcBorders>
            <w:vAlign w:val="top"/>
          </w:tcPr>
          <w:p w14:paraId="59C72E5B">
            <w:pPr>
              <w:jc w:val="center"/>
              <w:rPr>
                <w:rFonts w:hint="eastAsia" w:ascii="宋体" w:hAnsi="宋体" w:eastAsia="宋体" w:cs="宋体"/>
                <w:sz w:val="21"/>
                <w:szCs w:val="21"/>
              </w:rPr>
            </w:pPr>
          </w:p>
        </w:tc>
        <w:tc>
          <w:tcPr>
            <w:tcW w:w="657" w:type="dxa"/>
            <w:vAlign w:val="top"/>
          </w:tcPr>
          <w:p w14:paraId="584EBD83">
            <w:pPr>
              <w:pStyle w:val="175"/>
              <w:spacing w:before="129"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9"/>
                <w:sz w:val="21"/>
                <w:szCs w:val="21"/>
              </w:rPr>
              <w:t>Ⅰ级</w:t>
            </w:r>
          </w:p>
        </w:tc>
        <w:tc>
          <w:tcPr>
            <w:tcW w:w="974" w:type="dxa"/>
            <w:vAlign w:val="top"/>
          </w:tcPr>
          <w:p w14:paraId="6C0F11F7">
            <w:pPr>
              <w:pStyle w:val="175"/>
              <w:spacing w:before="129"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vAlign w:val="top"/>
          </w:tcPr>
          <w:p w14:paraId="1EDAF4AE">
            <w:pPr>
              <w:spacing w:before="166"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023C94CC">
            <w:pPr>
              <w:pStyle w:val="175"/>
              <w:spacing w:before="129" w:line="221" w:lineRule="auto"/>
              <w:jc w:val="both"/>
              <w:rPr>
                <w:rFonts w:hint="eastAsia" w:ascii="宋体" w:hAnsi="宋体" w:eastAsia="宋体" w:cs="宋体"/>
                <w:sz w:val="21"/>
                <w:szCs w:val="21"/>
              </w:rPr>
            </w:pPr>
            <w:r>
              <w:rPr>
                <w:rFonts w:hint="eastAsia" w:ascii="宋体" w:hAnsi="宋体" w:eastAsia="宋体" w:cs="宋体"/>
                <w:spacing w:val="-2"/>
                <w:sz w:val="21"/>
                <w:szCs w:val="21"/>
              </w:rPr>
              <w:t>行车道范围</w:t>
            </w:r>
          </w:p>
        </w:tc>
        <w:tc>
          <w:tcPr>
            <w:tcW w:w="1327" w:type="dxa"/>
            <w:vMerge w:val="continue"/>
            <w:tcBorders>
              <w:top w:val="nil"/>
            </w:tcBorders>
            <w:vAlign w:val="top"/>
          </w:tcPr>
          <w:p w14:paraId="08E62A1E">
            <w:pPr>
              <w:jc w:val="center"/>
              <w:rPr>
                <w:rFonts w:hint="eastAsia" w:ascii="宋体" w:hAnsi="宋体" w:eastAsia="宋体" w:cs="宋体"/>
                <w:sz w:val="21"/>
                <w:szCs w:val="21"/>
              </w:rPr>
            </w:pPr>
          </w:p>
        </w:tc>
        <w:tc>
          <w:tcPr>
            <w:tcW w:w="1258" w:type="dxa"/>
            <w:tcBorders>
              <w:right w:val="single" w:color="000000" w:sz="2" w:space="0"/>
            </w:tcBorders>
            <w:vAlign w:val="top"/>
          </w:tcPr>
          <w:p w14:paraId="5B4C7C21">
            <w:pPr>
              <w:jc w:val="center"/>
              <w:rPr>
                <w:rFonts w:hint="eastAsia" w:ascii="宋体" w:hAnsi="宋体" w:eastAsia="宋体" w:cs="宋体"/>
                <w:sz w:val="21"/>
                <w:szCs w:val="21"/>
              </w:rPr>
            </w:pPr>
          </w:p>
        </w:tc>
      </w:tr>
      <w:tr w14:paraId="1855A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0C3DDDFA">
            <w:pPr>
              <w:pStyle w:val="175"/>
              <w:spacing w:before="51" w:line="249" w:lineRule="auto"/>
              <w:ind w:right="128"/>
              <w:jc w:val="center"/>
              <w:rPr>
                <w:rFonts w:hint="eastAsia" w:ascii="宋体" w:hAnsi="宋体" w:eastAsia="宋体" w:cs="宋体"/>
                <w:sz w:val="21"/>
                <w:szCs w:val="21"/>
              </w:rPr>
            </w:pPr>
            <w:r>
              <w:rPr>
                <w:rFonts w:hint="eastAsia" w:ascii="宋体" w:hAnsi="宋体" w:eastAsia="宋体" w:cs="宋体"/>
                <w:spacing w:val="-1"/>
                <w:sz w:val="21"/>
                <w:szCs w:val="21"/>
              </w:rPr>
              <w:t>横隔板与腹板的</w:t>
            </w:r>
            <w:r>
              <w:rPr>
                <w:rFonts w:hint="eastAsia" w:ascii="宋体" w:hAnsi="宋体" w:eastAsia="宋体" w:cs="宋体"/>
                <w:spacing w:val="2"/>
                <w:sz w:val="21"/>
                <w:szCs w:val="21"/>
              </w:rPr>
              <w:t xml:space="preserve"> </w:t>
            </w:r>
            <w:r>
              <w:rPr>
                <w:rFonts w:hint="eastAsia" w:ascii="宋体" w:hAnsi="宋体" w:eastAsia="宋体" w:cs="宋体"/>
                <w:spacing w:val="-3"/>
                <w:sz w:val="21"/>
                <w:szCs w:val="21"/>
              </w:rPr>
              <w:t>贴角焊缝</w:t>
            </w:r>
          </w:p>
        </w:tc>
        <w:tc>
          <w:tcPr>
            <w:tcW w:w="657" w:type="dxa"/>
            <w:vAlign w:val="top"/>
          </w:tcPr>
          <w:p w14:paraId="79ACBDBE">
            <w:pPr>
              <w:pStyle w:val="175"/>
              <w:spacing w:before="206"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II级</w:t>
            </w:r>
          </w:p>
        </w:tc>
        <w:tc>
          <w:tcPr>
            <w:tcW w:w="974" w:type="dxa"/>
            <w:vAlign w:val="top"/>
          </w:tcPr>
          <w:p w14:paraId="0CE39137">
            <w:pPr>
              <w:pStyle w:val="175"/>
              <w:spacing w:before="206"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vAlign w:val="top"/>
          </w:tcPr>
          <w:p w14:paraId="034BDD8E">
            <w:pPr>
              <w:spacing w:before="242"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0643F5B8">
            <w:pPr>
              <w:pStyle w:val="175"/>
              <w:spacing w:before="206"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焊缝两端各</w:t>
            </w:r>
            <w:r>
              <w:rPr>
                <w:rFonts w:hint="eastAsia" w:ascii="宋体" w:hAnsi="宋体" w:eastAsia="宋体" w:cs="宋体"/>
                <w:spacing w:val="-39"/>
                <w:sz w:val="21"/>
                <w:szCs w:val="21"/>
              </w:rPr>
              <w:t xml:space="preserve"> </w:t>
            </w:r>
            <w:r>
              <w:rPr>
                <w:rFonts w:hint="eastAsia" w:ascii="宋体" w:hAnsi="宋体" w:eastAsia="宋体" w:cs="宋体"/>
                <w:spacing w:val="-2"/>
                <w:sz w:val="21"/>
                <w:szCs w:val="21"/>
              </w:rPr>
              <w:t>500mm</w:t>
            </w:r>
          </w:p>
        </w:tc>
        <w:tc>
          <w:tcPr>
            <w:tcW w:w="1327" w:type="dxa"/>
            <w:vAlign w:val="top"/>
          </w:tcPr>
          <w:p w14:paraId="71726F5B">
            <w:pPr>
              <w:spacing w:before="238"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JB/T 6061</w:t>
            </w:r>
          </w:p>
        </w:tc>
        <w:tc>
          <w:tcPr>
            <w:tcW w:w="1258" w:type="dxa"/>
            <w:tcBorders>
              <w:right w:val="single" w:color="000000" w:sz="2" w:space="0"/>
            </w:tcBorders>
            <w:vAlign w:val="top"/>
          </w:tcPr>
          <w:p w14:paraId="56B4CA49">
            <w:pPr>
              <w:jc w:val="center"/>
              <w:rPr>
                <w:rFonts w:hint="eastAsia" w:ascii="宋体" w:hAnsi="宋体" w:eastAsia="宋体" w:cs="宋体"/>
                <w:sz w:val="21"/>
                <w:szCs w:val="21"/>
              </w:rPr>
            </w:pPr>
          </w:p>
        </w:tc>
      </w:tr>
      <w:tr w14:paraId="02A3B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741" w:type="dxa"/>
            <w:tcBorders>
              <w:left w:val="single" w:color="000000" w:sz="2" w:space="0"/>
            </w:tcBorders>
            <w:vAlign w:val="top"/>
          </w:tcPr>
          <w:p w14:paraId="06089739">
            <w:pPr>
              <w:pStyle w:val="175"/>
              <w:spacing w:before="53" w:line="249" w:lineRule="auto"/>
              <w:ind w:right="128"/>
              <w:jc w:val="center"/>
              <w:rPr>
                <w:rFonts w:hint="eastAsia" w:ascii="宋体" w:hAnsi="宋体" w:eastAsia="宋体" w:cs="宋体"/>
                <w:sz w:val="21"/>
                <w:szCs w:val="21"/>
              </w:rPr>
            </w:pPr>
            <w:r>
              <w:rPr>
                <w:rFonts w:hint="eastAsia" w:ascii="宋体" w:hAnsi="宋体" w:eastAsia="宋体" w:cs="宋体"/>
                <w:spacing w:val="-2"/>
                <w:sz w:val="21"/>
                <w:szCs w:val="21"/>
              </w:rPr>
              <w:t>纵肋与腹板的角</w:t>
            </w:r>
            <w:r>
              <w:rPr>
                <w:rFonts w:hint="eastAsia" w:ascii="宋体" w:hAnsi="宋体" w:eastAsia="宋体" w:cs="宋体"/>
                <w:spacing w:val="4"/>
                <w:sz w:val="21"/>
                <w:szCs w:val="21"/>
              </w:rPr>
              <w:t xml:space="preserve"> </w:t>
            </w:r>
            <w:r>
              <w:rPr>
                <w:rFonts w:hint="eastAsia" w:ascii="宋体" w:hAnsi="宋体" w:eastAsia="宋体" w:cs="宋体"/>
                <w:spacing w:val="-2"/>
                <w:sz w:val="21"/>
                <w:szCs w:val="21"/>
              </w:rPr>
              <w:t>焊缝</w:t>
            </w:r>
          </w:p>
        </w:tc>
        <w:tc>
          <w:tcPr>
            <w:tcW w:w="657" w:type="dxa"/>
            <w:vAlign w:val="top"/>
          </w:tcPr>
          <w:p w14:paraId="5722A405">
            <w:pPr>
              <w:pStyle w:val="175"/>
              <w:spacing w:before="209" w:line="223" w:lineRule="auto"/>
              <w:ind w:left="0" w:leftChars="0" w:firstLine="0" w:firstLineChars="0"/>
              <w:jc w:val="left"/>
              <w:rPr>
                <w:rFonts w:hint="eastAsia" w:ascii="宋体" w:hAnsi="宋体" w:eastAsia="宋体" w:cs="宋体"/>
                <w:sz w:val="21"/>
                <w:szCs w:val="21"/>
              </w:rPr>
            </w:pPr>
            <w:r>
              <w:rPr>
                <w:rFonts w:hint="eastAsia" w:ascii="宋体" w:hAnsi="宋体" w:eastAsia="宋体" w:cs="宋体"/>
                <w:spacing w:val="-2"/>
                <w:sz w:val="21"/>
                <w:szCs w:val="21"/>
              </w:rPr>
              <w:t>II级</w:t>
            </w:r>
          </w:p>
        </w:tc>
        <w:tc>
          <w:tcPr>
            <w:tcW w:w="974" w:type="dxa"/>
            <w:vAlign w:val="top"/>
          </w:tcPr>
          <w:p w14:paraId="68E2E76D">
            <w:pPr>
              <w:pStyle w:val="175"/>
              <w:spacing w:before="208"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vAlign w:val="top"/>
          </w:tcPr>
          <w:p w14:paraId="759CB992">
            <w:pPr>
              <w:spacing w:before="245"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2A4AECE0">
            <w:pPr>
              <w:pStyle w:val="175"/>
              <w:spacing w:before="208"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焊缝两端各</w:t>
            </w:r>
            <w:r>
              <w:rPr>
                <w:rFonts w:hint="eastAsia" w:ascii="宋体" w:hAnsi="宋体" w:eastAsia="宋体" w:cs="宋体"/>
                <w:spacing w:val="-39"/>
                <w:sz w:val="21"/>
                <w:szCs w:val="21"/>
              </w:rPr>
              <w:t xml:space="preserve"> </w:t>
            </w:r>
            <w:r>
              <w:rPr>
                <w:rFonts w:hint="eastAsia" w:ascii="宋体" w:hAnsi="宋体" w:eastAsia="宋体" w:cs="宋体"/>
                <w:spacing w:val="-2"/>
                <w:sz w:val="21"/>
                <w:szCs w:val="21"/>
              </w:rPr>
              <w:t>500mm</w:t>
            </w:r>
          </w:p>
        </w:tc>
        <w:tc>
          <w:tcPr>
            <w:tcW w:w="1327" w:type="dxa"/>
            <w:vAlign w:val="top"/>
          </w:tcPr>
          <w:p w14:paraId="1351FACD">
            <w:pPr>
              <w:spacing w:before="241"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GB/T</w:t>
            </w:r>
            <w:r>
              <w:rPr>
                <w:rFonts w:hint="eastAsia" w:ascii="宋体" w:hAnsi="宋体" w:eastAsia="宋体" w:cs="宋体"/>
                <w:spacing w:val="18"/>
                <w:w w:val="101"/>
                <w:sz w:val="21"/>
                <w:szCs w:val="21"/>
              </w:rPr>
              <w:t xml:space="preserve"> </w:t>
            </w:r>
            <w:r>
              <w:rPr>
                <w:rFonts w:hint="eastAsia" w:ascii="宋体" w:hAnsi="宋体" w:eastAsia="宋体" w:cs="宋体"/>
                <w:spacing w:val="-4"/>
                <w:sz w:val="21"/>
                <w:szCs w:val="21"/>
              </w:rPr>
              <w:t>11345</w:t>
            </w:r>
          </w:p>
        </w:tc>
        <w:tc>
          <w:tcPr>
            <w:tcW w:w="1258" w:type="dxa"/>
            <w:tcBorders>
              <w:right w:val="single" w:color="000000" w:sz="2" w:space="0"/>
            </w:tcBorders>
            <w:vAlign w:val="top"/>
          </w:tcPr>
          <w:p w14:paraId="4C5BFB85">
            <w:pPr>
              <w:jc w:val="center"/>
              <w:rPr>
                <w:rFonts w:hint="eastAsia" w:ascii="宋体" w:hAnsi="宋体" w:eastAsia="宋体" w:cs="宋体"/>
                <w:sz w:val="21"/>
                <w:szCs w:val="21"/>
              </w:rPr>
            </w:pPr>
          </w:p>
        </w:tc>
      </w:tr>
      <w:tr w14:paraId="75E2F4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2452CEF4">
            <w:pPr>
              <w:pStyle w:val="175"/>
              <w:spacing w:before="51" w:line="249" w:lineRule="auto"/>
              <w:ind w:right="116"/>
              <w:jc w:val="center"/>
              <w:rPr>
                <w:rFonts w:hint="eastAsia" w:ascii="宋体" w:hAnsi="宋体" w:eastAsia="宋体" w:cs="宋体"/>
                <w:sz w:val="21"/>
                <w:szCs w:val="21"/>
              </w:rPr>
            </w:pPr>
            <w:r>
              <w:rPr>
                <w:rFonts w:hint="eastAsia" w:ascii="宋体" w:hAnsi="宋体" w:eastAsia="宋体" w:cs="宋体"/>
                <w:spacing w:val="-2"/>
                <w:sz w:val="21"/>
                <w:szCs w:val="21"/>
              </w:rPr>
              <w:t>顶（底）板</w:t>
            </w:r>
            <w:r>
              <w:rPr>
                <w:rFonts w:hint="eastAsia" w:ascii="宋体" w:hAnsi="宋体" w:eastAsia="宋体" w:cs="宋体"/>
                <w:spacing w:val="-44"/>
                <w:sz w:val="21"/>
                <w:szCs w:val="21"/>
              </w:rPr>
              <w:t xml:space="preserve"> </w:t>
            </w:r>
            <w:r>
              <w:rPr>
                <w:rFonts w:hint="eastAsia" w:ascii="宋体" w:hAnsi="宋体" w:eastAsia="宋体" w:cs="宋体"/>
                <w:spacing w:val="-2"/>
                <w:sz w:val="21"/>
                <w:szCs w:val="21"/>
              </w:rPr>
              <w:t>T 形</w:t>
            </w:r>
            <w:r>
              <w:rPr>
                <w:rFonts w:hint="eastAsia" w:ascii="宋体" w:hAnsi="宋体" w:eastAsia="宋体" w:cs="宋体"/>
                <w:sz w:val="21"/>
                <w:szCs w:val="21"/>
              </w:rPr>
              <w:t xml:space="preserve"> </w:t>
            </w:r>
            <w:r>
              <w:rPr>
                <w:rFonts w:hint="eastAsia" w:ascii="宋体" w:hAnsi="宋体" w:eastAsia="宋体" w:cs="宋体"/>
                <w:spacing w:val="-2"/>
                <w:sz w:val="21"/>
                <w:szCs w:val="21"/>
              </w:rPr>
              <w:t>肋角焊缝</w:t>
            </w:r>
          </w:p>
        </w:tc>
        <w:tc>
          <w:tcPr>
            <w:tcW w:w="657" w:type="dxa"/>
            <w:vAlign w:val="top"/>
          </w:tcPr>
          <w:p w14:paraId="5862B23D">
            <w:pPr>
              <w:pStyle w:val="175"/>
              <w:spacing w:before="207"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II级</w:t>
            </w:r>
          </w:p>
        </w:tc>
        <w:tc>
          <w:tcPr>
            <w:tcW w:w="974" w:type="dxa"/>
            <w:vAlign w:val="top"/>
          </w:tcPr>
          <w:p w14:paraId="0D98DC1A">
            <w:pPr>
              <w:pStyle w:val="175"/>
              <w:spacing w:before="207"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vAlign w:val="top"/>
          </w:tcPr>
          <w:p w14:paraId="0A59755C">
            <w:pPr>
              <w:spacing w:before="243"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61392A8F">
            <w:pPr>
              <w:pStyle w:val="175"/>
              <w:spacing w:before="207"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每条焊缝两端各</w:t>
            </w:r>
            <w:r>
              <w:rPr>
                <w:rFonts w:hint="eastAsia" w:ascii="宋体" w:hAnsi="宋体" w:eastAsia="宋体" w:cs="宋体"/>
                <w:spacing w:val="-48"/>
                <w:sz w:val="21"/>
                <w:szCs w:val="21"/>
              </w:rPr>
              <w:t xml:space="preserve"> </w:t>
            </w:r>
            <w:r>
              <w:rPr>
                <w:rFonts w:hint="eastAsia" w:ascii="宋体" w:hAnsi="宋体" w:eastAsia="宋体" w:cs="宋体"/>
                <w:spacing w:val="-1"/>
                <w:sz w:val="21"/>
                <w:szCs w:val="21"/>
              </w:rPr>
              <w:t>2m</w:t>
            </w:r>
          </w:p>
        </w:tc>
        <w:tc>
          <w:tcPr>
            <w:tcW w:w="1327" w:type="dxa"/>
            <w:vAlign w:val="top"/>
          </w:tcPr>
          <w:p w14:paraId="2D931274">
            <w:pPr>
              <w:spacing w:before="239"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GB/T</w:t>
            </w:r>
            <w:r>
              <w:rPr>
                <w:rFonts w:hint="eastAsia" w:ascii="宋体" w:hAnsi="宋体" w:eastAsia="宋体" w:cs="宋体"/>
                <w:spacing w:val="18"/>
                <w:w w:val="101"/>
                <w:sz w:val="21"/>
                <w:szCs w:val="21"/>
              </w:rPr>
              <w:t xml:space="preserve"> </w:t>
            </w:r>
            <w:r>
              <w:rPr>
                <w:rFonts w:hint="eastAsia" w:ascii="宋体" w:hAnsi="宋体" w:eastAsia="宋体" w:cs="宋体"/>
                <w:spacing w:val="-4"/>
                <w:sz w:val="21"/>
                <w:szCs w:val="21"/>
              </w:rPr>
              <w:t>11345</w:t>
            </w:r>
          </w:p>
        </w:tc>
        <w:tc>
          <w:tcPr>
            <w:tcW w:w="1258" w:type="dxa"/>
            <w:tcBorders>
              <w:right w:val="single" w:color="000000" w:sz="2" w:space="0"/>
            </w:tcBorders>
            <w:vAlign w:val="top"/>
          </w:tcPr>
          <w:p w14:paraId="6CCC0B48">
            <w:pPr>
              <w:jc w:val="center"/>
              <w:rPr>
                <w:rFonts w:hint="eastAsia" w:ascii="宋体" w:hAnsi="宋体" w:eastAsia="宋体" w:cs="宋体"/>
                <w:sz w:val="21"/>
                <w:szCs w:val="21"/>
              </w:rPr>
            </w:pPr>
          </w:p>
        </w:tc>
      </w:tr>
      <w:tr w14:paraId="1B8BAE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1741" w:type="dxa"/>
            <w:tcBorders>
              <w:left w:val="single" w:color="000000" w:sz="2" w:space="0"/>
            </w:tcBorders>
            <w:vAlign w:val="top"/>
          </w:tcPr>
          <w:p w14:paraId="447D0A74">
            <w:pPr>
              <w:pStyle w:val="175"/>
              <w:spacing w:before="190" w:line="221" w:lineRule="auto"/>
              <w:jc w:val="center"/>
              <w:rPr>
                <w:rFonts w:hint="eastAsia" w:ascii="宋体" w:hAnsi="宋体" w:eastAsia="宋体" w:cs="宋体"/>
                <w:sz w:val="21"/>
                <w:szCs w:val="21"/>
              </w:rPr>
            </w:pPr>
            <w:r>
              <w:rPr>
                <w:rFonts w:hint="eastAsia" w:ascii="宋体" w:hAnsi="宋体" w:eastAsia="宋体" w:cs="宋体"/>
                <w:spacing w:val="-1"/>
                <w:sz w:val="21"/>
                <w:szCs w:val="21"/>
              </w:rPr>
              <w:t>T 形肋对接焊缝</w:t>
            </w:r>
          </w:p>
        </w:tc>
        <w:tc>
          <w:tcPr>
            <w:tcW w:w="657" w:type="dxa"/>
            <w:vAlign w:val="top"/>
          </w:tcPr>
          <w:p w14:paraId="071C36BD">
            <w:pPr>
              <w:pStyle w:val="175"/>
              <w:spacing w:before="191"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II级</w:t>
            </w:r>
          </w:p>
        </w:tc>
        <w:tc>
          <w:tcPr>
            <w:tcW w:w="974" w:type="dxa"/>
            <w:vAlign w:val="top"/>
          </w:tcPr>
          <w:p w14:paraId="47334736">
            <w:pPr>
              <w:pStyle w:val="175"/>
              <w:spacing w:before="190"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vAlign w:val="top"/>
          </w:tcPr>
          <w:p w14:paraId="64A29711">
            <w:pPr>
              <w:spacing w:before="227"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3E524C22">
            <w:pPr>
              <w:pStyle w:val="175"/>
              <w:spacing w:before="190" w:line="221" w:lineRule="auto"/>
              <w:jc w:val="center"/>
              <w:rPr>
                <w:rFonts w:hint="eastAsia" w:ascii="宋体" w:hAnsi="宋体" w:eastAsia="宋体" w:cs="宋体"/>
                <w:sz w:val="21"/>
                <w:szCs w:val="21"/>
              </w:rPr>
            </w:pPr>
            <w:r>
              <w:rPr>
                <w:rFonts w:hint="eastAsia" w:ascii="宋体" w:hAnsi="宋体" w:eastAsia="宋体" w:cs="宋体"/>
                <w:spacing w:val="-2"/>
                <w:sz w:val="21"/>
                <w:szCs w:val="21"/>
              </w:rPr>
              <w:t>焊缝全长</w:t>
            </w:r>
          </w:p>
        </w:tc>
        <w:tc>
          <w:tcPr>
            <w:tcW w:w="1327" w:type="dxa"/>
            <w:vAlign w:val="top"/>
          </w:tcPr>
          <w:p w14:paraId="7ACC4989">
            <w:pPr>
              <w:spacing w:before="223"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GB/T</w:t>
            </w:r>
            <w:r>
              <w:rPr>
                <w:rFonts w:hint="eastAsia" w:ascii="宋体" w:hAnsi="宋体" w:eastAsia="宋体" w:cs="宋体"/>
                <w:spacing w:val="18"/>
                <w:w w:val="101"/>
                <w:sz w:val="21"/>
                <w:szCs w:val="21"/>
              </w:rPr>
              <w:t xml:space="preserve"> </w:t>
            </w:r>
            <w:r>
              <w:rPr>
                <w:rFonts w:hint="eastAsia" w:ascii="宋体" w:hAnsi="宋体" w:eastAsia="宋体" w:cs="宋体"/>
                <w:spacing w:val="-4"/>
                <w:sz w:val="21"/>
                <w:szCs w:val="21"/>
              </w:rPr>
              <w:t>11345</w:t>
            </w:r>
          </w:p>
        </w:tc>
        <w:tc>
          <w:tcPr>
            <w:tcW w:w="1258" w:type="dxa"/>
            <w:tcBorders>
              <w:right w:val="single" w:color="000000" w:sz="2" w:space="0"/>
            </w:tcBorders>
            <w:vAlign w:val="top"/>
          </w:tcPr>
          <w:p w14:paraId="71E49968">
            <w:pPr>
              <w:jc w:val="center"/>
              <w:rPr>
                <w:rFonts w:hint="eastAsia" w:ascii="宋体" w:hAnsi="宋体" w:eastAsia="宋体" w:cs="宋体"/>
                <w:sz w:val="21"/>
                <w:szCs w:val="21"/>
              </w:rPr>
            </w:pPr>
          </w:p>
        </w:tc>
      </w:tr>
      <w:tr w14:paraId="6C0E0E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8" w:hRule="atLeast"/>
        </w:trPr>
        <w:tc>
          <w:tcPr>
            <w:tcW w:w="1741" w:type="dxa"/>
            <w:tcBorders>
              <w:left w:val="single" w:color="000000" w:sz="2" w:space="0"/>
            </w:tcBorders>
            <w:vAlign w:val="top"/>
          </w:tcPr>
          <w:p w14:paraId="7492D183">
            <w:pPr>
              <w:pStyle w:val="175"/>
              <w:spacing w:before="51" w:line="249" w:lineRule="auto"/>
              <w:ind w:right="104"/>
              <w:jc w:val="center"/>
              <w:rPr>
                <w:rFonts w:hint="eastAsia" w:ascii="宋体" w:hAnsi="宋体" w:eastAsia="宋体" w:cs="宋体"/>
                <w:sz w:val="21"/>
                <w:szCs w:val="21"/>
              </w:rPr>
            </w:pPr>
            <w:r>
              <w:rPr>
                <w:rFonts w:hint="eastAsia" w:ascii="宋体" w:hAnsi="宋体" w:eastAsia="宋体" w:cs="宋体"/>
                <w:spacing w:val="-1"/>
                <w:sz w:val="21"/>
                <w:szCs w:val="21"/>
              </w:rPr>
              <w:t>顶板</w:t>
            </w:r>
            <w:r>
              <w:rPr>
                <w:rFonts w:hint="eastAsia" w:ascii="宋体" w:hAnsi="宋体" w:eastAsia="宋体" w:cs="宋体"/>
                <w:spacing w:val="-52"/>
                <w:sz w:val="21"/>
                <w:szCs w:val="21"/>
              </w:rPr>
              <w:t xml:space="preserve"> </w:t>
            </w:r>
            <w:r>
              <w:rPr>
                <w:rFonts w:hint="eastAsia" w:ascii="宋体" w:hAnsi="宋体" w:eastAsia="宋体" w:cs="宋体"/>
                <w:spacing w:val="-1"/>
                <w:sz w:val="21"/>
                <w:szCs w:val="21"/>
              </w:rPr>
              <w:t>U 肋坡口角</w:t>
            </w:r>
            <w:r>
              <w:rPr>
                <w:rFonts w:hint="eastAsia" w:ascii="宋体" w:hAnsi="宋体" w:eastAsia="宋体" w:cs="宋体"/>
                <w:sz w:val="21"/>
                <w:szCs w:val="21"/>
              </w:rPr>
              <w:t xml:space="preserve"> </w:t>
            </w:r>
            <w:r>
              <w:rPr>
                <w:rFonts w:hint="eastAsia" w:ascii="宋体" w:hAnsi="宋体" w:eastAsia="宋体" w:cs="宋体"/>
                <w:spacing w:val="-2"/>
                <w:sz w:val="21"/>
                <w:szCs w:val="21"/>
              </w:rPr>
              <w:t>焊缝</w:t>
            </w:r>
          </w:p>
        </w:tc>
        <w:tc>
          <w:tcPr>
            <w:tcW w:w="657" w:type="dxa"/>
            <w:vAlign w:val="top"/>
          </w:tcPr>
          <w:p w14:paraId="5FC36F2F">
            <w:pPr>
              <w:pStyle w:val="175"/>
              <w:spacing w:before="207"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II级</w:t>
            </w:r>
          </w:p>
        </w:tc>
        <w:tc>
          <w:tcPr>
            <w:tcW w:w="974" w:type="dxa"/>
            <w:vAlign w:val="top"/>
          </w:tcPr>
          <w:p w14:paraId="20CF6F05">
            <w:pPr>
              <w:pStyle w:val="175"/>
              <w:spacing w:before="207"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vAlign w:val="top"/>
          </w:tcPr>
          <w:p w14:paraId="2D0FA351">
            <w:pPr>
              <w:spacing w:before="244"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vAlign w:val="top"/>
          </w:tcPr>
          <w:p w14:paraId="582B618C">
            <w:pPr>
              <w:pStyle w:val="175"/>
              <w:spacing w:before="207"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每条焊缝两端各</w:t>
            </w:r>
            <w:r>
              <w:rPr>
                <w:rFonts w:hint="eastAsia" w:ascii="宋体" w:hAnsi="宋体" w:eastAsia="宋体" w:cs="宋体"/>
                <w:spacing w:val="-48"/>
                <w:sz w:val="21"/>
                <w:szCs w:val="21"/>
              </w:rPr>
              <w:t xml:space="preserve"> </w:t>
            </w:r>
            <w:r>
              <w:rPr>
                <w:rFonts w:hint="eastAsia" w:ascii="宋体" w:hAnsi="宋体" w:eastAsia="宋体" w:cs="宋体"/>
                <w:spacing w:val="-1"/>
                <w:sz w:val="21"/>
                <w:szCs w:val="21"/>
              </w:rPr>
              <w:t>2m</w:t>
            </w:r>
          </w:p>
        </w:tc>
        <w:tc>
          <w:tcPr>
            <w:tcW w:w="1327" w:type="dxa"/>
            <w:vAlign w:val="top"/>
          </w:tcPr>
          <w:p w14:paraId="5C9ACFD3">
            <w:pPr>
              <w:spacing w:before="240"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GB/T</w:t>
            </w:r>
            <w:r>
              <w:rPr>
                <w:rFonts w:hint="eastAsia" w:ascii="宋体" w:hAnsi="宋体" w:eastAsia="宋体" w:cs="宋体"/>
                <w:spacing w:val="18"/>
                <w:w w:val="101"/>
                <w:sz w:val="21"/>
                <w:szCs w:val="21"/>
              </w:rPr>
              <w:t xml:space="preserve"> </w:t>
            </w:r>
            <w:r>
              <w:rPr>
                <w:rFonts w:hint="eastAsia" w:ascii="宋体" w:hAnsi="宋体" w:eastAsia="宋体" w:cs="宋体"/>
                <w:spacing w:val="-4"/>
                <w:sz w:val="21"/>
                <w:szCs w:val="21"/>
              </w:rPr>
              <w:t>11345</w:t>
            </w:r>
          </w:p>
        </w:tc>
        <w:tc>
          <w:tcPr>
            <w:tcW w:w="1258" w:type="dxa"/>
            <w:tcBorders>
              <w:right w:val="single" w:color="000000" w:sz="2" w:space="0"/>
            </w:tcBorders>
            <w:vAlign w:val="top"/>
          </w:tcPr>
          <w:p w14:paraId="209421F3">
            <w:pPr>
              <w:jc w:val="center"/>
              <w:rPr>
                <w:rFonts w:hint="eastAsia" w:ascii="宋体" w:hAnsi="宋体" w:eastAsia="宋体" w:cs="宋体"/>
                <w:sz w:val="21"/>
                <w:szCs w:val="21"/>
              </w:rPr>
            </w:pPr>
          </w:p>
        </w:tc>
      </w:tr>
      <w:tr w14:paraId="56E6FC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741" w:type="dxa"/>
            <w:tcBorders>
              <w:left w:val="single" w:color="000000" w:sz="2" w:space="0"/>
              <w:bottom w:val="single" w:color="000000" w:sz="2" w:space="0"/>
            </w:tcBorders>
            <w:vAlign w:val="top"/>
          </w:tcPr>
          <w:p w14:paraId="05E4AC20">
            <w:pPr>
              <w:pStyle w:val="175"/>
              <w:spacing w:before="53" w:line="249" w:lineRule="auto"/>
              <w:ind w:right="130"/>
              <w:jc w:val="center"/>
              <w:rPr>
                <w:rFonts w:hint="eastAsia" w:ascii="宋体" w:hAnsi="宋体" w:eastAsia="宋体" w:cs="宋体"/>
                <w:sz w:val="21"/>
                <w:szCs w:val="21"/>
              </w:rPr>
            </w:pPr>
            <w:r>
              <w:rPr>
                <w:rFonts w:hint="eastAsia" w:ascii="宋体" w:hAnsi="宋体" w:eastAsia="宋体" w:cs="宋体"/>
                <w:sz w:val="21"/>
                <w:szCs w:val="21"/>
              </w:rPr>
              <w:t xml:space="preserve">U 肋嵌补段对接 </w:t>
            </w:r>
            <w:r>
              <w:rPr>
                <w:rFonts w:hint="eastAsia" w:ascii="宋体" w:hAnsi="宋体" w:eastAsia="宋体" w:cs="宋体"/>
                <w:spacing w:val="-2"/>
                <w:sz w:val="21"/>
                <w:szCs w:val="21"/>
              </w:rPr>
              <w:t>焊缝</w:t>
            </w:r>
          </w:p>
        </w:tc>
        <w:tc>
          <w:tcPr>
            <w:tcW w:w="657" w:type="dxa"/>
            <w:tcBorders>
              <w:bottom w:val="single" w:color="000000" w:sz="2" w:space="0"/>
            </w:tcBorders>
            <w:vAlign w:val="top"/>
          </w:tcPr>
          <w:p w14:paraId="445F51D8">
            <w:pPr>
              <w:pStyle w:val="175"/>
              <w:spacing w:before="208" w:line="223"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II级</w:t>
            </w:r>
          </w:p>
        </w:tc>
        <w:tc>
          <w:tcPr>
            <w:tcW w:w="974" w:type="dxa"/>
            <w:tcBorders>
              <w:bottom w:val="single" w:color="000000" w:sz="2" w:space="0"/>
            </w:tcBorders>
            <w:vAlign w:val="top"/>
          </w:tcPr>
          <w:p w14:paraId="0DB54490">
            <w:pPr>
              <w:pStyle w:val="175"/>
              <w:spacing w:before="208" w:line="22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2"/>
                <w:sz w:val="21"/>
                <w:szCs w:val="21"/>
              </w:rPr>
              <w:t>磁粉</w:t>
            </w:r>
          </w:p>
        </w:tc>
        <w:tc>
          <w:tcPr>
            <w:tcW w:w="693" w:type="dxa"/>
            <w:tcBorders>
              <w:bottom w:val="single" w:color="000000" w:sz="2" w:space="0"/>
            </w:tcBorders>
            <w:vAlign w:val="top"/>
          </w:tcPr>
          <w:p w14:paraId="1E896C9D">
            <w:pPr>
              <w:spacing w:before="244" w:line="187"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4"/>
                <w:sz w:val="21"/>
                <w:szCs w:val="21"/>
              </w:rPr>
              <w:t>100%</w:t>
            </w:r>
          </w:p>
        </w:tc>
        <w:tc>
          <w:tcPr>
            <w:tcW w:w="1865" w:type="dxa"/>
            <w:tcBorders>
              <w:bottom w:val="single" w:color="000000" w:sz="2" w:space="0"/>
            </w:tcBorders>
            <w:vAlign w:val="top"/>
          </w:tcPr>
          <w:p w14:paraId="19B14A7B">
            <w:pPr>
              <w:pStyle w:val="175"/>
              <w:spacing w:before="208" w:line="221" w:lineRule="auto"/>
              <w:jc w:val="center"/>
              <w:rPr>
                <w:rFonts w:hint="eastAsia" w:ascii="宋体" w:hAnsi="宋体" w:eastAsia="宋体" w:cs="宋体"/>
                <w:sz w:val="21"/>
                <w:szCs w:val="21"/>
              </w:rPr>
            </w:pPr>
            <w:r>
              <w:rPr>
                <w:rFonts w:hint="eastAsia" w:ascii="宋体" w:hAnsi="宋体" w:eastAsia="宋体" w:cs="宋体"/>
                <w:spacing w:val="-2"/>
                <w:sz w:val="21"/>
                <w:szCs w:val="21"/>
              </w:rPr>
              <w:t>焊缝全长</w:t>
            </w:r>
          </w:p>
        </w:tc>
        <w:tc>
          <w:tcPr>
            <w:tcW w:w="1327" w:type="dxa"/>
            <w:tcBorders>
              <w:bottom w:val="single" w:color="000000" w:sz="2" w:space="0"/>
            </w:tcBorders>
            <w:vAlign w:val="top"/>
          </w:tcPr>
          <w:p w14:paraId="5F89158E">
            <w:pPr>
              <w:spacing w:before="240" w:line="191" w:lineRule="auto"/>
              <w:ind w:left="0" w:leftChars="0" w:firstLine="0" w:firstLineChars="0"/>
              <w:jc w:val="both"/>
              <w:rPr>
                <w:rFonts w:hint="eastAsia" w:ascii="宋体" w:hAnsi="宋体" w:eastAsia="宋体" w:cs="宋体"/>
                <w:sz w:val="21"/>
                <w:szCs w:val="21"/>
              </w:rPr>
            </w:pPr>
            <w:r>
              <w:rPr>
                <w:rFonts w:hint="eastAsia" w:ascii="宋体" w:hAnsi="宋体" w:eastAsia="宋体" w:cs="宋体"/>
                <w:spacing w:val="-1"/>
                <w:sz w:val="21"/>
                <w:szCs w:val="21"/>
              </w:rPr>
              <w:t>JB/T 6061</w:t>
            </w:r>
          </w:p>
        </w:tc>
        <w:tc>
          <w:tcPr>
            <w:tcW w:w="1258" w:type="dxa"/>
            <w:tcBorders>
              <w:bottom w:val="single" w:color="000000" w:sz="2" w:space="0"/>
              <w:right w:val="single" w:color="000000" w:sz="2" w:space="0"/>
            </w:tcBorders>
            <w:vAlign w:val="top"/>
          </w:tcPr>
          <w:p w14:paraId="115291DA">
            <w:pPr>
              <w:jc w:val="center"/>
              <w:rPr>
                <w:rFonts w:hint="eastAsia" w:ascii="宋体" w:hAnsi="宋体" w:eastAsia="宋体" w:cs="宋体"/>
                <w:sz w:val="21"/>
                <w:szCs w:val="21"/>
              </w:rPr>
            </w:pPr>
          </w:p>
        </w:tc>
      </w:tr>
    </w:tbl>
    <w:p w14:paraId="51C37DF8">
      <w:pPr>
        <w:rPr>
          <w:rFonts w:hint="eastAsia"/>
          <w:b/>
          <w:sz w:val="21"/>
          <w:szCs w:val="21"/>
        </w:rPr>
      </w:pPr>
      <w:r>
        <w:rPr>
          <w:rFonts w:hint="eastAsia"/>
          <w:b/>
          <w:sz w:val="21"/>
          <w:szCs w:val="21"/>
        </w:rPr>
        <w:t>注</w:t>
      </w:r>
      <w:r>
        <w:rPr>
          <w:rFonts w:hint="eastAsia"/>
          <w:b/>
          <w:sz w:val="21"/>
          <w:szCs w:val="21"/>
          <w:lang w:eastAsia="zh-CN"/>
        </w:rPr>
        <w:t>：</w:t>
      </w:r>
      <w:r>
        <w:rPr>
          <w:rFonts w:hint="eastAsia"/>
          <w:b/>
          <w:sz w:val="21"/>
          <w:szCs w:val="21"/>
        </w:rPr>
        <w:t>（</w:t>
      </w:r>
      <w:r>
        <w:rPr>
          <w:b/>
          <w:sz w:val="21"/>
          <w:szCs w:val="21"/>
        </w:rPr>
        <w:t>1</w:t>
      </w:r>
      <w:r>
        <w:rPr>
          <w:rFonts w:hint="eastAsia"/>
          <w:b/>
          <w:sz w:val="21"/>
          <w:szCs w:val="21"/>
        </w:rPr>
        <w:t>）无损检验的检查比例指被检验接头数量与该类型焊缝全部接头数量之比。</w:t>
      </w:r>
    </w:p>
    <w:p w14:paraId="36E3AFA3">
      <w:pPr>
        <w:pStyle w:val="22"/>
        <w:rPr>
          <w:rFonts w:hint="eastAsia" w:asciiTheme="minorEastAsia" w:hAnsiTheme="minorEastAsia" w:eastAsiaTheme="minorEastAsia"/>
          <w:b w:val="0"/>
          <w:bCs w:val="0"/>
          <w:color w:val="auto"/>
          <w:highlight w:val="none"/>
          <w:lang w:val="en-US" w:eastAsia="zh-CN"/>
        </w:rPr>
      </w:pPr>
    </w:p>
    <w:p w14:paraId="23ACEF2F">
      <w:pPr>
        <w:pStyle w:val="22"/>
        <w:rPr>
          <w:rFonts w:hint="default" w:asciiTheme="minorEastAsia" w:hAnsiTheme="minorEastAsia" w:eastAsiaTheme="minorEastAsia"/>
          <w:b w:val="0"/>
          <w:bCs w:val="0"/>
          <w:color w:val="auto"/>
          <w:highlight w:val="none"/>
          <w:lang w:val="en-US" w:eastAsia="zh-CN"/>
        </w:rPr>
        <w:sectPr>
          <w:footerReference r:id="rId8"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720" w:num="1"/>
          <w:docGrid w:linePitch="326" w:charSpace="0"/>
        </w:sectPr>
      </w:pPr>
    </w:p>
    <w:p w14:paraId="1F59BDBA">
      <w:pPr>
        <w:pStyle w:val="6"/>
        <w:bidi w:val="0"/>
        <w:rPr>
          <w:rFonts w:hint="eastAsia"/>
          <w:lang w:val="en-US" w:eastAsia="zh-CN"/>
        </w:rPr>
      </w:pPr>
      <w:bookmarkStart w:id="1150" w:name="_Toc19025158"/>
      <w:r>
        <w:rPr>
          <w:rFonts w:hint="eastAsia"/>
          <w:lang w:val="en-US" w:eastAsia="zh-CN"/>
        </w:rPr>
        <w:t>8.2.6.6钢箱梁运输方案</w:t>
      </w:r>
      <w:bookmarkEnd w:id="1150"/>
    </w:p>
    <w:p w14:paraId="137C8193">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51" w:name="_Toc19025159"/>
      <w:bookmarkStart w:id="1152" w:name="_Toc469122418"/>
      <w:r>
        <w:rPr>
          <w:rFonts w:hint="eastAsia" w:asciiTheme="minorEastAsia" w:hAnsiTheme="minorEastAsia" w:eastAsiaTheme="minorEastAsia"/>
          <w:b w:val="0"/>
          <w:bCs w:val="0"/>
          <w:color w:val="auto"/>
          <w:highlight w:val="none"/>
          <w:lang w:val="en-US" w:eastAsia="zh-CN"/>
        </w:rPr>
        <w:t>1、成品、半成品保证措施</w:t>
      </w:r>
      <w:bookmarkEnd w:id="1151"/>
      <w:bookmarkEnd w:id="1152"/>
    </w:p>
    <w:p w14:paraId="32B3F31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为保证成品和半成品的质量满足设计及规范要求，对现场施工人员作出如下要求：</w:t>
      </w:r>
    </w:p>
    <w:p w14:paraId="05EFE03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（1）积极地做好现场文明施工，对全员进行成品、半成品保护的职业道德教育。</w:t>
      </w:r>
    </w:p>
    <w:p w14:paraId="1D27383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（2）各班组、各专业施工队伍转入下道工序施工前必须做好末工序交接工作台账，接方必须实施可靠的措施，以保证不损坏上道工序的成品。</w:t>
      </w:r>
    </w:p>
    <w:p w14:paraId="3EB23D9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（3）对于涂装的构件，在搬运、堆放时，任何人不得在构件上行走或踩踏，以免破坏涂装质量。</w:t>
      </w:r>
    </w:p>
    <w:p w14:paraId="0CBCB3D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（4）成品上不得堆放其它物件；</w:t>
      </w:r>
    </w:p>
    <w:p w14:paraId="0B4A71A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（5）钢构件需要运输时，加垫枕木并将构件捆绑牢靠，应注意防止磕碰，防止在地面拖拉，防止涂层损坏。</w:t>
      </w:r>
    </w:p>
    <w:p w14:paraId="76AD13C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（6）吊装由专人指挥，信号准确，起重人员操作熟练，避免吊装时构件碰撞而损伤。</w:t>
      </w:r>
    </w:p>
    <w:p w14:paraId="77700F8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（7）严禁在构件上随意敲打、焊接、切割、涂刷。</w:t>
      </w:r>
    </w:p>
    <w:p w14:paraId="61738C0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（8）不得对已完工构件随意焊割、空中堆物，对制作完毕并经检测合格的焊缝、接点板处马上进行清理，并按要求进行封闭。</w:t>
      </w:r>
    </w:p>
    <w:p w14:paraId="7920AC1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（9）涂装后的钢构件禁止接触酸类液体，防止咬伤涂层。</w:t>
      </w:r>
    </w:p>
    <w:p w14:paraId="7F8B094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（10）涂装前，对其他半成品采用彩布条做好遮蔽保护，防止污染。</w:t>
      </w:r>
    </w:p>
    <w:p w14:paraId="4E28292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（11）做好涂料涂层的维护与修理工作。如遇剧烈震动、机械碰撞或暴雨袭击等，应检查涂层有无受损，并及时对涂层受损部位进行修补。</w:t>
      </w:r>
    </w:p>
    <w:p w14:paraId="0B73D3A0">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（12）对被污染的构件要及时清理，对被损伤的构件进行返修。</w:t>
      </w:r>
    </w:p>
    <w:p w14:paraId="56EDB21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（13）由成品半成品保护专职人员按区域或楼层范围进行值班保护工作，并按规定职责，制度做好所有成品保护工作。</w:t>
      </w:r>
    </w:p>
    <w:p w14:paraId="35ED99B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（14）装卸车做到轻装轻卸，捆绑牢固，防止运输及装卸散落、损坏。</w:t>
      </w:r>
    </w:p>
    <w:p w14:paraId="113B3B84">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53" w:name="_Toc472868555"/>
      <w:r>
        <w:rPr>
          <w:rFonts w:hint="eastAsia" w:asciiTheme="minorEastAsia" w:hAnsiTheme="minorEastAsia" w:eastAsiaTheme="minorEastAsia"/>
          <w:b w:val="0"/>
          <w:bCs w:val="0"/>
          <w:color w:val="auto"/>
          <w:highlight w:val="none"/>
          <w:lang w:val="en-US" w:eastAsia="zh-CN"/>
        </w:rPr>
        <w:t>（15）</w:t>
      </w:r>
      <w:bookmarkEnd w:id="1153"/>
      <w:r>
        <w:rPr>
          <w:rFonts w:hint="eastAsia" w:asciiTheme="minorEastAsia" w:hAnsiTheme="minorEastAsia" w:eastAsiaTheme="minorEastAsia"/>
          <w:b w:val="0"/>
          <w:bCs w:val="0"/>
          <w:color w:val="auto"/>
          <w:highlight w:val="none"/>
          <w:lang w:val="en-US" w:eastAsia="zh-CN"/>
        </w:rPr>
        <w:t>钢箱梁运输防变形措施：</w:t>
      </w:r>
    </w:p>
    <w:p w14:paraId="5B02FCE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 钢箱梁运输时，应用钢丝绳将其牢靠固定，在与钢丝绳接触边缘加垫，防止损坏钢箱梁。</w:t>
      </w:r>
    </w:p>
    <w:p w14:paraId="23A4995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 装车卸车时，吊车臂起落要平稳。运输过程中，汽车低速行驶，禁止忽快忽慢，避免晃动引起构件损坏、变形现象。</w:t>
      </w:r>
    </w:p>
    <w:p w14:paraId="6507E62A">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54" w:name="_Toc19025160"/>
      <w:bookmarkStart w:id="1155" w:name="_Toc433018156"/>
      <w:bookmarkStart w:id="1156" w:name="_Toc469122419"/>
      <w:r>
        <w:rPr>
          <w:rFonts w:hint="eastAsia" w:asciiTheme="minorEastAsia" w:hAnsiTheme="minorEastAsia" w:eastAsiaTheme="minorEastAsia"/>
          <w:b w:val="0"/>
          <w:bCs w:val="0"/>
          <w:color w:val="auto"/>
          <w:highlight w:val="none"/>
          <w:lang w:val="en-US" w:eastAsia="zh-CN"/>
        </w:rPr>
        <w:t>2、构件存放</w:t>
      </w:r>
      <w:bookmarkEnd w:id="1154"/>
      <w:bookmarkEnd w:id="1155"/>
      <w:bookmarkEnd w:id="1156"/>
    </w:p>
    <w:p w14:paraId="7CEC83E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梁存放采用4个钢墩支撑，钢墩位置设在梁段纵腹板（或纵肋）与横隔板交叉的部位。存放场地经过平整、夯实、硬化，不会因承受梁段重量而下沉。梁段与支墩间设置垫木，如图5.1所示。梁段按吊装顺序存放，以减少周转，防止转运阻塞。切实做好成品的保护措施，确保产品安全与质量。钢箱梁存放防变形措施：</w:t>
      </w:r>
    </w:p>
    <w:p w14:paraId="5860B7F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 钢箱梁存放时将四角调平放置，防止钢箱梁长时间存放引起永久性变形。</w:t>
      </w:r>
    </w:p>
    <w:p w14:paraId="160D3DC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 钢箱梁的存放场地坚实、平整、通风且具有排水通畅。支承处应具有足够的承载力。</w:t>
      </w:r>
    </w:p>
    <w:p w14:paraId="602D6B8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 钢箱梁单层存放。</w:t>
      </w:r>
    </w:p>
    <w:p w14:paraId="3FE50EE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 钢箱梁上不得压重物，避免引起钢箱梁局部变形。</w:t>
      </w:r>
    </w:p>
    <w:p w14:paraId="63DBF96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⑤ 钢箱梁存放时按拼装顺序编号，并按吊运顺序安排储存位置，构件间要留有适当空隙，防止吊装时碰撞，导致钢箱梁变形。</w:t>
      </w:r>
    </w:p>
    <w:p w14:paraId="1014C926">
      <w:pPr>
        <w:pStyle w:val="23"/>
        <w:spacing w:line="360" w:lineRule="auto"/>
        <w:ind w:firstLine="480"/>
        <w:jc w:val="center"/>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drawing>
          <wp:inline distT="0" distB="0" distL="0" distR="0">
            <wp:extent cx="3124200" cy="2352675"/>
            <wp:effectExtent l="0" t="0" r="0" b="9525"/>
            <wp:docPr id="1588" name="图片 18" descr="1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图片 18" descr="12副本"/>
                    <pic:cNvPicPr>
                      <a:picLocks noChangeAspect="1" noChangeArrowheads="1"/>
                    </pic:cNvPicPr>
                  </pic:nvPicPr>
                  <pic:blipFill>
                    <a:blip r:embed="rId139" cstate="print"/>
                    <a:srcRect/>
                    <a:stretch>
                      <a:fillRect/>
                    </a:stretch>
                  </pic:blipFill>
                  <pic:spPr>
                    <a:xfrm>
                      <a:off x="0" y="0"/>
                      <a:ext cx="3124216" cy="2352675"/>
                    </a:xfrm>
                    <a:prstGeom prst="rect">
                      <a:avLst/>
                    </a:prstGeom>
                    <a:noFill/>
                    <a:ln w="9525">
                      <a:noFill/>
                      <a:miter lim="800000"/>
                      <a:headEnd/>
                      <a:tailEnd/>
                    </a:ln>
                  </pic:spPr>
                </pic:pic>
              </a:graphicData>
            </a:graphic>
          </wp:inline>
        </w:drawing>
      </w:r>
    </w:p>
    <w:p w14:paraId="3B140FB5">
      <w:pPr>
        <w:tabs>
          <w:tab w:val="left" w:pos="5400"/>
        </w:tabs>
        <w:spacing w:before="0" w:after="0"/>
        <w:ind w:right="26" w:rightChars="11"/>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图5.1梁段存放示意图</w:t>
      </w:r>
    </w:p>
    <w:p w14:paraId="389D3FD9">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57" w:name="_Toc433018157"/>
      <w:bookmarkStart w:id="1158" w:name="_Toc469122420"/>
      <w:bookmarkStart w:id="1159" w:name="_Toc19025161"/>
      <w:bookmarkStart w:id="1160" w:name="_Toc391114156"/>
      <w:bookmarkStart w:id="1161" w:name="_Toc418955946"/>
      <w:r>
        <w:rPr>
          <w:rFonts w:hint="eastAsia" w:asciiTheme="minorEastAsia" w:hAnsiTheme="minorEastAsia" w:eastAsiaTheme="minorEastAsia"/>
          <w:b w:val="0"/>
          <w:bCs w:val="0"/>
          <w:color w:val="auto"/>
          <w:highlight w:val="none"/>
          <w:lang w:val="en-US" w:eastAsia="zh-CN"/>
        </w:rPr>
        <w:t>3</w:t>
      </w:r>
      <w:bookmarkEnd w:id="1157"/>
      <w:bookmarkEnd w:id="1158"/>
      <w:r>
        <w:rPr>
          <w:rFonts w:hint="eastAsia" w:asciiTheme="minorEastAsia" w:hAnsiTheme="minorEastAsia" w:eastAsiaTheme="minorEastAsia"/>
          <w:b w:val="0"/>
          <w:bCs w:val="0"/>
          <w:color w:val="auto"/>
          <w:highlight w:val="none"/>
          <w:lang w:val="en-US" w:eastAsia="zh-CN"/>
        </w:rPr>
        <w:t>、车辆选型及捆绑工具</w:t>
      </w:r>
      <w:bookmarkEnd w:id="1159"/>
    </w:p>
    <w:p w14:paraId="3DD2057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（1）车辆选型</w:t>
      </w:r>
    </w:p>
    <w:p w14:paraId="4E8E553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钢箱梁为大宗物件，钢箱梁种类多，需采用多种型号重型卡车运输，车辆配置表详见表5-3.1，运输汽车图片详见图5.2。</w:t>
      </w:r>
    </w:p>
    <w:p w14:paraId="1E224179">
      <w:pPr>
        <w:pStyle w:val="22"/>
        <w:jc w:val="center"/>
        <w:rPr>
          <w:rFonts w:hint="eastAsia" w:ascii="黑体" w:hAnsi="黑体" w:eastAsia="黑体" w:cs="黑体"/>
          <w:b/>
          <w:bCs/>
          <w:sz w:val="18"/>
          <w:szCs w:val="18"/>
        </w:rPr>
      </w:pPr>
      <w:r>
        <w:rPr>
          <w:rFonts w:hint="eastAsia" w:ascii="黑体" w:hAnsi="黑体" w:eastAsia="黑体" w:cs="黑体"/>
          <w:b/>
          <w:bCs/>
          <w:color w:val="auto"/>
          <w:highlight w:val="none"/>
          <w:lang w:val="en-US" w:eastAsia="zh-CN"/>
        </w:rPr>
        <w:t>表5-3 钢箱梁运输车辆配置表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483"/>
        <w:gridCol w:w="1115"/>
        <w:gridCol w:w="1115"/>
        <w:gridCol w:w="1115"/>
        <w:gridCol w:w="2584"/>
      </w:tblGrid>
      <w:tr w14:paraId="7FF8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116" w:type="dxa"/>
            <w:shd w:val="clear" w:color="auto" w:fill="4F81BD"/>
            <w:vAlign w:val="center"/>
          </w:tcPr>
          <w:p w14:paraId="14CFA745">
            <w:pPr>
              <w:spacing w:before="0" w:after="0" w:line="240" w:lineRule="auto"/>
              <w:jc w:val="center"/>
              <w:rPr>
                <w:rFonts w:hAnsi="宋体"/>
                <w:b/>
                <w:bCs/>
                <w:color w:val="FFFFFF"/>
                <w:sz w:val="21"/>
                <w:szCs w:val="21"/>
              </w:rPr>
            </w:pPr>
            <w:r>
              <w:rPr>
                <w:rFonts w:hint="eastAsia" w:hAnsi="宋体"/>
                <w:b/>
                <w:bCs/>
                <w:color w:val="FFFFFF"/>
                <w:sz w:val="21"/>
                <w:szCs w:val="21"/>
              </w:rPr>
              <w:t>序号</w:t>
            </w:r>
          </w:p>
        </w:tc>
        <w:tc>
          <w:tcPr>
            <w:tcW w:w="1483" w:type="dxa"/>
            <w:shd w:val="clear" w:color="auto" w:fill="4F81BD"/>
            <w:vAlign w:val="center"/>
          </w:tcPr>
          <w:p w14:paraId="5D653EAD">
            <w:pPr>
              <w:spacing w:before="0" w:after="0" w:line="240" w:lineRule="auto"/>
              <w:jc w:val="center"/>
              <w:rPr>
                <w:rFonts w:hAnsi="宋体"/>
                <w:b/>
                <w:bCs/>
                <w:color w:val="FFFFFF"/>
                <w:sz w:val="21"/>
                <w:szCs w:val="21"/>
              </w:rPr>
            </w:pPr>
            <w:r>
              <w:rPr>
                <w:rFonts w:hint="eastAsia" w:hAnsi="宋体"/>
                <w:b/>
                <w:bCs/>
                <w:color w:val="FFFFFF"/>
                <w:sz w:val="21"/>
                <w:szCs w:val="21"/>
              </w:rPr>
              <w:t>车型</w:t>
            </w:r>
          </w:p>
        </w:tc>
        <w:tc>
          <w:tcPr>
            <w:tcW w:w="1115" w:type="dxa"/>
            <w:shd w:val="clear" w:color="auto" w:fill="4F81BD"/>
            <w:vAlign w:val="center"/>
          </w:tcPr>
          <w:p w14:paraId="4E6F5CFF">
            <w:pPr>
              <w:spacing w:before="0" w:after="0" w:line="240" w:lineRule="auto"/>
              <w:jc w:val="center"/>
              <w:rPr>
                <w:rFonts w:hAnsi="宋体"/>
                <w:b/>
                <w:bCs/>
                <w:color w:val="FFFFFF"/>
                <w:sz w:val="21"/>
                <w:szCs w:val="21"/>
              </w:rPr>
            </w:pPr>
            <w:r>
              <w:rPr>
                <w:rFonts w:hint="eastAsia" w:hAnsi="宋体"/>
                <w:b/>
                <w:bCs/>
                <w:color w:val="FFFFFF"/>
                <w:sz w:val="21"/>
                <w:szCs w:val="21"/>
              </w:rPr>
              <w:t>马力</w:t>
            </w:r>
          </w:p>
        </w:tc>
        <w:tc>
          <w:tcPr>
            <w:tcW w:w="1115" w:type="dxa"/>
            <w:shd w:val="clear" w:color="auto" w:fill="4F81BD"/>
            <w:vAlign w:val="center"/>
          </w:tcPr>
          <w:p w14:paraId="0067FE31">
            <w:pPr>
              <w:spacing w:before="0" w:after="0" w:line="240" w:lineRule="auto"/>
              <w:jc w:val="center"/>
              <w:rPr>
                <w:rFonts w:hAnsi="宋体"/>
                <w:b/>
                <w:bCs/>
                <w:color w:val="FFFFFF"/>
                <w:sz w:val="21"/>
                <w:szCs w:val="21"/>
              </w:rPr>
            </w:pPr>
            <w:r>
              <w:rPr>
                <w:rFonts w:hint="eastAsia" w:hAnsi="宋体"/>
                <w:b/>
                <w:bCs/>
                <w:color w:val="FFFFFF"/>
                <w:sz w:val="21"/>
                <w:szCs w:val="21"/>
              </w:rPr>
              <w:t>取力</w:t>
            </w:r>
          </w:p>
        </w:tc>
        <w:tc>
          <w:tcPr>
            <w:tcW w:w="1115" w:type="dxa"/>
            <w:shd w:val="clear" w:color="auto" w:fill="4F81BD"/>
            <w:vAlign w:val="center"/>
          </w:tcPr>
          <w:p w14:paraId="37ABDAF8">
            <w:pPr>
              <w:spacing w:before="0" w:after="0" w:line="240" w:lineRule="auto"/>
              <w:jc w:val="center"/>
              <w:rPr>
                <w:rFonts w:hAnsi="宋体"/>
                <w:b/>
                <w:bCs/>
                <w:color w:val="FFFFFF"/>
                <w:sz w:val="21"/>
                <w:szCs w:val="21"/>
              </w:rPr>
            </w:pPr>
            <w:r>
              <w:rPr>
                <w:rFonts w:hint="eastAsia" w:hAnsi="宋体"/>
                <w:b/>
                <w:bCs/>
                <w:color w:val="FFFFFF"/>
                <w:sz w:val="21"/>
                <w:szCs w:val="21"/>
              </w:rPr>
              <w:t>数量</w:t>
            </w:r>
          </w:p>
        </w:tc>
        <w:tc>
          <w:tcPr>
            <w:tcW w:w="2584" w:type="dxa"/>
            <w:shd w:val="clear" w:color="auto" w:fill="4F81BD"/>
            <w:vAlign w:val="center"/>
          </w:tcPr>
          <w:p w14:paraId="71EB564A">
            <w:pPr>
              <w:spacing w:before="0" w:after="0" w:line="240" w:lineRule="auto"/>
              <w:jc w:val="center"/>
              <w:rPr>
                <w:rFonts w:hAnsi="宋体"/>
                <w:b/>
                <w:bCs/>
                <w:color w:val="FFFFFF"/>
                <w:sz w:val="21"/>
                <w:szCs w:val="21"/>
              </w:rPr>
            </w:pPr>
            <w:r>
              <w:rPr>
                <w:rFonts w:hint="eastAsia" w:hAnsi="宋体"/>
                <w:b/>
                <w:bCs/>
                <w:color w:val="FFFFFF"/>
                <w:sz w:val="21"/>
                <w:szCs w:val="21"/>
              </w:rPr>
              <w:t>备注</w:t>
            </w:r>
          </w:p>
        </w:tc>
      </w:tr>
      <w:tr w14:paraId="14CFE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1116" w:type="dxa"/>
            <w:vAlign w:val="center"/>
          </w:tcPr>
          <w:p w14:paraId="14B56A92">
            <w:pPr>
              <w:spacing w:before="0" w:after="0" w:line="240" w:lineRule="auto"/>
              <w:jc w:val="center"/>
              <w:rPr>
                <w:rFonts w:hAnsi="宋体"/>
                <w:sz w:val="21"/>
                <w:szCs w:val="21"/>
              </w:rPr>
            </w:pPr>
            <w:r>
              <w:rPr>
                <w:rFonts w:hint="eastAsia" w:hAnsi="宋体"/>
                <w:sz w:val="21"/>
                <w:szCs w:val="21"/>
              </w:rPr>
              <w:t>1</w:t>
            </w:r>
          </w:p>
        </w:tc>
        <w:tc>
          <w:tcPr>
            <w:tcW w:w="1483" w:type="dxa"/>
            <w:vAlign w:val="center"/>
          </w:tcPr>
          <w:p w14:paraId="089398D3">
            <w:pPr>
              <w:spacing w:before="0" w:after="0" w:line="240" w:lineRule="auto"/>
              <w:jc w:val="center"/>
              <w:rPr>
                <w:rFonts w:hAnsi="宋体"/>
                <w:sz w:val="21"/>
                <w:szCs w:val="21"/>
              </w:rPr>
            </w:pPr>
            <w:r>
              <w:rPr>
                <w:rFonts w:hint="eastAsia" w:hAnsi="宋体"/>
                <w:sz w:val="21"/>
                <w:szCs w:val="21"/>
              </w:rPr>
              <w:t>解放</w:t>
            </w:r>
          </w:p>
        </w:tc>
        <w:tc>
          <w:tcPr>
            <w:tcW w:w="1115" w:type="dxa"/>
            <w:vAlign w:val="center"/>
          </w:tcPr>
          <w:p w14:paraId="31258B49">
            <w:pPr>
              <w:spacing w:before="0" w:after="0" w:line="240" w:lineRule="auto"/>
              <w:jc w:val="center"/>
              <w:rPr>
                <w:rFonts w:hAnsi="宋体"/>
                <w:sz w:val="21"/>
                <w:szCs w:val="21"/>
              </w:rPr>
            </w:pPr>
            <w:r>
              <w:rPr>
                <w:rFonts w:hint="eastAsia" w:hAnsi="宋体"/>
                <w:sz w:val="21"/>
                <w:szCs w:val="21"/>
              </w:rPr>
              <w:t>310</w:t>
            </w:r>
          </w:p>
        </w:tc>
        <w:tc>
          <w:tcPr>
            <w:tcW w:w="1115" w:type="dxa"/>
            <w:vAlign w:val="center"/>
          </w:tcPr>
          <w:p w14:paraId="7DEA6BC3">
            <w:pPr>
              <w:spacing w:before="0" w:after="0" w:line="240" w:lineRule="auto"/>
              <w:jc w:val="center"/>
              <w:rPr>
                <w:rFonts w:hAnsi="宋体"/>
                <w:sz w:val="21"/>
                <w:szCs w:val="21"/>
              </w:rPr>
            </w:pPr>
            <w:r>
              <w:rPr>
                <w:rFonts w:hint="eastAsia" w:hAnsi="宋体"/>
                <w:sz w:val="21"/>
                <w:szCs w:val="21"/>
              </w:rPr>
              <w:t>双桥</w:t>
            </w:r>
          </w:p>
        </w:tc>
        <w:tc>
          <w:tcPr>
            <w:tcW w:w="1115" w:type="dxa"/>
            <w:vAlign w:val="center"/>
          </w:tcPr>
          <w:p w14:paraId="79CBF02B">
            <w:pPr>
              <w:spacing w:before="0" w:after="0" w:line="240" w:lineRule="auto"/>
              <w:jc w:val="center"/>
              <w:rPr>
                <w:rFonts w:hAnsi="宋体"/>
                <w:sz w:val="21"/>
                <w:szCs w:val="21"/>
              </w:rPr>
            </w:pPr>
            <w:r>
              <w:rPr>
                <w:rFonts w:hint="eastAsia" w:hAnsi="宋体"/>
                <w:sz w:val="21"/>
                <w:szCs w:val="21"/>
              </w:rPr>
              <w:t>2</w:t>
            </w:r>
          </w:p>
        </w:tc>
        <w:tc>
          <w:tcPr>
            <w:tcW w:w="2584" w:type="dxa"/>
            <w:vAlign w:val="center"/>
          </w:tcPr>
          <w:p w14:paraId="5E7A19AE">
            <w:pPr>
              <w:spacing w:before="0" w:after="0" w:line="240" w:lineRule="auto"/>
              <w:jc w:val="center"/>
              <w:rPr>
                <w:rFonts w:hAnsi="宋体"/>
                <w:sz w:val="21"/>
                <w:szCs w:val="21"/>
              </w:rPr>
            </w:pPr>
            <w:r>
              <w:rPr>
                <w:rFonts w:hint="eastAsia" w:hAnsi="宋体"/>
                <w:sz w:val="21"/>
                <w:szCs w:val="21"/>
              </w:rPr>
              <w:t>1000－20－18</w:t>
            </w:r>
          </w:p>
        </w:tc>
      </w:tr>
      <w:tr w14:paraId="3DCF0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116" w:type="dxa"/>
            <w:vAlign w:val="center"/>
          </w:tcPr>
          <w:p w14:paraId="13E5CEE7">
            <w:pPr>
              <w:spacing w:before="0" w:after="0" w:line="240" w:lineRule="auto"/>
              <w:jc w:val="center"/>
              <w:rPr>
                <w:rFonts w:hAnsi="宋体"/>
                <w:sz w:val="21"/>
                <w:szCs w:val="21"/>
              </w:rPr>
            </w:pPr>
            <w:r>
              <w:rPr>
                <w:rFonts w:hint="eastAsia" w:hAnsi="宋体"/>
                <w:sz w:val="21"/>
                <w:szCs w:val="21"/>
              </w:rPr>
              <w:t>2</w:t>
            </w:r>
          </w:p>
        </w:tc>
        <w:tc>
          <w:tcPr>
            <w:tcW w:w="1483" w:type="dxa"/>
            <w:vAlign w:val="center"/>
          </w:tcPr>
          <w:p w14:paraId="701A2F6B">
            <w:pPr>
              <w:spacing w:before="0" w:after="0" w:line="240" w:lineRule="auto"/>
              <w:jc w:val="center"/>
              <w:rPr>
                <w:rFonts w:hAnsi="宋体"/>
                <w:sz w:val="21"/>
                <w:szCs w:val="21"/>
              </w:rPr>
            </w:pPr>
            <w:r>
              <w:rPr>
                <w:rFonts w:hint="eastAsia" w:hAnsi="宋体"/>
                <w:sz w:val="21"/>
                <w:szCs w:val="21"/>
              </w:rPr>
              <w:t>斯太尔</w:t>
            </w:r>
          </w:p>
        </w:tc>
        <w:tc>
          <w:tcPr>
            <w:tcW w:w="1115" w:type="dxa"/>
            <w:vAlign w:val="center"/>
          </w:tcPr>
          <w:p w14:paraId="6CF6E8C1">
            <w:pPr>
              <w:spacing w:before="0" w:after="0" w:line="240" w:lineRule="auto"/>
              <w:jc w:val="center"/>
              <w:rPr>
                <w:rFonts w:hAnsi="宋体"/>
                <w:sz w:val="21"/>
                <w:szCs w:val="21"/>
              </w:rPr>
            </w:pPr>
            <w:r>
              <w:rPr>
                <w:rFonts w:hint="eastAsia" w:hAnsi="宋体"/>
                <w:sz w:val="21"/>
                <w:szCs w:val="21"/>
              </w:rPr>
              <w:t>360</w:t>
            </w:r>
          </w:p>
        </w:tc>
        <w:tc>
          <w:tcPr>
            <w:tcW w:w="1115" w:type="dxa"/>
            <w:vAlign w:val="center"/>
          </w:tcPr>
          <w:p w14:paraId="75E2FBC7">
            <w:pPr>
              <w:spacing w:before="0" w:after="0" w:line="240" w:lineRule="auto"/>
              <w:jc w:val="center"/>
              <w:rPr>
                <w:rFonts w:hAnsi="宋体"/>
                <w:sz w:val="21"/>
                <w:szCs w:val="21"/>
              </w:rPr>
            </w:pPr>
            <w:r>
              <w:rPr>
                <w:rFonts w:hint="eastAsia" w:hAnsi="宋体"/>
                <w:sz w:val="21"/>
                <w:szCs w:val="21"/>
              </w:rPr>
              <w:t>双桥</w:t>
            </w:r>
          </w:p>
        </w:tc>
        <w:tc>
          <w:tcPr>
            <w:tcW w:w="1115" w:type="dxa"/>
            <w:vAlign w:val="center"/>
          </w:tcPr>
          <w:p w14:paraId="56A00117">
            <w:pPr>
              <w:spacing w:before="0" w:after="0" w:line="240" w:lineRule="auto"/>
              <w:jc w:val="center"/>
              <w:rPr>
                <w:rFonts w:hAnsi="宋体"/>
                <w:sz w:val="21"/>
                <w:szCs w:val="21"/>
              </w:rPr>
            </w:pPr>
            <w:r>
              <w:rPr>
                <w:rFonts w:hint="eastAsia" w:hAnsi="宋体"/>
                <w:sz w:val="21"/>
                <w:szCs w:val="21"/>
              </w:rPr>
              <w:t>2</w:t>
            </w:r>
          </w:p>
        </w:tc>
        <w:tc>
          <w:tcPr>
            <w:tcW w:w="2584" w:type="dxa"/>
            <w:vAlign w:val="center"/>
          </w:tcPr>
          <w:p w14:paraId="2185069B">
            <w:pPr>
              <w:spacing w:before="0" w:after="0" w:line="240" w:lineRule="auto"/>
              <w:jc w:val="center"/>
              <w:rPr>
                <w:rFonts w:hAnsi="宋体"/>
                <w:sz w:val="21"/>
                <w:szCs w:val="21"/>
              </w:rPr>
            </w:pPr>
            <w:r>
              <w:rPr>
                <w:rFonts w:hint="eastAsia" w:hAnsi="宋体"/>
                <w:sz w:val="21"/>
                <w:szCs w:val="21"/>
              </w:rPr>
              <w:t>1200－20－18</w:t>
            </w:r>
          </w:p>
        </w:tc>
      </w:tr>
      <w:tr w14:paraId="56266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1116" w:type="dxa"/>
            <w:vAlign w:val="center"/>
          </w:tcPr>
          <w:p w14:paraId="2B643CE5">
            <w:pPr>
              <w:spacing w:before="0" w:after="0" w:line="240" w:lineRule="auto"/>
              <w:jc w:val="center"/>
              <w:rPr>
                <w:rFonts w:hAnsi="宋体"/>
                <w:sz w:val="21"/>
                <w:szCs w:val="21"/>
              </w:rPr>
            </w:pPr>
            <w:r>
              <w:rPr>
                <w:rFonts w:hint="eastAsia" w:hAnsi="宋体"/>
                <w:sz w:val="21"/>
                <w:szCs w:val="21"/>
              </w:rPr>
              <w:t>3</w:t>
            </w:r>
          </w:p>
        </w:tc>
        <w:tc>
          <w:tcPr>
            <w:tcW w:w="1483" w:type="dxa"/>
            <w:vAlign w:val="center"/>
          </w:tcPr>
          <w:p w14:paraId="6DCA079B">
            <w:pPr>
              <w:spacing w:before="0" w:after="0" w:line="240" w:lineRule="auto"/>
              <w:jc w:val="center"/>
              <w:rPr>
                <w:rFonts w:hAnsi="宋体"/>
                <w:sz w:val="21"/>
                <w:szCs w:val="21"/>
              </w:rPr>
            </w:pPr>
            <w:r>
              <w:rPr>
                <w:rFonts w:hint="eastAsia" w:hAnsi="宋体"/>
                <w:sz w:val="21"/>
                <w:szCs w:val="21"/>
              </w:rPr>
              <w:t>斯太尔</w:t>
            </w:r>
          </w:p>
        </w:tc>
        <w:tc>
          <w:tcPr>
            <w:tcW w:w="1115" w:type="dxa"/>
            <w:vAlign w:val="center"/>
          </w:tcPr>
          <w:p w14:paraId="757457B0">
            <w:pPr>
              <w:spacing w:before="0" w:after="0" w:line="240" w:lineRule="auto"/>
              <w:jc w:val="center"/>
              <w:rPr>
                <w:rFonts w:hAnsi="宋体"/>
                <w:sz w:val="21"/>
                <w:szCs w:val="21"/>
              </w:rPr>
            </w:pPr>
            <w:r>
              <w:rPr>
                <w:rFonts w:hint="eastAsia" w:hAnsi="宋体"/>
                <w:sz w:val="21"/>
                <w:szCs w:val="21"/>
              </w:rPr>
              <w:t>310</w:t>
            </w:r>
          </w:p>
        </w:tc>
        <w:tc>
          <w:tcPr>
            <w:tcW w:w="1115" w:type="dxa"/>
            <w:vAlign w:val="center"/>
          </w:tcPr>
          <w:p w14:paraId="1F9D14FE">
            <w:pPr>
              <w:spacing w:before="0" w:after="0" w:line="240" w:lineRule="auto"/>
              <w:jc w:val="center"/>
              <w:rPr>
                <w:rFonts w:hAnsi="宋体"/>
                <w:sz w:val="21"/>
                <w:szCs w:val="21"/>
              </w:rPr>
            </w:pPr>
            <w:r>
              <w:rPr>
                <w:rFonts w:hint="eastAsia" w:hAnsi="宋体"/>
                <w:sz w:val="21"/>
                <w:szCs w:val="21"/>
              </w:rPr>
              <w:t>双桥</w:t>
            </w:r>
          </w:p>
        </w:tc>
        <w:tc>
          <w:tcPr>
            <w:tcW w:w="1115" w:type="dxa"/>
            <w:vAlign w:val="center"/>
          </w:tcPr>
          <w:p w14:paraId="19C9E4AA">
            <w:pPr>
              <w:spacing w:before="0" w:after="0" w:line="240" w:lineRule="auto"/>
              <w:jc w:val="center"/>
              <w:rPr>
                <w:rFonts w:hAnsi="宋体"/>
                <w:sz w:val="21"/>
                <w:szCs w:val="21"/>
              </w:rPr>
            </w:pPr>
            <w:r>
              <w:rPr>
                <w:rFonts w:hint="eastAsia" w:hAnsi="宋体"/>
                <w:sz w:val="21"/>
                <w:szCs w:val="21"/>
              </w:rPr>
              <w:t>2</w:t>
            </w:r>
          </w:p>
        </w:tc>
        <w:tc>
          <w:tcPr>
            <w:tcW w:w="2584" w:type="dxa"/>
            <w:vAlign w:val="center"/>
          </w:tcPr>
          <w:p w14:paraId="43C0FBE1">
            <w:pPr>
              <w:spacing w:before="0" w:after="0" w:line="240" w:lineRule="auto"/>
              <w:jc w:val="center"/>
              <w:rPr>
                <w:rFonts w:hAnsi="宋体"/>
                <w:sz w:val="21"/>
                <w:szCs w:val="21"/>
              </w:rPr>
            </w:pPr>
            <w:r>
              <w:rPr>
                <w:rFonts w:hint="eastAsia" w:hAnsi="宋体"/>
                <w:sz w:val="21"/>
                <w:szCs w:val="21"/>
              </w:rPr>
              <w:t>1200－20－18</w:t>
            </w:r>
          </w:p>
        </w:tc>
      </w:tr>
      <w:tr w14:paraId="438A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116" w:type="dxa"/>
            <w:vAlign w:val="center"/>
          </w:tcPr>
          <w:p w14:paraId="7DEB5897">
            <w:pPr>
              <w:spacing w:before="0" w:after="0" w:line="240" w:lineRule="auto"/>
              <w:jc w:val="center"/>
              <w:rPr>
                <w:rFonts w:hAnsi="宋体"/>
                <w:sz w:val="21"/>
                <w:szCs w:val="21"/>
              </w:rPr>
            </w:pPr>
            <w:r>
              <w:rPr>
                <w:rFonts w:hint="eastAsia" w:hAnsi="宋体"/>
                <w:sz w:val="21"/>
                <w:szCs w:val="21"/>
              </w:rPr>
              <w:t>4</w:t>
            </w:r>
          </w:p>
        </w:tc>
        <w:tc>
          <w:tcPr>
            <w:tcW w:w="1483" w:type="dxa"/>
            <w:vAlign w:val="center"/>
          </w:tcPr>
          <w:p w14:paraId="09F033BC">
            <w:pPr>
              <w:spacing w:before="0" w:after="0" w:line="240" w:lineRule="auto"/>
              <w:jc w:val="center"/>
              <w:rPr>
                <w:rFonts w:hAnsi="宋体"/>
                <w:sz w:val="21"/>
                <w:szCs w:val="21"/>
              </w:rPr>
            </w:pPr>
            <w:r>
              <w:rPr>
                <w:rFonts w:hint="eastAsia" w:hAnsi="宋体"/>
                <w:sz w:val="21"/>
                <w:szCs w:val="21"/>
              </w:rPr>
              <w:t>红岩</w:t>
            </w:r>
          </w:p>
        </w:tc>
        <w:tc>
          <w:tcPr>
            <w:tcW w:w="1115" w:type="dxa"/>
            <w:vAlign w:val="center"/>
          </w:tcPr>
          <w:p w14:paraId="14F2D97D">
            <w:pPr>
              <w:spacing w:before="0" w:after="0" w:line="240" w:lineRule="auto"/>
              <w:jc w:val="center"/>
              <w:rPr>
                <w:rFonts w:hAnsi="宋体"/>
                <w:sz w:val="21"/>
                <w:szCs w:val="21"/>
              </w:rPr>
            </w:pPr>
            <w:r>
              <w:rPr>
                <w:rFonts w:hint="eastAsia" w:hAnsi="宋体"/>
                <w:sz w:val="21"/>
                <w:szCs w:val="21"/>
              </w:rPr>
              <w:t>280</w:t>
            </w:r>
          </w:p>
        </w:tc>
        <w:tc>
          <w:tcPr>
            <w:tcW w:w="1115" w:type="dxa"/>
            <w:vAlign w:val="center"/>
          </w:tcPr>
          <w:p w14:paraId="2F81DDF1">
            <w:pPr>
              <w:spacing w:before="0" w:after="0" w:line="240" w:lineRule="auto"/>
              <w:jc w:val="center"/>
              <w:rPr>
                <w:rFonts w:hAnsi="宋体"/>
                <w:sz w:val="21"/>
                <w:szCs w:val="21"/>
              </w:rPr>
            </w:pPr>
            <w:r>
              <w:rPr>
                <w:rFonts w:hint="eastAsia" w:hAnsi="宋体"/>
                <w:sz w:val="21"/>
                <w:szCs w:val="21"/>
              </w:rPr>
              <w:t>单桥</w:t>
            </w:r>
          </w:p>
        </w:tc>
        <w:tc>
          <w:tcPr>
            <w:tcW w:w="1115" w:type="dxa"/>
            <w:vAlign w:val="center"/>
          </w:tcPr>
          <w:p w14:paraId="6F63993C">
            <w:pPr>
              <w:spacing w:before="0" w:after="0" w:line="240" w:lineRule="auto"/>
              <w:jc w:val="center"/>
              <w:rPr>
                <w:rFonts w:hAnsi="宋体"/>
                <w:sz w:val="21"/>
                <w:szCs w:val="21"/>
              </w:rPr>
            </w:pPr>
            <w:r>
              <w:rPr>
                <w:rFonts w:hint="eastAsia" w:hAnsi="宋体"/>
                <w:sz w:val="21"/>
                <w:szCs w:val="21"/>
              </w:rPr>
              <w:t>1</w:t>
            </w:r>
          </w:p>
        </w:tc>
        <w:tc>
          <w:tcPr>
            <w:tcW w:w="2584" w:type="dxa"/>
            <w:vAlign w:val="center"/>
          </w:tcPr>
          <w:p w14:paraId="79C56CAF">
            <w:pPr>
              <w:spacing w:before="0" w:after="0" w:line="240" w:lineRule="auto"/>
              <w:jc w:val="center"/>
              <w:rPr>
                <w:rFonts w:hAnsi="宋体"/>
                <w:sz w:val="21"/>
                <w:szCs w:val="21"/>
              </w:rPr>
            </w:pPr>
            <w:r>
              <w:rPr>
                <w:rFonts w:hint="eastAsia" w:hAnsi="宋体"/>
                <w:sz w:val="21"/>
                <w:szCs w:val="21"/>
              </w:rPr>
              <w:t>1200－20－18</w:t>
            </w:r>
          </w:p>
        </w:tc>
      </w:tr>
    </w:tbl>
    <w:p w14:paraId="57905215">
      <w:pPr>
        <w:spacing w:before="0" w:after="0"/>
        <w:jc w:val="center"/>
        <w:rPr>
          <w:rFonts w:hAnsi="宋体" w:cs="宋体"/>
          <w:kern w:val="0"/>
          <w:sz w:val="21"/>
          <w:szCs w:val="21"/>
        </w:rPr>
      </w:pPr>
    </w:p>
    <w:p w14:paraId="1D13A9BA">
      <w:pPr>
        <w:spacing w:before="0" w:after="0"/>
        <w:jc w:val="center"/>
        <w:rPr>
          <w:rFonts w:hAnsi="宋体" w:cs="宋体"/>
          <w:kern w:val="0"/>
          <w:sz w:val="21"/>
          <w:szCs w:val="21"/>
        </w:rPr>
      </w:pPr>
      <w:r>
        <w:rPr>
          <w:rFonts w:hAnsi="宋体" w:cs="宋体"/>
          <w:kern w:val="0"/>
          <w:sz w:val="21"/>
          <w:szCs w:val="21"/>
        </w:rPr>
        <w:drawing>
          <wp:inline distT="0" distB="0" distL="0" distR="0">
            <wp:extent cx="4064000" cy="2546350"/>
            <wp:effectExtent l="0" t="0" r="5080" b="13970"/>
            <wp:docPr id="1589" name="图片 1589" descr="O171[VM`8FA83GI%VXNJ5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1589" descr="O171[VM`8FA83GI%VXNJ5I1"/>
                    <pic:cNvPicPr>
                      <a:picLocks noChangeAspect="1" noChangeArrowheads="1"/>
                    </pic:cNvPicPr>
                  </pic:nvPicPr>
                  <pic:blipFill>
                    <a:blip r:embed="rId140" cstate="print"/>
                    <a:srcRect/>
                    <a:stretch>
                      <a:fillRect/>
                    </a:stretch>
                  </pic:blipFill>
                  <pic:spPr>
                    <a:xfrm>
                      <a:off x="0" y="0"/>
                      <a:ext cx="4064000" cy="2546553"/>
                    </a:xfrm>
                    <a:prstGeom prst="rect">
                      <a:avLst/>
                    </a:prstGeom>
                    <a:noFill/>
                    <a:ln w="9525">
                      <a:noFill/>
                      <a:miter lim="800000"/>
                      <a:headEnd/>
                      <a:tailEnd/>
                    </a:ln>
                  </pic:spPr>
                </pic:pic>
              </a:graphicData>
            </a:graphic>
          </wp:inline>
        </w:drawing>
      </w:r>
    </w:p>
    <w:p w14:paraId="39761AED">
      <w:pPr>
        <w:pStyle w:val="22"/>
        <w:jc w:val="center"/>
        <w:rPr>
          <w:rFonts w:hint="eastAsia" w:ascii="黑体" w:hAnsi="黑体" w:eastAsia="黑体" w:cs="黑体"/>
          <w:b/>
          <w:bCs/>
          <w:color w:val="auto"/>
          <w:highlight w:val="none"/>
          <w:lang w:val="en-US" w:eastAsia="zh-CN"/>
        </w:rPr>
      </w:pPr>
      <w:r>
        <w:rPr>
          <w:rFonts w:hint="eastAsia" w:ascii="黑体" w:hAnsi="黑体" w:eastAsia="黑体" w:cs="黑体"/>
          <w:b/>
          <w:bCs/>
          <w:color w:val="auto"/>
          <w:highlight w:val="none"/>
          <w:lang w:val="en-US" w:eastAsia="zh-CN"/>
        </w:rPr>
        <w:t>图5.2 运输汽车示意图</w:t>
      </w:r>
    </w:p>
    <w:p w14:paraId="6013B6AA">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（2）捆绑工具</w:t>
      </w:r>
    </w:p>
    <w:p w14:paraId="354D64AC">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62" w:name="_Toc433018158"/>
      <w:r>
        <w:rPr>
          <w:rFonts w:hint="eastAsia" w:asciiTheme="minorEastAsia" w:hAnsiTheme="minorEastAsia" w:eastAsiaTheme="minorEastAsia"/>
          <w:b w:val="0"/>
          <w:bCs w:val="0"/>
          <w:color w:val="auto"/>
          <w:highlight w:val="none"/>
          <w:lang w:val="en-US" w:eastAsia="zh-CN"/>
        </w:rPr>
        <w:t>钢箱梁运输需要大量钢丝绳及各类捆绑工具，详见下表：</w:t>
      </w:r>
    </w:p>
    <w:tbl>
      <w:tblPr>
        <w:tblStyle w:val="47"/>
        <w:tblpPr w:leftFromText="180" w:rightFromText="180" w:vertAnchor="text" w:tblpXSpec="center" w:tblpY="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2478"/>
        <w:gridCol w:w="1938"/>
        <w:gridCol w:w="1687"/>
        <w:gridCol w:w="1194"/>
      </w:tblGrid>
      <w:tr w14:paraId="2C125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exact"/>
        </w:trPr>
        <w:tc>
          <w:tcPr>
            <w:tcW w:w="892" w:type="dxa"/>
            <w:shd w:val="clear" w:color="auto" w:fill="4F81BD"/>
            <w:vAlign w:val="center"/>
          </w:tcPr>
          <w:p w14:paraId="6362244D">
            <w:pPr>
              <w:tabs>
                <w:tab w:val="left" w:pos="5400"/>
              </w:tabs>
              <w:spacing w:before="0" w:after="0" w:line="240" w:lineRule="auto"/>
              <w:ind w:left="0" w:leftChars="0" w:right="26" w:rightChars="11" w:firstLine="0" w:firstLineChars="0"/>
              <w:jc w:val="center"/>
              <w:rPr>
                <w:rFonts w:hAnsi="宋体"/>
                <w:b/>
                <w:bCs/>
                <w:color w:val="FFFFFF"/>
                <w:sz w:val="21"/>
                <w:szCs w:val="21"/>
              </w:rPr>
            </w:pPr>
            <w:r>
              <w:rPr>
                <w:rFonts w:hint="eastAsia" w:hAnsi="宋体"/>
                <w:b/>
                <w:bCs/>
                <w:color w:val="FFFFFF"/>
                <w:sz w:val="21"/>
                <w:szCs w:val="21"/>
              </w:rPr>
              <w:t>序号</w:t>
            </w:r>
          </w:p>
        </w:tc>
        <w:tc>
          <w:tcPr>
            <w:tcW w:w="2478" w:type="dxa"/>
            <w:shd w:val="clear" w:color="auto" w:fill="4F81BD"/>
            <w:vAlign w:val="center"/>
          </w:tcPr>
          <w:p w14:paraId="0B927F07">
            <w:pPr>
              <w:tabs>
                <w:tab w:val="left" w:pos="5400"/>
              </w:tabs>
              <w:spacing w:before="0" w:after="0" w:line="240" w:lineRule="auto"/>
              <w:ind w:right="26" w:rightChars="11"/>
              <w:jc w:val="center"/>
              <w:rPr>
                <w:rFonts w:hAnsi="宋体"/>
                <w:b/>
                <w:bCs/>
                <w:color w:val="FFFFFF"/>
                <w:sz w:val="21"/>
                <w:szCs w:val="21"/>
              </w:rPr>
            </w:pPr>
            <w:r>
              <w:rPr>
                <w:rFonts w:hint="eastAsia" w:hAnsi="宋体"/>
                <w:b/>
                <w:bCs/>
                <w:color w:val="FFFFFF"/>
                <w:sz w:val="21"/>
                <w:szCs w:val="21"/>
              </w:rPr>
              <w:t>名称</w:t>
            </w:r>
          </w:p>
        </w:tc>
        <w:tc>
          <w:tcPr>
            <w:tcW w:w="1938" w:type="dxa"/>
            <w:shd w:val="clear" w:color="auto" w:fill="4F81BD"/>
            <w:vAlign w:val="center"/>
          </w:tcPr>
          <w:p w14:paraId="7AA30D59">
            <w:pPr>
              <w:tabs>
                <w:tab w:val="left" w:pos="5400"/>
              </w:tabs>
              <w:spacing w:before="0" w:after="0" w:line="240" w:lineRule="auto"/>
              <w:ind w:right="26" w:rightChars="11"/>
              <w:jc w:val="center"/>
              <w:rPr>
                <w:rFonts w:hAnsi="宋体"/>
                <w:b/>
                <w:bCs/>
                <w:color w:val="FFFFFF"/>
                <w:sz w:val="21"/>
                <w:szCs w:val="21"/>
              </w:rPr>
            </w:pPr>
            <w:r>
              <w:rPr>
                <w:rFonts w:hint="eastAsia" w:hAnsi="宋体"/>
                <w:b/>
                <w:bCs/>
                <w:color w:val="FFFFFF"/>
                <w:sz w:val="21"/>
                <w:szCs w:val="21"/>
              </w:rPr>
              <w:t>规格（</w:t>
            </w:r>
            <w:r>
              <w:rPr>
                <w:rFonts w:hint="eastAsia" w:hAnsi="宋体"/>
                <w:b/>
                <w:bCs/>
                <w:color w:val="FFFFFF"/>
                <w:sz w:val="21"/>
                <w:szCs w:val="21"/>
                <w:lang w:eastAsia="zh-CN"/>
              </w:rPr>
              <w:t>mm</w:t>
            </w:r>
            <w:r>
              <w:rPr>
                <w:rFonts w:hint="eastAsia" w:hAnsi="宋体"/>
                <w:b/>
                <w:bCs/>
                <w:color w:val="FFFFFF"/>
                <w:sz w:val="21"/>
                <w:szCs w:val="21"/>
              </w:rPr>
              <w:t>）</w:t>
            </w:r>
          </w:p>
        </w:tc>
        <w:tc>
          <w:tcPr>
            <w:tcW w:w="1687" w:type="dxa"/>
            <w:shd w:val="clear" w:color="auto" w:fill="4F81BD"/>
            <w:vAlign w:val="center"/>
          </w:tcPr>
          <w:p w14:paraId="1E6C5253">
            <w:pPr>
              <w:tabs>
                <w:tab w:val="left" w:pos="5400"/>
              </w:tabs>
              <w:spacing w:before="0" w:after="0" w:line="240" w:lineRule="auto"/>
              <w:ind w:right="26" w:rightChars="11"/>
              <w:jc w:val="center"/>
              <w:rPr>
                <w:rFonts w:hAnsi="宋体"/>
                <w:b/>
                <w:bCs/>
                <w:color w:val="FFFFFF"/>
                <w:sz w:val="21"/>
                <w:szCs w:val="21"/>
              </w:rPr>
            </w:pPr>
            <w:r>
              <w:rPr>
                <w:rFonts w:hint="eastAsia" w:hAnsi="宋体"/>
                <w:b/>
                <w:bCs/>
                <w:color w:val="FFFFFF"/>
                <w:sz w:val="21"/>
                <w:szCs w:val="21"/>
              </w:rPr>
              <w:t>数量</w:t>
            </w:r>
          </w:p>
        </w:tc>
        <w:tc>
          <w:tcPr>
            <w:tcW w:w="1194" w:type="dxa"/>
            <w:shd w:val="clear" w:color="auto" w:fill="4F81BD"/>
            <w:vAlign w:val="center"/>
          </w:tcPr>
          <w:p w14:paraId="7A85AF43">
            <w:pPr>
              <w:tabs>
                <w:tab w:val="left" w:pos="5400"/>
              </w:tabs>
              <w:spacing w:before="0" w:after="0" w:line="240" w:lineRule="auto"/>
              <w:ind w:right="26" w:rightChars="11"/>
              <w:jc w:val="center"/>
              <w:rPr>
                <w:rFonts w:hAnsi="宋体"/>
                <w:b/>
                <w:bCs/>
                <w:color w:val="FFFFFF"/>
                <w:sz w:val="21"/>
                <w:szCs w:val="21"/>
              </w:rPr>
            </w:pPr>
            <w:r>
              <w:rPr>
                <w:rFonts w:hint="eastAsia" w:hAnsi="宋体"/>
                <w:b/>
                <w:bCs/>
                <w:color w:val="FFFFFF"/>
                <w:sz w:val="21"/>
                <w:szCs w:val="21"/>
              </w:rPr>
              <w:t>备注</w:t>
            </w:r>
          </w:p>
        </w:tc>
      </w:tr>
      <w:tr w14:paraId="74168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exact"/>
        </w:trPr>
        <w:tc>
          <w:tcPr>
            <w:tcW w:w="892" w:type="dxa"/>
            <w:vAlign w:val="center"/>
          </w:tcPr>
          <w:p w14:paraId="08E29010">
            <w:pPr>
              <w:tabs>
                <w:tab w:val="left" w:pos="5400"/>
              </w:tabs>
              <w:spacing w:before="0" w:after="0" w:line="240" w:lineRule="auto"/>
              <w:ind w:right="26" w:rightChars="11"/>
              <w:jc w:val="center"/>
              <w:rPr>
                <w:rFonts w:hAnsi="宋体"/>
                <w:bCs/>
                <w:sz w:val="21"/>
                <w:szCs w:val="21"/>
              </w:rPr>
            </w:pPr>
            <w:r>
              <w:rPr>
                <w:rFonts w:hint="eastAsia" w:hAnsi="宋体"/>
                <w:bCs/>
                <w:sz w:val="21"/>
                <w:szCs w:val="21"/>
              </w:rPr>
              <w:t>1</w:t>
            </w:r>
          </w:p>
        </w:tc>
        <w:tc>
          <w:tcPr>
            <w:tcW w:w="2478" w:type="dxa"/>
            <w:vAlign w:val="center"/>
          </w:tcPr>
          <w:p w14:paraId="022BD7DE">
            <w:pPr>
              <w:tabs>
                <w:tab w:val="left" w:pos="5400"/>
              </w:tabs>
              <w:spacing w:before="0" w:after="0" w:line="240" w:lineRule="auto"/>
              <w:ind w:right="26" w:rightChars="11"/>
              <w:jc w:val="center"/>
              <w:rPr>
                <w:rFonts w:hAnsi="宋体"/>
                <w:bCs/>
                <w:sz w:val="21"/>
                <w:szCs w:val="21"/>
              </w:rPr>
            </w:pPr>
            <w:r>
              <w:rPr>
                <w:rFonts w:hint="eastAsia" w:hAnsi="宋体"/>
                <w:bCs/>
                <w:sz w:val="21"/>
                <w:szCs w:val="21"/>
              </w:rPr>
              <w:t>捆扎钢丝绳</w:t>
            </w:r>
          </w:p>
        </w:tc>
        <w:tc>
          <w:tcPr>
            <w:tcW w:w="1938" w:type="dxa"/>
            <w:vAlign w:val="center"/>
          </w:tcPr>
          <w:p w14:paraId="557624FE">
            <w:pPr>
              <w:tabs>
                <w:tab w:val="left" w:pos="5400"/>
              </w:tabs>
              <w:spacing w:before="0" w:after="0" w:line="240" w:lineRule="auto"/>
              <w:ind w:right="26" w:rightChars="11"/>
              <w:jc w:val="center"/>
              <w:rPr>
                <w:rFonts w:hAnsi="宋体"/>
                <w:bCs/>
                <w:sz w:val="21"/>
                <w:szCs w:val="21"/>
              </w:rPr>
            </w:pPr>
            <w:r>
              <w:rPr>
                <w:rFonts w:hint="eastAsia" w:hAnsi="宋体"/>
                <w:bCs/>
                <w:sz w:val="21"/>
                <w:szCs w:val="21"/>
              </w:rPr>
              <w:t>φ16</w:t>
            </w:r>
            <w:r>
              <w:rPr>
                <w:rFonts w:hAnsi="宋体"/>
                <w:bCs/>
                <w:sz w:val="21"/>
                <w:szCs w:val="21"/>
              </w:rPr>
              <w:t>～</w:t>
            </w:r>
            <w:r>
              <w:rPr>
                <w:rFonts w:hint="eastAsia" w:hAnsi="宋体"/>
                <w:bCs/>
                <w:sz w:val="21"/>
                <w:szCs w:val="21"/>
              </w:rPr>
              <w:t>20</w:t>
            </w:r>
          </w:p>
        </w:tc>
        <w:tc>
          <w:tcPr>
            <w:tcW w:w="1687" w:type="dxa"/>
            <w:vAlign w:val="center"/>
          </w:tcPr>
          <w:p w14:paraId="178EBB95">
            <w:pPr>
              <w:tabs>
                <w:tab w:val="left" w:pos="5400"/>
              </w:tabs>
              <w:spacing w:before="0" w:after="0" w:line="240" w:lineRule="auto"/>
              <w:ind w:right="26" w:rightChars="11"/>
              <w:jc w:val="center"/>
              <w:rPr>
                <w:rFonts w:hAnsi="宋体"/>
                <w:bCs/>
                <w:sz w:val="21"/>
                <w:szCs w:val="21"/>
              </w:rPr>
            </w:pPr>
            <w:r>
              <w:rPr>
                <w:rFonts w:hint="eastAsia" w:hAnsi="宋体"/>
                <w:bCs/>
                <w:sz w:val="21"/>
                <w:szCs w:val="21"/>
              </w:rPr>
              <w:t>20根</w:t>
            </w:r>
          </w:p>
        </w:tc>
        <w:tc>
          <w:tcPr>
            <w:tcW w:w="1194" w:type="dxa"/>
            <w:vAlign w:val="center"/>
          </w:tcPr>
          <w:p w14:paraId="7E72311F">
            <w:pPr>
              <w:tabs>
                <w:tab w:val="left" w:pos="5400"/>
              </w:tabs>
              <w:spacing w:before="0" w:after="0" w:line="240" w:lineRule="auto"/>
              <w:ind w:right="26" w:rightChars="11"/>
              <w:jc w:val="center"/>
              <w:rPr>
                <w:rFonts w:hAnsi="宋体"/>
                <w:bCs/>
                <w:sz w:val="21"/>
                <w:szCs w:val="21"/>
              </w:rPr>
            </w:pPr>
          </w:p>
        </w:tc>
      </w:tr>
      <w:tr w14:paraId="037BB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1" w:hRule="exact"/>
        </w:trPr>
        <w:tc>
          <w:tcPr>
            <w:tcW w:w="892" w:type="dxa"/>
            <w:vAlign w:val="center"/>
          </w:tcPr>
          <w:p w14:paraId="300D51AE">
            <w:pPr>
              <w:tabs>
                <w:tab w:val="left" w:pos="5400"/>
              </w:tabs>
              <w:spacing w:before="0" w:after="0" w:line="240" w:lineRule="auto"/>
              <w:ind w:right="26" w:rightChars="11"/>
              <w:jc w:val="center"/>
              <w:rPr>
                <w:rFonts w:hAnsi="宋体"/>
                <w:bCs/>
                <w:sz w:val="21"/>
                <w:szCs w:val="21"/>
              </w:rPr>
            </w:pPr>
            <w:r>
              <w:rPr>
                <w:rFonts w:hint="eastAsia" w:hAnsi="宋体"/>
                <w:bCs/>
                <w:sz w:val="21"/>
                <w:szCs w:val="21"/>
              </w:rPr>
              <w:t>2</w:t>
            </w:r>
          </w:p>
        </w:tc>
        <w:tc>
          <w:tcPr>
            <w:tcW w:w="2478" w:type="dxa"/>
            <w:vAlign w:val="center"/>
          </w:tcPr>
          <w:p w14:paraId="00ED9DA3">
            <w:pPr>
              <w:tabs>
                <w:tab w:val="left" w:pos="5400"/>
              </w:tabs>
              <w:spacing w:before="0" w:after="0" w:line="240" w:lineRule="auto"/>
              <w:ind w:right="26" w:rightChars="11"/>
              <w:jc w:val="center"/>
              <w:rPr>
                <w:rFonts w:hAnsi="宋体"/>
                <w:bCs/>
                <w:sz w:val="21"/>
                <w:szCs w:val="21"/>
              </w:rPr>
            </w:pPr>
            <w:r>
              <w:rPr>
                <w:rFonts w:hint="eastAsia" w:hAnsi="宋体"/>
                <w:bCs/>
                <w:sz w:val="21"/>
                <w:szCs w:val="21"/>
              </w:rPr>
              <w:t>起重钢丝绳</w:t>
            </w:r>
          </w:p>
        </w:tc>
        <w:tc>
          <w:tcPr>
            <w:tcW w:w="1938" w:type="dxa"/>
            <w:vAlign w:val="center"/>
          </w:tcPr>
          <w:p w14:paraId="6844F20D">
            <w:pPr>
              <w:tabs>
                <w:tab w:val="left" w:pos="5400"/>
              </w:tabs>
              <w:spacing w:before="0" w:after="0" w:line="240" w:lineRule="auto"/>
              <w:ind w:right="26" w:rightChars="11"/>
              <w:jc w:val="center"/>
              <w:rPr>
                <w:rFonts w:hAnsi="宋体"/>
                <w:bCs/>
                <w:sz w:val="21"/>
                <w:szCs w:val="21"/>
              </w:rPr>
            </w:pPr>
            <w:r>
              <w:rPr>
                <w:rFonts w:hint="eastAsia" w:hAnsi="宋体"/>
                <w:bCs/>
                <w:sz w:val="21"/>
                <w:szCs w:val="21"/>
              </w:rPr>
              <w:t>φ25</w:t>
            </w:r>
            <w:r>
              <w:rPr>
                <w:rFonts w:hAnsi="宋体"/>
                <w:bCs/>
                <w:sz w:val="21"/>
                <w:szCs w:val="21"/>
              </w:rPr>
              <w:t>～</w:t>
            </w:r>
            <w:r>
              <w:rPr>
                <w:rFonts w:hint="eastAsia" w:hAnsi="宋体"/>
                <w:bCs/>
                <w:sz w:val="21"/>
                <w:szCs w:val="21"/>
              </w:rPr>
              <w:t>40</w:t>
            </w:r>
          </w:p>
        </w:tc>
        <w:tc>
          <w:tcPr>
            <w:tcW w:w="1687" w:type="dxa"/>
            <w:vAlign w:val="center"/>
          </w:tcPr>
          <w:p w14:paraId="631A178E">
            <w:pPr>
              <w:tabs>
                <w:tab w:val="left" w:pos="5400"/>
              </w:tabs>
              <w:spacing w:before="0" w:after="0" w:line="240" w:lineRule="auto"/>
              <w:ind w:right="26" w:rightChars="11"/>
              <w:jc w:val="center"/>
              <w:rPr>
                <w:rFonts w:hAnsi="宋体"/>
                <w:bCs/>
                <w:sz w:val="21"/>
                <w:szCs w:val="21"/>
              </w:rPr>
            </w:pPr>
            <w:r>
              <w:rPr>
                <w:rFonts w:hint="eastAsia" w:hAnsi="宋体"/>
                <w:bCs/>
                <w:sz w:val="21"/>
                <w:szCs w:val="21"/>
              </w:rPr>
              <w:t>20根</w:t>
            </w:r>
          </w:p>
        </w:tc>
        <w:tc>
          <w:tcPr>
            <w:tcW w:w="1194" w:type="dxa"/>
            <w:vAlign w:val="center"/>
          </w:tcPr>
          <w:p w14:paraId="20CDDA9C">
            <w:pPr>
              <w:tabs>
                <w:tab w:val="left" w:pos="5400"/>
              </w:tabs>
              <w:spacing w:before="0" w:after="0" w:line="240" w:lineRule="auto"/>
              <w:ind w:right="26" w:rightChars="11" w:firstLine="482"/>
              <w:jc w:val="center"/>
              <w:rPr>
                <w:rFonts w:hAnsi="宋体"/>
                <w:bCs/>
                <w:sz w:val="21"/>
                <w:szCs w:val="21"/>
              </w:rPr>
            </w:pPr>
          </w:p>
        </w:tc>
      </w:tr>
      <w:tr w14:paraId="29345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exact"/>
        </w:trPr>
        <w:tc>
          <w:tcPr>
            <w:tcW w:w="892" w:type="dxa"/>
            <w:vAlign w:val="center"/>
          </w:tcPr>
          <w:p w14:paraId="13FF5F65">
            <w:pPr>
              <w:tabs>
                <w:tab w:val="left" w:pos="5400"/>
              </w:tabs>
              <w:spacing w:before="0" w:after="0" w:line="240" w:lineRule="auto"/>
              <w:ind w:right="26" w:rightChars="11"/>
              <w:jc w:val="center"/>
              <w:rPr>
                <w:rFonts w:hAnsi="宋体"/>
                <w:bCs/>
                <w:sz w:val="21"/>
                <w:szCs w:val="21"/>
              </w:rPr>
            </w:pPr>
            <w:r>
              <w:rPr>
                <w:rFonts w:hint="eastAsia" w:hAnsi="宋体"/>
                <w:bCs/>
                <w:sz w:val="21"/>
                <w:szCs w:val="21"/>
              </w:rPr>
              <w:t>3</w:t>
            </w:r>
          </w:p>
        </w:tc>
        <w:tc>
          <w:tcPr>
            <w:tcW w:w="2478" w:type="dxa"/>
            <w:vAlign w:val="center"/>
          </w:tcPr>
          <w:p w14:paraId="6BA10094">
            <w:pPr>
              <w:tabs>
                <w:tab w:val="left" w:pos="5400"/>
              </w:tabs>
              <w:spacing w:before="0" w:after="0" w:line="240" w:lineRule="auto"/>
              <w:ind w:right="26" w:rightChars="11"/>
              <w:jc w:val="center"/>
              <w:rPr>
                <w:rFonts w:hAnsi="宋体"/>
                <w:bCs/>
                <w:sz w:val="21"/>
                <w:szCs w:val="21"/>
              </w:rPr>
            </w:pPr>
            <w:r>
              <w:rPr>
                <w:rFonts w:hint="eastAsia" w:hAnsi="宋体"/>
                <w:bCs/>
                <w:sz w:val="21"/>
                <w:szCs w:val="21"/>
              </w:rPr>
              <w:t>手动葫芦</w:t>
            </w:r>
          </w:p>
        </w:tc>
        <w:tc>
          <w:tcPr>
            <w:tcW w:w="1938" w:type="dxa"/>
            <w:vAlign w:val="center"/>
          </w:tcPr>
          <w:p w14:paraId="41F30E43">
            <w:pPr>
              <w:tabs>
                <w:tab w:val="left" w:pos="5400"/>
              </w:tabs>
              <w:spacing w:before="0" w:after="0" w:line="240" w:lineRule="auto"/>
              <w:ind w:right="26" w:rightChars="11"/>
              <w:jc w:val="center"/>
              <w:rPr>
                <w:rFonts w:hAnsi="宋体"/>
                <w:bCs/>
                <w:sz w:val="21"/>
                <w:szCs w:val="21"/>
              </w:rPr>
            </w:pPr>
            <w:r>
              <w:rPr>
                <w:rFonts w:hint="eastAsia" w:hAnsi="宋体"/>
                <w:bCs/>
                <w:sz w:val="21"/>
                <w:szCs w:val="21"/>
              </w:rPr>
              <w:t>3</w:t>
            </w:r>
            <w:r>
              <w:rPr>
                <w:rFonts w:hAnsi="宋体"/>
                <w:bCs/>
                <w:sz w:val="21"/>
                <w:szCs w:val="21"/>
              </w:rPr>
              <w:t>～</w:t>
            </w:r>
            <w:r>
              <w:rPr>
                <w:rFonts w:hint="eastAsia" w:hAnsi="宋体"/>
                <w:bCs/>
                <w:sz w:val="21"/>
                <w:szCs w:val="21"/>
              </w:rPr>
              <w:t>5t</w:t>
            </w:r>
          </w:p>
        </w:tc>
        <w:tc>
          <w:tcPr>
            <w:tcW w:w="1687" w:type="dxa"/>
            <w:vAlign w:val="center"/>
          </w:tcPr>
          <w:p w14:paraId="0198774C">
            <w:pPr>
              <w:tabs>
                <w:tab w:val="left" w:pos="5400"/>
              </w:tabs>
              <w:spacing w:before="0" w:after="0" w:line="240" w:lineRule="auto"/>
              <w:ind w:right="26" w:rightChars="11"/>
              <w:jc w:val="center"/>
              <w:rPr>
                <w:rFonts w:hAnsi="宋体"/>
                <w:bCs/>
                <w:sz w:val="21"/>
                <w:szCs w:val="21"/>
              </w:rPr>
            </w:pPr>
            <w:r>
              <w:rPr>
                <w:rFonts w:hint="eastAsia" w:hAnsi="宋体"/>
                <w:bCs/>
                <w:sz w:val="21"/>
                <w:szCs w:val="21"/>
              </w:rPr>
              <w:t>16个</w:t>
            </w:r>
          </w:p>
        </w:tc>
        <w:tc>
          <w:tcPr>
            <w:tcW w:w="1194" w:type="dxa"/>
            <w:vAlign w:val="center"/>
          </w:tcPr>
          <w:p w14:paraId="25074C15">
            <w:pPr>
              <w:tabs>
                <w:tab w:val="left" w:pos="5400"/>
              </w:tabs>
              <w:spacing w:before="0" w:after="0" w:line="240" w:lineRule="auto"/>
              <w:ind w:right="26" w:rightChars="11" w:firstLine="482"/>
              <w:jc w:val="center"/>
              <w:rPr>
                <w:rFonts w:hAnsi="宋体"/>
                <w:bCs/>
                <w:sz w:val="21"/>
                <w:szCs w:val="21"/>
              </w:rPr>
            </w:pPr>
          </w:p>
        </w:tc>
      </w:tr>
    </w:tbl>
    <w:p w14:paraId="07520ECF">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63" w:name="_Toc469122421"/>
      <w:bookmarkStart w:id="1164" w:name="_Toc19025162"/>
      <w:r>
        <w:rPr>
          <w:rFonts w:hint="eastAsia" w:asciiTheme="minorEastAsia" w:hAnsiTheme="minorEastAsia" w:eastAsiaTheme="minorEastAsia"/>
          <w:b w:val="0"/>
          <w:bCs w:val="0"/>
          <w:color w:val="auto"/>
          <w:highlight w:val="none"/>
          <w:lang w:val="en-US" w:eastAsia="zh-CN"/>
        </w:rPr>
        <w:t>4</w:t>
      </w:r>
      <w:bookmarkEnd w:id="1162"/>
      <w:bookmarkEnd w:id="1163"/>
      <w:r>
        <w:rPr>
          <w:rFonts w:hint="eastAsia" w:asciiTheme="minorEastAsia" w:hAnsiTheme="minorEastAsia" w:eastAsiaTheme="minorEastAsia"/>
          <w:b w:val="0"/>
          <w:bCs w:val="0"/>
          <w:color w:val="auto"/>
          <w:highlight w:val="none"/>
          <w:lang w:val="en-US" w:eastAsia="zh-CN"/>
        </w:rPr>
        <w:t>、箱梁装载方法及加固措施</w:t>
      </w:r>
      <w:bookmarkEnd w:id="1164"/>
    </w:p>
    <w:bookmarkEnd w:id="1160"/>
    <w:bookmarkEnd w:id="1161"/>
    <w:p w14:paraId="284029A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装载方法是保障梁段运输安全的重要措施，而加固捆扎是保证梁段安全的重要环节，因此为使本次项目的全部梁段安全、完整的运输至施工现场，经过验证，拟采用以下措施装载、加固：</w:t>
      </w:r>
    </w:p>
    <w:p w14:paraId="63B34F0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（1）装载</w:t>
      </w:r>
    </w:p>
    <w:p w14:paraId="7C63BDE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结合本项目运输的梁段尺寸及重量相对应的选择车型进行装载，在梁段装车前必须在装载车辆的平板与箱梁相接触的位置铺设垫木以防止箱梁在运输过程中与车辆平板发生摩擦。</w:t>
      </w:r>
    </w:p>
    <w:p w14:paraId="1B6FA390">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（2）加固</w:t>
      </w:r>
    </w:p>
    <w:p w14:paraId="346F7B8A">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加固捆扎是保证梁段安全的重要环节，为使梁段顺利的到达施工现场，在运输途中使用手动葫芦及钢丝绳将箱梁和装载车辆的平板（大梁）之间进行锁定，以保证箱梁运输的稳定性及安全，钢丝绳与梁段之间用金属皮或者尼龙布隔离，防止摩擦损伤。结合本工程的实际情况，拟采用以下方法进行加固。具体加固办法见下：</w:t>
      </w:r>
    </w:p>
    <w:p w14:paraId="682D1F88">
      <w:pPr>
        <w:pStyle w:val="23"/>
        <w:spacing w:line="360" w:lineRule="auto"/>
        <w:ind w:firstLine="480"/>
        <w:jc w:val="center"/>
        <w:rPr>
          <w:rFonts w:hAnsi="宋体"/>
          <w:bCs/>
          <w:sz w:val="21"/>
          <w:szCs w:val="21"/>
        </w:rPr>
      </w:pPr>
      <w:r>
        <w:rPr>
          <w:rFonts w:hint="eastAsia" w:asciiTheme="minorEastAsia" w:hAnsiTheme="minorEastAsia" w:eastAsiaTheme="minorEastAsia"/>
          <w:b w:val="0"/>
          <w:bCs w:val="0"/>
          <w:color w:val="auto"/>
          <w:highlight w:val="none"/>
          <w:lang w:val="en-US" w:eastAsia="zh-CN"/>
        </w:rPr>
        <w:drawing>
          <wp:inline distT="0" distB="0" distL="0" distR="0">
            <wp:extent cx="2880995" cy="2501900"/>
            <wp:effectExtent l="0" t="0" r="14605" b="12700"/>
            <wp:docPr id="1590" name="图片 15" descr="运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15" descr="运输"/>
                    <pic:cNvPicPr>
                      <a:picLocks noChangeAspect="1" noChangeArrowheads="1"/>
                    </pic:cNvPicPr>
                  </pic:nvPicPr>
                  <pic:blipFill>
                    <a:blip r:embed="rId141" cstate="print"/>
                    <a:srcRect l="15450" t="3822" r="15111" b="3397"/>
                    <a:stretch>
                      <a:fillRect/>
                    </a:stretch>
                  </pic:blipFill>
                  <pic:spPr>
                    <a:xfrm>
                      <a:off x="0" y="0"/>
                      <a:ext cx="2880995" cy="2501900"/>
                    </a:xfrm>
                    <a:prstGeom prst="rect">
                      <a:avLst/>
                    </a:prstGeom>
                    <a:noFill/>
                    <a:ln w="9525">
                      <a:noFill/>
                      <a:miter lim="800000"/>
                      <a:headEnd/>
                      <a:tailEnd/>
                    </a:ln>
                  </pic:spPr>
                </pic:pic>
              </a:graphicData>
            </a:graphic>
          </wp:inline>
        </w:drawing>
      </w:r>
    </w:p>
    <w:p w14:paraId="5FFCA7F5">
      <w:pPr>
        <w:tabs>
          <w:tab w:val="left" w:pos="5400"/>
        </w:tabs>
        <w:spacing w:before="0" w:after="0"/>
        <w:ind w:right="26" w:rightChars="11"/>
        <w:jc w:val="center"/>
        <w:rPr>
          <w:rFonts w:hint="eastAsia" w:ascii="黑体" w:hAnsi="黑体" w:eastAsia="黑体" w:cs="黑体"/>
          <w:b/>
          <w:bCs/>
          <w:sz w:val="18"/>
          <w:szCs w:val="18"/>
        </w:rPr>
      </w:pPr>
      <w:r>
        <w:rPr>
          <w:rFonts w:hint="eastAsia" w:ascii="黑体" w:hAnsi="黑体" w:eastAsia="黑体" w:cs="黑体"/>
          <w:b/>
          <w:bCs/>
          <w:sz w:val="18"/>
          <w:szCs w:val="18"/>
        </w:rPr>
        <w:t>钢箱梁运输及加固方法</w:t>
      </w:r>
      <w:bookmarkStart w:id="1165" w:name="_Toc350522796"/>
    </w:p>
    <w:bookmarkEnd w:id="1165"/>
    <w:p w14:paraId="4F2A4160">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66" w:name="_Toc350667598"/>
      <w:bookmarkStart w:id="1167" w:name="_Toc398129261"/>
      <w:bookmarkStart w:id="1168" w:name="_Toc469122422"/>
      <w:bookmarkStart w:id="1169" w:name="_Toc19025163"/>
      <w:bookmarkStart w:id="1170" w:name="_Toc350667599"/>
      <w:bookmarkStart w:id="1171" w:name="_Toc398129262"/>
      <w:r>
        <w:rPr>
          <w:rFonts w:hint="eastAsia" w:asciiTheme="minorEastAsia" w:hAnsiTheme="minorEastAsia" w:eastAsiaTheme="minorEastAsia"/>
          <w:b w:val="0"/>
          <w:bCs w:val="0"/>
          <w:color w:val="auto"/>
          <w:highlight w:val="none"/>
          <w:lang w:val="en-US" w:eastAsia="zh-CN"/>
        </w:rPr>
        <w:t>5、运输路线选择</w:t>
      </w:r>
      <w:bookmarkEnd w:id="1166"/>
      <w:bookmarkEnd w:id="1167"/>
      <w:bookmarkEnd w:id="1168"/>
      <w:bookmarkEnd w:id="1169"/>
    </w:p>
    <w:p w14:paraId="4171F59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根据以往项目运输经验，结合本项目实际情况，通过组织人员进行线路考察，对路、桥、隧等特殊位置限高、限宽、坡度、转弯半径等项目进行勘测、分析，运输路线：</w:t>
      </w:r>
    </w:p>
    <w:p w14:paraId="59186491">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72" w:name="_Toc402610234"/>
      <w:bookmarkStart w:id="1173" w:name="_Toc19025164"/>
      <w:r>
        <w:rPr>
          <w:rFonts w:hint="eastAsia" w:asciiTheme="minorEastAsia" w:hAnsiTheme="minorEastAsia" w:eastAsiaTheme="minorEastAsia"/>
          <w:b w:val="0"/>
          <w:bCs w:val="0"/>
          <w:color w:val="auto"/>
          <w:highlight w:val="none"/>
          <w:lang w:val="en-US" w:eastAsia="zh-CN"/>
        </w:rPr>
        <w:t>6、运输过程钢结构变形控制措施</w:t>
      </w:r>
      <w:bookmarkEnd w:id="1172"/>
      <w:bookmarkEnd w:id="1173"/>
    </w:p>
    <w:p w14:paraId="5D6BFB13">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防变形所用材料：［14a槽钢、手动葫芦、∠75角钢。</w:t>
      </w:r>
    </w:p>
    <w:p w14:paraId="635B6490">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钢箱梁装车与固定</w:t>
      </w:r>
    </w:p>
    <w:p w14:paraId="5D988B8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1）运输车辆驶入工厂指定停车位，行车将钢箱梁吊至运梁车上方，与车板间距为200mm；</w:t>
      </w:r>
    </w:p>
    <w:p w14:paraId="17F5F4E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2）用行车进行就位调整，车板的中心线与箱梁的重心必须重合，在钢箱梁的设计受力支点下方摆放橡胶垫；</w:t>
      </w:r>
    </w:p>
    <w:p w14:paraId="55546FA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3）行车将钢箱梁缓慢放置在运梁板车上，经质量检验合格后，拆除行车与钢箱梁的连接吊索具；</w:t>
      </w:r>
    </w:p>
    <w:p w14:paraId="3614F4C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4）采用钢丝绳与手拉葫芦在钢箱梁的纵向两顶端进行水平交叉连接；</w:t>
      </w:r>
    </w:p>
    <w:p w14:paraId="3B84F282">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5）在液压板同一承重横梁对应钢箱梁的指定吊点处安装两个受力支撑，利用吊耳与之收紧连接；</w:t>
      </w:r>
    </w:p>
    <w:p w14:paraId="573BE361">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6）前液压平板上承重横梁与后液压板车上承重横梁间用Φ20mm钢丝绳收紧连接。钢箱</w:t>
      </w:r>
    </w:p>
    <w:p w14:paraId="7541E0D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梁分段运输时在箱梁无腹板侧两端头设置槽钢[14a作为临时运输防变形措施。</w:t>
      </w:r>
    </w:p>
    <w:p w14:paraId="22030510">
      <w:pPr>
        <w:spacing w:line="240" w:lineRule="auto"/>
      </w:pPr>
      <w:r>
        <w:drawing>
          <wp:inline distT="0" distB="0" distL="0" distR="0">
            <wp:extent cx="5276215" cy="436880"/>
            <wp:effectExtent l="0" t="0" r="12065" b="5080"/>
            <wp:docPr id="15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21"/>
                    <pic:cNvPicPr>
                      <a:picLocks noChangeAspect="1" noChangeArrowheads="1"/>
                    </pic:cNvPicPr>
                  </pic:nvPicPr>
                  <pic:blipFill>
                    <a:blip r:embed="rId142" cstate="print"/>
                    <a:srcRect t="11293" b="19690"/>
                    <a:stretch>
                      <a:fillRect/>
                    </a:stretch>
                  </pic:blipFill>
                  <pic:spPr>
                    <a:xfrm>
                      <a:off x="0" y="0"/>
                      <a:ext cx="5276519" cy="437321"/>
                    </a:xfrm>
                    <a:prstGeom prst="rect">
                      <a:avLst/>
                    </a:prstGeom>
                    <a:noFill/>
                    <a:ln w="9525">
                      <a:noFill/>
                      <a:miter lim="800000"/>
                      <a:headEnd/>
                      <a:tailEnd/>
                    </a:ln>
                  </pic:spPr>
                </pic:pic>
              </a:graphicData>
            </a:graphic>
          </wp:inline>
        </w:drawing>
      </w:r>
    </w:p>
    <w:p w14:paraId="19653A17">
      <w:pPr>
        <w:spacing w:line="240" w:lineRule="auto"/>
        <w:jc w:val="center"/>
        <w:rPr>
          <w:rFonts w:hint="eastAsia" w:ascii="黑体" w:hAnsi="黑体" w:eastAsia="黑体" w:cs="黑体"/>
          <w:b/>
          <w:bCs/>
          <w:sz w:val="18"/>
          <w:szCs w:val="18"/>
        </w:rPr>
      </w:pPr>
      <w:r>
        <w:rPr>
          <w:rFonts w:hint="eastAsia" w:ascii="黑体" w:hAnsi="黑体" w:eastAsia="黑体" w:cs="黑体"/>
          <w:b/>
          <w:bCs/>
          <w:sz w:val="18"/>
          <w:szCs w:val="18"/>
        </w:rPr>
        <w:t>箱梁加固示意图</w:t>
      </w:r>
    </w:p>
    <w:p w14:paraId="05533572">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74" w:name="_Toc469122423"/>
      <w:bookmarkStart w:id="1175" w:name="_Toc19025165"/>
      <w:r>
        <w:rPr>
          <w:rFonts w:hint="eastAsia" w:asciiTheme="minorEastAsia" w:hAnsiTheme="minorEastAsia" w:eastAsiaTheme="minorEastAsia"/>
          <w:b w:val="0"/>
          <w:bCs w:val="0"/>
          <w:color w:val="auto"/>
          <w:highlight w:val="none"/>
          <w:lang w:val="en-US" w:eastAsia="zh-CN"/>
        </w:rPr>
        <w:t>7、运输作业安全指导</w:t>
      </w:r>
      <w:bookmarkEnd w:id="1170"/>
      <w:bookmarkEnd w:id="1171"/>
      <w:bookmarkEnd w:id="1174"/>
      <w:bookmarkEnd w:id="1175"/>
    </w:p>
    <w:p w14:paraId="7D574DF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（1）一般安全技术措施</w:t>
      </w:r>
    </w:p>
    <w:p w14:paraId="4558DD1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①运输专责技术负责人在运输前应向参加运输全体人员，认真细致的进行运输措施交底；无措施或未交底，严禁布置运输作业。</w:t>
      </w:r>
    </w:p>
    <w:p w14:paraId="7A32820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②所有参加运输人员，在现场应戴安全帽，穿胶鞋或者布鞋。</w:t>
      </w:r>
    </w:p>
    <w:p w14:paraId="4E282F4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③凡参加运输人员，要明确责任，掌握本工种的应知和应会及操作规定。</w:t>
      </w:r>
    </w:p>
    <w:p w14:paraId="614272D7">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④运输、起重搬运工作，应专人指挥，严禁多头指挥，指挥信号应清晰、醒目、明确。</w:t>
      </w:r>
    </w:p>
    <w:p w14:paraId="43674F2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⑤凡用于运输的车辆、机具、绳索、器材等，在做准备工作时，应详细检查、调试及维修，由专职质检员和安全员共同鉴定，确认合格后方可使用。   </w:t>
      </w:r>
    </w:p>
    <w:p w14:paraId="3AC8E8A0">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（2）沿途运输安全技术指导</w:t>
      </w:r>
    </w:p>
    <w:p w14:paraId="56738681">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①载重车司机及安全监护人员，应精神集中，服从指挥，按运输指挥信号行驶；驾驶员及随车人员应随时监视平板行驶中状态，如发生异常，应立即发出停运信号，并采取应急措施。</w:t>
      </w:r>
    </w:p>
    <w:p w14:paraId="5D7687E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②应配备有足够的押运人员。</w:t>
      </w:r>
    </w:p>
    <w:p w14:paraId="0C004C4C">
      <w:pPr>
        <w:pStyle w:val="6"/>
        <w:bidi w:val="0"/>
        <w:rPr>
          <w:rFonts w:hint="eastAsia"/>
          <w:lang w:val="en-US" w:eastAsia="zh-CN"/>
        </w:rPr>
      </w:pPr>
      <w:bookmarkStart w:id="1176" w:name="_Toc19025166"/>
      <w:bookmarkStart w:id="1177" w:name="_Toc344983436"/>
      <w:bookmarkStart w:id="1178" w:name="_Toc469122424"/>
      <w:bookmarkStart w:id="1179" w:name="_Toc326055136"/>
      <w:bookmarkStart w:id="1180" w:name="_Toc350667603"/>
      <w:bookmarkStart w:id="1181" w:name="_Toc345345012"/>
      <w:r>
        <w:rPr>
          <w:rFonts w:hint="eastAsia"/>
          <w:lang w:val="en-US" w:eastAsia="zh-CN"/>
        </w:rPr>
        <w:t>8.2.6.7钢箱梁安装方案</w:t>
      </w:r>
      <w:bookmarkEnd w:id="1176"/>
    </w:p>
    <w:p w14:paraId="379CECD8">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82" w:name="_Toc19025167"/>
      <w:bookmarkStart w:id="1183" w:name="_Toc422299506"/>
      <w:r>
        <w:rPr>
          <w:rFonts w:hint="eastAsia" w:asciiTheme="minorEastAsia" w:hAnsiTheme="minorEastAsia" w:eastAsiaTheme="minorEastAsia"/>
          <w:b w:val="0"/>
          <w:bCs w:val="0"/>
          <w:color w:val="auto"/>
          <w:highlight w:val="none"/>
          <w:lang w:val="en-US" w:eastAsia="zh-CN"/>
        </w:rPr>
        <w:t>一、钢箱梁安装总体步骤</w:t>
      </w:r>
      <w:bookmarkEnd w:id="1182"/>
      <w:bookmarkEnd w:id="1183"/>
    </w:p>
    <w:p w14:paraId="0DDB223D">
      <w:pPr>
        <w:jc w:val="center"/>
      </w:pPr>
      <w:r>
        <w:object>
          <v:shape id="_x0000_i1043" o:spt="75" type="#_x0000_t75" style="height:197pt;width:348.5pt;" o:ole="t" filled="f" o:preferrelative="t" stroked="f" coordsize="21600,21600">
            <v:path/>
            <v:fill on="f" focussize="0,0"/>
            <v:stroke on="f"/>
            <v:imagedata r:id="rId144" o:title=""/>
            <o:lock v:ext="edit" aspectratio="t"/>
            <w10:wrap type="none"/>
            <w10:anchorlock/>
          </v:shape>
          <o:OLEObject Type="Embed" ProgID="Visio.Drawing.11" ShapeID="_x0000_i1043" DrawAspect="Content" ObjectID="_1468075743" r:id="rId143">
            <o:LockedField>false</o:LockedField>
          </o:OLEObject>
        </w:object>
      </w:r>
    </w:p>
    <w:p w14:paraId="67301D25">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84" w:name="_Toc350667602"/>
      <w:bookmarkStart w:id="1185" w:name="_Toc422299507"/>
      <w:r>
        <w:rPr>
          <w:rFonts w:hint="eastAsia" w:asciiTheme="minorEastAsia" w:hAnsiTheme="minorEastAsia" w:eastAsiaTheme="minorEastAsia"/>
          <w:b w:val="0"/>
          <w:bCs w:val="0"/>
          <w:color w:val="auto"/>
          <w:highlight w:val="none"/>
          <w:lang w:val="en-US" w:eastAsia="zh-CN"/>
        </w:rPr>
        <w:t>全桥钢箱梁安装采用支架吊装+顶推法，采用起重性能不低于260t的汽车吊用于箱室分段吊装，1台25吨汽车吊用于支架吊装，钢箱梁吊装及焊接、检测作业完成并验收合格，然后浇灌压重区混凝土并验收合格，再对涂层损坏处及焊缝进行修补涂装，然后完成最后一道面漆的涂装工作及支架拆除。</w:t>
      </w:r>
    </w:p>
    <w:p w14:paraId="2B275D82">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86" w:name="_Toc19025168"/>
      <w:r>
        <w:rPr>
          <w:rFonts w:hint="eastAsia" w:asciiTheme="minorEastAsia" w:hAnsiTheme="minorEastAsia" w:eastAsiaTheme="minorEastAsia"/>
          <w:b w:val="0"/>
          <w:bCs w:val="0"/>
          <w:color w:val="auto"/>
          <w:highlight w:val="none"/>
          <w:lang w:val="en-US" w:eastAsia="zh-CN"/>
        </w:rPr>
        <w:t>二、钢箱梁吊装前准备工作</w:t>
      </w:r>
      <w:bookmarkEnd w:id="1184"/>
      <w:bookmarkEnd w:id="1185"/>
      <w:bookmarkEnd w:id="1186"/>
    </w:p>
    <w:p w14:paraId="47B4539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（1）施工机具、材料到位，根据现场变压器位置布置好主电源线和标准配电柜并接好电源，布置好现场照明。</w:t>
      </w:r>
    </w:p>
    <w:p w14:paraId="43748C8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（2）复查支墩标高及支座尺寸，做好支座及钢箱梁节段安装前的测量工作。</w:t>
      </w:r>
    </w:p>
    <w:p w14:paraId="45461EF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（3）根据测量控制点及分段情况，测量并标注好地样线（道路中心线及分段线），标明支撑体系的安装位置。</w:t>
      </w:r>
    </w:p>
    <w:p w14:paraId="6BFAA03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（4）路基板准备到位，以供吊装及行车需要。</w:t>
      </w:r>
    </w:p>
    <w:p w14:paraId="3F9C4BE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（5）起重机根据提前进场、试车，并事先确定好吊车站位，保证安装需要。</w:t>
      </w:r>
    </w:p>
    <w:p w14:paraId="569724A3">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（6）支撑体系运输至安装现场，复测好箱梁安装所需标高、轴线。</w:t>
      </w:r>
    </w:p>
    <w:p w14:paraId="18E8C763">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（7）设置好围挡，布置好道路交通警示牌。</w:t>
      </w:r>
    </w:p>
    <w:p w14:paraId="51816F21">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（8）现场监管人员、交通协管员到位。</w:t>
      </w:r>
    </w:p>
    <w:p w14:paraId="5686F7DF">
      <w:pPr>
        <w:pStyle w:val="23"/>
        <w:spacing w:line="360" w:lineRule="auto"/>
        <w:ind w:firstLine="480"/>
        <w:rPr>
          <w:rFonts w:hAnsi="Cambria"/>
          <w:b/>
          <w:bCs/>
          <w:kern w:val="0"/>
          <w:szCs w:val="32"/>
        </w:rPr>
      </w:pPr>
      <w:r>
        <w:rPr>
          <w:rFonts w:hint="eastAsia" w:asciiTheme="minorEastAsia" w:hAnsiTheme="minorEastAsia" w:eastAsiaTheme="minorEastAsia"/>
          <w:b w:val="0"/>
          <w:bCs w:val="0"/>
          <w:color w:val="auto"/>
          <w:highlight w:val="none"/>
          <w:lang w:val="en-US" w:eastAsia="zh-CN"/>
        </w:rPr>
        <w:t>（9）在吊装作业前填写《高位吊装安全确认表》,该表未填写完成或表中有任何一项未达到要求，安全员有权终止吊装作业。</w:t>
      </w:r>
    </w:p>
    <w:p w14:paraId="43CC1DAE">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87" w:name="_Toc19025169"/>
      <w:r>
        <w:rPr>
          <w:rFonts w:hint="eastAsia" w:asciiTheme="minorEastAsia" w:hAnsiTheme="minorEastAsia" w:eastAsiaTheme="minorEastAsia"/>
          <w:b w:val="0"/>
          <w:bCs w:val="0"/>
          <w:color w:val="auto"/>
          <w:highlight w:val="none"/>
          <w:lang w:val="en-US" w:eastAsia="zh-CN"/>
        </w:rPr>
        <w:t>1、吊耳选用</w:t>
      </w:r>
      <w:bookmarkEnd w:id="1177"/>
      <w:bookmarkEnd w:id="1178"/>
      <w:bookmarkEnd w:id="1179"/>
      <w:bookmarkEnd w:id="1180"/>
      <w:bookmarkEnd w:id="1181"/>
      <w:bookmarkEnd w:id="1187"/>
    </w:p>
    <w:p w14:paraId="1C1A5A88">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每个钢箱梁分段按刚体简化，根据计算得到的构件重心位置，在顶板上设置临时吊耳，位置布置在腹板（或纵肋）与横隔板结构相交处，吊耳选用型号及相关计算详见附件计算书。</w:t>
      </w:r>
    </w:p>
    <w:p w14:paraId="5EFBA5C5">
      <w:pPr>
        <w:snapToGrid w:val="0"/>
        <w:spacing w:before="0" w:after="0"/>
        <w:jc w:val="center"/>
        <w:rPr>
          <w:rFonts w:hAnsi="宋体"/>
          <w:b/>
          <w:sz w:val="21"/>
          <w:szCs w:val="21"/>
        </w:rPr>
      </w:pPr>
      <w:r>
        <w:rPr>
          <w:rFonts w:hAnsi="宋体"/>
          <w:sz w:val="21"/>
          <w:szCs w:val="21"/>
        </w:rPr>
        <w:drawing>
          <wp:anchor distT="0" distB="0" distL="114300" distR="114300" simplePos="0" relativeHeight="251684864" behindDoc="0" locked="0" layoutInCell="1" allowOverlap="1">
            <wp:simplePos x="0" y="0"/>
            <wp:positionH relativeFrom="column">
              <wp:posOffset>116205</wp:posOffset>
            </wp:positionH>
            <wp:positionV relativeFrom="paragraph">
              <wp:posOffset>28575</wp:posOffset>
            </wp:positionV>
            <wp:extent cx="1971675" cy="1881505"/>
            <wp:effectExtent l="0" t="0" r="9525" b="8255"/>
            <wp:wrapNone/>
            <wp:docPr id="1594" name="图片 8" descr="说明: {AC61A6A4-1C7A-4F15-AE42-8DCFC5DFE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8" descr="说明: {AC61A6A4-1C7A-4F15-AE42-8DCFC5DFE1C0}"/>
                    <pic:cNvPicPr>
                      <a:picLocks noChangeAspect="1" noChangeArrowheads="1"/>
                    </pic:cNvPicPr>
                  </pic:nvPicPr>
                  <pic:blipFill>
                    <a:blip r:embed="rId145" cstate="print"/>
                    <a:srcRect l="19167" t="10428" r="29338" b="14032"/>
                    <a:stretch>
                      <a:fillRect/>
                    </a:stretch>
                  </pic:blipFill>
                  <pic:spPr>
                    <a:xfrm>
                      <a:off x="0" y="0"/>
                      <a:ext cx="1971675" cy="1881505"/>
                    </a:xfrm>
                    <a:prstGeom prst="rect">
                      <a:avLst/>
                    </a:prstGeom>
                    <a:noFill/>
                    <a:ln w="9525">
                      <a:noFill/>
                      <a:miter lim="800000"/>
                      <a:headEnd/>
                      <a:tailEnd/>
                    </a:ln>
                  </pic:spPr>
                </pic:pic>
              </a:graphicData>
            </a:graphic>
          </wp:anchor>
        </w:drawing>
      </w:r>
      <w:r>
        <w:rPr>
          <w:rFonts w:hAnsi="宋体"/>
          <w:sz w:val="21"/>
          <w:szCs w:val="21"/>
        </w:rPr>
        <w:drawing>
          <wp:anchor distT="0" distB="0" distL="114300" distR="114300" simplePos="0" relativeHeight="251682816" behindDoc="1" locked="0" layoutInCell="1" allowOverlap="1">
            <wp:simplePos x="0" y="0"/>
            <wp:positionH relativeFrom="column">
              <wp:posOffset>2744470</wp:posOffset>
            </wp:positionH>
            <wp:positionV relativeFrom="paragraph">
              <wp:posOffset>200025</wp:posOffset>
            </wp:positionV>
            <wp:extent cx="1734185" cy="1710055"/>
            <wp:effectExtent l="0" t="0" r="3175" b="12065"/>
            <wp:wrapNone/>
            <wp:docPr id="1595" name="图片 9" descr="说明: {27949085-9D8C-4240-A7D7-A6B94E5A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图片 9" descr="说明: {27949085-9D8C-4240-A7D7-A6B94E5A7000}"/>
                    <pic:cNvPicPr>
                      <a:picLocks noChangeAspect="1" noChangeArrowheads="1"/>
                    </pic:cNvPicPr>
                  </pic:nvPicPr>
                  <pic:blipFill>
                    <a:blip r:embed="rId146" cstate="print"/>
                    <a:srcRect l="36395" t="45435" r="42868" b="21382"/>
                    <a:stretch>
                      <a:fillRect/>
                    </a:stretch>
                  </pic:blipFill>
                  <pic:spPr>
                    <a:xfrm>
                      <a:off x="0" y="0"/>
                      <a:ext cx="1734185" cy="1710055"/>
                    </a:xfrm>
                    <a:prstGeom prst="rect">
                      <a:avLst/>
                    </a:prstGeom>
                    <a:noFill/>
                    <a:ln w="9525">
                      <a:noFill/>
                      <a:miter lim="800000"/>
                      <a:headEnd/>
                      <a:tailEnd/>
                    </a:ln>
                  </pic:spPr>
                </pic:pic>
              </a:graphicData>
            </a:graphic>
          </wp:anchor>
        </w:drawing>
      </w:r>
    </w:p>
    <w:p w14:paraId="36A1A68D">
      <w:pPr>
        <w:snapToGrid w:val="0"/>
        <w:spacing w:before="0" w:after="0"/>
        <w:jc w:val="center"/>
        <w:rPr>
          <w:rFonts w:hAnsi="宋体"/>
          <w:b/>
          <w:sz w:val="21"/>
          <w:szCs w:val="21"/>
        </w:rPr>
      </w:pPr>
      <w:r>
        <w:rPr>
          <w:rFonts w:hAnsi="宋体"/>
          <w:sz w:val="21"/>
          <w:szCs w:val="21"/>
        </w:rPr>
        <mc:AlternateContent>
          <mc:Choice Requires="wps">
            <w:drawing>
              <wp:anchor distT="0" distB="0" distL="114300" distR="114300" simplePos="0" relativeHeight="251683840" behindDoc="0" locked="0" layoutInCell="1" allowOverlap="1">
                <wp:simplePos x="0" y="0"/>
                <wp:positionH relativeFrom="column">
                  <wp:posOffset>3444875</wp:posOffset>
                </wp:positionH>
                <wp:positionV relativeFrom="paragraph">
                  <wp:posOffset>120650</wp:posOffset>
                </wp:positionV>
                <wp:extent cx="609600" cy="352425"/>
                <wp:effectExtent l="136525" t="5080" r="15875" b="206375"/>
                <wp:wrapNone/>
                <wp:docPr id="1607" name="圆角矩形标注 1607"/>
                <wp:cNvGraphicFramePr/>
                <a:graphic xmlns:a="http://schemas.openxmlformats.org/drawingml/2006/main">
                  <a:graphicData uri="http://schemas.microsoft.com/office/word/2010/wordprocessingShape">
                    <wps:wsp>
                      <wps:cNvSpPr/>
                      <wps:spPr>
                        <a:xfrm>
                          <a:off x="0" y="0"/>
                          <a:ext cx="609600" cy="352425"/>
                        </a:xfrm>
                        <a:prstGeom prst="wedgeRoundRectCallout">
                          <a:avLst>
                            <a:gd name="adj1" fmla="val -67190"/>
                            <a:gd name="adj2" fmla="val 99009"/>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14:paraId="3F1730A7">
                            <w:r>
                              <w:rPr>
                                <w:rFonts w:hint="eastAsia"/>
                              </w:rPr>
                              <w:t>吊耳</w:t>
                            </w:r>
                          </w:p>
                        </w:txbxContent>
                      </wps:txbx>
                      <wps:bodyPr upright="1"/>
                    </wps:wsp>
                  </a:graphicData>
                </a:graphic>
              </wp:anchor>
            </w:drawing>
          </mc:Choice>
          <mc:Fallback>
            <w:pict>
              <v:shape id="_x0000_s1026" o:spid="_x0000_s1026" o:spt="62" type="#_x0000_t62" style="position:absolute;left:0pt;margin-left:271.25pt;margin-top:9.5pt;height:27.75pt;width:48pt;z-index:251683840;mso-width-relative:page;mso-height-relative:page;" fillcolor="#FFFFFF" filled="t" stroked="t" coordsize="21600,21600" o:gfxdata="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xD&#10;oSDYAAAACQEAAA8AAAAAAAAAAQAgAAAAIgAAAGRycy9kb3ducmV2LnhtbFBLAQIUABQAAAAIAIdO&#10;4kBY+fRfXAIAAM8EAAAOAAAAAAAAAAEAIAAAACcBAABkcnMvZTJvRG9jLnhtbFBLBQYAAAAABgAG&#10;AFkBAAD1BQAAAAA=&#10;" adj="-3713,32186,14400">
                <v:fill on="t" focussize="0,0"/>
                <v:stroke color="#000000" joinstyle="miter"/>
                <v:imagedata o:title=""/>
                <o:lock v:ext="edit" aspectratio="f"/>
                <v:textbox>
                  <w:txbxContent>
                    <w:p w14:paraId="3F1730A7">
                      <w:r>
                        <w:rPr>
                          <w:rFonts w:hint="eastAsia"/>
                        </w:rPr>
                        <w:t>吊耳</w:t>
                      </w:r>
                    </w:p>
                  </w:txbxContent>
                </v:textbox>
              </v:shape>
            </w:pict>
          </mc:Fallback>
        </mc:AlternateContent>
      </w:r>
    </w:p>
    <w:p w14:paraId="75A14114">
      <w:pPr>
        <w:snapToGrid w:val="0"/>
        <w:spacing w:before="0" w:after="0"/>
        <w:jc w:val="center"/>
        <w:rPr>
          <w:rFonts w:hAnsi="宋体"/>
          <w:sz w:val="21"/>
          <w:szCs w:val="21"/>
        </w:rPr>
      </w:pPr>
    </w:p>
    <w:p w14:paraId="43020584"/>
    <w:p w14:paraId="283C6A08"/>
    <w:p w14:paraId="682FD363">
      <w:pPr>
        <w:rPr>
          <w:rFonts w:eastAsiaTheme="minorEastAsia"/>
        </w:rPr>
      </w:pPr>
    </w:p>
    <w:p w14:paraId="19C2FC82"/>
    <w:p w14:paraId="452D89B8">
      <w:pPr>
        <w:snapToGrid w:val="0"/>
        <w:spacing w:before="0" w:after="0"/>
        <w:jc w:val="center"/>
        <w:rPr>
          <w:rFonts w:hint="eastAsia" w:hAnsi="宋体"/>
          <w:b/>
          <w:sz w:val="21"/>
          <w:szCs w:val="21"/>
        </w:rPr>
      </w:pPr>
    </w:p>
    <w:p w14:paraId="3F7691F5">
      <w:pPr>
        <w:snapToGrid w:val="0"/>
        <w:spacing w:before="0" w:after="0"/>
        <w:ind w:left="0" w:leftChars="0" w:firstLine="0" w:firstLineChars="0"/>
        <w:jc w:val="both"/>
        <w:rPr>
          <w:rFonts w:hint="eastAsia" w:hAnsi="宋体"/>
          <w:b/>
          <w:sz w:val="21"/>
          <w:szCs w:val="21"/>
        </w:rPr>
      </w:pPr>
    </w:p>
    <w:p w14:paraId="391441BB">
      <w:pPr>
        <w:snapToGrid w:val="0"/>
        <w:spacing w:before="0" w:after="0"/>
        <w:jc w:val="center"/>
        <w:rPr>
          <w:rFonts w:hint="eastAsia" w:hAnsi="宋体"/>
          <w:b/>
          <w:sz w:val="21"/>
          <w:szCs w:val="21"/>
        </w:rPr>
      </w:pPr>
    </w:p>
    <w:p w14:paraId="2AAFC703">
      <w:pPr>
        <w:snapToGrid w:val="0"/>
        <w:spacing w:before="0" w:after="0"/>
        <w:jc w:val="center"/>
        <w:rPr>
          <w:rFonts w:hint="eastAsia" w:ascii="黑体" w:hAnsi="黑体" w:eastAsia="黑体" w:cs="黑体"/>
          <w:b/>
          <w:sz w:val="21"/>
          <w:szCs w:val="21"/>
        </w:rPr>
      </w:pPr>
      <w:r>
        <w:rPr>
          <w:rFonts w:hint="eastAsia" w:ascii="黑体" w:hAnsi="黑体" w:eastAsia="黑体" w:cs="黑体"/>
          <w:b/>
          <w:sz w:val="21"/>
          <w:szCs w:val="21"/>
        </w:rPr>
        <w:t>吊耳布置示意图</w:t>
      </w:r>
    </w:p>
    <w:p w14:paraId="7ED16851">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188" w:name="_Toc344983437"/>
      <w:bookmarkStart w:id="1189" w:name="_Toc414691041"/>
      <w:bookmarkStart w:id="1190" w:name="_Toc326055137"/>
      <w:bookmarkStart w:id="1191" w:name="_Toc350667604"/>
      <w:bookmarkStart w:id="1192" w:name="_Toc345345013"/>
      <w:bookmarkStart w:id="1193" w:name="_Toc433018165"/>
      <w:bookmarkStart w:id="1194" w:name="_Toc19025170"/>
      <w:bookmarkStart w:id="1195" w:name="_Toc469122425"/>
      <w:bookmarkStart w:id="1196" w:name="_Toc345345015"/>
      <w:bookmarkStart w:id="1197" w:name="_Toc344983439"/>
      <w:bookmarkStart w:id="1198" w:name="_Toc350667606"/>
      <w:bookmarkStart w:id="1199" w:name="_Toc326055139"/>
      <w:r>
        <w:rPr>
          <w:rFonts w:hint="eastAsia" w:asciiTheme="minorEastAsia" w:hAnsiTheme="minorEastAsia" w:eastAsiaTheme="minorEastAsia"/>
          <w:b w:val="0"/>
          <w:bCs w:val="0"/>
          <w:color w:val="auto"/>
          <w:highlight w:val="none"/>
          <w:lang w:val="en-US" w:eastAsia="zh-CN"/>
        </w:rPr>
        <w:t>2、钢丝绳选用</w:t>
      </w:r>
      <w:bookmarkEnd w:id="1188"/>
      <w:bookmarkEnd w:id="1189"/>
      <w:bookmarkEnd w:id="1190"/>
      <w:bookmarkEnd w:id="1191"/>
      <w:bookmarkEnd w:id="1192"/>
      <w:bookmarkEnd w:id="1193"/>
      <w:bookmarkEnd w:id="1194"/>
      <w:bookmarkEnd w:id="1195"/>
    </w:p>
    <w:p w14:paraId="487BC01D">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钢箱梁吊装采用四根钢丝绳的四点吊法，钢丝绳夹角通过钢丝绳的长度控制在60°以内，钢丝绳选用型号及相关计算详见附件计算书。</w:t>
      </w:r>
    </w:p>
    <w:p w14:paraId="411E099B">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200" w:name="_Toc433018166"/>
      <w:bookmarkStart w:id="1201" w:name="_Toc19025171"/>
      <w:bookmarkStart w:id="1202" w:name="_Toc469122426"/>
      <w:r>
        <w:rPr>
          <w:rFonts w:hint="eastAsia" w:asciiTheme="minorEastAsia" w:hAnsiTheme="minorEastAsia" w:eastAsiaTheme="minorEastAsia"/>
          <w:b w:val="0"/>
          <w:bCs w:val="0"/>
          <w:color w:val="auto"/>
          <w:highlight w:val="none"/>
          <w:lang w:val="en-US" w:eastAsia="zh-CN"/>
        </w:rPr>
        <w:t>3、卸扣选用</w:t>
      </w:r>
      <w:bookmarkEnd w:id="1200"/>
      <w:bookmarkEnd w:id="1201"/>
      <w:bookmarkEnd w:id="1202"/>
    </w:p>
    <w:p w14:paraId="7C6B191E">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根据吊耳布置及荷载分布情况，并参照《起重用卸扣标准》（JB 8112-1999）布置卸扣，卸扣选用型号及相关计算详见附件计算书。</w:t>
      </w:r>
    </w:p>
    <w:bookmarkEnd w:id="1196"/>
    <w:bookmarkEnd w:id="1197"/>
    <w:bookmarkEnd w:id="1198"/>
    <w:bookmarkEnd w:id="1199"/>
    <w:p w14:paraId="7B143F3F">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203" w:name="_Toc469122427"/>
      <w:bookmarkStart w:id="1204" w:name="_Toc19025172"/>
      <w:r>
        <w:rPr>
          <w:rFonts w:hint="eastAsia" w:asciiTheme="minorEastAsia" w:hAnsiTheme="minorEastAsia" w:eastAsiaTheme="minorEastAsia"/>
          <w:b w:val="0"/>
          <w:bCs w:val="0"/>
          <w:color w:val="auto"/>
          <w:highlight w:val="none"/>
          <w:lang w:val="en-US" w:eastAsia="zh-CN"/>
        </w:rPr>
        <w:t>4、临时支墩体系</w:t>
      </w:r>
      <w:bookmarkEnd w:id="1203"/>
      <w:bookmarkEnd w:id="1204"/>
    </w:p>
    <w:p w14:paraId="40A8A32E">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根据本项目现场实际施工条件，钢箱梁安装采用支架吊装法施工，所用到的临时支墩材料材质为Q235B。</w:t>
      </w:r>
    </w:p>
    <w:p w14:paraId="0F9F6A19">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梁体钢材采用Q345qC，但大水堀分离式大桥梁底调平钢板以及顶升钢板采用Q355C，梁体桥底板活门钢材采用Q235B。</w:t>
      </w:r>
    </w:p>
    <w:p w14:paraId="01663F2C">
      <w:pPr>
        <w:spacing w:line="360" w:lineRule="auto"/>
        <w:ind w:firstLine="480" w:firstLineChars="200"/>
        <w:rPr>
          <w:rFonts w:ascii="宋体" w:hAnsi="宋体"/>
          <w:sz w:val="24"/>
        </w:rPr>
      </w:pPr>
      <w:bookmarkStart w:id="1205" w:name="_Hlk530732201"/>
      <w:bookmarkStart w:id="1206" w:name="_Hlk528280336"/>
      <w:bookmarkStart w:id="1207" w:name="_Toc344983440"/>
      <w:bookmarkStart w:id="1208" w:name="_Toc345345016"/>
      <w:r>
        <w:rPr>
          <w:rFonts w:hint="eastAsia" w:ascii="宋体" w:hAnsi="宋体"/>
          <w:sz w:val="24"/>
        </w:rPr>
        <w:t>钢箱梁分段处下方设临时钢支架，为3m×2m矩形格构式钢架，材质为Q</w:t>
      </w:r>
      <w:r>
        <w:rPr>
          <w:rFonts w:ascii="宋体" w:hAnsi="宋体"/>
          <w:sz w:val="24"/>
        </w:rPr>
        <w:t>235</w:t>
      </w:r>
      <w:r>
        <w:rPr>
          <w:rFonts w:hint="eastAsia" w:ascii="宋体" w:hAnsi="宋体"/>
          <w:sz w:val="24"/>
        </w:rPr>
        <w:t>，立柱采用</w:t>
      </w:r>
      <w:r>
        <w:rPr>
          <w:rFonts w:hint="eastAsia" w:ascii="宋体" w:hAnsi="宋体" w:cs="宋体"/>
          <w:sz w:val="24"/>
        </w:rPr>
        <w:drawing>
          <wp:inline distT="0" distB="0" distL="114300" distR="114300">
            <wp:extent cx="137160" cy="102870"/>
            <wp:effectExtent l="0" t="0" r="0" b="3810"/>
            <wp:docPr id="159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图片 25"/>
                    <pic:cNvPicPr>
                      <a:picLocks noChangeAspect="1"/>
                    </pic:cNvPicPr>
                  </pic:nvPicPr>
                  <pic:blipFill>
                    <a:blip r:embed="rId147"/>
                    <a:stretch>
                      <a:fillRect/>
                    </a:stretch>
                  </pic:blipFill>
                  <pic:spPr>
                    <a:xfrm>
                      <a:off x="0" y="0"/>
                      <a:ext cx="137160" cy="102870"/>
                    </a:xfrm>
                    <a:prstGeom prst="rect">
                      <a:avLst/>
                    </a:prstGeom>
                    <a:noFill/>
                    <a:ln>
                      <a:noFill/>
                    </a:ln>
                  </pic:spPr>
                </pic:pic>
              </a:graphicData>
            </a:graphic>
          </wp:inline>
        </w:drawing>
      </w:r>
      <w:r>
        <w:rPr>
          <w:rFonts w:hint="eastAsia" w:ascii="宋体" w:hAnsi="宋体"/>
          <w:sz w:val="24"/>
        </w:rPr>
        <w:t>325×8螺旋管，斜撑、横撑采用100×6等边角钢，分配梁为40#双拼工字钢。四根钢管立柱柱脚焊接固定在</w:t>
      </w:r>
      <w:r>
        <w:rPr>
          <w:rFonts w:ascii="宋体" w:hAnsi="宋体"/>
          <w:sz w:val="24"/>
        </w:rPr>
        <w:t>500×500×20</w:t>
      </w:r>
      <w:r>
        <w:rPr>
          <w:rFonts w:hint="eastAsia" w:ascii="宋体" w:hAnsi="宋体"/>
          <w:sz w:val="24"/>
        </w:rPr>
        <w:t>钢板上，钢板放置在道路面上，底板与路面固定。（钢支撑周边需设置防撞设施—混凝土防撞墩，需在侧边涂覆黄色交通警示标识）。</w:t>
      </w:r>
    </w:p>
    <w:p w14:paraId="2E20CA18">
      <w:pPr>
        <w:spacing w:line="360" w:lineRule="auto"/>
        <w:ind w:firstLine="480" w:firstLineChars="200"/>
        <w:rPr>
          <w:rFonts w:hint="eastAsia" w:ascii="宋体" w:hAnsi="宋体"/>
          <w:sz w:val="24"/>
        </w:rPr>
      </w:pPr>
      <w:r>
        <w:rPr>
          <w:rFonts w:hint="eastAsia" w:ascii="宋体" w:hAnsi="宋体"/>
          <w:sz w:val="24"/>
        </w:rPr>
        <w:t>验收内容</w:t>
      </w:r>
      <w:r>
        <w:rPr>
          <w:rFonts w:hint="eastAsia" w:ascii="宋体" w:hAnsi="宋体"/>
          <w:sz w:val="24"/>
          <w:lang w:eastAsia="zh-CN"/>
        </w:rPr>
        <w:t>：</w:t>
      </w:r>
      <w:r>
        <w:rPr>
          <w:rFonts w:hint="eastAsia" w:ascii="宋体" w:hAnsi="宋体"/>
          <w:sz w:val="24"/>
        </w:rPr>
        <w:t>①地基不均匀变形，立杆底座或垫板与地基面的接触状况；②可调托撑受力状况；③安全防护措施；④防雷接地；⑤扣件拧紧力矩；⑥碗扣式、承插式的水平杆与立杆连接节点锁紧状况；⑦斜杆设置状况；⑧抗倾覆设施设置情况。验收合格后方可使用。</w:t>
      </w:r>
    </w:p>
    <w:bookmarkEnd w:id="1205"/>
    <w:p w14:paraId="09D04ACB">
      <w:pPr>
        <w:spacing w:line="360" w:lineRule="auto"/>
        <w:ind w:firstLine="480" w:firstLineChars="200"/>
        <w:rPr>
          <w:rFonts w:ascii="宋体" w:hAnsi="宋体"/>
          <w:sz w:val="24"/>
        </w:rPr>
      </w:pPr>
      <w:r>
        <w:rPr>
          <w:rFonts w:hint="eastAsia" w:ascii="宋体" w:hAnsi="宋体"/>
          <w:sz w:val="24"/>
        </w:rPr>
        <w:t>钢箱梁定位后，直接由操作人员站立于操作平台进行焊接施工，钢箱梁焊接时应有专人监控，待钢梁拼接完成，检查确认后，才松开钢丝绳，撤走汽车吊。</w:t>
      </w:r>
      <w:bookmarkEnd w:id="1206"/>
    </w:p>
    <w:p w14:paraId="4FBF11FD">
      <w:pPr>
        <w:spacing w:line="360" w:lineRule="auto"/>
        <w:ind w:firstLine="480" w:firstLineChars="200"/>
        <w:rPr>
          <w:rFonts w:ascii="宋体" w:hAnsi="宋体"/>
          <w:sz w:val="24"/>
        </w:rPr>
      </w:pPr>
      <w:r>
        <w:rPr>
          <w:rFonts w:hint="eastAsia" w:ascii="宋体" w:hAnsi="宋体"/>
          <w:sz w:val="24"/>
        </w:rPr>
        <w:t>在所有焊接工作完成且按要求对焊缝进行外观检查及二级以上焊缝进行相关的超声波探伤和射线探伤合格后，将临时钢支架卸载后拆除。</w:t>
      </w:r>
    </w:p>
    <w:p w14:paraId="25F5F3FB">
      <w:pPr>
        <w:spacing w:line="360" w:lineRule="auto"/>
        <w:ind w:leftChars="-540" w:right="-1354" w:rightChars="-564" w:hanging="1296" w:hangingChars="540"/>
        <w:jc w:val="center"/>
        <w:rPr>
          <w:rFonts w:ascii="宋体" w:hAnsi="宋体"/>
          <w:sz w:val="24"/>
        </w:rPr>
      </w:pPr>
      <w:r>
        <w:drawing>
          <wp:inline distT="0" distB="0" distL="114300" distR="114300">
            <wp:extent cx="5605780" cy="2362835"/>
            <wp:effectExtent l="0" t="0" r="2540" b="0"/>
            <wp:docPr id="15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 name="图片 26"/>
                    <pic:cNvPicPr>
                      <a:picLocks noChangeAspect="1"/>
                    </pic:cNvPicPr>
                  </pic:nvPicPr>
                  <pic:blipFill>
                    <a:blip r:embed="rId148">
                      <a:grayscl/>
                    </a:blip>
                    <a:srcRect l="10510" t="32722" r="46675" b="46014"/>
                    <a:stretch>
                      <a:fillRect/>
                    </a:stretch>
                  </pic:blipFill>
                  <pic:spPr>
                    <a:xfrm>
                      <a:off x="0" y="0"/>
                      <a:ext cx="5605780" cy="2362835"/>
                    </a:xfrm>
                    <a:prstGeom prst="rect">
                      <a:avLst/>
                    </a:prstGeom>
                    <a:noFill/>
                    <a:ln>
                      <a:noFill/>
                    </a:ln>
                  </pic:spPr>
                </pic:pic>
              </a:graphicData>
            </a:graphic>
          </wp:inline>
        </w:drawing>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6"/>
      </w:tblGrid>
      <w:tr w14:paraId="0B324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0" w:type="auto"/>
            <w:tcBorders>
              <w:top w:val="nil"/>
              <w:left w:val="nil"/>
              <w:bottom w:val="thickThinSmallGap" w:color="auto" w:sz="18" w:space="0"/>
              <w:right w:val="nil"/>
            </w:tcBorders>
            <w:noWrap w:val="0"/>
            <w:vAlign w:val="top"/>
          </w:tcPr>
          <w:p w14:paraId="0C457F36">
            <w:pPr>
              <w:spacing w:line="360" w:lineRule="auto"/>
              <w:jc w:val="center"/>
              <w:rPr>
                <w:rFonts w:hint="eastAsia" w:ascii="宋体" w:hAnsi="宋体"/>
                <w:sz w:val="24"/>
              </w:rPr>
            </w:pPr>
            <w:bookmarkStart w:id="1209" w:name="_Hlk530730932"/>
            <w:r>
              <w:rPr>
                <w:rFonts w:hint="eastAsia" w:ascii="宋体" w:hAnsi="宋体"/>
                <w:sz w:val="24"/>
              </w:rPr>
              <w:t>钢支架平面图</w:t>
            </w:r>
          </w:p>
        </w:tc>
      </w:tr>
      <w:bookmarkEnd w:id="1209"/>
    </w:tbl>
    <w:p w14:paraId="5CC144BC">
      <w:pPr>
        <w:spacing w:line="360" w:lineRule="auto"/>
        <w:jc w:val="center"/>
        <w:rPr>
          <w:rFonts w:ascii="宋体" w:hAnsi="宋体"/>
          <w:sz w:val="24"/>
        </w:rPr>
      </w:pPr>
      <w:r>
        <w:object>
          <v:shape id="_x0000_i1044" o:spt="75" type="#_x0000_t75" style="height:304.3pt;width:321.8pt;" o:ole="t" filled="f" o:preferrelative="t" stroked="f" coordsize="21600,21600">
            <v:path/>
            <v:fill on="f" focussize="0,0"/>
            <v:stroke on="f"/>
            <v:imagedata r:id="rId150" cropleft="21207f" croptop="14650f" cropright="22916f" cropbottom="25693f" o:title=""/>
            <o:lock v:ext="edit" aspectratio="t"/>
            <w10:wrap type="none"/>
            <w10:anchorlock/>
          </v:shape>
          <o:OLEObject Type="Embed" ProgID="AutoCAD.Drawing.19" ShapeID="_x0000_i1044" DrawAspect="Content" ObjectID="_1468075744" r:id="rId149">
            <o:LockedField>false</o:LockedField>
          </o:OLEObject>
        </w:objec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6"/>
      </w:tblGrid>
      <w:tr w14:paraId="3502E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0" w:type="auto"/>
            <w:tcBorders>
              <w:top w:val="nil"/>
              <w:left w:val="nil"/>
              <w:bottom w:val="thickThinSmallGap" w:color="auto" w:sz="18" w:space="0"/>
              <w:right w:val="nil"/>
            </w:tcBorders>
            <w:noWrap w:val="0"/>
            <w:vAlign w:val="top"/>
          </w:tcPr>
          <w:p w14:paraId="3CA33DC8">
            <w:pPr>
              <w:spacing w:line="360" w:lineRule="auto"/>
              <w:jc w:val="center"/>
              <w:rPr>
                <w:rFonts w:hint="eastAsia" w:ascii="宋体" w:hAnsi="宋体"/>
                <w:sz w:val="24"/>
              </w:rPr>
            </w:pPr>
            <w:r>
              <w:rPr>
                <w:rFonts w:hint="eastAsia" w:ascii="宋体" w:hAnsi="宋体"/>
                <w:sz w:val="24"/>
              </w:rPr>
              <w:t>钢支架立面图</w:t>
            </w:r>
          </w:p>
        </w:tc>
      </w:tr>
    </w:tbl>
    <w:p w14:paraId="4BE3A1C6">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5、吊车支腿站位地面处理</w:t>
      </w:r>
    </w:p>
    <w:p w14:paraId="2C1C38FC">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（1）在基础较好的混凝土路面，吊车支腿站位时需垫放枕木，路面不平整用垫钢板找平，如下图所示：</w:t>
      </w:r>
    </w:p>
    <w:p w14:paraId="3A0675D5">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遇到软基路面时，需对基础进行硬化处理，硬化处理前应先探明地下管线，将地下管线周围的土夯紧并覆盖50～80cm的沙夹石夯实保护，然后在地表面铺装20cm碎石碾平，吊车站位时使用路基箱垫平如下图所示：</w:t>
      </w:r>
    </w:p>
    <w:p w14:paraId="32C6530B">
      <w:pPr>
        <w:spacing w:before="0" w:after="0"/>
        <w:jc w:val="center"/>
        <w:rPr>
          <w:rFonts w:hAnsi="宋体"/>
          <w:sz w:val="21"/>
          <w:szCs w:val="21"/>
        </w:rPr>
      </w:pPr>
      <w:r>
        <w:rPr>
          <w:rFonts w:hAnsi="宋体"/>
          <w:b/>
          <w:bCs w:val="0"/>
          <w:color w:val="0000FF"/>
          <w:sz w:val="21"/>
          <w:szCs w:val="21"/>
        </w:rPr>
        <w:drawing>
          <wp:inline distT="0" distB="0" distL="0" distR="0">
            <wp:extent cx="2519045" cy="1751330"/>
            <wp:effectExtent l="0" t="0" r="10795" b="1270"/>
            <wp:docPr id="1598" name="图片 15" descr="说明: 路基处理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图片 15" descr="说明: 路基处理1"/>
                    <pic:cNvPicPr>
                      <a:picLocks noChangeAspect="1" noChangeArrowheads="1"/>
                    </pic:cNvPicPr>
                  </pic:nvPicPr>
                  <pic:blipFill>
                    <a:blip r:embed="rId151" cstate="print"/>
                    <a:srcRect l="47600" t="29938" r="6462" b="29482"/>
                    <a:stretch>
                      <a:fillRect/>
                    </a:stretch>
                  </pic:blipFill>
                  <pic:spPr>
                    <a:xfrm>
                      <a:off x="0" y="0"/>
                      <a:ext cx="2519045" cy="1751330"/>
                    </a:xfrm>
                    <a:prstGeom prst="rect">
                      <a:avLst/>
                    </a:prstGeom>
                    <a:noFill/>
                    <a:ln w="9525">
                      <a:noFill/>
                      <a:miter lim="800000"/>
                      <a:headEnd/>
                      <a:tailEnd/>
                    </a:ln>
                  </pic:spPr>
                </pic:pic>
              </a:graphicData>
            </a:graphic>
          </wp:inline>
        </w:drawing>
      </w:r>
      <w:r>
        <w:rPr>
          <w:rFonts w:hAnsi="宋体"/>
          <w:b/>
          <w:bCs w:val="0"/>
          <w:color w:val="0000FF"/>
          <w:sz w:val="21"/>
          <w:szCs w:val="21"/>
        </w:rPr>
        <w:drawing>
          <wp:inline distT="0" distB="0" distL="0" distR="0">
            <wp:extent cx="2527300" cy="1751330"/>
            <wp:effectExtent l="0" t="0" r="2540" b="1270"/>
            <wp:docPr id="1599" name="图片 16" descr="说明: 吊车站位路基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图片 16" descr="说明: 吊车站位路基箱"/>
                    <pic:cNvPicPr>
                      <a:picLocks noChangeAspect="1" noChangeArrowheads="1"/>
                    </pic:cNvPicPr>
                  </pic:nvPicPr>
                  <pic:blipFill>
                    <a:blip r:embed="rId152" cstate="print"/>
                    <a:srcRect l="27190" t="7582" r="27625" b="14670"/>
                    <a:stretch>
                      <a:fillRect/>
                    </a:stretch>
                  </pic:blipFill>
                  <pic:spPr>
                    <a:xfrm>
                      <a:off x="0" y="0"/>
                      <a:ext cx="2527300" cy="1751330"/>
                    </a:xfrm>
                    <a:prstGeom prst="rect">
                      <a:avLst/>
                    </a:prstGeom>
                    <a:noFill/>
                    <a:ln w="9525">
                      <a:noFill/>
                      <a:miter lim="800000"/>
                      <a:headEnd/>
                      <a:tailEnd/>
                    </a:ln>
                  </pic:spPr>
                </pic:pic>
              </a:graphicData>
            </a:graphic>
          </wp:inline>
        </w:drawing>
      </w:r>
    </w:p>
    <w:p w14:paraId="4F674BB3">
      <w:pPr>
        <w:spacing w:before="0" w:after="0"/>
        <w:rPr>
          <w:rFonts w:hAnsi="宋体"/>
          <w:sz w:val="21"/>
          <w:szCs w:val="21"/>
        </w:rPr>
      </w:pPr>
    </w:p>
    <w:p w14:paraId="79F02501">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210" w:name="_Toc469122428"/>
      <w:bookmarkStart w:id="1211" w:name="_Toc350667607"/>
      <w:bookmarkStart w:id="1212" w:name="_Toc19025173"/>
      <w:r>
        <w:rPr>
          <w:rFonts w:hint="eastAsia" w:asciiTheme="minorEastAsia" w:hAnsiTheme="minorEastAsia" w:eastAsiaTheme="minorEastAsia"/>
          <w:b w:val="0"/>
          <w:bCs w:val="0"/>
          <w:color w:val="auto"/>
          <w:highlight w:val="none"/>
          <w:lang w:val="en-US" w:eastAsia="zh-CN"/>
        </w:rPr>
        <w:t>6、吊车选用</w:t>
      </w:r>
      <w:bookmarkEnd w:id="1207"/>
      <w:bookmarkEnd w:id="1208"/>
      <w:bookmarkEnd w:id="1210"/>
      <w:bookmarkEnd w:id="1211"/>
      <w:bookmarkEnd w:id="1212"/>
    </w:p>
    <w:p w14:paraId="7FB3E724">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根据本工程钢结构桥梁阶段划分、现场环境、吊车作业半径等因素，选择满足要求的吊车，初步拟定1台起重性能不低于260t汽车吊，选用1台25吨汽车起重机用于挑臂分段吊装，其起重能力、作业半径满足该项目现场的安装需求。临时支架制作及拆除选用单台起重性能不低于31t的汽车吊。</w:t>
      </w:r>
    </w:p>
    <w:p w14:paraId="513ED3CF">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注：上述吊车设备种类及数量可根据实际现场施工进度和环境进行调配。</w:t>
      </w:r>
    </w:p>
    <w:p w14:paraId="1E919E1F">
      <w:pPr>
        <w:pStyle w:val="23"/>
        <w:spacing w:line="360" w:lineRule="auto"/>
        <w:ind w:firstLine="480"/>
        <w:rPr>
          <w:rFonts w:hint="eastAsia" w:asciiTheme="minorEastAsia" w:hAnsiTheme="minorEastAsia" w:eastAsiaTheme="minorEastAsia"/>
          <w:b w:val="0"/>
          <w:bCs w:val="0"/>
          <w:color w:val="auto"/>
          <w:highlight w:val="none"/>
          <w:lang w:val="en-US" w:eastAsia="zh-CN"/>
        </w:rPr>
      </w:pPr>
      <w:bookmarkStart w:id="1213" w:name="_Toc468379004"/>
      <w:r>
        <w:rPr>
          <w:rFonts w:hint="eastAsia" w:asciiTheme="minorEastAsia" w:hAnsiTheme="minorEastAsia" w:eastAsiaTheme="minorEastAsia"/>
          <w:b w:val="0"/>
          <w:bCs w:val="0"/>
          <w:color w:val="auto"/>
          <w:highlight w:val="none"/>
          <w:lang w:val="en-US" w:eastAsia="zh-CN"/>
        </w:rPr>
        <w:t>中联260t汽车吊外形尺寸及吊装参数：</w:t>
      </w:r>
    </w:p>
    <w:p w14:paraId="7E836DC9">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外形尺寸（长*宽*高：17580mm*3000mm*4000mm）支腿全伸（8.8m）</w:t>
      </w:r>
    </w:p>
    <w:p w14:paraId="065A6D4B">
      <w:pPr>
        <w:pStyle w:val="23"/>
        <w:spacing w:line="360" w:lineRule="auto"/>
        <w:ind w:firstLine="480"/>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中联260t汽车起重机性能：</w:t>
      </w:r>
    </w:p>
    <w:p w14:paraId="670646F3">
      <w:pPr>
        <w:pStyle w:val="26"/>
        <w:jc w:val="center"/>
      </w:pPr>
      <w:r>
        <w:rPr>
          <w:rFonts w:hint="eastAsia"/>
        </w:rPr>
        <w:drawing>
          <wp:inline distT="0" distB="0" distL="0" distR="0">
            <wp:extent cx="4314190" cy="3728720"/>
            <wp:effectExtent l="0" t="0" r="13970" b="5080"/>
            <wp:docPr id="160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图片 32"/>
                    <pic:cNvPicPr>
                      <a:picLocks noChangeAspect="1" noChangeArrowheads="1"/>
                    </pic:cNvPicPr>
                  </pic:nvPicPr>
                  <pic:blipFill>
                    <a:blip r:embed="rId153"/>
                    <a:srcRect b="18150"/>
                    <a:stretch>
                      <a:fillRect/>
                    </a:stretch>
                  </pic:blipFill>
                  <pic:spPr>
                    <a:xfrm>
                      <a:off x="0" y="0"/>
                      <a:ext cx="4314411" cy="3729162"/>
                    </a:xfrm>
                    <a:prstGeom prst="rect">
                      <a:avLst/>
                    </a:prstGeom>
                    <a:noFill/>
                    <a:ln w="9525">
                      <a:noFill/>
                      <a:miter lim="800000"/>
                      <a:headEnd/>
                      <a:tailEnd/>
                    </a:ln>
                  </pic:spPr>
                </pic:pic>
              </a:graphicData>
            </a:graphic>
          </wp:inline>
        </w:drawing>
      </w:r>
    </w:p>
    <w:p w14:paraId="0E24F3E4">
      <w:pPr>
        <w:jc w:val="center"/>
        <w:rPr>
          <w:rFonts w:eastAsiaTheme="minorEastAsia"/>
          <w:sz w:val="21"/>
          <w:szCs w:val="21"/>
        </w:rPr>
      </w:pPr>
      <w:r>
        <w:drawing>
          <wp:inline distT="0" distB="0" distL="114300" distR="114300">
            <wp:extent cx="5074285" cy="3601085"/>
            <wp:effectExtent l="0" t="0" r="635" b="10795"/>
            <wp:docPr id="16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图片 28"/>
                    <pic:cNvPicPr>
                      <a:picLocks noChangeAspect="1"/>
                    </pic:cNvPicPr>
                  </pic:nvPicPr>
                  <pic:blipFill>
                    <a:blip r:embed="rId154"/>
                    <a:stretch>
                      <a:fillRect/>
                    </a:stretch>
                  </pic:blipFill>
                  <pic:spPr>
                    <a:xfrm>
                      <a:off x="0" y="0"/>
                      <a:ext cx="5074285" cy="3601085"/>
                    </a:xfrm>
                    <a:prstGeom prst="rect">
                      <a:avLst/>
                    </a:prstGeom>
                    <a:noFill/>
                    <a:ln>
                      <a:noFill/>
                    </a:ln>
                  </pic:spPr>
                </pic:pic>
              </a:graphicData>
            </a:graphic>
          </wp:inline>
        </w:drawing>
      </w:r>
    </w:p>
    <w:p w14:paraId="76C3B5AB">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中联25t汽车起重机参数：</w:t>
      </w:r>
    </w:p>
    <w:p w14:paraId="06216EBC">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外形尺寸（长*宽*高：14100m*2500m*3450m）支腿全伸（6.1m）</w:t>
      </w:r>
    </w:p>
    <w:p w14:paraId="16867A98">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中联25t汽车起重机性能：</w:t>
      </w:r>
    </w:p>
    <w:bookmarkEnd w:id="1213"/>
    <w:p w14:paraId="09BE3A3B">
      <w:pPr>
        <w:spacing w:before="0" w:after="0"/>
        <w:jc w:val="center"/>
        <w:rPr>
          <w:rFonts w:hAnsi="宋体"/>
          <w:sz w:val="21"/>
          <w:szCs w:val="21"/>
        </w:rPr>
      </w:pPr>
      <w:r>
        <w:rPr>
          <w:rFonts w:hAnsi="宋体"/>
          <w:sz w:val="21"/>
          <w:szCs w:val="21"/>
        </w:rPr>
        <w:drawing>
          <wp:inline distT="0" distB="0" distL="0" distR="0">
            <wp:extent cx="2338705" cy="2441575"/>
            <wp:effectExtent l="0" t="0" r="8255" b="12065"/>
            <wp:docPr id="1602"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图片 129"/>
                    <pic:cNvPicPr>
                      <a:picLocks noChangeAspect="1" noChangeArrowheads="1"/>
                    </pic:cNvPicPr>
                  </pic:nvPicPr>
                  <pic:blipFill>
                    <a:blip r:embed="rId155" cstate="print"/>
                    <a:srcRect b="4929"/>
                    <a:stretch>
                      <a:fillRect/>
                    </a:stretch>
                  </pic:blipFill>
                  <pic:spPr>
                    <a:xfrm>
                      <a:off x="0" y="0"/>
                      <a:ext cx="2339312" cy="2441674"/>
                    </a:xfrm>
                    <a:prstGeom prst="rect">
                      <a:avLst/>
                    </a:prstGeom>
                    <a:noFill/>
                    <a:ln w="9525">
                      <a:noFill/>
                      <a:miter lim="800000"/>
                      <a:headEnd/>
                      <a:tailEnd/>
                    </a:ln>
                  </pic:spPr>
                </pic:pic>
              </a:graphicData>
            </a:graphic>
          </wp:inline>
        </w:drawing>
      </w:r>
    </w:p>
    <w:p w14:paraId="4ED6A99D">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起重机进场质量安全验收：</w:t>
      </w:r>
    </w:p>
    <w:p w14:paraId="06FB3C75">
      <w:pPr>
        <w:pStyle w:val="23"/>
        <w:spacing w:line="360" w:lineRule="auto"/>
        <w:rPr>
          <w:rFonts w:hint="eastAsia" w:asciiTheme="minorEastAsia" w:hAnsiTheme="minorEastAsia" w:eastAsiaTheme="minorEastAsia"/>
          <w:b w:val="0"/>
          <w:bCs w:val="0"/>
          <w:color w:val="auto"/>
          <w:highlight w:val="none"/>
          <w:lang w:val="en-US" w:eastAsia="zh-CN"/>
        </w:rPr>
      </w:pPr>
      <w:bookmarkStart w:id="1214" w:name="_Toc355530153"/>
      <w:bookmarkStart w:id="1215" w:name="_Toc19025181"/>
      <w:bookmarkStart w:id="1216" w:name="_Toc376514637"/>
      <w:r>
        <w:rPr>
          <w:rFonts w:hint="eastAsia" w:asciiTheme="minorEastAsia" w:hAnsiTheme="minorEastAsia" w:eastAsiaTheme="minorEastAsia"/>
          <w:b w:val="0"/>
          <w:bCs w:val="0"/>
          <w:color w:val="auto"/>
          <w:highlight w:val="none"/>
          <w:lang w:val="en-US" w:eastAsia="zh-CN"/>
        </w:rPr>
        <w:t>三、测量布控方案</w:t>
      </w:r>
      <w:bookmarkEnd w:id="1214"/>
      <w:bookmarkEnd w:id="1215"/>
      <w:bookmarkEnd w:id="1216"/>
    </w:p>
    <w:p w14:paraId="7CF20A6F">
      <w:pPr>
        <w:pStyle w:val="23"/>
        <w:spacing w:line="360" w:lineRule="auto"/>
        <w:rPr>
          <w:rFonts w:hint="eastAsia" w:asciiTheme="minorEastAsia" w:hAnsiTheme="minorEastAsia" w:eastAsiaTheme="minorEastAsia"/>
          <w:b w:val="0"/>
          <w:bCs w:val="0"/>
          <w:color w:val="auto"/>
          <w:highlight w:val="none"/>
          <w:lang w:val="en-US" w:eastAsia="zh-CN"/>
        </w:rPr>
      </w:pPr>
      <w:bookmarkStart w:id="1217" w:name="_Toc355530154"/>
      <w:r>
        <w:rPr>
          <w:rFonts w:hint="eastAsia" w:asciiTheme="minorEastAsia" w:hAnsiTheme="minorEastAsia" w:eastAsiaTheme="minorEastAsia"/>
          <w:b w:val="0"/>
          <w:bCs w:val="0"/>
          <w:color w:val="auto"/>
          <w:highlight w:val="none"/>
          <w:lang w:val="en-US" w:eastAsia="zh-CN"/>
        </w:rPr>
        <w:t>1、测量施工部署</w:t>
      </w:r>
      <w:bookmarkEnd w:id="1217"/>
    </w:p>
    <w:p w14:paraId="342F0855">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根据设计院给定的坐标点和高程控点、钢箱梁分段尺寸，对支撑体系定位、标高，及每一分段箱梁定位轴线及标高，再结合土建施工对基础的中间测量。 </w:t>
      </w:r>
    </w:p>
    <w:p w14:paraId="71FF2AB8">
      <w:pPr>
        <w:pStyle w:val="23"/>
        <w:spacing w:line="360" w:lineRule="auto"/>
        <w:rPr>
          <w:rFonts w:hint="eastAsia" w:asciiTheme="minorEastAsia" w:hAnsiTheme="minorEastAsia" w:eastAsiaTheme="minorEastAsia"/>
          <w:b w:val="0"/>
          <w:bCs w:val="0"/>
          <w:color w:val="auto"/>
          <w:highlight w:val="none"/>
          <w:lang w:val="en-US" w:eastAsia="zh-CN"/>
        </w:rPr>
      </w:pPr>
      <w:bookmarkStart w:id="1218" w:name="_Toc355530155"/>
      <w:r>
        <w:rPr>
          <w:rFonts w:hint="eastAsia" w:asciiTheme="minorEastAsia" w:hAnsiTheme="minorEastAsia" w:eastAsiaTheme="minorEastAsia"/>
          <w:b w:val="0"/>
          <w:bCs w:val="0"/>
          <w:color w:val="auto"/>
          <w:highlight w:val="none"/>
          <w:lang w:val="en-US" w:eastAsia="zh-CN"/>
        </w:rPr>
        <w:t>2、测量步骤</w:t>
      </w:r>
      <w:bookmarkEnd w:id="1218"/>
    </w:p>
    <w:p w14:paraId="15B08512">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（1）高程水准点和导线控制点的复测和加密 </w:t>
      </w:r>
    </w:p>
    <w:p w14:paraId="702F4DCE">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根据测量成果表和实地的导线点为依据，进行加密。测设过程中采用二级导线精度，沿着设计线路在施工地段西侧布设。加密点必须坚实牢固，保证道路施工过程中相邻导线点能互相通视，然后用电锤钻孔，埋设直径14mm钢铆钉头，导线起始点必须与测量成果表的复测点闭合。 其精度应满足以下要求： </w:t>
      </w:r>
    </w:p>
    <w:p w14:paraId="629BAC4E">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相对闭合1／10000</w:t>
      </w:r>
    </w:p>
    <w:p w14:paraId="4C233280">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②</w:t>
      </w:r>
      <w:r>
        <w:rPr>
          <w:rFonts w:hint="eastAsia" w:asciiTheme="minorEastAsia" w:hAnsiTheme="minorEastAsia" w:eastAsiaTheme="minorEastAsia"/>
          <w:b w:val="0"/>
          <w:bCs w:val="0"/>
          <w:color w:val="auto"/>
          <w:highlight w:val="none"/>
          <w:lang w:val="en-US" w:eastAsia="zh-CN"/>
        </w:rPr>
        <w:t>测角中误差8″</w:t>
      </w:r>
    </w:p>
    <w:p w14:paraId="13F74EF1">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③</w:t>
      </w:r>
      <w:r>
        <w:rPr>
          <w:rFonts w:hint="eastAsia" w:asciiTheme="minorEastAsia" w:hAnsiTheme="minorEastAsia" w:eastAsiaTheme="minorEastAsia"/>
          <w:b w:val="0"/>
          <w:bCs w:val="0"/>
          <w:color w:val="auto"/>
          <w:highlight w:val="none"/>
          <w:lang w:val="en-US" w:eastAsia="zh-CN"/>
        </w:rPr>
        <w:t xml:space="preserve">方位角闭合差 </w:t>
      </w:r>
    </w:p>
    <w:p w14:paraId="42DDC966">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（2）高程点的加密 </w:t>
      </w:r>
    </w:p>
    <w:p w14:paraId="04FDA00F">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为满足施工需要，增设加密高程控制点均按四等高程控制的测设要求。以设计测量成果表经复测高程点为起始点，进行一个往返测。 </w:t>
      </w:r>
    </w:p>
    <w:p w14:paraId="3EA17FEC">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（3）支座中心线、高程的复测 </w:t>
      </w:r>
    </w:p>
    <w:p w14:paraId="304B4962">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对支座中心线及高程复测。支座中心线应符合《工程测量规范》及设计要求，复测结果报监理工程师认可后才能进行下一步工作。</w:t>
      </w:r>
    </w:p>
    <w:p w14:paraId="2CF7F51C">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（4）支撑体系测量控制 </w:t>
      </w:r>
    </w:p>
    <w:p w14:paraId="38FC522E">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①</w:t>
      </w:r>
      <w:r>
        <w:rPr>
          <w:rFonts w:hint="eastAsia" w:asciiTheme="minorEastAsia" w:hAnsiTheme="minorEastAsia" w:eastAsiaTheme="minorEastAsia"/>
          <w:b w:val="0"/>
          <w:bCs w:val="0"/>
          <w:color w:val="auto"/>
          <w:highlight w:val="none"/>
          <w:lang w:val="en-US" w:eastAsia="zh-CN"/>
        </w:rPr>
        <w:t xml:space="preserve">平面控制 </w:t>
      </w:r>
    </w:p>
    <w:p w14:paraId="11BD6A81">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结合现场实际安装情况，对支撑体系进行现场定位。先用全站仪把箱梁中心线投影线引测在路面上用红油漆进行标示，直线段每 12m～16m 一个点，曲线段每5m 测设一个点。测设点位必须检查符合，测设误差必须达到图纸要求，否则重测。中心线投射完毕后在沿纵向方向按着支撑体系布置图把每一组的支撑体系的定位关系在路面上标识。轴线投射完毕后用水准仪对支撑体系柱脚处进行找平并配置斜垫板。 </w:t>
      </w:r>
    </w:p>
    <w:p w14:paraId="040F1F2A">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②</w:t>
      </w:r>
      <w:r>
        <w:rPr>
          <w:rFonts w:hint="eastAsia" w:asciiTheme="minorEastAsia" w:hAnsiTheme="minorEastAsia" w:eastAsiaTheme="minorEastAsia"/>
          <w:b w:val="0"/>
          <w:bCs w:val="0"/>
          <w:color w:val="auto"/>
          <w:highlight w:val="none"/>
          <w:lang w:val="en-US" w:eastAsia="zh-CN"/>
        </w:rPr>
        <w:t xml:space="preserve">支撑体系上部控制 </w:t>
      </w:r>
    </w:p>
    <w:p w14:paraId="22A0C9DE">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支撑体系格构柱安装整体稳定后，根据控制点坐标，用全站仪将之前布设的道路中线点、钢箱梁分段中心线投影点及左右路边点投在支撑体系横梁上，并沿纵向用细钢丝连接各点，在钢丝上把每一中心线分段尺寸投影点在钢丝上标示出来。在横梁纵向方向根据中心线把钢箱梁横向分段尺寸投影线在横梁上用样冲和油漆标示出来，再整体测量、检查 投射点与理论值测设之间的误差是否符合设计要求。 </w:t>
      </w:r>
    </w:p>
    <w:p w14:paraId="3AEC90CA">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宋体" w:hAnsi="宋体" w:eastAsia="宋体" w:cs="宋体"/>
          <w:b w:val="0"/>
          <w:bCs w:val="0"/>
          <w:color w:val="auto"/>
          <w:highlight w:val="none"/>
          <w:lang w:val="en-US" w:eastAsia="zh-CN"/>
        </w:rPr>
        <w:t>③</w:t>
      </w:r>
      <w:r>
        <w:rPr>
          <w:rFonts w:hint="eastAsia" w:asciiTheme="minorEastAsia" w:hAnsiTheme="minorEastAsia" w:eastAsiaTheme="minorEastAsia"/>
          <w:b w:val="0"/>
          <w:bCs w:val="0"/>
          <w:color w:val="auto"/>
          <w:highlight w:val="none"/>
          <w:lang w:val="en-US" w:eastAsia="zh-CN"/>
        </w:rPr>
        <w:t xml:space="preserve">支撑体系高程控制 </w:t>
      </w:r>
    </w:p>
    <w:p w14:paraId="0AB378E6">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支撑体系安装后，实际箱梁底部高程=支架高度+预留段高度。在对支撑体系高程复查完毕后，用箱梁下部高程减去支架高度，计算出钢箱梁每一分段四个支点处预留段高程，钢箱梁落位后，经过复测，若支撑点顶部标高未满足要求，应在支撑体系横梁上架设千斤顶来进行微调，直到与理论值一致。 </w:t>
      </w:r>
    </w:p>
    <w:p w14:paraId="07930CD9">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支撑体系的高程控制是从支撑体系底座开始的，根据要求对底座高程的相对高差进行观测，使用高差法将支撑体系底座操平（设B点高程=A点高程+AB点高差值）。在条件允许的情况下，支撑体系的底座尽量控制到正负零。在架设仪器时尽量保持等距测量，少设站，多闭合。尽量减少在测站时的观测误差。在支架格构柱稳定后对支架横梁上平面进行复测，如达到要求就可以对钢箱梁进行安装了。</w:t>
      </w:r>
    </w:p>
    <w:p w14:paraId="77216AEF">
      <w:pPr>
        <w:pStyle w:val="23"/>
        <w:spacing w:line="360" w:lineRule="auto"/>
        <w:rPr>
          <w:rFonts w:hint="eastAsia" w:asciiTheme="minorEastAsia" w:hAnsiTheme="minorEastAsia" w:eastAsiaTheme="minorEastAsia"/>
          <w:b w:val="0"/>
          <w:bCs w:val="0"/>
          <w:color w:val="auto"/>
          <w:highlight w:val="none"/>
          <w:lang w:val="en-US" w:eastAsia="zh-CN"/>
        </w:rPr>
      </w:pPr>
      <w:bookmarkStart w:id="1219" w:name="_Toc355530157"/>
      <w:r>
        <w:rPr>
          <w:rFonts w:hint="eastAsia" w:asciiTheme="minorEastAsia" w:hAnsiTheme="minorEastAsia" w:eastAsiaTheme="minorEastAsia"/>
          <w:b w:val="0"/>
          <w:bCs w:val="0"/>
          <w:color w:val="auto"/>
          <w:highlight w:val="none"/>
          <w:lang w:val="en-US" w:eastAsia="zh-CN"/>
        </w:rPr>
        <w:t>3、钢箱梁安装测量控制</w:t>
      </w:r>
      <w:bookmarkEnd w:id="1219"/>
      <w:r>
        <w:rPr>
          <w:rFonts w:hint="eastAsia" w:asciiTheme="minorEastAsia" w:hAnsiTheme="minorEastAsia" w:eastAsiaTheme="minorEastAsia"/>
          <w:b w:val="0"/>
          <w:bCs w:val="0"/>
          <w:color w:val="auto"/>
          <w:highlight w:val="none"/>
          <w:lang w:val="en-US" w:eastAsia="zh-CN"/>
        </w:rPr>
        <w:t xml:space="preserve"> </w:t>
      </w:r>
    </w:p>
    <w:p w14:paraId="77FD2DDF">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1）按设计详图的分段要求进行分段制作，制作完的构件经检查合格，为保证本标段钢箱梁的制造线形达到设计的线形要求，制造时搭设可靠胎架，纵向节段及横向分段之间必须在工厂胎架进行匹配。在出厂前进行预拼装，拼装前按设计的坡度要求进行临时胎架的架设，经过专业测量人员复测合格后，方可进行预拼装，组装找正后，经复测合格后对构件进行编号，钢箱梁的上、下中心都必须做好标识，为现场安装提供依据，然后拆除钢箱梁，按要求进行堆放。 </w:t>
      </w:r>
    </w:p>
    <w:p w14:paraId="3BCE4330">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2）正式开工前，安装施工单位应对钢箱梁平、纵设计参数表、支座设计参数等基本数据进行一次全面的校核，弄清平面及立面曲线要素，立面制造线形还应在总体立面线形的基础上叠加各跨的预拱度。安装钢箱梁之前，把每一段箱梁轴线尺寸（制作单位提交的预装记录定位线）和图纸设计的线形投影在支撑体系上。 </w:t>
      </w:r>
    </w:p>
    <w:p w14:paraId="01C08C6F">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3）由于此路段有机动车辆通行，基础和支撑体系都会发生不均等的沉降，因此应在每一组支撑体系的每个格构柱固定位置刻好标记，作为沉降观测的测量点，在钢箱梁安装前对支撑体系整体进行一次沉降记录。 </w:t>
      </w:r>
    </w:p>
    <w:p w14:paraId="345F7DA7">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固定完毕后立即在对支撑体系进行一次沉降观测并比较前一次的数据看沉降是否均匀，若不均匀，应立即停止安装，并制定相应的处理办一个节段安装完毕后进行整体复测合格后方交下一工序焊接。按上述方法，依次安装、测量其他节段的箱梁分段。 </w:t>
      </w:r>
    </w:p>
    <w:p w14:paraId="72095863">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（4）钢箱梁拼装完毕，应对钢箱梁进行24小时整体沉降观测，沉降量符合设计和规范要求后方可进行焊接。 </w:t>
      </w:r>
    </w:p>
    <w:p w14:paraId="13EACA8B">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（5）钢箱梁在焊接前、焊接过程中，应不间断地进行沉降观测，若发现异常应及时进行处理，使其符合设计及规范要求。 </w:t>
      </w:r>
    </w:p>
    <w:p w14:paraId="7EDDBC48">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 xml:space="preserve">（6）钢箱梁安装时环缝的焊接以及桥面上临时荷载都会对高程产生影响，因此安装时考虑所造成的标高变化。钢箱梁焊接完毕，再对钢箱梁进行观测，并做好记录。 </w:t>
      </w:r>
    </w:p>
    <w:p w14:paraId="2EE015DD">
      <w:pPr>
        <w:pStyle w:val="23"/>
        <w:spacing w:line="360" w:lineRule="auto"/>
        <w:rPr>
          <w:rFonts w:hAnsi="宋体"/>
          <w:sz w:val="21"/>
          <w:szCs w:val="21"/>
        </w:rPr>
      </w:pPr>
      <w:r>
        <w:rPr>
          <w:rFonts w:hint="eastAsia" w:asciiTheme="minorEastAsia" w:hAnsiTheme="minorEastAsia" w:eastAsiaTheme="minorEastAsia"/>
          <w:b w:val="0"/>
          <w:bCs w:val="0"/>
          <w:color w:val="auto"/>
          <w:highlight w:val="none"/>
          <w:lang w:val="en-US" w:eastAsia="zh-CN"/>
        </w:rPr>
        <w:t>（7）钢箱梁整体焊接完毕经检查合格，整体卸载后，拆除支撑体系，使钢箱梁处于正常状态，24小时后，对桥梁支墩进行沉降观测，并做好记录，与以前的观测记录进行比较，检查是否符合设计及规范要求。</w:t>
      </w:r>
    </w:p>
    <w:p w14:paraId="03A81F98">
      <w:pPr>
        <w:pStyle w:val="23"/>
        <w:spacing w:line="360" w:lineRule="auto"/>
        <w:rPr>
          <w:rFonts w:hint="eastAsia" w:asciiTheme="minorEastAsia" w:hAnsiTheme="minorEastAsia" w:eastAsiaTheme="minorEastAsia"/>
          <w:b w:val="0"/>
          <w:bCs w:val="0"/>
          <w:color w:val="auto"/>
          <w:highlight w:val="none"/>
          <w:lang w:val="en-US" w:eastAsia="zh-CN"/>
        </w:rPr>
      </w:pPr>
      <w:bookmarkStart w:id="1220" w:name="_Toc19025175"/>
      <w:bookmarkStart w:id="1221" w:name="_Toc450643285"/>
      <w:bookmarkStart w:id="1222" w:name="_Toc469122429"/>
      <w:r>
        <w:rPr>
          <w:rFonts w:hint="eastAsia" w:asciiTheme="minorEastAsia" w:hAnsiTheme="minorEastAsia" w:eastAsiaTheme="minorEastAsia"/>
          <w:b w:val="0"/>
          <w:bCs w:val="0"/>
          <w:color w:val="auto"/>
          <w:highlight w:val="none"/>
          <w:lang w:val="en-US" w:eastAsia="zh-CN"/>
        </w:rPr>
        <w:t>4、钢箱梁安装注意事项</w:t>
      </w:r>
      <w:bookmarkEnd w:id="1220"/>
    </w:p>
    <w:p w14:paraId="61592DB8">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（1）吊装前项目部必须签认高位吊装确认表，保证各个阶段的准备工作安全到位，各种准备资料齐全。</w:t>
      </w:r>
    </w:p>
    <w:p w14:paraId="69E0DDB1">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2）吊装前将起重机吊臂伸杆到钢箱梁分段就位时所需的工作半径，以避免起吊时吊臂因回转半径较大与桥墩碰撞。起重机将钢箱梁构件起吊至安装高度，再进行回转，回转时用φ20mm白棕绳拉好，避免钢箱梁与临时支墩或桥墩等相撞。调整就位时缓慢回钩，回钩时钢箱梁就位要尽量靠近预先投射的测量控制点，再利用倒链及千斤顶进行准确就位，松钩前将临时定位卡固定好，控制好桥梁线型，尽量减少二次找正时较大的位移量。</w:t>
      </w:r>
    </w:p>
    <w:p w14:paraId="425D10CD">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（3）回钩时注意应缓慢将构件落放在临时支墩上，调整钢箱梁分段的标高和轴线，直至满足设计要求。</w:t>
      </w:r>
    </w:p>
    <w:p w14:paraId="5C511766">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（4）吊装前的准备工作做好，特别是每分段的横向和纵向分段处的定位轴线要在临时支墩做好标识，吊装时分段应严格按标识就位。</w:t>
      </w:r>
    </w:p>
    <w:p w14:paraId="78799E9E">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5）钢箱梁安装时调整好相邻分段纵向焊缝及横向焊缝的临时卡具。进行找正、定位，并用测量仪器校核标高、轴线，如有下沉，用二台千斤顶架在辅助支架梁墩上将箱梁分段顶起、加垫板，直至达到标高要求，再进行固定，点焊。（6）钢箱梁工地焊接应严格按照焊接工艺要求执行。确保焊接质量，控制焊接变形。</w:t>
      </w:r>
    </w:p>
    <w:p w14:paraId="77DED809">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7）最后安装节段为合龙段，当前几个节段钢箱梁安装调整定位后，实测各跨支座横轴线至已安装完钢箱梁之间距离，并与设计尺寸比较。定好尺寸后，修改合龙段钢箱梁尺寸，并切割开制坡口，此项处理内容应在构件堆放场地处理完毕，以免占用现场吊装时间。根据温度对安装的影响，以及工期的安排，预计钢结构合龙处于低温季节，因此合龙时间根据实际观测的变化规律和合龙间隙变化情况，选择温差比较小的时候，即中午12时左右开始合龙。</w:t>
      </w:r>
    </w:p>
    <w:p w14:paraId="669907E7">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（8）钢箱梁吊装时应确保分段四个吊点的均匀受力，可用5t导链进行辅助调节，以方便就位时接口顺直，并采取针对措施将接口定位好，以减少松钩后的处理。</w:t>
      </w:r>
    </w:p>
    <w:p w14:paraId="41084E34">
      <w:pPr>
        <w:pStyle w:val="23"/>
        <w:spacing w:line="360" w:lineRule="auto"/>
        <w:rPr>
          <w:rFonts w:hint="eastAsia" w:asciiTheme="minorEastAsia" w:hAnsiTheme="minorEastAsia" w:eastAsiaTheme="minorEastAsia"/>
          <w:b w:val="0"/>
          <w:bCs w:val="0"/>
          <w:color w:val="auto"/>
          <w:highlight w:val="none"/>
          <w:lang w:val="en-US" w:eastAsia="zh-CN"/>
        </w:rPr>
      </w:pPr>
      <w:r>
        <w:rPr>
          <w:rFonts w:hint="eastAsia" w:asciiTheme="minorEastAsia" w:hAnsiTheme="minorEastAsia" w:eastAsiaTheme="minorEastAsia"/>
          <w:b w:val="0"/>
          <w:bCs w:val="0"/>
          <w:color w:val="auto"/>
          <w:highlight w:val="none"/>
          <w:lang w:val="en-US" w:eastAsia="zh-CN"/>
        </w:rPr>
        <w:t>（9）钢箱梁定位完毕后，需进行再次测量，以确保各钢箱梁线型控制准确无误。安装尺寸、标高、线形等经监理工程师核准后方可进行施焊工作。</w:t>
      </w:r>
    </w:p>
    <w:bookmarkEnd w:id="1221"/>
    <w:bookmarkEnd w:id="1222"/>
    <w:p w14:paraId="7A302E6B">
      <w:pPr>
        <w:pStyle w:val="6"/>
        <w:bidi w:val="0"/>
        <w:rPr>
          <w:rFonts w:hint="default"/>
          <w:lang w:val="en-US" w:eastAsia="zh-CN"/>
        </w:rPr>
      </w:pPr>
      <w:bookmarkStart w:id="1223" w:name="_Toc19025177"/>
      <w:bookmarkStart w:id="1224" w:name="_Toc344983441"/>
      <w:bookmarkStart w:id="1225" w:name="_Toc345345017"/>
      <w:bookmarkStart w:id="1226" w:name="_Toc326055140"/>
      <w:r>
        <w:rPr>
          <w:rFonts w:hint="eastAsia"/>
          <w:lang w:val="en-US" w:eastAsia="zh-CN"/>
        </w:rPr>
        <w:t>8.2.6.8</w:t>
      </w:r>
      <w:bookmarkEnd w:id="1223"/>
      <w:r>
        <w:rPr>
          <w:rFonts w:hint="eastAsia"/>
          <w:lang w:val="en-US" w:eastAsia="zh-CN"/>
        </w:rPr>
        <w:t>钢箱梁顶推方案（外凤楼大桥）</w:t>
      </w:r>
    </w:p>
    <w:bookmarkEnd w:id="1224"/>
    <w:bookmarkEnd w:id="1225"/>
    <w:bookmarkEnd w:id="1226"/>
    <w:p w14:paraId="1DDC5FDC">
      <w:pPr>
        <w:pStyle w:val="23"/>
        <w:spacing w:line="360" w:lineRule="auto"/>
        <w:rPr>
          <w:rFonts w:hint="eastAsia" w:ascii="宋体" w:hAnsi="宋体" w:eastAsia="宋体" w:cs="宋体"/>
          <w:b w:val="0"/>
          <w:bCs w:val="0"/>
          <w:color w:val="auto"/>
          <w:highlight w:val="none"/>
          <w:lang w:val="en-US" w:eastAsia="zh-CN"/>
        </w:rPr>
      </w:pPr>
      <w:r>
        <w:rPr>
          <w:rFonts w:hint="eastAsia" w:ascii="宋体" w:hAnsi="宋体" w:cs="宋体"/>
          <w:b w:val="0"/>
          <w:bCs w:val="0"/>
          <w:color w:val="auto"/>
          <w:highlight w:val="none"/>
          <w:lang w:val="en-US" w:eastAsia="zh-CN"/>
        </w:rPr>
        <w:t>1、</w:t>
      </w:r>
      <w:r>
        <w:rPr>
          <w:rFonts w:hint="eastAsia" w:ascii="宋体" w:hAnsi="宋体" w:eastAsia="宋体" w:cs="宋体"/>
          <w:b w:val="0"/>
          <w:bCs w:val="0"/>
          <w:color w:val="auto"/>
          <w:highlight w:val="none"/>
          <w:lang w:val="en-US" w:eastAsia="zh-CN"/>
        </w:rPr>
        <w:t>步骤一：</w:t>
      </w:r>
    </w:p>
    <w:p w14:paraId="263FF078">
      <w:pPr>
        <w:pStyle w:val="23"/>
        <w:spacing w:line="360" w:lineRule="auto"/>
        <w:rPr>
          <w:rFonts w:hint="eastAsia" w:ascii="宋体" w:hAnsi="宋体" w:eastAsia="宋体" w:cs="宋体"/>
          <w:b w:val="0"/>
          <w:bCs w:val="0"/>
          <w:color w:val="auto"/>
          <w:highlight w:val="none"/>
          <w:lang w:val="en-US" w:eastAsia="zh-CN"/>
        </w:rPr>
      </w:pPr>
      <w:r>
        <w:rPr>
          <w:rFonts w:hint="eastAsia" w:ascii="宋体" w:hAnsi="宋体" w:eastAsia="宋体" w:cs="宋体"/>
          <w:b w:val="0"/>
          <w:bCs w:val="0"/>
          <w:color w:val="auto"/>
          <w:highlight w:val="none"/>
          <w:lang w:val="en-US" w:eastAsia="zh-CN"/>
        </w:rPr>
        <w:t>完成全桥桩基、承台、桥墩施工;在10~12#墩之间设置顶推平台支架，在12~14#墩设置墩旁支架，11#~14#墩顶设置顶推千斤顶;对支架施加箱梁的120%的自重进行预压以消除支架在施工过程中的非弹性变形。</w:t>
      </w:r>
    </w:p>
    <w:p w14:paraId="4DDB42BB">
      <w:pPr>
        <w:pStyle w:val="23"/>
        <w:spacing w:line="360" w:lineRule="auto"/>
        <w:rPr>
          <w:rFonts w:hint="eastAsia" w:ascii="宋体" w:hAnsi="宋体" w:cs="宋体"/>
          <w:b w:val="0"/>
          <w:bCs w:val="0"/>
          <w:color w:val="auto"/>
          <w:highlight w:val="none"/>
          <w:lang w:val="en-US" w:eastAsia="zh-CN"/>
        </w:rPr>
      </w:pPr>
      <w:r>
        <w:rPr>
          <w:rFonts w:hint="eastAsia" w:ascii="宋体" w:hAnsi="宋体" w:cs="宋体"/>
          <w:b w:val="0"/>
          <w:bCs w:val="0"/>
          <w:color w:val="auto"/>
          <w:highlight w:val="none"/>
          <w:lang w:val="en-US" w:eastAsia="zh-CN"/>
        </w:rPr>
        <w:t>2、步骤二：</w:t>
      </w:r>
    </w:p>
    <w:p w14:paraId="440AD079">
      <w:pPr>
        <w:pStyle w:val="23"/>
        <w:spacing w:line="360" w:lineRule="auto"/>
        <w:rPr>
          <w:rFonts w:hint="eastAsia" w:ascii="宋体" w:hAnsi="宋体" w:cs="宋体"/>
          <w:b w:val="0"/>
          <w:bCs w:val="0"/>
          <w:color w:val="auto"/>
          <w:highlight w:val="none"/>
          <w:lang w:val="en-US" w:eastAsia="zh-CN"/>
        </w:rPr>
      </w:pPr>
      <w:r>
        <w:rPr>
          <w:rFonts w:hint="eastAsia" w:ascii="宋体" w:hAnsi="宋体" w:cs="宋体"/>
          <w:b w:val="0"/>
          <w:bCs w:val="0"/>
          <w:color w:val="auto"/>
          <w:highlight w:val="none"/>
          <w:lang w:val="en-US" w:eastAsia="zh-CN"/>
        </w:rPr>
        <w:t>顶推平台上分别吊装51~60号节段，将各节段焊成整体；24节段前段安装导梁（导梁长度暂定45m）。顶推千斤顶设置在11#~14#墩顶。顶推51～60号节段前进，注意在顶推过程中调整线型。</w:t>
      </w:r>
    </w:p>
    <w:p w14:paraId="35720FDA">
      <w:pPr>
        <w:pStyle w:val="22"/>
        <w:jc w:val="both"/>
        <w:rPr>
          <w:rStyle w:val="79"/>
          <w:rFonts w:hint="eastAsia" w:asciiTheme="minorEastAsia" w:hAnsiTheme="minorEastAsia" w:eastAsiaTheme="minorEastAsia" w:cstheme="minorEastAsia"/>
          <w:lang w:val="en-US" w:eastAsia="zh-CN"/>
        </w:rPr>
      </w:pPr>
      <w:r>
        <w:rPr>
          <w:rFonts w:hint="eastAsia" w:cs="宋体"/>
          <w:b w:val="0"/>
          <w:bCs w:val="0"/>
          <w:color w:val="auto"/>
          <w:highlight w:val="none"/>
          <w:lang w:val="en-US" w:eastAsia="zh-CN"/>
        </w:rPr>
        <w:t xml:space="preserve">   </w:t>
      </w:r>
      <w:r>
        <w:rPr>
          <w:rStyle w:val="79"/>
          <w:rFonts w:hint="eastAsia"/>
          <w:lang w:val="en-US" w:eastAsia="zh-CN"/>
        </w:rPr>
        <w:t xml:space="preserve"> 3、</w:t>
      </w:r>
      <w:r>
        <w:rPr>
          <w:rStyle w:val="79"/>
          <w:rFonts w:hint="eastAsia" w:asciiTheme="minorEastAsia" w:hAnsiTheme="minorEastAsia" w:eastAsiaTheme="minorEastAsia" w:cstheme="minorEastAsia"/>
          <w:lang w:val="en-US" w:eastAsia="zh-CN"/>
        </w:rPr>
        <w:t>步骤三：</w:t>
      </w:r>
    </w:p>
    <w:p w14:paraId="2D0EE607">
      <w:pPr>
        <w:pStyle w:val="22"/>
        <w:ind w:left="480" w:leftChars="200" w:firstLine="432" w:firstLineChars="200"/>
        <w:jc w:val="both"/>
        <w:rPr>
          <w:rFonts w:hint="eastAsia" w:asciiTheme="minorEastAsia" w:hAnsiTheme="minorEastAsia" w:eastAsiaTheme="minorEastAsia" w:cstheme="minorEastAsia"/>
          <w:lang w:val="en-US" w:eastAsia="zh-CN"/>
        </w:rPr>
      </w:pPr>
      <w:r>
        <w:rPr>
          <w:rStyle w:val="79"/>
          <w:rFonts w:hint="eastAsia" w:asciiTheme="minorEastAsia" w:hAnsiTheme="minorEastAsia" w:eastAsiaTheme="minorEastAsia" w:cstheme="minorEastAsia"/>
          <w:lang w:val="en-US" w:eastAsia="zh-CN"/>
        </w:rPr>
        <w:t>在顶推平台上分别吊装44~50号节段，将各节段焊成整体；顶推整个梁段前进，注意在顶推过程中调整线型。</w:t>
      </w:r>
    </w:p>
    <w:p w14:paraId="10A0CC41">
      <w:pPr>
        <w:pStyle w:val="23"/>
        <w:spacing w:line="360" w:lineRule="auto"/>
        <w:rPr>
          <w:rFonts w:hint="eastAsia" w:ascii="宋体" w:hAnsi="宋体" w:cs="宋体"/>
          <w:b w:val="0"/>
          <w:bCs w:val="0"/>
          <w:color w:val="auto"/>
          <w:highlight w:val="none"/>
          <w:lang w:val="en-US" w:eastAsia="zh-CN"/>
        </w:rPr>
      </w:pPr>
      <w:r>
        <w:rPr>
          <w:rFonts w:hint="eastAsia" w:ascii="宋体" w:hAnsi="宋体" w:cs="宋体"/>
          <w:b w:val="0"/>
          <w:bCs w:val="0"/>
          <w:color w:val="auto"/>
          <w:highlight w:val="none"/>
          <w:lang w:val="en-US" w:eastAsia="zh-CN"/>
        </w:rPr>
        <w:t>4、步骤四：</w:t>
      </w:r>
    </w:p>
    <w:p w14:paraId="6AA80D7D">
      <w:pPr>
        <w:pStyle w:val="23"/>
        <w:spacing w:line="360" w:lineRule="auto"/>
        <w:rPr>
          <w:rFonts w:hint="eastAsia" w:ascii="宋体" w:hAnsi="宋体" w:cs="宋体"/>
          <w:b w:val="0"/>
          <w:bCs w:val="0"/>
          <w:color w:val="auto"/>
          <w:highlight w:val="none"/>
          <w:lang w:val="en-US" w:eastAsia="zh-CN"/>
        </w:rPr>
      </w:pPr>
      <w:r>
        <w:rPr>
          <w:rFonts w:hint="eastAsia" w:ascii="宋体" w:hAnsi="宋体" w:cs="宋体"/>
          <w:b w:val="0"/>
          <w:bCs w:val="0"/>
          <w:color w:val="auto"/>
          <w:highlight w:val="none"/>
          <w:lang w:val="en-US" w:eastAsia="zh-CN"/>
        </w:rPr>
        <w:t>在顶推平台上分别吊装37~43号节段，将各节段焊成整体；顶推整个梁段前进，注意在顶推过程中调整线型。</w:t>
      </w:r>
    </w:p>
    <w:p w14:paraId="5974B82E">
      <w:pPr>
        <w:pStyle w:val="22"/>
        <w:jc w:val="both"/>
        <w:rPr>
          <w:rStyle w:val="79"/>
          <w:rFonts w:hint="eastAsia"/>
          <w:lang w:val="en-US" w:eastAsia="zh-CN"/>
        </w:rPr>
      </w:pPr>
      <w:r>
        <w:rPr>
          <w:rFonts w:hint="eastAsia" w:cs="宋体"/>
          <w:b w:val="0"/>
          <w:bCs w:val="0"/>
          <w:color w:val="auto"/>
          <w:highlight w:val="none"/>
          <w:lang w:val="en-US" w:eastAsia="zh-CN"/>
        </w:rPr>
        <w:t xml:space="preserve">     </w:t>
      </w:r>
      <w:r>
        <w:rPr>
          <w:rStyle w:val="79"/>
          <w:rFonts w:hint="eastAsia"/>
          <w:lang w:val="en-US" w:eastAsia="zh-CN"/>
        </w:rPr>
        <w:t>5、步骤五：</w:t>
      </w:r>
    </w:p>
    <w:p w14:paraId="68DFA554">
      <w:pPr>
        <w:pStyle w:val="22"/>
        <w:jc w:val="both"/>
        <w:rPr>
          <w:rStyle w:val="79"/>
          <w:rFonts w:hint="eastAsia"/>
          <w:lang w:val="en-US" w:eastAsia="zh-CN"/>
        </w:rPr>
      </w:pPr>
      <w:r>
        <w:rPr>
          <w:rStyle w:val="79"/>
          <w:rFonts w:hint="eastAsia"/>
          <w:lang w:val="en-US" w:eastAsia="zh-CN"/>
        </w:rPr>
        <w:t>在顶推平台上分别吊装30~36号节段，将各节段焊成整体；顶推整个梁段前进(注意考虑压重保持平衡)，注意在顶推过程中调整线型；</w:t>
      </w:r>
    </w:p>
    <w:p w14:paraId="1FF440FD">
      <w:pPr>
        <w:pStyle w:val="22"/>
        <w:jc w:val="both"/>
        <w:rPr>
          <w:rStyle w:val="79"/>
          <w:rFonts w:hint="eastAsia"/>
          <w:lang w:val="en-US" w:eastAsia="zh-CN"/>
        </w:rPr>
      </w:pPr>
      <w:r>
        <w:rPr>
          <w:rStyle w:val="79"/>
          <w:rFonts w:hint="eastAsia"/>
          <w:lang w:val="en-US" w:eastAsia="zh-CN"/>
        </w:rPr>
        <w:t xml:space="preserve">   6、步骤六:</w:t>
      </w:r>
    </w:p>
    <w:p w14:paraId="09D1ADE9">
      <w:pPr>
        <w:pStyle w:val="22"/>
        <w:jc w:val="both"/>
        <w:rPr>
          <w:rStyle w:val="79"/>
          <w:rFonts w:hint="default"/>
          <w:lang w:val="en-US" w:eastAsia="zh-CN"/>
        </w:rPr>
      </w:pPr>
      <w:r>
        <w:rPr>
          <w:rStyle w:val="79"/>
          <w:rFonts w:hint="eastAsia"/>
          <w:lang w:val="en-US" w:eastAsia="zh-CN"/>
        </w:rPr>
        <w:t>如此循环依次顶推余下梁段就位;调整各梁段之间的相对线型达到设计线型；拆除顶推装置。</w:t>
      </w:r>
    </w:p>
    <w:p w14:paraId="032AB3E3">
      <w:pPr>
        <w:pStyle w:val="23"/>
        <w:spacing w:line="360" w:lineRule="auto"/>
        <w:ind w:left="0" w:leftChars="0" w:firstLine="0" w:firstLineChars="0"/>
        <w:rPr>
          <w:rFonts w:hint="eastAsia" w:ascii="宋体" w:hAnsi="宋体" w:eastAsia="宋体" w:cs="宋体"/>
          <w:b w:val="0"/>
          <w:bCs w:val="0"/>
          <w:color w:val="auto"/>
          <w:highlight w:val="none"/>
          <w:lang w:val="en-US" w:eastAsia="zh-CN"/>
        </w:rPr>
      </w:pPr>
      <w:r>
        <w:rPr>
          <w:rFonts w:hint="eastAsia" w:ascii="宋体" w:hAnsi="宋体" w:eastAsia="宋体" w:cs="宋体"/>
          <w:b w:val="0"/>
          <w:bCs w:val="0"/>
          <w:color w:val="auto"/>
          <w:highlight w:val="none"/>
          <w:lang w:val="en-US" w:eastAsia="zh-CN"/>
        </w:rPr>
        <w:t xml:space="preserve">      7、步骤七:</w:t>
      </w:r>
    </w:p>
    <w:p w14:paraId="0593E16D">
      <w:pPr>
        <w:pStyle w:val="23"/>
        <w:spacing w:line="360" w:lineRule="auto"/>
        <w:ind w:left="0" w:leftChars="0" w:firstLine="480" w:firstLineChars="200"/>
        <w:rPr>
          <w:rFonts w:hint="eastAsia" w:ascii="宋体" w:hAnsi="宋体" w:eastAsia="宋体" w:cs="宋体"/>
          <w:b w:val="0"/>
          <w:bCs w:val="0"/>
          <w:color w:val="auto"/>
          <w:highlight w:val="none"/>
          <w:lang w:val="en-US" w:eastAsia="zh-CN"/>
        </w:rPr>
      </w:pPr>
      <w:r>
        <w:rPr>
          <w:rFonts w:hint="eastAsia" w:ascii="宋体" w:hAnsi="宋体" w:eastAsia="宋体" w:cs="宋体"/>
          <w:b w:val="0"/>
          <w:bCs w:val="0"/>
          <w:color w:val="auto"/>
          <w:highlight w:val="none"/>
          <w:lang w:val="en-US" w:eastAsia="zh-CN"/>
        </w:rPr>
        <w:t>拆除所有临时支架；钢箱梁工地焊缝处进行除锈涂装，其他部分的涂装进行检查、修补；</w:t>
      </w:r>
    </w:p>
    <w:p w14:paraId="48099A87">
      <w:pPr>
        <w:pStyle w:val="23"/>
        <w:spacing w:line="360" w:lineRule="auto"/>
        <w:ind w:left="0" w:leftChars="0" w:firstLine="0" w:firstLineChars="0"/>
        <w:rPr>
          <w:rFonts w:hint="default" w:ascii="宋体" w:hAnsi="宋体" w:eastAsia="宋体" w:cs="宋体"/>
          <w:b w:val="0"/>
          <w:bCs w:val="0"/>
          <w:color w:val="auto"/>
          <w:highlight w:val="none"/>
          <w:lang w:val="en-US" w:eastAsia="zh-CN"/>
        </w:rPr>
      </w:pPr>
      <w:r>
        <w:rPr>
          <w:rFonts w:hint="eastAsia" w:ascii="宋体" w:hAnsi="宋体" w:eastAsia="宋体" w:cs="宋体"/>
          <w:b w:val="0"/>
          <w:bCs w:val="0"/>
          <w:color w:val="auto"/>
          <w:highlight w:val="none"/>
          <w:lang w:val="en-US" w:eastAsia="zh-CN"/>
        </w:rPr>
        <w:t>进行桥面铺装及防撞护栏的施工，完成本桥钢箱梁工程。</w:t>
      </w:r>
    </w:p>
    <w:p w14:paraId="30DB4819">
      <w:pPr>
        <w:pStyle w:val="5"/>
        <w:bidi w:val="0"/>
        <w:rPr>
          <w:rFonts w:hint="eastAsia"/>
          <w:color w:val="auto"/>
          <w:lang w:val="en-US" w:eastAsia="zh-CN"/>
        </w:rPr>
      </w:pPr>
      <w:bookmarkStart w:id="1227" w:name="_Toc18415"/>
      <w:r>
        <w:rPr>
          <w:rFonts w:hint="eastAsia"/>
          <w:color w:val="auto"/>
          <w:lang w:val="en-US" w:eastAsia="zh-CN"/>
        </w:rPr>
        <w:t>8</w:t>
      </w:r>
      <w:r>
        <w:rPr>
          <w:rFonts w:hint="default"/>
          <w:color w:val="auto"/>
          <w:lang w:val="en-US" w:eastAsia="zh-CN"/>
        </w:rPr>
        <w:t>.</w:t>
      </w:r>
      <w:r>
        <w:rPr>
          <w:rFonts w:hint="eastAsia"/>
          <w:color w:val="auto"/>
          <w:lang w:val="en-US" w:eastAsia="zh-CN"/>
        </w:rPr>
        <w:t>2.</w:t>
      </w:r>
      <w:r>
        <w:rPr>
          <w:rFonts w:hint="default"/>
          <w:color w:val="auto"/>
          <w:lang w:val="en-US" w:eastAsia="zh-CN"/>
        </w:rPr>
        <w:t>7</w:t>
      </w:r>
      <w:r>
        <w:rPr>
          <w:rFonts w:hint="eastAsia"/>
          <w:color w:val="auto"/>
          <w:lang w:val="en-US" w:eastAsia="zh-CN"/>
        </w:rPr>
        <w:t xml:space="preserve"> 现浇箱梁施工</w:t>
      </w:r>
      <w:bookmarkEnd w:id="1227"/>
    </w:p>
    <w:p w14:paraId="6EEA71E4">
      <w:pPr>
        <w:keepNext w:val="0"/>
        <w:keepLines w:val="0"/>
        <w:widowControl/>
        <w:suppressLineNumbers w:val="0"/>
        <w:jc w:val="left"/>
        <w:rPr>
          <w:rFonts w:hint="default"/>
          <w:lang w:val="en-US"/>
        </w:rPr>
      </w:pPr>
      <w:r>
        <w:rPr>
          <w:rFonts w:hint="eastAsia"/>
          <w:highlight w:val="none"/>
          <w:lang w:val="en-US" w:eastAsia="zh-CN"/>
        </w:rPr>
        <w:t>金星互通A匝道桥</w:t>
      </w:r>
      <w:r>
        <w:rPr>
          <w:rFonts w:hint="eastAsia" w:ascii="宋体" w:hAnsi="宋体" w:eastAsia="宋体" w:cs="宋体"/>
          <w:color w:val="000000"/>
          <w:kern w:val="0"/>
          <w:sz w:val="24"/>
          <w:szCs w:val="24"/>
          <w:lang w:val="en-US" w:eastAsia="zh-CN" w:bidi="ar"/>
        </w:rPr>
        <w:t>本桥中心桩号 AK2+140.340，正交 90°，桥长 312.68m，桥宽 16.5m~39.22m。上部采用 2×30+3×30.06+（35+30）+3×30mPC 现浇箱梁、PC 连续 T 梁、连续钢箱梁。其中第一联2×30</w:t>
      </w:r>
      <w:r>
        <w:rPr>
          <w:rFonts w:hint="eastAsia" w:ascii="宋体" w:hAnsi="宋体" w:cs="宋体"/>
          <w:color w:val="000000"/>
          <w:kern w:val="0"/>
          <w:sz w:val="24"/>
          <w:szCs w:val="24"/>
          <w:lang w:val="en-US" w:eastAsia="zh-CN" w:bidi="ar"/>
        </w:rPr>
        <w:t>为现浇连续箱梁。</w:t>
      </w:r>
    </w:p>
    <w:p w14:paraId="72245B39">
      <w:pPr>
        <w:keepNext w:val="0"/>
        <w:keepLines w:val="0"/>
        <w:widowControl/>
        <w:suppressLineNumbers w:val="0"/>
        <w:jc w:val="left"/>
      </w:pPr>
      <w:r>
        <w:rPr>
          <w:rFonts w:hint="eastAsia" w:ascii="宋体" w:hAnsi="宋体" w:eastAsia="宋体" w:cs="宋体"/>
          <w:color w:val="000000"/>
          <w:kern w:val="0"/>
          <w:sz w:val="24"/>
          <w:szCs w:val="24"/>
          <w:lang w:val="en-US" w:eastAsia="zh-CN" w:bidi="ar"/>
        </w:rPr>
        <w:t>金星互通D匝道桥本桥中心桩号 DK0+311.280，正交 90°，桥长 178m，桥宽 9m。上部结构采用（20+25+20）+（20+25+25）+2×20 米 PC 连续现浇箱梁。</w:t>
      </w:r>
    </w:p>
    <w:p w14:paraId="4CA9D8EB">
      <w:pPr>
        <w:keepNext w:val="0"/>
        <w:keepLines w:val="0"/>
        <w:widowControl/>
        <w:suppressLineNumbers w:val="0"/>
        <w:jc w:val="left"/>
        <w:rPr>
          <w:rFonts w:hint="default"/>
          <w:lang w:val="en-US"/>
        </w:rPr>
      </w:pPr>
      <w:r>
        <w:rPr>
          <w:rFonts w:hint="eastAsia" w:ascii="宋体" w:hAnsi="宋体" w:eastAsia="宋体" w:cs="宋体"/>
          <w:color w:val="000000"/>
          <w:kern w:val="0"/>
          <w:sz w:val="24"/>
          <w:szCs w:val="24"/>
          <w:lang w:val="en-US" w:eastAsia="zh-CN" w:bidi="ar"/>
        </w:rPr>
        <w:t>金星互通E匝道1号桥，本桥起点接 A 匝道桥 2 号墩，中心桩号 EK0+221.25，正交 90°，桥长 181.5m，桥宽 9m。上部结构采用（20+25+25）+2×24+2×30 米 PC 连续现浇箱梁、PC 连续 T 梁。现浇箱梁均采用C50砼。</w:t>
      </w:r>
    </w:p>
    <w:p w14:paraId="02ED2448">
      <w:pPr>
        <w:ind w:firstLine="480"/>
        <w:rPr>
          <w:rFonts w:hint="default" w:eastAsia="宋体"/>
          <w:highlight w:val="none"/>
          <w:lang w:val="en-US" w:eastAsia="zh-CN"/>
        </w:rPr>
      </w:pPr>
      <w:r>
        <w:rPr>
          <w:rFonts w:hint="default" w:eastAsia="宋体"/>
          <w:highlight w:val="none"/>
          <w:lang w:val="en-US" w:eastAsia="zh-CN"/>
        </w:rPr>
        <w:t>(一)施工准备</w:t>
      </w:r>
    </w:p>
    <w:p w14:paraId="4FBC11A8">
      <w:pPr>
        <w:ind w:firstLine="480"/>
        <w:rPr>
          <w:rFonts w:hint="default" w:eastAsia="宋体"/>
          <w:highlight w:val="none"/>
          <w:lang w:val="en-US" w:eastAsia="zh-CN"/>
        </w:rPr>
      </w:pPr>
      <w:r>
        <w:rPr>
          <w:rFonts w:hint="default" w:eastAsia="宋体"/>
          <w:highlight w:val="none"/>
          <w:lang w:val="en-US" w:eastAsia="zh-CN"/>
        </w:rPr>
        <w:t>1、精心组织施工，仔细校对墩、台、中心线、跨径、标高，并经监理工程师认可后，进行下一步的施工技术工作。</w:t>
      </w:r>
    </w:p>
    <w:p w14:paraId="00526635">
      <w:pPr>
        <w:ind w:firstLine="480"/>
        <w:rPr>
          <w:rFonts w:hint="default" w:eastAsia="宋体"/>
          <w:highlight w:val="none"/>
          <w:lang w:val="en-US" w:eastAsia="zh-CN"/>
        </w:rPr>
      </w:pPr>
      <w:r>
        <w:rPr>
          <w:rFonts w:hint="default" w:eastAsia="宋体"/>
          <w:highlight w:val="none"/>
          <w:lang w:val="en-US" w:eastAsia="zh-CN"/>
        </w:rPr>
        <w:t>2、据现场实际，将线路一侧施工便道全面维护，以保证机具、材料运输。</w:t>
      </w:r>
    </w:p>
    <w:p w14:paraId="0B68E799">
      <w:pPr>
        <w:ind w:firstLine="480"/>
        <w:rPr>
          <w:rFonts w:hint="default" w:eastAsia="宋体"/>
          <w:highlight w:val="none"/>
          <w:lang w:val="en-US" w:eastAsia="zh-CN"/>
        </w:rPr>
      </w:pPr>
      <w:r>
        <w:rPr>
          <w:rFonts w:hint="default" w:eastAsia="宋体"/>
          <w:highlight w:val="none"/>
          <w:lang w:val="en-US" w:eastAsia="zh-CN"/>
        </w:rPr>
        <w:t>3、施工人员机械全部到场，碗扣支架、顶托、底托，方木、工字钢、模板根据施工进展情况陆续进场，保证连续施工。其中碗扣支架需检验合格方能投入使用。</w:t>
      </w:r>
    </w:p>
    <w:p w14:paraId="49685936">
      <w:pPr>
        <w:ind w:firstLine="480"/>
        <w:rPr>
          <w:rFonts w:hint="default" w:eastAsia="宋体"/>
          <w:highlight w:val="none"/>
          <w:lang w:val="en-US" w:eastAsia="zh-CN"/>
        </w:rPr>
      </w:pPr>
      <w:r>
        <w:rPr>
          <w:rFonts w:hint="default" w:eastAsia="宋体"/>
          <w:highlight w:val="none"/>
          <w:lang w:val="en-US" w:eastAsia="zh-CN"/>
        </w:rPr>
        <w:t>4、箱梁用</w:t>
      </w:r>
      <w:r>
        <w:rPr>
          <w:rFonts w:hint="eastAsia"/>
          <w:highlight w:val="none"/>
          <w:lang w:val="en-US" w:eastAsia="zh-CN"/>
        </w:rPr>
        <w:t>C50</w:t>
      </w:r>
      <w:r>
        <w:rPr>
          <w:rFonts w:hint="default" w:eastAsia="宋体"/>
          <w:highlight w:val="none"/>
          <w:lang w:val="en-US" w:eastAsia="zh-CN"/>
        </w:rPr>
        <w:t>砼配合比、钢筋、水泥等原材料、张拉锚具等报监理工程师批准。</w:t>
      </w:r>
    </w:p>
    <w:p w14:paraId="3B8B13BF">
      <w:pPr>
        <w:ind w:firstLine="480"/>
        <w:rPr>
          <w:rFonts w:hint="default" w:eastAsia="宋体"/>
          <w:highlight w:val="none"/>
          <w:lang w:val="en-US" w:eastAsia="zh-CN"/>
        </w:rPr>
      </w:pPr>
      <w:r>
        <w:rPr>
          <w:rFonts w:hint="default" w:eastAsia="宋体"/>
          <w:highlight w:val="none"/>
          <w:lang w:val="en-US" w:eastAsia="zh-CN"/>
        </w:rPr>
        <w:t xml:space="preserve">  （二）支架材料数量</w:t>
      </w:r>
    </w:p>
    <w:tbl>
      <w:tblPr>
        <w:tblStyle w:val="47"/>
        <w:tblW w:w="8518" w:type="dxa"/>
        <w:tblInd w:w="0" w:type="dxa"/>
        <w:tblLayout w:type="fixed"/>
        <w:tblCellMar>
          <w:top w:w="0" w:type="dxa"/>
          <w:left w:w="30" w:type="dxa"/>
          <w:bottom w:w="0" w:type="dxa"/>
          <w:right w:w="30" w:type="dxa"/>
        </w:tblCellMar>
      </w:tblPr>
      <w:tblGrid>
        <w:gridCol w:w="600"/>
        <w:gridCol w:w="3030"/>
        <w:gridCol w:w="808"/>
        <w:gridCol w:w="1155"/>
        <w:gridCol w:w="2925"/>
      </w:tblGrid>
      <w:tr w14:paraId="00B97A39">
        <w:tblPrEx>
          <w:tblCellMar>
            <w:top w:w="0" w:type="dxa"/>
            <w:left w:w="30" w:type="dxa"/>
            <w:bottom w:w="0" w:type="dxa"/>
            <w:right w:w="30" w:type="dxa"/>
          </w:tblCellMar>
        </w:tblPrEx>
        <w:trPr>
          <w:trHeight w:val="813"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4EEF9191">
            <w:pPr>
              <w:autoSpaceDE w:val="0"/>
              <w:autoSpaceDN w:val="0"/>
              <w:adjustRightInd w:val="0"/>
              <w:spacing w:line="360" w:lineRule="auto"/>
              <w:ind w:left="0" w:leftChars="0" w:firstLine="0" w:firstLineChars="0"/>
              <w:jc w:val="both"/>
              <w:rPr>
                <w:rFonts w:hint="eastAsia" w:ascii="仿宋" w:hAnsi="仿宋" w:eastAsia="仿宋" w:cs="仿宋"/>
                <w:color w:val="000000"/>
                <w:kern w:val="0"/>
                <w:szCs w:val="21"/>
              </w:rPr>
            </w:pPr>
            <w:r>
              <w:rPr>
                <w:rFonts w:hint="eastAsia" w:ascii="仿宋" w:hAnsi="仿宋" w:eastAsia="仿宋" w:cs="仿宋"/>
                <w:color w:val="000000"/>
                <w:kern w:val="0"/>
                <w:szCs w:val="21"/>
              </w:rPr>
              <w:t>序号</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6B345B62">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名称</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153A027A">
            <w:pPr>
              <w:autoSpaceDE w:val="0"/>
              <w:autoSpaceDN w:val="0"/>
              <w:adjustRightInd w:val="0"/>
              <w:spacing w:line="360" w:lineRule="auto"/>
              <w:ind w:left="0" w:leftChars="0" w:firstLine="0" w:firstLineChars="0"/>
              <w:jc w:val="both"/>
              <w:rPr>
                <w:rFonts w:hint="eastAsia" w:ascii="仿宋" w:hAnsi="仿宋" w:eastAsia="仿宋" w:cs="仿宋"/>
                <w:color w:val="000000"/>
                <w:kern w:val="0"/>
                <w:szCs w:val="21"/>
              </w:rPr>
            </w:pPr>
            <w:r>
              <w:rPr>
                <w:rFonts w:hint="eastAsia" w:ascii="仿宋" w:hAnsi="仿宋" w:eastAsia="仿宋" w:cs="仿宋"/>
                <w:color w:val="000000"/>
                <w:kern w:val="0"/>
                <w:szCs w:val="21"/>
              </w:rPr>
              <w:t>单位</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581F1566">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数量</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7F3F2C99">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所用部位</w:t>
            </w:r>
          </w:p>
        </w:tc>
      </w:tr>
      <w:tr w14:paraId="0821B5C0">
        <w:tblPrEx>
          <w:tblCellMar>
            <w:top w:w="0" w:type="dxa"/>
            <w:left w:w="30" w:type="dxa"/>
            <w:bottom w:w="0" w:type="dxa"/>
            <w:right w:w="30" w:type="dxa"/>
          </w:tblCellMar>
        </w:tblPrEx>
        <w:trPr>
          <w:trHeight w:val="410"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142B1C8D">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1</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2D9322DD">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底托（140mm×140mm）</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54568422">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个</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3EEDBD9F">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1200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6C15F978">
            <w:pPr>
              <w:autoSpaceDE w:val="0"/>
              <w:autoSpaceDN w:val="0"/>
              <w:adjustRightInd w:val="0"/>
              <w:spacing w:line="360" w:lineRule="auto"/>
              <w:jc w:val="center"/>
              <w:rPr>
                <w:rFonts w:hint="eastAsia" w:ascii="仿宋" w:hAnsi="仿宋" w:eastAsia="仿宋" w:cs="仿宋"/>
                <w:color w:val="000000"/>
                <w:kern w:val="0"/>
                <w:szCs w:val="21"/>
              </w:rPr>
            </w:pPr>
            <w:r>
              <w:rPr>
                <w:rFonts w:ascii="仿宋" w:hAnsi="仿宋" w:eastAsia="仿宋" w:cs="仿宋"/>
                <w:color w:val="000000"/>
                <w:kern w:val="0"/>
                <w:szCs w:val="21"/>
              </w:rPr>
              <w:t>盘扣脚手架</w:t>
            </w:r>
          </w:p>
        </w:tc>
      </w:tr>
      <w:tr w14:paraId="2CF010F1">
        <w:tblPrEx>
          <w:tblCellMar>
            <w:top w:w="0" w:type="dxa"/>
            <w:left w:w="30" w:type="dxa"/>
            <w:bottom w:w="0" w:type="dxa"/>
            <w:right w:w="30" w:type="dxa"/>
          </w:tblCellMar>
        </w:tblPrEx>
        <w:trPr>
          <w:trHeight w:val="410"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795FD3DA">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2</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222391F0">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U型顶托</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0C3E37C4">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szCs w:val="21"/>
              </w:rPr>
              <w:t>个</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292A159B">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1200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3E3E2182">
            <w:pPr>
              <w:autoSpaceDE w:val="0"/>
              <w:autoSpaceDN w:val="0"/>
              <w:adjustRightInd w:val="0"/>
              <w:spacing w:line="360" w:lineRule="auto"/>
              <w:jc w:val="center"/>
              <w:rPr>
                <w:rFonts w:hint="eastAsia" w:ascii="仿宋" w:hAnsi="仿宋" w:eastAsia="仿宋" w:cs="仿宋"/>
                <w:color w:val="000000"/>
                <w:kern w:val="0"/>
                <w:szCs w:val="21"/>
              </w:rPr>
            </w:pPr>
            <w:r>
              <w:rPr>
                <w:rFonts w:ascii="仿宋" w:hAnsi="仿宋" w:eastAsia="仿宋" w:cs="仿宋"/>
                <w:color w:val="000000"/>
                <w:kern w:val="0"/>
                <w:szCs w:val="21"/>
              </w:rPr>
              <w:t>盘扣脚手架</w:t>
            </w:r>
          </w:p>
        </w:tc>
      </w:tr>
      <w:tr w14:paraId="282FD912">
        <w:tblPrEx>
          <w:tblCellMar>
            <w:top w:w="0" w:type="dxa"/>
            <w:left w:w="30" w:type="dxa"/>
            <w:bottom w:w="0" w:type="dxa"/>
            <w:right w:w="30" w:type="dxa"/>
          </w:tblCellMar>
        </w:tblPrEx>
        <w:trPr>
          <w:trHeight w:val="497"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59DE46C8">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3</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74DE7B54">
            <w:pPr>
              <w:autoSpaceDE w:val="0"/>
              <w:autoSpaceDN w:val="0"/>
              <w:adjustRightInd w:val="0"/>
              <w:spacing w:line="360" w:lineRule="auto"/>
              <w:jc w:val="center"/>
              <w:rPr>
                <w:rFonts w:hint="eastAsia" w:ascii="仿宋" w:hAnsi="仿宋" w:eastAsia="仿宋" w:cs="仿宋"/>
                <w:color w:val="000000"/>
                <w:kern w:val="0"/>
                <w:szCs w:val="21"/>
              </w:rPr>
            </w:pPr>
            <w:r>
              <w:rPr>
                <w:rFonts w:ascii="仿宋" w:hAnsi="仿宋" w:eastAsia="仿宋" w:cs="仿宋"/>
                <w:color w:val="000000"/>
                <w:kern w:val="0"/>
                <w:szCs w:val="21"/>
              </w:rPr>
              <w:t>φ48*3.2钢管</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4A01FBE3">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03068E78">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7000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29EA6A64">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 xml:space="preserve">箱内支架、剪刀撑， </w:t>
            </w:r>
          </w:p>
        </w:tc>
      </w:tr>
      <w:tr w14:paraId="6F27D3C5">
        <w:tblPrEx>
          <w:tblCellMar>
            <w:top w:w="0" w:type="dxa"/>
            <w:left w:w="30" w:type="dxa"/>
            <w:bottom w:w="0" w:type="dxa"/>
            <w:right w:w="30" w:type="dxa"/>
          </w:tblCellMar>
        </w:tblPrEx>
        <w:trPr>
          <w:trHeight w:val="646"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5B00212C">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4</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6F440B4F">
            <w:pPr>
              <w:jc w:val="center"/>
              <w:rPr>
                <w:rFonts w:hint="eastAsia" w:ascii="仿宋" w:hAnsi="仿宋" w:eastAsia="仿宋" w:cs="仿宋"/>
                <w:color w:val="000000"/>
                <w:kern w:val="0"/>
                <w:szCs w:val="21"/>
              </w:rPr>
            </w:pPr>
            <w:r>
              <w:rPr>
                <w:rFonts w:ascii="仿宋" w:hAnsi="仿宋" w:eastAsia="仿宋" w:cs="仿宋"/>
                <w:color w:val="000000"/>
                <w:kern w:val="0"/>
                <w:szCs w:val="21"/>
              </w:rPr>
              <w:t>Q345B低合金钢</w:t>
            </w:r>
            <w:r>
              <w:rPr>
                <w:rFonts w:hint="eastAsia" w:ascii="仿宋" w:hAnsi="仿宋" w:eastAsia="仿宋" w:cs="仿宋"/>
                <w:color w:val="000000"/>
                <w:kern w:val="0"/>
                <w:szCs w:val="21"/>
              </w:rPr>
              <w:t>立杆</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2C7EF966">
            <w:pPr>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27555EFF">
            <w:pPr>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lang w:val="en-US" w:eastAsia="zh-CN"/>
              </w:rPr>
              <w:t>1</w:t>
            </w:r>
            <w:r>
              <w:rPr>
                <w:rFonts w:hint="eastAsia" w:ascii="仿宋" w:hAnsi="仿宋" w:eastAsia="仿宋" w:cs="仿宋"/>
                <w:color w:val="000000"/>
                <w:kern w:val="0"/>
                <w:szCs w:val="21"/>
              </w:rPr>
              <w:t>0000</w:t>
            </w:r>
          </w:p>
        </w:tc>
        <w:tc>
          <w:tcPr>
            <w:tcW w:w="2925" w:type="dxa"/>
            <w:vMerge w:val="restart"/>
            <w:tcBorders>
              <w:top w:val="single" w:color="auto" w:sz="6" w:space="0"/>
              <w:left w:val="single" w:color="auto" w:sz="6" w:space="0"/>
              <w:bottom w:val="single" w:color="auto" w:sz="6" w:space="0"/>
              <w:right w:val="single" w:color="auto" w:sz="6" w:space="0"/>
            </w:tcBorders>
            <w:noWrap w:val="0"/>
            <w:vAlign w:val="center"/>
          </w:tcPr>
          <w:p w14:paraId="215FD03F">
            <w:pPr>
              <w:autoSpaceDE w:val="0"/>
              <w:autoSpaceDN w:val="0"/>
              <w:adjustRightInd w:val="0"/>
              <w:spacing w:line="360" w:lineRule="auto"/>
              <w:jc w:val="center"/>
              <w:rPr>
                <w:rFonts w:hint="eastAsia" w:ascii="仿宋" w:hAnsi="仿宋" w:eastAsia="仿宋" w:cs="仿宋"/>
                <w:color w:val="000000"/>
                <w:kern w:val="0"/>
                <w:szCs w:val="21"/>
              </w:rPr>
            </w:pPr>
            <w:r>
              <w:rPr>
                <w:rFonts w:ascii="仿宋" w:hAnsi="仿宋" w:eastAsia="仿宋" w:cs="仿宋"/>
                <w:color w:val="000000"/>
                <w:kern w:val="0"/>
                <w:szCs w:val="21"/>
              </w:rPr>
              <w:t>盘扣脚手架</w:t>
            </w:r>
            <w:r>
              <w:rPr>
                <w:rFonts w:hint="eastAsia" w:ascii="仿宋" w:hAnsi="仿宋" w:eastAsia="仿宋" w:cs="仿宋"/>
                <w:color w:val="000000"/>
                <w:kern w:val="0"/>
                <w:szCs w:val="21"/>
              </w:rPr>
              <w:t>，均按10米高度的支架进行计算</w:t>
            </w:r>
          </w:p>
        </w:tc>
      </w:tr>
      <w:tr w14:paraId="095D48D2">
        <w:tblPrEx>
          <w:tblCellMar>
            <w:top w:w="0" w:type="dxa"/>
            <w:left w:w="30" w:type="dxa"/>
            <w:bottom w:w="0" w:type="dxa"/>
            <w:right w:w="30" w:type="dxa"/>
          </w:tblCellMar>
        </w:tblPrEx>
        <w:trPr>
          <w:trHeight w:val="556"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24BDB04C">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5</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52D1EB6A">
            <w:pPr>
              <w:jc w:val="center"/>
              <w:rPr>
                <w:rFonts w:hint="eastAsia" w:ascii="仿宋" w:hAnsi="仿宋" w:eastAsia="仿宋" w:cs="仿宋"/>
                <w:color w:val="000000"/>
                <w:kern w:val="0"/>
                <w:szCs w:val="21"/>
              </w:rPr>
            </w:pPr>
            <w:r>
              <w:rPr>
                <w:rFonts w:ascii="仿宋" w:hAnsi="仿宋" w:eastAsia="仿宋" w:cs="仿宋"/>
                <w:color w:val="000000"/>
                <w:kern w:val="0"/>
                <w:szCs w:val="21"/>
              </w:rPr>
              <w:t>Q345B低合金钢</w:t>
            </w:r>
            <w:r>
              <w:rPr>
                <w:rFonts w:hint="eastAsia" w:ascii="仿宋" w:hAnsi="仿宋" w:eastAsia="仿宋" w:cs="仿宋"/>
                <w:color w:val="000000"/>
                <w:kern w:val="0"/>
                <w:szCs w:val="21"/>
              </w:rPr>
              <w:t>横杆</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13260279">
            <w:pPr>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78F8AAD9">
            <w:pPr>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lang w:val="en-US" w:eastAsia="zh-CN"/>
              </w:rPr>
              <w:t>2</w:t>
            </w:r>
            <w:r>
              <w:rPr>
                <w:rFonts w:hint="eastAsia" w:ascii="仿宋" w:hAnsi="仿宋" w:eastAsia="仿宋" w:cs="仿宋"/>
                <w:color w:val="000000"/>
                <w:kern w:val="0"/>
                <w:szCs w:val="21"/>
              </w:rPr>
              <w:t>0000</w:t>
            </w:r>
          </w:p>
        </w:tc>
        <w:tc>
          <w:tcPr>
            <w:tcW w:w="2925" w:type="dxa"/>
            <w:vMerge w:val="continue"/>
            <w:tcBorders>
              <w:top w:val="single" w:color="auto" w:sz="6" w:space="0"/>
              <w:left w:val="single" w:color="auto" w:sz="6" w:space="0"/>
              <w:bottom w:val="single" w:color="auto" w:sz="6" w:space="0"/>
              <w:right w:val="single" w:color="auto" w:sz="6" w:space="0"/>
            </w:tcBorders>
            <w:noWrap w:val="0"/>
            <w:vAlign w:val="center"/>
          </w:tcPr>
          <w:p w14:paraId="4AA2B701">
            <w:pPr>
              <w:autoSpaceDE w:val="0"/>
              <w:autoSpaceDN w:val="0"/>
              <w:adjustRightInd w:val="0"/>
              <w:spacing w:line="360" w:lineRule="auto"/>
              <w:jc w:val="center"/>
              <w:rPr>
                <w:rFonts w:hint="eastAsia" w:ascii="仿宋" w:hAnsi="仿宋" w:eastAsia="仿宋" w:cs="仿宋"/>
                <w:color w:val="000000"/>
                <w:kern w:val="0"/>
                <w:szCs w:val="21"/>
              </w:rPr>
            </w:pPr>
          </w:p>
        </w:tc>
      </w:tr>
      <w:tr w14:paraId="1449B039">
        <w:tblPrEx>
          <w:tblCellMar>
            <w:top w:w="0" w:type="dxa"/>
            <w:left w:w="30" w:type="dxa"/>
            <w:bottom w:w="0" w:type="dxa"/>
            <w:right w:w="30" w:type="dxa"/>
          </w:tblCellMar>
        </w:tblPrEx>
        <w:trPr>
          <w:trHeight w:val="410"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26725AD2">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6</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47ABBA15">
            <w:pPr>
              <w:autoSpaceDE w:val="0"/>
              <w:autoSpaceDN w:val="0"/>
              <w:adjustRightInd w:val="0"/>
              <w:spacing w:line="360" w:lineRule="auto"/>
              <w:jc w:val="center"/>
              <w:rPr>
                <w:rFonts w:hint="eastAsia" w:ascii="仿宋" w:hAnsi="仿宋" w:eastAsia="仿宋" w:cs="仿宋"/>
                <w:color w:val="000000"/>
                <w:kern w:val="0"/>
                <w:szCs w:val="21"/>
              </w:rPr>
            </w:pPr>
            <w:r>
              <w:rPr>
                <w:rFonts w:ascii="仿宋" w:hAnsi="仿宋" w:eastAsia="仿宋" w:cs="仿宋"/>
                <w:color w:val="000000"/>
                <w:kern w:val="0"/>
                <w:szCs w:val="21"/>
              </w:rPr>
              <w:t>16#标准工字钢</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776D23DE">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59AD0D69">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2000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37EDB761">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底模</w:t>
            </w:r>
          </w:p>
        </w:tc>
      </w:tr>
      <w:tr w14:paraId="3E619C13">
        <w:tblPrEx>
          <w:tblCellMar>
            <w:top w:w="0" w:type="dxa"/>
            <w:left w:w="30" w:type="dxa"/>
            <w:bottom w:w="0" w:type="dxa"/>
            <w:right w:w="30" w:type="dxa"/>
          </w:tblCellMar>
        </w:tblPrEx>
        <w:trPr>
          <w:trHeight w:val="410"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7D796E8C">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7</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63735D98">
            <w:pPr>
              <w:autoSpaceDE w:val="0"/>
              <w:autoSpaceDN w:val="0"/>
              <w:adjustRightInd w:val="0"/>
              <w:spacing w:line="360" w:lineRule="auto"/>
              <w:jc w:val="center"/>
              <w:rPr>
                <w:rFonts w:ascii="仿宋" w:hAnsi="仿宋" w:eastAsia="仿宋" w:cs="仿宋"/>
                <w:color w:val="000000"/>
                <w:kern w:val="0"/>
                <w:szCs w:val="21"/>
              </w:rPr>
            </w:pPr>
            <w:r>
              <w:rPr>
                <w:rFonts w:hint="eastAsia" w:ascii="仿宋" w:hAnsi="仿宋" w:eastAsia="仿宋" w:cs="仿宋"/>
                <w:color w:val="000000"/>
                <w:kern w:val="0"/>
                <w:szCs w:val="21"/>
              </w:rPr>
              <w:t>56A</w:t>
            </w:r>
            <w:r>
              <w:rPr>
                <w:rFonts w:ascii="仿宋" w:hAnsi="仿宋" w:eastAsia="仿宋" w:cs="仿宋"/>
                <w:color w:val="000000"/>
                <w:kern w:val="0"/>
                <w:szCs w:val="21"/>
              </w:rPr>
              <w:t>#标准工字钢</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09A8F06E">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2FB2E468">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390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2FFB6744">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门洞</w:t>
            </w:r>
          </w:p>
        </w:tc>
      </w:tr>
      <w:tr w14:paraId="6E366532">
        <w:tblPrEx>
          <w:tblCellMar>
            <w:top w:w="0" w:type="dxa"/>
            <w:left w:w="30" w:type="dxa"/>
            <w:bottom w:w="0" w:type="dxa"/>
            <w:right w:w="30" w:type="dxa"/>
          </w:tblCellMar>
        </w:tblPrEx>
        <w:trPr>
          <w:trHeight w:val="410"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55E995E8">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8</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0FDCB3FA">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15cm×10cm松方木</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225D05BD">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69FAFA5D">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6000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2DF1387E">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底模</w:t>
            </w:r>
          </w:p>
        </w:tc>
      </w:tr>
      <w:tr w14:paraId="21D6462A">
        <w:tblPrEx>
          <w:tblCellMar>
            <w:top w:w="0" w:type="dxa"/>
            <w:left w:w="30" w:type="dxa"/>
            <w:bottom w:w="0" w:type="dxa"/>
            <w:right w:w="30" w:type="dxa"/>
          </w:tblCellMar>
        </w:tblPrEx>
        <w:trPr>
          <w:trHeight w:val="410"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6A3EA71A">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9</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58029A4E">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5cm×10cm松方木</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1F9B3B07">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米</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678744EC">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5000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4808BA2E">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底模，侧模，内箱</w:t>
            </w:r>
          </w:p>
        </w:tc>
      </w:tr>
      <w:tr w14:paraId="78ACB5E1">
        <w:tblPrEx>
          <w:tblCellMar>
            <w:top w:w="0" w:type="dxa"/>
            <w:left w:w="30" w:type="dxa"/>
            <w:bottom w:w="0" w:type="dxa"/>
            <w:right w:w="30" w:type="dxa"/>
          </w:tblCellMar>
        </w:tblPrEx>
        <w:trPr>
          <w:trHeight w:val="407" w:hRule="atLeast"/>
        </w:trPr>
        <w:tc>
          <w:tcPr>
            <w:tcW w:w="600" w:type="dxa"/>
            <w:tcBorders>
              <w:top w:val="single" w:color="auto" w:sz="6" w:space="0"/>
              <w:left w:val="single" w:color="auto" w:sz="6" w:space="0"/>
              <w:bottom w:val="single" w:color="auto" w:sz="6" w:space="0"/>
              <w:right w:val="single" w:color="auto" w:sz="6" w:space="0"/>
            </w:tcBorders>
            <w:noWrap w:val="0"/>
            <w:vAlign w:val="center"/>
          </w:tcPr>
          <w:p w14:paraId="1B654A8C">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10</w:t>
            </w:r>
          </w:p>
        </w:tc>
        <w:tc>
          <w:tcPr>
            <w:tcW w:w="3030" w:type="dxa"/>
            <w:tcBorders>
              <w:top w:val="single" w:color="auto" w:sz="6" w:space="0"/>
              <w:left w:val="single" w:color="auto" w:sz="6" w:space="0"/>
              <w:bottom w:val="single" w:color="auto" w:sz="6" w:space="0"/>
              <w:right w:val="single" w:color="auto" w:sz="6" w:space="0"/>
            </w:tcBorders>
            <w:noWrap w:val="0"/>
            <w:vAlign w:val="center"/>
          </w:tcPr>
          <w:p w14:paraId="4CCD83F3">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厚15mm竹胶板</w:t>
            </w:r>
          </w:p>
        </w:tc>
        <w:tc>
          <w:tcPr>
            <w:tcW w:w="808" w:type="dxa"/>
            <w:tcBorders>
              <w:top w:val="single" w:color="auto" w:sz="6" w:space="0"/>
              <w:left w:val="single" w:color="auto" w:sz="6" w:space="0"/>
              <w:bottom w:val="single" w:color="auto" w:sz="6" w:space="0"/>
              <w:right w:val="single" w:color="auto" w:sz="6" w:space="0"/>
            </w:tcBorders>
            <w:noWrap w:val="0"/>
            <w:vAlign w:val="center"/>
          </w:tcPr>
          <w:p w14:paraId="14C34436">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块</w:t>
            </w:r>
          </w:p>
        </w:tc>
        <w:tc>
          <w:tcPr>
            <w:tcW w:w="1155" w:type="dxa"/>
            <w:tcBorders>
              <w:top w:val="single" w:color="auto" w:sz="6" w:space="0"/>
              <w:left w:val="single" w:color="auto" w:sz="6" w:space="0"/>
              <w:bottom w:val="single" w:color="auto" w:sz="6" w:space="0"/>
              <w:right w:val="single" w:color="auto" w:sz="6" w:space="0"/>
            </w:tcBorders>
            <w:noWrap w:val="0"/>
            <w:vAlign w:val="center"/>
          </w:tcPr>
          <w:p w14:paraId="6E8EEC17">
            <w:pPr>
              <w:autoSpaceDE w:val="0"/>
              <w:autoSpaceDN w:val="0"/>
              <w:adjustRightInd w:val="0"/>
              <w:spacing w:line="360" w:lineRule="auto"/>
              <w:ind w:left="0" w:leftChars="0" w:firstLine="0" w:firstLineChars="0"/>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1200</w:t>
            </w:r>
          </w:p>
        </w:tc>
        <w:tc>
          <w:tcPr>
            <w:tcW w:w="2925" w:type="dxa"/>
            <w:tcBorders>
              <w:top w:val="single" w:color="auto" w:sz="6" w:space="0"/>
              <w:left w:val="single" w:color="auto" w:sz="6" w:space="0"/>
              <w:bottom w:val="single" w:color="auto" w:sz="6" w:space="0"/>
              <w:right w:val="single" w:color="auto" w:sz="6" w:space="0"/>
            </w:tcBorders>
            <w:noWrap w:val="0"/>
            <w:vAlign w:val="center"/>
          </w:tcPr>
          <w:p w14:paraId="56FA3C68">
            <w:pPr>
              <w:autoSpaceDE w:val="0"/>
              <w:autoSpaceDN w:val="0"/>
              <w:adjustRightInd w:val="0"/>
              <w:spacing w:line="360" w:lineRule="auto"/>
              <w:jc w:val="center"/>
              <w:rPr>
                <w:rFonts w:hint="eastAsia" w:ascii="仿宋" w:hAnsi="仿宋" w:eastAsia="仿宋" w:cs="仿宋"/>
                <w:color w:val="000000"/>
                <w:kern w:val="0"/>
                <w:szCs w:val="21"/>
              </w:rPr>
            </w:pPr>
            <w:r>
              <w:rPr>
                <w:rFonts w:hint="eastAsia" w:ascii="仿宋" w:hAnsi="仿宋" w:eastAsia="仿宋" w:cs="仿宋"/>
                <w:color w:val="000000"/>
                <w:kern w:val="0"/>
                <w:szCs w:val="21"/>
              </w:rPr>
              <w:t>外、内模板</w:t>
            </w:r>
          </w:p>
        </w:tc>
      </w:tr>
    </w:tbl>
    <w:p w14:paraId="6370B46F">
      <w:pPr>
        <w:ind w:left="0" w:leftChars="0" w:firstLine="0" w:firstLineChars="0"/>
        <w:rPr>
          <w:rFonts w:hint="default" w:eastAsia="宋体"/>
          <w:highlight w:val="none"/>
          <w:lang w:val="en-US" w:eastAsia="zh-CN"/>
        </w:rPr>
      </w:pPr>
      <w:r>
        <w:rPr>
          <w:rFonts w:hint="default" w:eastAsia="宋体"/>
          <w:highlight w:val="none"/>
          <w:lang w:val="en-US" w:eastAsia="zh-CN"/>
        </w:rPr>
        <w:t>注：以上现浇箱梁材料为理论数量，需</w:t>
      </w:r>
      <w:r>
        <w:rPr>
          <w:rFonts w:hint="eastAsia"/>
          <w:highlight w:val="none"/>
          <w:lang w:val="en-US" w:eastAsia="zh-CN"/>
        </w:rPr>
        <w:t>根据现场实际情况</w:t>
      </w:r>
      <w:r>
        <w:rPr>
          <w:rFonts w:hint="default" w:eastAsia="宋体"/>
          <w:highlight w:val="none"/>
          <w:lang w:val="en-US" w:eastAsia="zh-CN"/>
        </w:rPr>
        <w:t>进行调配。</w:t>
      </w:r>
    </w:p>
    <w:p w14:paraId="2EF02489">
      <w:pPr>
        <w:ind w:firstLine="480"/>
        <w:rPr>
          <w:rFonts w:hint="default" w:eastAsia="宋体"/>
          <w:highlight w:val="none"/>
          <w:lang w:val="en-US" w:eastAsia="zh-CN"/>
        </w:rPr>
      </w:pPr>
      <w:r>
        <w:rPr>
          <w:rFonts w:hint="default" w:eastAsia="宋体"/>
          <w:highlight w:val="none"/>
          <w:lang w:val="en-US" w:eastAsia="zh-CN"/>
        </w:rPr>
        <w:t>（三）地基处理</w:t>
      </w:r>
      <w:r>
        <w:rPr>
          <w:rFonts w:hint="default" w:eastAsia="宋体"/>
          <w:highlight w:val="none"/>
          <w:lang w:val="en-US" w:eastAsia="zh-CN"/>
        </w:rPr>
        <w:tab/>
      </w:r>
    </w:p>
    <w:p w14:paraId="20783B25">
      <w:pPr>
        <w:ind w:firstLine="480"/>
        <w:rPr>
          <w:rFonts w:hint="default" w:eastAsia="宋体"/>
          <w:highlight w:val="none"/>
          <w:lang w:val="en-US" w:eastAsia="zh-CN"/>
        </w:rPr>
      </w:pPr>
      <w:r>
        <w:rPr>
          <w:rFonts w:hint="default" w:eastAsia="宋体"/>
          <w:highlight w:val="none"/>
          <w:lang w:val="en-US" w:eastAsia="zh-CN"/>
        </w:rPr>
        <w:t>1、系梁及墩柱施工完成后对现浇桥跨内的地基进行处理，首先对钻孔桩施工开挖的泥浆池及基坑进行抽水、清淤，后采用素土及路基挖方弃渣分层回填至原地面。</w:t>
      </w:r>
    </w:p>
    <w:p w14:paraId="468D3C0F">
      <w:pPr>
        <w:ind w:firstLine="480"/>
        <w:rPr>
          <w:rFonts w:hint="default" w:eastAsia="宋体"/>
          <w:highlight w:val="none"/>
          <w:lang w:val="en-US" w:eastAsia="zh-CN"/>
        </w:rPr>
      </w:pPr>
      <w:r>
        <w:rPr>
          <w:rFonts w:hint="default" w:eastAsia="宋体"/>
          <w:highlight w:val="none"/>
          <w:lang w:val="en-US" w:eastAsia="zh-CN"/>
        </w:rPr>
        <w:t>2、根据现场情况土质情况, 本桥地形起伏较大，桩基大部分地处挖方段，地基条件较好，对于地形起伏较大的地段，先将地表弃土挖除，再利用路基挖方弃渣回填至支架搭设标高，压路机碾压密实，压实度达到90%以上，并做出2%—4%横坡，以高出地面不受雨水浸泡影响；再以12cm标号C20混凝土硬化支架搭设区。地基处理宽度，比支架范围每侧超出100cm。在地基范围纵桥向挖设30×30cm的排水沟。</w:t>
      </w:r>
    </w:p>
    <w:p w14:paraId="267DE8A8">
      <w:pPr>
        <w:ind w:firstLine="480"/>
        <w:rPr>
          <w:rFonts w:hint="default" w:eastAsia="宋体"/>
          <w:highlight w:val="none"/>
          <w:lang w:val="en-US" w:eastAsia="zh-CN"/>
        </w:rPr>
      </w:pPr>
      <w:r>
        <w:rPr>
          <w:rFonts w:hint="default" w:eastAsia="宋体"/>
          <w:highlight w:val="none"/>
          <w:lang w:val="en-US" w:eastAsia="zh-CN"/>
        </w:rPr>
        <w:t>（四）支架搭设</w:t>
      </w:r>
    </w:p>
    <w:p w14:paraId="3174EBD8">
      <w:pPr>
        <w:ind w:firstLine="480"/>
        <w:rPr>
          <w:rFonts w:hint="default" w:eastAsia="宋体"/>
          <w:highlight w:val="none"/>
          <w:lang w:val="en-US" w:eastAsia="zh-CN"/>
        </w:rPr>
      </w:pPr>
      <w:r>
        <w:rPr>
          <w:rFonts w:hint="eastAsia"/>
          <w:highlight w:val="none"/>
          <w:lang w:val="en-US" w:eastAsia="zh-CN"/>
        </w:rPr>
        <w:t>1、</w:t>
      </w:r>
      <w:r>
        <w:rPr>
          <w:rFonts w:hint="default" w:eastAsia="宋体"/>
          <w:highlight w:val="none"/>
          <w:lang w:val="en-US" w:eastAsia="zh-CN"/>
        </w:rPr>
        <w:t>本桥箱梁盘扣脚手架支撑，采用M60模板支撑系统支架，钢管材质为Q345B低合金钢，外径60mm，壁厚3.2mm，纵向间距为150cm，重要部位采用90+60cm间距。横向间距采用150cm、90cm、60cm。在端横梁、中横梁处加密，支架间距变为60cm×90cm。支架上、下均采用可调顶托和底座进行调整，原则上底座调平，顶托与顶杆调节桥梁横坡与高度。支架上部布置主龙骨，主龙骨上布置次龙骨，次龙骨上布置多层胶木板作为模板。主龙骨为16#标准工字钢，次龙骨为100×150mm方木，模板为15mm厚多层胶木板。竖向斜拉杆按照支架排列图进行搭设，水平剪刀撑沿高度方向每4.5米设置一道，所用材料为φ48*3.2钢管，长度为6米，用转卡子与架体水平横杆联接。每6米长钢管上转卡子不得少于4个。纵向设置3道即两侧翼板下各1道，梁体中间1道，剪刀撑与地面成45°~60°角。支架翼板两侧宽出实体结构物1m，作为人行安全通道，架空设置并与满堂支架紧固连接。</w:t>
      </w:r>
    </w:p>
    <w:p w14:paraId="35F4EF5F">
      <w:pPr>
        <w:ind w:firstLine="480"/>
        <w:rPr>
          <w:rFonts w:hint="default" w:eastAsia="宋体"/>
          <w:highlight w:val="none"/>
          <w:lang w:val="en-US" w:eastAsia="zh-CN"/>
        </w:rPr>
      </w:pPr>
      <w:r>
        <w:rPr>
          <w:rFonts w:hint="default" w:eastAsia="宋体"/>
          <w:highlight w:val="none"/>
          <w:lang w:val="en-US" w:eastAsia="zh-CN"/>
        </w:rPr>
        <w:t>2、顶托调平</w:t>
      </w:r>
    </w:p>
    <w:p w14:paraId="50C8B6A7">
      <w:pPr>
        <w:ind w:firstLine="480"/>
        <w:rPr>
          <w:rFonts w:hint="default" w:eastAsia="宋体"/>
          <w:highlight w:val="none"/>
          <w:lang w:val="en-US" w:eastAsia="zh-CN"/>
        </w:rPr>
      </w:pPr>
      <w:r>
        <w:rPr>
          <w:rFonts w:hint="default" w:eastAsia="宋体"/>
          <w:highlight w:val="none"/>
          <w:lang w:val="en-US" w:eastAsia="zh-CN"/>
        </w:rPr>
        <w:t>合理调整顶托伸出高度以调整梁底高程，对于顶托无法调整合适的位置选用φ60钢管和φ50钢管焊接成的短件在顶托底下调节，最后再用拉线内插方法，依次调出每个顶托的标高，顶托伸出量一般控制在30cm以内为宜。</w:t>
      </w:r>
    </w:p>
    <w:p w14:paraId="6A1E1B1F">
      <w:pPr>
        <w:ind w:firstLine="480"/>
        <w:rPr>
          <w:rFonts w:hint="default" w:eastAsia="宋体"/>
          <w:highlight w:val="none"/>
          <w:lang w:val="en-US" w:eastAsia="zh-CN"/>
        </w:rPr>
      </w:pPr>
      <w:r>
        <w:rPr>
          <w:rFonts w:hint="default" w:eastAsia="宋体"/>
          <w:highlight w:val="none"/>
          <w:lang w:val="en-US" w:eastAsia="zh-CN"/>
        </w:rPr>
        <w:t>3、预拱度设置</w:t>
      </w:r>
    </w:p>
    <w:p w14:paraId="09DBF6AD">
      <w:pPr>
        <w:ind w:firstLine="480"/>
        <w:rPr>
          <w:rFonts w:hint="default" w:eastAsia="宋体"/>
          <w:highlight w:val="none"/>
          <w:lang w:val="en-US" w:eastAsia="zh-CN"/>
        </w:rPr>
      </w:pPr>
      <w:r>
        <w:rPr>
          <w:rFonts w:hint="default" w:eastAsia="宋体"/>
          <w:highlight w:val="none"/>
          <w:lang w:val="en-US" w:eastAsia="zh-CN"/>
        </w:rPr>
        <w:t>由公式：计算出各点调整值；</w:t>
      </w:r>
    </w:p>
    <w:p w14:paraId="25373113">
      <w:pPr>
        <w:ind w:firstLine="480"/>
        <w:rPr>
          <w:rFonts w:hint="default" w:eastAsia="宋体"/>
          <w:highlight w:val="none"/>
          <w:lang w:val="en-US" w:eastAsia="zh-CN"/>
        </w:rPr>
      </w:pPr>
      <w:r>
        <w:rPr>
          <w:rFonts w:hint="default" w:eastAsia="宋体"/>
          <w:highlight w:val="none"/>
          <w:lang w:val="en-US" w:eastAsia="zh-CN"/>
        </w:rPr>
        <w:t>x－离墩中心距离</w:t>
      </w:r>
    </w:p>
    <w:p w14:paraId="2B84812B">
      <w:pPr>
        <w:ind w:firstLine="480"/>
        <w:rPr>
          <w:rFonts w:hint="default" w:eastAsia="宋体"/>
          <w:highlight w:val="none"/>
          <w:lang w:val="en-US" w:eastAsia="zh-CN"/>
        </w:rPr>
      </w:pPr>
      <w:r>
        <w:rPr>
          <w:rFonts w:hint="default" w:eastAsia="宋体"/>
          <w:highlight w:val="none"/>
          <w:lang w:val="en-US" w:eastAsia="zh-CN"/>
        </w:rPr>
        <w:t>y－x点处的预拱度</w:t>
      </w:r>
    </w:p>
    <w:p w14:paraId="21A69B00">
      <w:pPr>
        <w:ind w:firstLine="480"/>
        <w:rPr>
          <w:rFonts w:hint="default" w:eastAsia="宋体"/>
          <w:highlight w:val="none"/>
          <w:lang w:val="en-US" w:eastAsia="zh-CN"/>
        </w:rPr>
      </w:pPr>
      <w:r>
        <w:rPr>
          <w:rFonts w:hint="default" w:eastAsia="宋体"/>
          <w:highlight w:val="none"/>
          <w:lang w:val="en-US" w:eastAsia="zh-CN"/>
        </w:rPr>
        <w:t>L－跨长</w:t>
      </w:r>
    </w:p>
    <w:p w14:paraId="6C9E5B60">
      <w:pPr>
        <w:ind w:firstLine="480"/>
        <w:rPr>
          <w:rFonts w:hint="default" w:eastAsia="宋体"/>
          <w:highlight w:val="none"/>
          <w:lang w:val="en-US" w:eastAsia="zh-CN"/>
        </w:rPr>
      </w:pPr>
      <w:r>
        <w:rPr>
          <w:rFonts w:hint="default" w:eastAsia="宋体"/>
          <w:highlight w:val="none"/>
          <w:lang w:val="en-US" w:eastAsia="zh-CN"/>
        </w:rPr>
        <w:t>预拱度以预压时支架产生的弹性变形作为设置预拱度的依据。通过调整横向分布梁高度，实现预拱度的精确设立。根据支架的变形所计算出来的预拱度作为预拱度的最高值，设置在梁的跨径中点，其它各点预拱度以梁中点为最高值、以梁的两端为零值的支架弹性变形量，按二次抛物线进行分配；根据计算出来的箱梁底标高，以及预压后的箱梁底模标高之间通过木楔、顶托调节螺栓重新进行调整。</w:t>
      </w:r>
    </w:p>
    <w:p w14:paraId="6365901F">
      <w:pPr>
        <w:ind w:firstLine="480"/>
        <w:rPr>
          <w:rFonts w:hint="default" w:eastAsia="宋体"/>
          <w:highlight w:val="none"/>
          <w:lang w:val="en-US" w:eastAsia="zh-CN"/>
        </w:rPr>
      </w:pPr>
      <w:r>
        <w:rPr>
          <w:rFonts w:hint="default" w:eastAsia="宋体"/>
          <w:highlight w:val="none"/>
          <w:lang w:val="en-US" w:eastAsia="zh-CN"/>
        </w:rPr>
        <w:t>4、箱内支架、模板</w:t>
      </w:r>
    </w:p>
    <w:p w14:paraId="6938E639">
      <w:pPr>
        <w:ind w:firstLine="480"/>
        <w:rPr>
          <w:rFonts w:hint="default" w:eastAsia="宋体"/>
          <w:highlight w:val="none"/>
          <w:lang w:val="en-US" w:eastAsia="zh-CN"/>
        </w:rPr>
      </w:pPr>
      <w:r>
        <w:rPr>
          <w:rFonts w:hint="default" w:eastAsia="宋体"/>
          <w:highlight w:val="none"/>
          <w:lang w:val="en-US" w:eastAsia="zh-CN"/>
        </w:rPr>
        <w:t>采用0.65米长，厚3.0mmφ4.8cmWDJ式钢管，直接立在箱梁底板砼上，每个箱室纵向间距皆为0.9m，横向间距1.05m，每个断面设置3根钢管立杆（边上两排刚好在顶板的两个转角位置），在底板往上高度0.4m处设置横向和纵向横杆，管顶采用顶托调整标高，上方横桥向铺设规格为16#标准工字钢放于顶托之上，顺桥向铺设排距不大于30cm的15cm*10cm方木，之上铺放竹胶板，板缝边贴胶带，模板板面之间应平整，接缝严密，不漏浆。箱梁内模采用1.5cm厚的多层胶木板。</w:t>
      </w:r>
    </w:p>
    <w:p w14:paraId="69B17896">
      <w:pPr>
        <w:ind w:firstLine="480"/>
        <w:rPr>
          <w:rFonts w:hint="default" w:eastAsia="宋体"/>
          <w:highlight w:val="none"/>
          <w:lang w:val="en-US" w:eastAsia="zh-CN"/>
        </w:rPr>
      </w:pPr>
      <w:r>
        <w:rPr>
          <w:rFonts w:hint="default" w:eastAsia="宋体"/>
          <w:highlight w:val="none"/>
          <w:lang w:val="en-US" w:eastAsia="zh-CN"/>
        </w:rPr>
        <w:t>5、支架预压</w:t>
      </w:r>
    </w:p>
    <w:p w14:paraId="422088C3">
      <w:pPr>
        <w:ind w:firstLine="480"/>
        <w:rPr>
          <w:rFonts w:hint="default" w:eastAsia="宋体"/>
          <w:highlight w:val="none"/>
          <w:lang w:val="en-US" w:eastAsia="zh-CN"/>
        </w:rPr>
      </w:pPr>
      <w:r>
        <w:rPr>
          <w:rFonts w:hint="default" w:eastAsia="宋体"/>
          <w:highlight w:val="none"/>
          <w:lang w:val="en-US" w:eastAsia="zh-CN"/>
        </w:rPr>
        <w:t>预压采用沙袋堆积法，预压荷载为箱梁自重与模板之和的120%，其荷载分布与锚碇横梁重量分布情况一致，即从锚碇横梁中心线向两侧用吊车吊装、人工堆码。分三次水平加载，第一次试压重60%，第二次为80%，第三次全部加完。加载时，从锚碇横梁中心线向两侧进行对称布载。每级加载完成后，每间隔12h对支架沉降量进行一次监测。当支架顶部监测点12h的沉降量平均值小于2mm时，方可进行下一级加载。支架预压前将全部碗扣用铁锤打紧。</w:t>
      </w:r>
    </w:p>
    <w:p w14:paraId="0E9BBD57">
      <w:pPr>
        <w:ind w:firstLine="480"/>
        <w:rPr>
          <w:rFonts w:hint="default" w:eastAsia="宋体"/>
          <w:highlight w:val="none"/>
          <w:lang w:val="en-US" w:eastAsia="zh-CN"/>
        </w:rPr>
      </w:pPr>
      <w:r>
        <w:rPr>
          <w:rFonts w:hint="default" w:eastAsia="宋体"/>
          <w:highlight w:val="none"/>
          <w:lang w:val="en-US" w:eastAsia="zh-CN"/>
        </w:rPr>
        <w:t>在支架预压过程中，为避免引起荷载变化，每级加载完成后使用彩条布对预压材料砂袋进行覆盖。</w:t>
      </w:r>
    </w:p>
    <w:p w14:paraId="13F21678">
      <w:pPr>
        <w:ind w:firstLine="480"/>
        <w:rPr>
          <w:rFonts w:hint="default" w:eastAsia="宋体"/>
          <w:highlight w:val="none"/>
          <w:lang w:val="en-US" w:eastAsia="zh-CN"/>
        </w:rPr>
      </w:pPr>
      <w:r>
        <w:rPr>
          <w:rFonts w:hint="default" w:eastAsia="宋体"/>
          <w:highlight w:val="none"/>
          <w:lang w:val="en-US" w:eastAsia="zh-CN"/>
        </w:rPr>
        <w:t>为了解支架沉降情况，预压观测点按每跨支架沉降观测点设置在纵向0.25L（L为跨度）、0.5L、0.75L及距墩柱中心前后1.5米处设置5个断面，相应断面横桥向设置3个沉降观测点。在预压之前测出各测量控制点标高，每个观测点在每一次加载（卸载）完了及全部加载完（卸载完）均要观测，全部加载完成后每间隔24h观测一次，用水准仪测出各断面点在堆载前、堆载后及卸载后支架的标高、地面沉降变化,加载120%预压荷载并持荷24小时后要再次复测各控制点标高。</w:t>
      </w:r>
    </w:p>
    <w:p w14:paraId="256BE584">
      <w:pPr>
        <w:ind w:firstLine="480"/>
        <w:rPr>
          <w:rFonts w:hint="default" w:eastAsia="宋体"/>
          <w:highlight w:val="none"/>
          <w:lang w:val="en-US" w:eastAsia="zh-CN"/>
        </w:rPr>
      </w:pPr>
      <w:r>
        <w:rPr>
          <w:rFonts w:hint="default" w:eastAsia="宋体"/>
          <w:highlight w:val="none"/>
          <w:lang w:val="en-US" w:eastAsia="zh-CN"/>
        </w:rPr>
        <w:t>全部加载完成后的支架预压监测过程中，当满足下列条件之一时，应判定支架预压合格，可卸载，否则还须持荷进行预压，直到地基及支架沉降到位方可卸压。</w:t>
      </w:r>
    </w:p>
    <w:p w14:paraId="432B60AB">
      <w:pPr>
        <w:ind w:firstLine="480"/>
        <w:rPr>
          <w:rFonts w:hint="default" w:eastAsia="宋体"/>
          <w:highlight w:val="none"/>
          <w:lang w:val="en-US" w:eastAsia="zh-CN"/>
        </w:rPr>
      </w:pPr>
      <w:r>
        <w:rPr>
          <w:rFonts w:hint="default" w:eastAsia="宋体"/>
          <w:highlight w:val="none"/>
          <w:lang w:val="en-US" w:eastAsia="zh-CN"/>
        </w:rPr>
        <w:t>1、各监测点最初24h的沉降量平均值小于1mm；</w:t>
      </w:r>
    </w:p>
    <w:p w14:paraId="047E1A65">
      <w:pPr>
        <w:ind w:firstLine="480"/>
        <w:rPr>
          <w:rFonts w:hint="default" w:eastAsia="宋体"/>
          <w:highlight w:val="none"/>
          <w:lang w:val="en-US" w:eastAsia="zh-CN"/>
        </w:rPr>
      </w:pPr>
      <w:r>
        <w:rPr>
          <w:rFonts w:hint="default" w:eastAsia="宋体"/>
          <w:highlight w:val="none"/>
          <w:lang w:val="en-US" w:eastAsia="zh-CN"/>
        </w:rPr>
        <w:t>2、各监测点最初72h的沉降量平均值小于3mm；</w:t>
      </w:r>
    </w:p>
    <w:p w14:paraId="11D76BF6">
      <w:pPr>
        <w:ind w:firstLine="480"/>
        <w:rPr>
          <w:rFonts w:hint="default" w:eastAsia="宋体"/>
          <w:highlight w:val="none"/>
          <w:lang w:val="en-US" w:eastAsia="zh-CN"/>
        </w:rPr>
      </w:pPr>
      <w:r>
        <w:rPr>
          <w:rFonts w:hint="default" w:eastAsia="宋体"/>
          <w:highlight w:val="none"/>
          <w:lang w:val="en-US" w:eastAsia="zh-CN"/>
        </w:rPr>
        <w:t>卸载6h后，要再次复测各控制点标高，以便得出支架和地基的弹性变形量（等于卸压后标高减去持荷后所测标高），用总沉降量（即支架持荷后稳定沉降量）减去弹性变形量为支架和地基的非弹性变形（即塑性变形）量。</w:t>
      </w:r>
    </w:p>
    <w:p w14:paraId="4BFAF0CA">
      <w:pPr>
        <w:ind w:firstLine="480"/>
        <w:rPr>
          <w:rFonts w:hint="default" w:eastAsia="宋体"/>
          <w:highlight w:val="none"/>
          <w:lang w:val="en-US" w:eastAsia="zh-CN"/>
        </w:rPr>
      </w:pPr>
      <w:r>
        <w:rPr>
          <w:rFonts w:hint="default" w:eastAsia="宋体"/>
          <w:highlight w:val="none"/>
          <w:lang w:val="en-US" w:eastAsia="zh-CN"/>
        </w:rPr>
        <w:t>支架预压完成后，卸载可一次性完成，卸载时应对称、均衡、同步进行。卸去砂包后，把模板清洗干净，重新测量标高，根据预压成果通过可调顶托调整支架的标高。</w:t>
      </w:r>
    </w:p>
    <w:p w14:paraId="06285A61">
      <w:pPr>
        <w:ind w:firstLine="480"/>
        <w:rPr>
          <w:rFonts w:hint="default" w:eastAsia="宋体"/>
          <w:highlight w:val="none"/>
          <w:lang w:val="en-US" w:eastAsia="zh-CN"/>
        </w:rPr>
      </w:pPr>
      <w:r>
        <w:rPr>
          <w:rFonts w:hint="default" w:eastAsia="宋体"/>
          <w:highlight w:val="none"/>
          <w:lang w:val="en-US" w:eastAsia="zh-CN"/>
        </w:rPr>
        <w:t>（五）模板</w:t>
      </w:r>
    </w:p>
    <w:p w14:paraId="3A7ECB2B">
      <w:pPr>
        <w:ind w:firstLine="480"/>
        <w:rPr>
          <w:rFonts w:hint="default" w:eastAsia="宋体"/>
          <w:highlight w:val="none"/>
          <w:lang w:val="en-US" w:eastAsia="zh-CN"/>
        </w:rPr>
      </w:pPr>
      <w:r>
        <w:rPr>
          <w:rFonts w:hint="default" w:eastAsia="宋体"/>
          <w:highlight w:val="none"/>
          <w:lang w:val="en-US" w:eastAsia="zh-CN"/>
        </w:rPr>
        <w:t>箱梁底模板和外侧模板选用竹胶板，底模基本尺寸为</w:t>
      </w:r>
      <w:r>
        <w:rPr>
          <w:rFonts w:hint="eastAsia"/>
          <w:highlight w:val="none"/>
          <w:lang w:val="en-US" w:eastAsia="zh-CN"/>
        </w:rPr>
        <w:t>设计图纸尺寸</w:t>
      </w:r>
      <w:r>
        <w:rPr>
          <w:rFonts w:hint="default" w:eastAsia="宋体"/>
          <w:highlight w:val="none"/>
          <w:lang w:val="en-US" w:eastAsia="zh-CN"/>
        </w:rPr>
        <w:t>，侧模及两侧翼板模板基本尺寸为</w:t>
      </w:r>
      <w:r>
        <w:rPr>
          <w:rFonts w:hint="eastAsia"/>
          <w:highlight w:val="none"/>
          <w:lang w:val="en-US" w:eastAsia="zh-CN"/>
        </w:rPr>
        <w:t>图纸设计尺寸</w:t>
      </w:r>
      <w:r>
        <w:rPr>
          <w:rFonts w:hint="default" w:eastAsia="宋体"/>
          <w:highlight w:val="none"/>
          <w:lang w:val="en-US" w:eastAsia="zh-CN"/>
        </w:rPr>
        <w:t>，内模采用1.5cm厚竹胶板。</w:t>
      </w:r>
    </w:p>
    <w:p w14:paraId="4286C291">
      <w:pPr>
        <w:ind w:firstLine="480"/>
        <w:rPr>
          <w:rFonts w:hint="default" w:eastAsia="宋体"/>
          <w:highlight w:val="none"/>
          <w:lang w:val="en-US" w:eastAsia="zh-CN"/>
        </w:rPr>
      </w:pPr>
      <w:r>
        <w:rPr>
          <w:rFonts w:hint="default" w:eastAsia="宋体"/>
          <w:highlight w:val="none"/>
          <w:lang w:val="en-US" w:eastAsia="zh-CN"/>
        </w:rPr>
        <w:t xml:space="preserve">  1、支架上方横桥向铺设规格为16#标准工字钢放于顶托之上，顺桥向铺设排距不大于30cm的15cm*10cm方木，之上铺放竹胶板，板缝边贴胶带，模板板面之间应平整，接缝严密，不漏浆，侧模与底模采用将侧模立在底模上的方式，外侧模与底板接触处应加贴胶带，并用玻璃胶水填平，并且做好侧模与翼缘板的倒角接缝，侧模竹胶板外设置间距为40cm的10*10cm方木的竖肋，竖肋外竖向设置3层横向10*10cm的方木作为横肋，最下面一层方木采用采用大钢钉与底模固定，避免在浇筑砼时，侧模底由于压力过大，出现涨模。</w:t>
      </w:r>
    </w:p>
    <w:p w14:paraId="74C3FEE2">
      <w:pPr>
        <w:ind w:firstLine="480"/>
        <w:rPr>
          <w:rFonts w:hint="default" w:eastAsia="宋体"/>
          <w:highlight w:val="none"/>
          <w:lang w:val="en-US" w:eastAsia="zh-CN"/>
        </w:rPr>
      </w:pPr>
      <w:r>
        <w:rPr>
          <w:rFonts w:hint="default" w:eastAsia="宋体"/>
          <w:highlight w:val="none"/>
          <w:lang w:val="en-US" w:eastAsia="zh-CN"/>
        </w:rPr>
        <w:t>2、内模按设计尺寸，在竹胶板上钉方木条，规格为5cm*10cm，内模板先安装腹板的侧模板，等箱梁砼浇筑到缘板的倒角位置后顶板开始拼装，并且在每个箱室留1个规格为1m*1m出入口，以备拆模使用，留口的位置在两端梁中间位置，施工预留口注意伸出预埋钢筋，待混凝土强度达到设计值的80%时，拆模封口。</w:t>
      </w:r>
    </w:p>
    <w:p w14:paraId="50F4240D">
      <w:pPr>
        <w:ind w:firstLine="480"/>
        <w:rPr>
          <w:rFonts w:hint="default" w:eastAsia="宋体"/>
          <w:highlight w:val="none"/>
          <w:lang w:val="en-US" w:eastAsia="zh-CN"/>
        </w:rPr>
      </w:pPr>
      <w:r>
        <w:rPr>
          <w:rFonts w:hint="default" w:eastAsia="宋体"/>
          <w:highlight w:val="none"/>
          <w:lang w:val="en-US" w:eastAsia="zh-CN"/>
        </w:rPr>
        <w:t>（六）钢筋制作安装</w:t>
      </w:r>
    </w:p>
    <w:p w14:paraId="47CC98A4">
      <w:pPr>
        <w:ind w:firstLine="480"/>
        <w:rPr>
          <w:rFonts w:hint="default" w:eastAsia="宋体"/>
          <w:highlight w:val="none"/>
          <w:lang w:val="en-US" w:eastAsia="zh-CN"/>
        </w:rPr>
      </w:pPr>
      <w:r>
        <w:rPr>
          <w:rFonts w:hint="default" w:eastAsia="宋体"/>
          <w:highlight w:val="none"/>
          <w:lang w:val="en-US" w:eastAsia="zh-CN"/>
        </w:rPr>
        <w:t>1、钢筋在进场前必须进行检验，检验合格并报监理工程师审批后方可大批进场，钢材进场后应存在仓库或料棚内不得直接堆置在地面上，必须用垫木或其他方法垫起，工地临时保管钢筋时，应选择地势高，地面干燥的露天场所，根据天气情况，必要时加盖雨棚布，钢筋下料前，首先对施工图中各种规格的钢筋长度，数量核对，其次对钢筋进行调直，钢筋表面应保持洁净和平直，钢筋加工时，严格按照施工设计图纸进行下料，加工、制作、安装，不得随意改变钢筋长度和构造形式。所有钢筋加工，焊接都必须严格遵照《公路桥涵施工技术规范》执行。钢筋焊接前后根据具体施工条件施焊，经监理工程师检查合格后方可进行大面积钢筋焊接，所有焊工都必须持证上岗。钢筋采用电弧焊时，双面焊不得小于5d，单面焊不得小于10d。II级钢筋焊接必须采用506焊条，焊缝随焊随敲。电弧焊接要求焊接表面平顺，无裂缝气孔，灰渣，无明显烧伤，无弧坑，焊缝饱满，焊缝尺寸符合规范要求。</w:t>
      </w:r>
    </w:p>
    <w:p w14:paraId="57D8FA13">
      <w:pPr>
        <w:ind w:firstLine="480"/>
        <w:rPr>
          <w:rFonts w:hint="default" w:eastAsia="宋体"/>
          <w:highlight w:val="none"/>
          <w:lang w:val="en-US" w:eastAsia="zh-CN"/>
        </w:rPr>
      </w:pPr>
      <w:r>
        <w:rPr>
          <w:rFonts w:hint="default" w:eastAsia="宋体"/>
          <w:highlight w:val="none"/>
          <w:lang w:val="en-US" w:eastAsia="zh-CN"/>
        </w:rPr>
        <w:t>（1）受力钢筋的焊接或绑扎接头间距不小于1.3倍，搭接长度对焊接接头，在接头长度区段内焊接接头长度区段内指35d长度范围内但不得小于50cm，绑扎接头长度区段是指1.3倍搭接长度的受力钢筋，其接头的截面面积占总截面面积的百分率应符合下表规定。</w:t>
      </w:r>
    </w:p>
    <w:p w14:paraId="7A6EEC97">
      <w:pPr>
        <w:ind w:firstLine="480"/>
        <w:rPr>
          <w:rFonts w:hint="default" w:eastAsia="宋体"/>
          <w:highlight w:val="none"/>
          <w:lang w:val="en-US" w:eastAsia="zh-CN"/>
        </w:rPr>
      </w:pPr>
      <w:r>
        <w:rPr>
          <w:rFonts w:hint="default" w:eastAsia="宋体"/>
          <w:highlight w:val="none"/>
          <w:lang w:val="en-US" w:eastAsia="zh-CN"/>
        </w:rPr>
        <w:t>（2）电弧焊接和绑扎接头与钢筋弯曲处的距离不应大于10倍钢筋直径，也不宜位于构件最大弯矩处。</w:t>
      </w:r>
    </w:p>
    <w:p w14:paraId="109A2CC2">
      <w:pPr>
        <w:ind w:left="0" w:leftChars="0" w:firstLine="240" w:firstLineChars="100"/>
        <w:rPr>
          <w:rFonts w:hint="default" w:eastAsia="宋体"/>
          <w:highlight w:val="none"/>
          <w:lang w:val="en-US" w:eastAsia="zh-CN"/>
        </w:rPr>
      </w:pPr>
      <w:r>
        <w:rPr>
          <w:rFonts w:hint="default" w:eastAsia="宋体"/>
          <w:highlight w:val="none"/>
          <w:lang w:val="en-US" w:eastAsia="zh-CN"/>
        </w:rPr>
        <w:t xml:space="preserve">  （3）钢筋安装绑扎时，应严格按施工设计图纸，并按一定的顺序进行安装绑扎，如存在钢筋与钢筋位置相互交错、矛盾应停止绑扎，待与有关部门协商处理完毕后，按照处理意见进行钢筋的绑扎，安装施工，并确保保护层厚度，合理放置垫块，要求垫块光面向外。</w:t>
      </w:r>
    </w:p>
    <w:p w14:paraId="5DC6977D">
      <w:pPr>
        <w:ind w:firstLine="480"/>
        <w:rPr>
          <w:rFonts w:hint="default" w:eastAsia="宋体"/>
          <w:highlight w:val="none"/>
          <w:lang w:val="en-US" w:eastAsia="zh-CN"/>
        </w:rPr>
      </w:pPr>
      <w:r>
        <w:rPr>
          <w:rFonts w:hint="default" w:eastAsia="宋体"/>
          <w:highlight w:val="none"/>
          <w:lang w:val="en-US" w:eastAsia="zh-CN"/>
        </w:rPr>
        <w:t>（4）伸缩缝和防撞护栏预埋钢筋应提前制作，绑扎过程中及时予以预埋，其位置应力求精确无误，同时注意预埋泄水孔位置。</w:t>
      </w:r>
    </w:p>
    <w:p w14:paraId="1D731081">
      <w:pPr>
        <w:ind w:firstLine="480"/>
        <w:rPr>
          <w:rFonts w:hint="default" w:eastAsia="宋体"/>
          <w:highlight w:val="none"/>
          <w:lang w:val="en-US" w:eastAsia="zh-CN"/>
        </w:rPr>
      </w:pPr>
      <w:r>
        <w:rPr>
          <w:rFonts w:hint="default" w:eastAsia="宋体"/>
          <w:highlight w:val="none"/>
          <w:lang w:val="en-US" w:eastAsia="zh-CN"/>
        </w:rPr>
        <w:t>（5）箱梁钢筋绑扎成型顺序：</w:t>
      </w:r>
    </w:p>
    <w:p w14:paraId="0C35FC6F">
      <w:pPr>
        <w:ind w:firstLine="480"/>
        <w:rPr>
          <w:rFonts w:hint="default" w:eastAsia="宋体"/>
          <w:highlight w:val="none"/>
          <w:lang w:val="en-US" w:eastAsia="zh-CN"/>
        </w:rPr>
      </w:pPr>
      <w:r>
        <w:rPr>
          <w:rFonts w:hint="default" w:eastAsia="宋体"/>
          <w:highlight w:val="none"/>
          <w:lang w:val="en-US" w:eastAsia="zh-CN"/>
        </w:rPr>
        <w:t>底板底层钢筋——纵向骨架——纵向骨架箍筋——纵向骨架外分布筋——横梁骨架筋——横梁箍筋——横梁斜撑筋——横梁水平分布筋——底板顶层钢筋——骨架内层分布筋——预应力管道——翼板底层纵横向筋；</w:t>
      </w:r>
    </w:p>
    <w:p w14:paraId="093D53C8">
      <w:pPr>
        <w:ind w:firstLine="480"/>
        <w:rPr>
          <w:rFonts w:hint="default" w:eastAsia="宋体"/>
          <w:highlight w:val="none"/>
          <w:lang w:val="en-US" w:eastAsia="zh-CN"/>
        </w:rPr>
      </w:pPr>
      <w:r>
        <w:rPr>
          <w:rFonts w:hint="default" w:eastAsia="宋体"/>
          <w:highlight w:val="none"/>
          <w:lang w:val="en-US" w:eastAsia="zh-CN"/>
        </w:rPr>
        <w:t>顶板底层钢筋——顶板顶层钢筋——护栏预埋钢筋——其它预埋筋。</w:t>
      </w:r>
    </w:p>
    <w:p w14:paraId="3C13B7D9">
      <w:pPr>
        <w:ind w:firstLine="480"/>
        <w:rPr>
          <w:rFonts w:hint="default" w:eastAsia="宋体"/>
          <w:highlight w:val="none"/>
          <w:lang w:val="en-US" w:eastAsia="zh-CN"/>
        </w:rPr>
      </w:pPr>
      <w:r>
        <w:rPr>
          <w:rFonts w:hint="default" w:eastAsia="宋体"/>
          <w:highlight w:val="none"/>
          <w:lang w:val="en-US" w:eastAsia="zh-CN"/>
        </w:rPr>
        <w:t>（6）箱梁骨架的焊接：</w:t>
      </w:r>
    </w:p>
    <w:p w14:paraId="0990D300">
      <w:pPr>
        <w:ind w:firstLine="480"/>
        <w:rPr>
          <w:rFonts w:hint="default" w:eastAsia="宋体"/>
          <w:highlight w:val="none"/>
          <w:lang w:val="en-US" w:eastAsia="zh-CN"/>
        </w:rPr>
      </w:pPr>
      <w:r>
        <w:rPr>
          <w:rFonts w:hint="default" w:eastAsia="宋体"/>
          <w:highlight w:val="none"/>
          <w:lang w:val="en-US" w:eastAsia="zh-CN"/>
        </w:rPr>
        <w:t>腹板骨架和横梁骨架首先按设计图纸进行焊接，在焊接操作过程中，应考虑焊接变形并预留拱度，钢筋拼装前对有焊接接头的钢筋应检查每根接头的焊缝有无开焊变形，如有开焊应及时补焊为防止电焊时局部变形，拼装时在需要焊接的位置先用楔形卡卡住，待所有焊接点卡好后，焊缝两端以点焊定位，然后进行焊缝施焊，骨架焊接时，不同直径钢筋的中心线应在同一平面上，因此，在焊接较小直径的钢筋时，下面宜垫以厚度适当的钢板，施焊顺序宜由中到边对称地向两端进行，先焊骨架下部后焊骨架上部，相邻的焊缝采用分区对称跳焊，不得顺着一个方向一次焊成，焊渣应随焊随敲除。</w:t>
      </w:r>
    </w:p>
    <w:p w14:paraId="5AEE2E13">
      <w:pPr>
        <w:ind w:firstLine="480"/>
        <w:rPr>
          <w:rFonts w:hint="default" w:eastAsia="宋体"/>
          <w:highlight w:val="none"/>
          <w:lang w:val="en-US" w:eastAsia="zh-CN"/>
        </w:rPr>
      </w:pPr>
      <w:r>
        <w:rPr>
          <w:rFonts w:hint="default" w:eastAsia="宋体"/>
          <w:highlight w:val="none"/>
          <w:lang w:val="en-US" w:eastAsia="zh-CN"/>
        </w:rPr>
        <w:t>（7）、预应力管道的定位安装</w:t>
      </w:r>
    </w:p>
    <w:p w14:paraId="09BCB733">
      <w:pPr>
        <w:keepNext w:val="0"/>
        <w:keepLines w:val="0"/>
        <w:widowControl/>
        <w:suppressLineNumbers w:val="0"/>
        <w:jc w:val="left"/>
      </w:pPr>
      <w:r>
        <w:rPr>
          <w:rFonts w:hint="default" w:eastAsia="宋体"/>
          <w:highlight w:val="none"/>
          <w:lang w:val="en-US" w:eastAsia="zh-CN"/>
        </w:rPr>
        <w:t>本桥设计为预应力钢筋砼，</w:t>
      </w:r>
      <w:r>
        <w:rPr>
          <w:rFonts w:hint="eastAsia" w:ascii="宋体" w:hAnsi="宋体" w:eastAsia="宋体" w:cs="宋体"/>
          <w:color w:val="000000"/>
          <w:kern w:val="0"/>
          <w:sz w:val="24"/>
          <w:szCs w:val="24"/>
          <w:lang w:val="en-US" w:eastAsia="zh-CN" w:bidi="ar"/>
        </w:rPr>
        <w:t>预应力钢束：采用高强度低松驰 7 丝捻制的预应力钢绞线，公称直径为 15.20mm，公称面积 139mm</w:t>
      </w:r>
      <w:r>
        <w:rPr>
          <w:rFonts w:hint="eastAsia" w:ascii="宋体" w:hAnsi="宋体" w:eastAsia="宋体" w:cs="宋体"/>
          <w:color w:val="000000"/>
          <w:kern w:val="0"/>
          <w:sz w:val="12"/>
          <w:szCs w:val="12"/>
          <w:lang w:val="en-US" w:eastAsia="zh-CN" w:bidi="ar"/>
        </w:rPr>
        <w:t>2</w:t>
      </w:r>
      <w:r>
        <w:rPr>
          <w:rFonts w:hint="eastAsia" w:ascii="宋体" w:hAnsi="宋体" w:eastAsia="宋体" w:cs="宋体"/>
          <w:color w:val="000000"/>
          <w:kern w:val="0"/>
          <w:sz w:val="24"/>
          <w:szCs w:val="24"/>
          <w:lang w:val="en-US" w:eastAsia="zh-CN" w:bidi="ar"/>
        </w:rPr>
        <w:t>，标准强度 f</w:t>
      </w:r>
      <w:r>
        <w:rPr>
          <w:rFonts w:hint="eastAsia" w:ascii="宋体" w:hAnsi="宋体" w:eastAsia="宋体" w:cs="宋体"/>
          <w:color w:val="000000"/>
          <w:kern w:val="0"/>
          <w:sz w:val="12"/>
          <w:szCs w:val="12"/>
          <w:lang w:val="en-US" w:eastAsia="zh-CN" w:bidi="ar"/>
        </w:rPr>
        <w:t>pk</w:t>
      </w:r>
      <w:r>
        <w:rPr>
          <w:rFonts w:hint="eastAsia" w:ascii="宋体" w:hAnsi="宋体" w:eastAsia="宋体" w:cs="宋体"/>
          <w:color w:val="000000"/>
          <w:kern w:val="0"/>
          <w:sz w:val="24"/>
          <w:szCs w:val="24"/>
          <w:lang w:val="en-US" w:eastAsia="zh-CN" w:bidi="ar"/>
        </w:rPr>
        <w:t>=1860Mpa，弹性模量 E</w:t>
      </w:r>
      <w:r>
        <w:rPr>
          <w:rFonts w:hint="eastAsia" w:ascii="宋体" w:hAnsi="宋体" w:eastAsia="宋体" w:cs="宋体"/>
          <w:color w:val="000000"/>
          <w:kern w:val="0"/>
          <w:sz w:val="12"/>
          <w:szCs w:val="12"/>
          <w:lang w:val="en-US" w:eastAsia="zh-CN" w:bidi="ar"/>
        </w:rPr>
        <w:t>p</w:t>
      </w:r>
      <w:r>
        <w:rPr>
          <w:rFonts w:hint="eastAsia" w:ascii="宋体" w:hAnsi="宋体" w:eastAsia="宋体" w:cs="宋体"/>
          <w:color w:val="000000"/>
          <w:kern w:val="0"/>
          <w:sz w:val="24"/>
          <w:szCs w:val="24"/>
          <w:lang w:val="en-US" w:eastAsia="zh-CN" w:bidi="ar"/>
        </w:rPr>
        <w:t>=1.95×10</w:t>
      </w:r>
      <w:r>
        <w:rPr>
          <w:rFonts w:hint="eastAsia" w:ascii="宋体" w:hAnsi="宋体" w:eastAsia="宋体" w:cs="宋体"/>
          <w:color w:val="000000"/>
          <w:kern w:val="0"/>
          <w:sz w:val="12"/>
          <w:szCs w:val="12"/>
          <w:lang w:val="en-US" w:eastAsia="zh-CN" w:bidi="ar"/>
        </w:rPr>
        <w:t xml:space="preserve">5 </w:t>
      </w:r>
      <w:r>
        <w:rPr>
          <w:rFonts w:hint="eastAsia" w:ascii="宋体" w:hAnsi="宋体" w:eastAsia="宋体" w:cs="宋体"/>
          <w:color w:val="000000"/>
          <w:kern w:val="0"/>
          <w:sz w:val="24"/>
          <w:szCs w:val="24"/>
          <w:lang w:val="en-US" w:eastAsia="zh-CN" w:bidi="ar"/>
        </w:rPr>
        <w:t>MPa，1000h 后应力松驰率不大于 2.5%，其技术性能必须符合中华人民共和国国家标准(GB/T 5224－2014)《预应力混凝土用钢绞线》的规定。</w:t>
      </w:r>
    </w:p>
    <w:p w14:paraId="15A8D545">
      <w:pPr>
        <w:ind w:firstLine="480"/>
        <w:rPr>
          <w:rFonts w:hint="default" w:eastAsia="宋体"/>
          <w:highlight w:val="none"/>
          <w:lang w:val="en-US" w:eastAsia="zh-CN"/>
        </w:rPr>
      </w:pPr>
      <w:r>
        <w:rPr>
          <w:rFonts w:hint="default" w:eastAsia="宋体"/>
          <w:highlight w:val="none"/>
          <w:lang w:val="en-US" w:eastAsia="zh-CN"/>
        </w:rPr>
        <w:t>管道采用高密度聚乙烯波纹管，安装时按照图纸提拱的横、纵坐标定位，管道的定位用钢筋“井”字架或“U”型架固定，直线段每1m一道，曲线段0.5m一道，要求定位筋牢固、准确、管道接缝紧密，用胶带密封，以防止水泥浆进入，增加管道摩阻损失。张拉端锚垫板位置及埋设角度准确。</w:t>
      </w:r>
    </w:p>
    <w:p w14:paraId="06991150">
      <w:pPr>
        <w:ind w:firstLine="480"/>
        <w:rPr>
          <w:rFonts w:hint="default" w:eastAsia="宋体"/>
          <w:highlight w:val="none"/>
          <w:lang w:val="en-US" w:eastAsia="zh-CN"/>
        </w:rPr>
      </w:pPr>
      <w:r>
        <w:rPr>
          <w:rFonts w:hint="default" w:eastAsia="宋体"/>
          <w:highlight w:val="none"/>
          <w:lang w:val="en-US" w:eastAsia="zh-CN"/>
        </w:rPr>
        <w:t>（七）箱梁砼浇筑</w:t>
      </w:r>
    </w:p>
    <w:p w14:paraId="3650C0E2">
      <w:pPr>
        <w:ind w:firstLine="480"/>
        <w:rPr>
          <w:rFonts w:hint="default" w:eastAsia="宋体"/>
          <w:highlight w:val="none"/>
          <w:lang w:val="en-US" w:eastAsia="zh-CN"/>
        </w:rPr>
      </w:pPr>
      <w:r>
        <w:rPr>
          <w:rFonts w:hint="default" w:eastAsia="宋体"/>
          <w:highlight w:val="none"/>
          <w:lang w:val="en-US" w:eastAsia="zh-CN"/>
        </w:rPr>
        <w:t>1、原材料：</w:t>
      </w:r>
    </w:p>
    <w:p w14:paraId="04F97075">
      <w:pPr>
        <w:ind w:firstLine="480"/>
        <w:rPr>
          <w:rFonts w:hint="default" w:eastAsia="宋体"/>
          <w:highlight w:val="none"/>
          <w:lang w:val="en-US" w:eastAsia="zh-CN"/>
        </w:rPr>
      </w:pPr>
      <w:r>
        <w:rPr>
          <w:rFonts w:hint="default" w:eastAsia="宋体"/>
          <w:highlight w:val="none"/>
          <w:lang w:val="en-US" w:eastAsia="zh-CN"/>
        </w:rPr>
        <w:t>所有用于现浇梁砼的水泥、砂石料和外加剂必须按规定的频率经检验符合要求后，方能用于砼拌和。</w:t>
      </w:r>
    </w:p>
    <w:p w14:paraId="719DB438">
      <w:pPr>
        <w:ind w:firstLine="480"/>
        <w:rPr>
          <w:rFonts w:hint="default" w:eastAsia="宋体"/>
          <w:highlight w:val="none"/>
          <w:lang w:val="en-US" w:eastAsia="zh-CN"/>
        </w:rPr>
      </w:pPr>
      <w:r>
        <w:rPr>
          <w:rFonts w:hint="default" w:eastAsia="宋体"/>
          <w:highlight w:val="none"/>
          <w:lang w:val="en-US" w:eastAsia="zh-CN"/>
        </w:rPr>
        <w:t>2、砼配合比：</w:t>
      </w:r>
    </w:p>
    <w:p w14:paraId="683DD826">
      <w:pPr>
        <w:ind w:firstLine="480"/>
        <w:rPr>
          <w:rFonts w:hint="default" w:eastAsia="宋体"/>
          <w:highlight w:val="none"/>
          <w:lang w:val="en-US" w:eastAsia="zh-CN"/>
        </w:rPr>
      </w:pPr>
      <w:r>
        <w:rPr>
          <w:rFonts w:hint="default" w:eastAsia="宋体"/>
          <w:highlight w:val="none"/>
          <w:lang w:val="en-US" w:eastAsia="zh-CN"/>
        </w:rPr>
        <w:t>砼拌和用原材料用量严格按试验室提供的配合比进行拌和，时间应符合规范要求，砼强度等级和坍落度等按图纸设计要求进行。</w:t>
      </w:r>
    </w:p>
    <w:p w14:paraId="1F174E6F">
      <w:pPr>
        <w:numPr>
          <w:ilvl w:val="0"/>
          <w:numId w:val="6"/>
        </w:numPr>
        <w:ind w:left="0" w:leftChars="0" w:firstLine="480" w:firstLineChars="200"/>
        <w:rPr>
          <w:rFonts w:hint="default" w:eastAsia="宋体"/>
          <w:highlight w:val="none"/>
          <w:lang w:val="en-US" w:eastAsia="zh-CN"/>
        </w:rPr>
      </w:pPr>
      <w:r>
        <w:rPr>
          <w:rFonts w:hint="default" w:eastAsia="宋体"/>
          <w:highlight w:val="none"/>
          <w:lang w:val="en-US" w:eastAsia="zh-CN"/>
        </w:rPr>
        <w:t>砼浇筑：</w:t>
      </w:r>
    </w:p>
    <w:p w14:paraId="010034BA">
      <w:pPr>
        <w:numPr>
          <w:ilvl w:val="0"/>
          <w:numId w:val="0"/>
        </w:numPr>
        <w:ind w:leftChars="200"/>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箱梁浇筑应从跨中向墩顶方向浇筑，最后浇筑墩顶两侧各 3 米左右范围内梁段，纵向</w:t>
      </w:r>
    </w:p>
    <w:p w14:paraId="406945C2">
      <w:pPr>
        <w:numPr>
          <w:ilvl w:val="0"/>
          <w:numId w:val="0"/>
        </w:numPr>
      </w:pPr>
      <w:r>
        <w:rPr>
          <w:rFonts w:hint="eastAsia" w:ascii="宋体" w:hAnsi="宋体" w:eastAsia="宋体" w:cs="宋体"/>
          <w:color w:val="000000"/>
          <w:kern w:val="0"/>
          <w:sz w:val="24"/>
          <w:szCs w:val="24"/>
          <w:lang w:val="en-US" w:eastAsia="zh-CN" w:bidi="ar"/>
        </w:rPr>
        <w:t>一联箱梁一次浇筑成功；竖向建议按底板、腹板→顶板一次浇筑。施工时应严格控制各特征点标高，桥面纵横坡由底模调整，横截面梁高不变。</w:t>
      </w:r>
    </w:p>
    <w:p w14:paraId="79501908">
      <w:pPr>
        <w:ind w:firstLine="480"/>
        <w:rPr>
          <w:rFonts w:hint="default" w:eastAsia="宋体"/>
          <w:highlight w:val="none"/>
          <w:lang w:val="en-US" w:eastAsia="zh-CN"/>
        </w:rPr>
      </w:pPr>
      <w:r>
        <w:rPr>
          <w:rFonts w:hint="default" w:eastAsia="宋体"/>
          <w:highlight w:val="none"/>
          <w:lang w:val="en-US" w:eastAsia="zh-CN"/>
        </w:rPr>
        <w:t>每联箱梁砼竖向分两次浇筑，第一次先浇筑底板和腹板顶面位置，待混凝土强度达到2.5MPa后，拆除内侧模板，进行顶板、翼缘板模板的拼装及绑扎钢筋。第二次浇注顶板及翼板砼。</w:t>
      </w:r>
    </w:p>
    <w:p w14:paraId="7A2DEADE">
      <w:pPr>
        <w:ind w:firstLine="480"/>
        <w:rPr>
          <w:rFonts w:hint="default" w:eastAsia="宋体"/>
          <w:highlight w:val="none"/>
          <w:lang w:val="en-US" w:eastAsia="zh-CN"/>
        </w:rPr>
      </w:pPr>
      <w:r>
        <w:rPr>
          <w:rFonts w:hint="default" w:eastAsia="宋体"/>
          <w:highlight w:val="none"/>
          <w:lang w:val="en-US" w:eastAsia="zh-CN"/>
        </w:rPr>
        <w:t>砼由</w:t>
      </w:r>
      <w:r>
        <w:rPr>
          <w:rFonts w:hint="eastAsia"/>
          <w:highlight w:val="none"/>
          <w:lang w:val="en-US" w:eastAsia="zh-CN"/>
        </w:rPr>
        <w:t>项目部</w:t>
      </w:r>
      <w:r>
        <w:rPr>
          <w:rFonts w:hint="default" w:eastAsia="宋体"/>
          <w:highlight w:val="none"/>
          <w:lang w:val="en-US" w:eastAsia="zh-CN"/>
        </w:rPr>
        <w:t>强制式搅拌站作为</w:t>
      </w:r>
      <w:r>
        <w:rPr>
          <w:rFonts w:hint="eastAsia"/>
          <w:highlight w:val="none"/>
          <w:lang w:val="en-US" w:eastAsia="zh-CN"/>
        </w:rPr>
        <w:t>供应</w:t>
      </w:r>
      <w:r>
        <w:rPr>
          <w:rFonts w:hint="default" w:eastAsia="宋体"/>
          <w:highlight w:val="none"/>
          <w:lang w:val="en-US" w:eastAsia="zh-CN"/>
        </w:rPr>
        <w:t>站，6台罐车运输，2台泵车直接浇筑，砼施工应连续进行，泵送的间歇时间不宜过长，间歇时间过长，往往造成堵管，在短时间内不能泵送时，应及时清除泵管内的混凝土，泵车内的混凝土应保持2/3以防管内吸进空气，导致堵塞。</w:t>
      </w:r>
    </w:p>
    <w:p w14:paraId="4049415A">
      <w:pPr>
        <w:ind w:firstLine="480"/>
        <w:rPr>
          <w:rFonts w:hint="default" w:eastAsia="宋体"/>
          <w:highlight w:val="none"/>
          <w:lang w:val="en-US" w:eastAsia="zh-CN"/>
        </w:rPr>
      </w:pPr>
      <w:r>
        <w:rPr>
          <w:rFonts w:hint="default" w:eastAsia="宋体"/>
          <w:highlight w:val="none"/>
          <w:lang w:val="en-US" w:eastAsia="zh-CN"/>
        </w:rPr>
        <w:t>第一次底板、腹板砼的浇注顺序及方法：竖向先底板后腹板，腹板竖向分层浇注，每层砼浇注高度30cm左右。纵向、横向均采取由低到高的方式浇筑砼，根据气温的情况，合理决定先前浇注段的长度，一般为5~8米，以保证在先前浇注砼初凝前完成下次砼的覆盖及振捣。横向采取先外侧后内侧腹板的浇筑方式。</w:t>
      </w:r>
    </w:p>
    <w:p w14:paraId="50F3B3A6">
      <w:pPr>
        <w:ind w:firstLine="480"/>
        <w:rPr>
          <w:rFonts w:hint="default" w:eastAsia="宋体"/>
          <w:highlight w:val="none"/>
          <w:lang w:val="en-US" w:eastAsia="zh-CN"/>
        </w:rPr>
      </w:pPr>
      <w:r>
        <w:rPr>
          <w:rFonts w:hint="default" w:eastAsia="宋体"/>
          <w:highlight w:val="none"/>
          <w:lang w:val="en-US" w:eastAsia="zh-CN"/>
        </w:rPr>
        <w:t>第二次顶板、翼板砼浇注顺序及方法：顶板砼的浇注从低到高全厚度一次浇注完成，浇筑翼缘板混凝土时应从外侧向内一次完成，以防发生裂纹。竖向分两次浇注时，浇筑的接缝处应保证有良好的衔接面（粗糙、干净并不得留有堆落、松散的混凝土和砂浆等），开始浇筑时，表面凿去水泥浆和松动的石子，清洗湿润表面。</w:t>
      </w:r>
    </w:p>
    <w:p w14:paraId="102E90A0">
      <w:pPr>
        <w:ind w:firstLine="480"/>
        <w:rPr>
          <w:rFonts w:hint="default" w:eastAsia="宋体"/>
          <w:highlight w:val="none"/>
          <w:lang w:val="en-US" w:eastAsia="zh-CN"/>
        </w:rPr>
      </w:pPr>
      <w:r>
        <w:rPr>
          <w:rFonts w:hint="default" w:eastAsia="宋体"/>
          <w:highlight w:val="none"/>
          <w:lang w:val="en-US" w:eastAsia="zh-CN"/>
        </w:rPr>
        <w:t>底、腹板砼浇注时根据施工面合理配置插入式震动器数量，一般每腹板一台每箱室1台、每横梁2台振动器布置，另备两台备用振动器，插入式震动器应垂直或略有倾斜插入砼，插入时宜稍快，慢慢提起，边提边振，振动器移动距离不应超过振动器作用半径的1.5倍，与侧模板应保持5~10cm距离，插入下层砼5~10cm面振动器的移动，砼振捣应达到不再出现砼下沉、表面泛浆并不再冒泡为止。砼开始进入泵管前，需采用高标号水泥砂浆润滑泵管，确保不堵塞。</w:t>
      </w:r>
    </w:p>
    <w:p w14:paraId="4AE24DE0">
      <w:pPr>
        <w:ind w:firstLine="480"/>
        <w:rPr>
          <w:rFonts w:hint="default" w:eastAsia="宋体"/>
          <w:highlight w:val="none"/>
          <w:lang w:val="en-US" w:eastAsia="zh-CN"/>
        </w:rPr>
      </w:pPr>
      <w:r>
        <w:rPr>
          <w:rFonts w:hint="default" w:eastAsia="宋体"/>
          <w:highlight w:val="none"/>
          <w:lang w:val="en-US" w:eastAsia="zh-CN"/>
        </w:rPr>
        <w:t>顶板砼的浇注采用以插入式振动器为振实为主，平板震动器提浆为辅，平板振动器振过后，用10cm平直的方钢或槽钢在砼面上来回抽动、刮平，以保持桥面的平整度，并将砼面作拉毛处理，垂直于桥中心方向横向拉毛，线型直顺、纹理清晰、深度适中，以增强其与防水层混凝土的粘结效果。</w:t>
      </w:r>
    </w:p>
    <w:p w14:paraId="66BAF862">
      <w:pPr>
        <w:ind w:firstLine="480"/>
        <w:rPr>
          <w:rFonts w:hint="default" w:eastAsia="宋体"/>
          <w:highlight w:val="none"/>
          <w:lang w:val="en-US" w:eastAsia="zh-CN"/>
        </w:rPr>
      </w:pPr>
      <w:r>
        <w:rPr>
          <w:rFonts w:hint="default" w:eastAsia="宋体"/>
          <w:highlight w:val="none"/>
          <w:lang w:val="en-US" w:eastAsia="zh-CN"/>
        </w:rPr>
        <w:t>浇筑混凝土期间设专人检查支架、模板、钢筋和预埋件等的稳固情况。当发现有松动变形，移位时，应及时处理，在浇筑过程中，还应随时注意使用插入式振动器时，防止机头与模板钢筋及预埋件碰撞所引起的松动变形和移位。</w:t>
      </w:r>
    </w:p>
    <w:p w14:paraId="05E40BD2">
      <w:pPr>
        <w:ind w:firstLine="480"/>
        <w:rPr>
          <w:rFonts w:hint="default" w:eastAsia="宋体"/>
          <w:highlight w:val="none"/>
          <w:lang w:val="en-US" w:eastAsia="zh-CN"/>
        </w:rPr>
      </w:pPr>
      <w:r>
        <w:rPr>
          <w:rFonts w:hint="default" w:eastAsia="宋体"/>
          <w:highlight w:val="none"/>
          <w:lang w:val="en-US" w:eastAsia="zh-CN"/>
        </w:rPr>
        <w:t>雨季施工措施，配备必要的雨天施工用品，对未达到凝固的砼表面加彩条布覆盖，并及时调整配合比和排除表面未终凝砼的积水。</w:t>
      </w:r>
    </w:p>
    <w:p w14:paraId="4B97CED5">
      <w:pPr>
        <w:ind w:firstLine="480"/>
        <w:rPr>
          <w:rFonts w:hint="default" w:eastAsia="宋体"/>
          <w:highlight w:val="none"/>
          <w:lang w:val="en-US" w:eastAsia="zh-CN"/>
        </w:rPr>
      </w:pPr>
      <w:r>
        <w:rPr>
          <w:rFonts w:hint="default" w:eastAsia="宋体"/>
          <w:highlight w:val="none"/>
          <w:lang w:val="en-US" w:eastAsia="zh-CN"/>
        </w:rPr>
        <w:t>砼养护在表面覆盖土工布洒水养生不少于7天。</w:t>
      </w:r>
    </w:p>
    <w:p w14:paraId="30BAECEC">
      <w:pPr>
        <w:ind w:firstLine="480"/>
        <w:rPr>
          <w:rFonts w:hint="default" w:eastAsia="宋体"/>
          <w:highlight w:val="none"/>
          <w:lang w:val="en-US" w:eastAsia="zh-CN"/>
        </w:rPr>
      </w:pPr>
      <w:r>
        <w:rPr>
          <w:rFonts w:hint="default" w:eastAsia="宋体"/>
          <w:highlight w:val="none"/>
          <w:lang w:val="en-US" w:eastAsia="zh-CN"/>
        </w:rPr>
        <w:t>（八）预应力张拉及压浆</w:t>
      </w:r>
    </w:p>
    <w:p w14:paraId="71B8CDB1">
      <w:pPr>
        <w:ind w:firstLine="480"/>
        <w:rPr>
          <w:rFonts w:hint="default" w:eastAsia="宋体"/>
          <w:highlight w:val="none"/>
          <w:lang w:val="en-US" w:eastAsia="zh-CN"/>
        </w:rPr>
      </w:pPr>
      <w:r>
        <w:rPr>
          <w:rFonts w:hint="default" w:eastAsia="宋体"/>
          <w:highlight w:val="none"/>
          <w:lang w:val="en-US" w:eastAsia="zh-CN"/>
        </w:rPr>
        <w:t>箱梁纵向预应力钢束采用对称张拉。</w:t>
      </w:r>
    </w:p>
    <w:p w14:paraId="74802D2D">
      <w:pPr>
        <w:ind w:firstLine="480"/>
        <w:rPr>
          <w:rFonts w:hint="default" w:eastAsia="宋体"/>
          <w:highlight w:val="none"/>
          <w:lang w:val="en-US" w:eastAsia="zh-CN"/>
        </w:rPr>
      </w:pPr>
      <w:r>
        <w:rPr>
          <w:rFonts w:hint="default" w:eastAsia="宋体"/>
          <w:highlight w:val="none"/>
          <w:lang w:val="en-US" w:eastAsia="zh-CN"/>
        </w:rPr>
        <w:t>1、张拉准备工作及张拉程序</w:t>
      </w:r>
    </w:p>
    <w:p w14:paraId="0F50B5AD">
      <w:pPr>
        <w:ind w:firstLine="480"/>
        <w:rPr>
          <w:rFonts w:hint="default" w:eastAsia="宋体"/>
          <w:highlight w:val="none"/>
          <w:lang w:val="en-US" w:eastAsia="zh-CN"/>
        </w:rPr>
      </w:pPr>
      <w:r>
        <w:rPr>
          <w:rFonts w:hint="default" w:eastAsia="宋体"/>
          <w:highlight w:val="none"/>
          <w:lang w:val="en-US" w:eastAsia="zh-CN"/>
        </w:rPr>
        <w:t>（1）检查梁体混凝土强度是否达到张拉强度（设计强度的90%且龄期不小于7天时），锚垫板下混凝土是否密实。浇筑混凝土时制作三组随梁试块，试块和梁体在同等条件下养护，估计张拉时间、压试块，达到要求强度时准备张拉。</w:t>
      </w:r>
    </w:p>
    <w:p w14:paraId="508C5AED">
      <w:pPr>
        <w:ind w:firstLine="480"/>
        <w:rPr>
          <w:rFonts w:hint="default" w:eastAsia="宋体"/>
          <w:highlight w:val="none"/>
          <w:lang w:val="en-US" w:eastAsia="zh-CN"/>
        </w:rPr>
      </w:pPr>
      <w:r>
        <w:rPr>
          <w:rFonts w:hint="default" w:eastAsia="宋体"/>
          <w:highlight w:val="none"/>
          <w:lang w:val="en-US" w:eastAsia="zh-CN"/>
        </w:rPr>
        <w:t>（2）清除锚垫板上的混凝土，检查是否与孔道垂直，如超过要求，则需加垫板补平。应采取可靠措施保证锚垫板位置准确，浇筑混凝土时应派人经常检查，发现问题及时解决。</w:t>
      </w:r>
    </w:p>
    <w:p w14:paraId="418E3FD7">
      <w:pPr>
        <w:ind w:firstLine="480"/>
        <w:rPr>
          <w:rFonts w:hint="default" w:eastAsia="宋体"/>
          <w:highlight w:val="none"/>
          <w:lang w:val="en-US" w:eastAsia="zh-CN"/>
        </w:rPr>
      </w:pPr>
      <w:r>
        <w:rPr>
          <w:rFonts w:hint="default" w:eastAsia="宋体"/>
          <w:highlight w:val="none"/>
          <w:lang w:val="en-US" w:eastAsia="zh-CN"/>
        </w:rPr>
        <w:t>（3）用压浆机向孔道内压入清水，冲出孔道内杂物。然后用空气压缩机向孔道内压气，将孔道内积水吹出，以免影响压浆质量。</w:t>
      </w:r>
    </w:p>
    <w:p w14:paraId="72B0E552">
      <w:pPr>
        <w:ind w:firstLine="480"/>
        <w:rPr>
          <w:rFonts w:hint="default" w:eastAsia="宋体"/>
          <w:highlight w:val="none"/>
          <w:lang w:val="en-US" w:eastAsia="zh-CN"/>
        </w:rPr>
      </w:pPr>
      <w:r>
        <w:rPr>
          <w:rFonts w:hint="default" w:eastAsia="宋体"/>
          <w:highlight w:val="none"/>
          <w:lang w:val="en-US" w:eastAsia="zh-CN"/>
        </w:rPr>
        <w:t>（4）在锚垫板上标出锚圈安放位置。</w:t>
      </w:r>
    </w:p>
    <w:p w14:paraId="48CCC571">
      <w:pPr>
        <w:ind w:firstLine="480"/>
        <w:rPr>
          <w:rFonts w:hint="default" w:eastAsia="宋体"/>
          <w:highlight w:val="none"/>
          <w:lang w:val="en-US" w:eastAsia="zh-CN"/>
        </w:rPr>
      </w:pPr>
      <w:r>
        <w:rPr>
          <w:rFonts w:hint="default" w:eastAsia="宋体"/>
          <w:highlight w:val="none"/>
          <w:lang w:val="en-US" w:eastAsia="zh-CN"/>
        </w:rPr>
        <w:t>（5）钢绞线计算下料、清孔穿束。根据设计图纸计算钢绞线下料长度，下料长度应考虑平弯、竖弯影响，每端留80cm千斤顶工作长度。</w:t>
      </w:r>
    </w:p>
    <w:p w14:paraId="5E6DC1D1">
      <w:pPr>
        <w:ind w:firstLine="480"/>
        <w:rPr>
          <w:rFonts w:hint="default" w:eastAsia="宋体"/>
          <w:highlight w:val="none"/>
          <w:lang w:val="en-US" w:eastAsia="zh-CN"/>
        </w:rPr>
      </w:pPr>
      <w:r>
        <w:rPr>
          <w:rFonts w:hint="default" w:eastAsia="宋体"/>
          <w:highlight w:val="none"/>
          <w:lang w:val="en-US" w:eastAsia="zh-CN"/>
        </w:rPr>
        <w:t>（6）计算超张拉和理论伸长值。根据试验所得预应力筋实际弹性模量、考虑预应力损失，计算钢绞线理论伸长量，以便张拉控制。</w:t>
      </w:r>
    </w:p>
    <w:p w14:paraId="7F10B22C">
      <w:pPr>
        <w:ind w:firstLine="480"/>
        <w:rPr>
          <w:rFonts w:hint="default" w:eastAsia="宋体"/>
          <w:highlight w:val="none"/>
          <w:lang w:val="en-US" w:eastAsia="zh-CN"/>
        </w:rPr>
      </w:pPr>
      <w:r>
        <w:rPr>
          <w:rFonts w:hint="default" w:eastAsia="宋体"/>
          <w:highlight w:val="none"/>
          <w:lang w:val="en-US" w:eastAsia="zh-CN"/>
        </w:rPr>
        <w:t>（7）千斤顶、锚具、管道三对中安装。</w:t>
      </w:r>
    </w:p>
    <w:p w14:paraId="7E6E78B8">
      <w:pPr>
        <w:ind w:firstLine="480"/>
        <w:rPr>
          <w:rFonts w:hint="default" w:eastAsia="宋体"/>
          <w:highlight w:val="none"/>
          <w:lang w:val="en-US" w:eastAsia="zh-CN"/>
        </w:rPr>
      </w:pPr>
      <w:r>
        <w:rPr>
          <w:rFonts w:hint="default" w:eastAsia="宋体"/>
          <w:highlight w:val="none"/>
          <w:lang w:val="en-US" w:eastAsia="zh-CN"/>
        </w:rPr>
        <w:t>（8）千斤顶、油泵要定期校验：使用时间6个月或张拉次数超过300次，需重新进行标定，张拉设备应配套标定，以确定张拉力与</w:t>
      </w:r>
    </w:p>
    <w:p w14:paraId="63566426">
      <w:pPr>
        <w:ind w:firstLine="480"/>
        <w:rPr>
          <w:rFonts w:hint="default" w:eastAsia="宋体"/>
          <w:highlight w:val="none"/>
          <w:lang w:val="en-US" w:eastAsia="zh-CN"/>
        </w:rPr>
      </w:pPr>
      <w:r>
        <w:rPr>
          <w:rFonts w:hint="default" w:eastAsia="宋体"/>
          <w:highlight w:val="none"/>
          <w:lang w:val="en-US" w:eastAsia="zh-CN"/>
        </w:rPr>
        <w:t>压力表读数的关系。应到有资质的计量单位进行标定，张拉力与油表读数的关系通过一元线形回归方程计算确定。</w:t>
      </w:r>
    </w:p>
    <w:p w14:paraId="18FCEF45">
      <w:pPr>
        <w:ind w:firstLine="480"/>
        <w:rPr>
          <w:rFonts w:hint="default" w:eastAsia="宋体"/>
          <w:highlight w:val="none"/>
          <w:lang w:val="en-US" w:eastAsia="zh-CN"/>
        </w:rPr>
      </w:pPr>
      <w:r>
        <w:rPr>
          <w:rFonts w:hint="default" w:eastAsia="宋体"/>
          <w:highlight w:val="none"/>
          <w:lang w:val="en-US" w:eastAsia="zh-CN"/>
        </w:rPr>
        <w:t>2、张拉程序</w:t>
      </w:r>
    </w:p>
    <w:p w14:paraId="7B469813">
      <w:pPr>
        <w:ind w:firstLine="480"/>
        <w:rPr>
          <w:rFonts w:hint="default" w:eastAsia="宋体"/>
          <w:highlight w:val="none"/>
          <w:lang w:val="en-US" w:eastAsia="zh-CN"/>
        </w:rPr>
      </w:pPr>
      <w:r>
        <w:rPr>
          <w:rFonts w:hint="default" w:eastAsia="宋体"/>
          <w:highlight w:val="none"/>
          <w:lang w:val="en-US" w:eastAsia="zh-CN"/>
        </w:rPr>
        <w:t>（1）张拉设备：张拉预应力筋千斤顶：YCW-400；张拉油泵为：ZB4-500。</w:t>
      </w:r>
    </w:p>
    <w:p w14:paraId="7F7E8D05">
      <w:pPr>
        <w:ind w:firstLine="480"/>
        <w:rPr>
          <w:rFonts w:hint="default" w:eastAsia="宋体"/>
          <w:highlight w:val="none"/>
          <w:lang w:val="en-US" w:eastAsia="zh-CN"/>
        </w:rPr>
      </w:pPr>
      <w:r>
        <w:rPr>
          <w:rFonts w:hint="default" w:eastAsia="宋体"/>
          <w:highlight w:val="none"/>
          <w:lang w:val="en-US" w:eastAsia="zh-CN"/>
        </w:rPr>
        <w:t>（2）预应力筋张拉顺序:按图纸设计顺序，中层束—下层束—上层束，先中腹板后边腹板，且左右对称张拉。</w:t>
      </w:r>
    </w:p>
    <w:p w14:paraId="28AE491D">
      <w:pPr>
        <w:ind w:firstLine="480"/>
        <w:rPr>
          <w:rFonts w:hint="default" w:eastAsia="宋体"/>
          <w:highlight w:val="none"/>
          <w:lang w:val="en-US" w:eastAsia="zh-CN"/>
        </w:rPr>
      </w:pPr>
      <w:r>
        <w:rPr>
          <w:rFonts w:hint="default" w:eastAsia="宋体"/>
          <w:highlight w:val="none"/>
          <w:lang w:val="en-US" w:eastAsia="zh-CN"/>
        </w:rPr>
        <w:t>（3）预应力筋张拉工艺：由于采用低松弛高强度预应力钢绞线，所以张拉程序为：低松弛预应力筋0→15%σk→30%σk→倒顶（由于钢束较长总伸长值较大）→σk（持荷2min）锚固，初应力为σk的15－30%，此时的伸长值为△L1，其值采用相邻级的伸长值。控制张拉应力为σk=0.73Rby=0.73×1860Mpa=1357.8Mpa即为末张的应力值。其中值△L=△L1+△L2，△L1为开始至初张的伸长值，△L2为初张至末张间的伸长值。张拉完后，查△L与计算伸长值比较，其伸长率不超过6%，否则、要停止张拉查明原因。</w:t>
      </w:r>
    </w:p>
    <w:p w14:paraId="4C2E2953">
      <w:pPr>
        <w:ind w:firstLine="480"/>
        <w:rPr>
          <w:rFonts w:hint="default" w:eastAsia="宋体"/>
          <w:highlight w:val="none"/>
          <w:lang w:val="en-US" w:eastAsia="zh-CN"/>
        </w:rPr>
      </w:pPr>
      <w:r>
        <w:rPr>
          <w:rFonts w:hint="default" w:eastAsia="宋体"/>
          <w:highlight w:val="none"/>
          <w:lang w:val="en-US" w:eastAsia="zh-CN"/>
        </w:rPr>
        <w:t>3、张拉要点</w:t>
      </w:r>
    </w:p>
    <w:p w14:paraId="20387D7D">
      <w:pPr>
        <w:ind w:firstLine="480"/>
        <w:rPr>
          <w:rFonts w:hint="default" w:eastAsia="宋体"/>
          <w:highlight w:val="none"/>
          <w:lang w:val="en-US" w:eastAsia="zh-CN"/>
        </w:rPr>
      </w:pPr>
      <w:r>
        <w:rPr>
          <w:rFonts w:hint="default" w:eastAsia="宋体"/>
          <w:highlight w:val="none"/>
          <w:lang w:val="en-US" w:eastAsia="zh-CN"/>
        </w:rPr>
        <w:t>（1）两端千斤顶升降速度应大致相等，测量伸长的原始空隙伸长值，插垫等工作应在两端同时进行。</w:t>
      </w:r>
    </w:p>
    <w:p w14:paraId="1F83F3F1">
      <w:pPr>
        <w:ind w:firstLine="480"/>
        <w:rPr>
          <w:rFonts w:hint="default" w:eastAsia="宋体"/>
          <w:highlight w:val="none"/>
          <w:lang w:val="en-US" w:eastAsia="zh-CN"/>
        </w:rPr>
      </w:pPr>
      <w:r>
        <w:rPr>
          <w:rFonts w:hint="default" w:eastAsia="宋体"/>
          <w:highlight w:val="none"/>
          <w:lang w:val="en-US" w:eastAsia="zh-CN"/>
        </w:rPr>
        <w:t>（2）千斤顶给油、回油工序一般均应缓慢平稳进行，特别是在千斤顶达到控制应力时，要注意避免大缸回油过猛，产生较大的冲击振动易发生滑丝。</w:t>
      </w:r>
    </w:p>
    <w:p w14:paraId="4FD6D7FE">
      <w:pPr>
        <w:ind w:firstLine="480"/>
        <w:rPr>
          <w:rFonts w:hint="default" w:eastAsia="宋体"/>
          <w:highlight w:val="none"/>
          <w:lang w:val="en-US" w:eastAsia="zh-CN"/>
        </w:rPr>
      </w:pPr>
      <w:r>
        <w:rPr>
          <w:rFonts w:hint="default" w:eastAsia="宋体"/>
          <w:highlight w:val="none"/>
          <w:lang w:val="en-US" w:eastAsia="zh-CN"/>
        </w:rPr>
        <w:t>（3）常见的滑丝、断丝现象及处理措施：</w:t>
      </w:r>
    </w:p>
    <w:p w14:paraId="4FC47370">
      <w:pPr>
        <w:ind w:firstLine="480"/>
        <w:rPr>
          <w:rFonts w:hint="default" w:eastAsia="宋体"/>
          <w:highlight w:val="none"/>
          <w:lang w:val="en-US" w:eastAsia="zh-CN"/>
        </w:rPr>
      </w:pPr>
      <w:r>
        <w:rPr>
          <w:rFonts w:hint="default" w:eastAsia="宋体"/>
          <w:highlight w:val="none"/>
          <w:lang w:val="en-US" w:eastAsia="zh-CN"/>
        </w:rPr>
        <w:t>①、靠近锚具外部断丝，要检查锚垫板内直径与锚板孔是否相矛盾，使钢绞线受力后磨擦到垫板边缘而割断。其二是锚垫板与孔道中心线不垂直时也会滑丝断丝，这时应在锚圈下垫薄钢板调整垂直度。如断丝数量超过规范要求必须换束重新张拉。</w:t>
      </w:r>
    </w:p>
    <w:p w14:paraId="31A92395">
      <w:pPr>
        <w:ind w:firstLine="480"/>
        <w:rPr>
          <w:rFonts w:hint="default" w:eastAsia="宋体"/>
          <w:highlight w:val="none"/>
          <w:lang w:val="en-US" w:eastAsia="zh-CN"/>
        </w:rPr>
      </w:pPr>
      <w:r>
        <w:rPr>
          <w:rFonts w:hint="default" w:eastAsia="宋体"/>
          <w:highlight w:val="none"/>
          <w:lang w:val="en-US" w:eastAsia="zh-CN"/>
        </w:rPr>
        <w:t>②、卡片不平，受力不均断丝：卡片瓣不齐使局部卡死钢绞线被“咬”断。这种情况下在装卡片时要用钢管镦平，在初张完撤离千斤顶检查一遍。</w:t>
      </w:r>
    </w:p>
    <w:p w14:paraId="385FBAC2">
      <w:pPr>
        <w:ind w:firstLine="480"/>
        <w:rPr>
          <w:rFonts w:hint="default" w:eastAsia="宋体"/>
          <w:highlight w:val="none"/>
          <w:lang w:val="en-US" w:eastAsia="zh-CN"/>
        </w:rPr>
      </w:pPr>
      <w:r>
        <w:rPr>
          <w:rFonts w:hint="default" w:eastAsia="宋体"/>
          <w:highlight w:val="none"/>
          <w:lang w:val="en-US" w:eastAsia="zh-CN"/>
        </w:rPr>
        <w:t>③、滑丝：锚具使用前要先清洗杂物、刷去油圬，卡片的打紧程度务必一致。</w:t>
      </w:r>
    </w:p>
    <w:p w14:paraId="1569FEA9">
      <w:pPr>
        <w:ind w:firstLine="480"/>
        <w:rPr>
          <w:rFonts w:hint="default" w:eastAsia="宋体"/>
          <w:highlight w:val="none"/>
          <w:lang w:val="en-US" w:eastAsia="zh-CN"/>
        </w:rPr>
      </w:pPr>
      <w:r>
        <w:rPr>
          <w:rFonts w:hint="default" w:eastAsia="宋体"/>
          <w:highlight w:val="none"/>
          <w:lang w:val="en-US" w:eastAsia="zh-CN"/>
        </w:rPr>
        <w:t>4、张拉安全操作及注意事项</w:t>
      </w:r>
    </w:p>
    <w:p w14:paraId="3B2259D3">
      <w:pPr>
        <w:ind w:firstLine="480"/>
        <w:rPr>
          <w:rFonts w:hint="default" w:eastAsia="宋体"/>
          <w:highlight w:val="none"/>
          <w:lang w:val="en-US" w:eastAsia="zh-CN"/>
        </w:rPr>
      </w:pPr>
      <w:r>
        <w:rPr>
          <w:rFonts w:hint="default" w:eastAsia="宋体"/>
          <w:highlight w:val="none"/>
          <w:lang w:val="en-US" w:eastAsia="zh-CN"/>
        </w:rPr>
        <w:t>（1）严禁用电焊及气焊切割钢绞线。</w:t>
      </w:r>
    </w:p>
    <w:p w14:paraId="712AD3C5">
      <w:pPr>
        <w:ind w:firstLine="480"/>
        <w:rPr>
          <w:rFonts w:hint="default" w:eastAsia="宋体"/>
          <w:highlight w:val="none"/>
          <w:lang w:val="en-US" w:eastAsia="zh-CN"/>
        </w:rPr>
      </w:pPr>
      <w:r>
        <w:rPr>
          <w:rFonts w:hint="default" w:eastAsia="宋体"/>
          <w:highlight w:val="none"/>
          <w:lang w:val="en-US" w:eastAsia="zh-CN"/>
        </w:rPr>
        <w:t>（2）现场标志明显，锚具对面及千斤顶后面不得站人，防止锚具及钢绞线断丝伤人。</w:t>
      </w:r>
    </w:p>
    <w:p w14:paraId="3588E1EE">
      <w:pPr>
        <w:ind w:firstLine="480"/>
        <w:rPr>
          <w:rFonts w:hint="default" w:eastAsia="宋体"/>
          <w:highlight w:val="none"/>
          <w:lang w:val="en-US" w:eastAsia="zh-CN"/>
        </w:rPr>
      </w:pPr>
      <w:r>
        <w:rPr>
          <w:rFonts w:hint="default" w:eastAsia="宋体"/>
          <w:highlight w:val="none"/>
          <w:lang w:val="en-US" w:eastAsia="zh-CN"/>
        </w:rPr>
        <w:t>（3）千斤顶支架必须与梁端垫板接触良好，位置正直对称，严禁多加垫块以防支架不稳，或受力不均倾倒伤人。</w:t>
      </w:r>
    </w:p>
    <w:p w14:paraId="3F791096">
      <w:pPr>
        <w:ind w:firstLine="480"/>
        <w:rPr>
          <w:rFonts w:hint="default" w:eastAsia="宋体"/>
          <w:highlight w:val="none"/>
          <w:lang w:val="en-US" w:eastAsia="zh-CN"/>
        </w:rPr>
      </w:pPr>
      <w:r>
        <w:rPr>
          <w:rFonts w:hint="default" w:eastAsia="宋体"/>
          <w:highlight w:val="none"/>
          <w:lang w:val="en-US" w:eastAsia="zh-CN"/>
        </w:rPr>
        <w:t>（4）高压油管的接头加防护套，以防喷油伤人。</w:t>
      </w:r>
    </w:p>
    <w:p w14:paraId="0734FE9C">
      <w:pPr>
        <w:ind w:firstLine="480"/>
        <w:rPr>
          <w:rFonts w:hint="default" w:eastAsia="宋体"/>
          <w:highlight w:val="none"/>
          <w:lang w:val="en-US" w:eastAsia="zh-CN"/>
        </w:rPr>
      </w:pPr>
      <w:r>
        <w:rPr>
          <w:rFonts w:hint="default" w:eastAsia="宋体"/>
          <w:highlight w:val="none"/>
          <w:lang w:val="en-US" w:eastAsia="zh-CN"/>
        </w:rPr>
        <w:t>5、孔道压浆</w:t>
      </w:r>
    </w:p>
    <w:p w14:paraId="506AE168">
      <w:pPr>
        <w:ind w:firstLine="480"/>
        <w:rPr>
          <w:rFonts w:hint="default" w:eastAsia="宋体"/>
          <w:highlight w:val="none"/>
          <w:lang w:val="en-US" w:eastAsia="zh-CN"/>
        </w:rPr>
      </w:pPr>
      <w:r>
        <w:rPr>
          <w:rFonts w:hint="default" w:eastAsia="宋体"/>
          <w:highlight w:val="none"/>
          <w:lang w:val="en-US" w:eastAsia="zh-CN"/>
        </w:rPr>
        <w:t>孔道压浆是将水泥浆用压浆机压入孔内，使之填满预应力筋与孔道间的孔隙，让预应力筋与砼牢固粘结成为一整体，其二是为了防止预应力筋锈蚀。本桥采用真空辅助压浆。</w:t>
      </w:r>
    </w:p>
    <w:p w14:paraId="168CA434">
      <w:pPr>
        <w:ind w:firstLine="480"/>
        <w:rPr>
          <w:rFonts w:hint="default" w:eastAsia="宋体"/>
          <w:highlight w:val="none"/>
          <w:lang w:val="en-US" w:eastAsia="zh-CN"/>
        </w:rPr>
      </w:pPr>
      <w:r>
        <w:rPr>
          <w:rFonts w:hint="default" w:eastAsia="宋体"/>
          <w:highlight w:val="none"/>
          <w:lang w:val="en-US" w:eastAsia="zh-CN"/>
        </w:rPr>
        <w:t>预应力筋张拉锚固后，孔道应尽早压浆，且在48h内完成。</w:t>
      </w:r>
    </w:p>
    <w:p w14:paraId="1981778B">
      <w:pPr>
        <w:ind w:firstLine="480"/>
        <w:rPr>
          <w:rFonts w:hint="default" w:eastAsia="宋体"/>
          <w:highlight w:val="none"/>
          <w:lang w:val="en-US" w:eastAsia="zh-CN"/>
        </w:rPr>
      </w:pPr>
      <w:r>
        <w:rPr>
          <w:rFonts w:hint="default" w:eastAsia="宋体"/>
          <w:highlight w:val="none"/>
          <w:lang w:val="en-US" w:eastAsia="zh-CN"/>
        </w:rPr>
        <w:t>真空辅助压浆工艺是在传统压浆的基础上将原有的金属波纹管孔道系统密封，一端用抽真空机将孔道内空气抽出，并保证孔道真空度在-0.06至-0.1MPa左右，同时在孔道的另一端用灌浆泵进行灌浆压入水灰比不大于0.45的水泥浆，当水泥浆从真空端流出且稠度与压浆端基本相同，然后灌浆泵再给孔道施加0.5-0.7Mpa的正压力。直至充满整条孔道，从而获得更加饱满、密实的灌浆效果。</w:t>
      </w:r>
    </w:p>
    <w:p w14:paraId="5623C139">
      <w:pPr>
        <w:ind w:firstLine="480"/>
        <w:rPr>
          <w:rFonts w:hint="default" w:eastAsia="宋体"/>
          <w:highlight w:val="none"/>
          <w:lang w:val="en-US" w:eastAsia="zh-CN"/>
        </w:rPr>
      </w:pPr>
      <w:r>
        <w:rPr>
          <w:rFonts w:hint="default" w:eastAsia="宋体"/>
          <w:highlight w:val="none"/>
          <w:lang w:val="en-US" w:eastAsia="zh-CN"/>
        </w:rPr>
        <w:t>(1)压浆设备：</w:t>
      </w:r>
    </w:p>
    <w:p w14:paraId="161A7CD6">
      <w:pPr>
        <w:ind w:firstLine="480"/>
        <w:rPr>
          <w:rFonts w:hint="default" w:eastAsia="宋体"/>
          <w:highlight w:val="none"/>
          <w:lang w:val="en-US" w:eastAsia="zh-CN"/>
        </w:rPr>
      </w:pPr>
      <w:r>
        <w:rPr>
          <w:rFonts w:hint="default" w:eastAsia="宋体"/>
          <w:highlight w:val="none"/>
          <w:lang w:val="en-US" w:eastAsia="zh-CN"/>
        </w:rPr>
        <w:t>①、螺杆式压浆机、计量设备、贮浆桶、过滤器、高压橡胶管、连接头和控制阀，活塞式压浆泵。</w:t>
      </w:r>
    </w:p>
    <w:p w14:paraId="66E3D65E">
      <w:pPr>
        <w:ind w:firstLine="480"/>
        <w:rPr>
          <w:rFonts w:hint="default" w:eastAsia="宋体"/>
          <w:highlight w:val="none"/>
          <w:lang w:val="en-US" w:eastAsia="zh-CN"/>
        </w:rPr>
      </w:pPr>
      <w:r>
        <w:rPr>
          <w:rFonts w:hint="default" w:eastAsia="宋体"/>
          <w:highlight w:val="none"/>
          <w:lang w:val="en-US" w:eastAsia="zh-CN"/>
        </w:rPr>
        <w:t>②、真空辅助设备：真空泵、压力表、控制盘、压力瓶、加筋透明输浆管、气密阀。</w:t>
      </w:r>
    </w:p>
    <w:p w14:paraId="7147C2B6">
      <w:pPr>
        <w:ind w:firstLine="480"/>
        <w:rPr>
          <w:rFonts w:hint="default" w:eastAsia="宋体"/>
          <w:highlight w:val="none"/>
          <w:lang w:val="en-US" w:eastAsia="zh-CN"/>
        </w:rPr>
      </w:pPr>
      <w:r>
        <w:rPr>
          <w:rFonts w:hint="default" w:eastAsia="宋体"/>
          <w:highlight w:val="none"/>
          <w:lang w:val="en-US" w:eastAsia="zh-CN"/>
        </w:rPr>
        <w:t>③、拌浆设备：转速1000转/min以上的搅拌机。</w:t>
      </w:r>
    </w:p>
    <w:p w14:paraId="3BCA23BA">
      <w:pPr>
        <w:ind w:firstLine="480"/>
        <w:rPr>
          <w:rFonts w:hint="default" w:eastAsia="宋体"/>
          <w:highlight w:val="none"/>
          <w:lang w:val="en-US" w:eastAsia="zh-CN"/>
        </w:rPr>
      </w:pPr>
      <w:r>
        <w:rPr>
          <w:rFonts w:hint="default" w:eastAsia="宋体"/>
          <w:highlight w:val="none"/>
          <w:lang w:val="en-US" w:eastAsia="zh-CN"/>
        </w:rPr>
        <w:t>(2)压浆前的准备工作：</w:t>
      </w:r>
    </w:p>
    <w:p w14:paraId="35701ABF">
      <w:pPr>
        <w:ind w:firstLine="480"/>
        <w:rPr>
          <w:rFonts w:hint="default" w:eastAsia="宋体"/>
          <w:highlight w:val="none"/>
          <w:lang w:val="en-US" w:eastAsia="zh-CN"/>
        </w:rPr>
      </w:pPr>
      <w:r>
        <w:rPr>
          <w:rFonts w:hint="default" w:eastAsia="宋体"/>
          <w:highlight w:val="none"/>
          <w:lang w:val="en-US" w:eastAsia="zh-CN"/>
        </w:rPr>
        <w:t>①、切割锚外钢绞线：采用手砂轮切割机沿每个卡片外留2-3㎝将剩余钢绞线切掉，严禁采用气割等方法，防止锚具过热产生滑丝现象。</w:t>
      </w:r>
    </w:p>
    <w:p w14:paraId="07CE023E">
      <w:pPr>
        <w:ind w:firstLine="480"/>
        <w:rPr>
          <w:rFonts w:hint="default" w:eastAsia="宋体"/>
          <w:highlight w:val="none"/>
          <w:lang w:val="en-US" w:eastAsia="zh-CN"/>
        </w:rPr>
      </w:pPr>
      <w:r>
        <w:rPr>
          <w:rFonts w:hint="default" w:eastAsia="宋体"/>
          <w:highlight w:val="none"/>
          <w:lang w:val="en-US" w:eastAsia="zh-CN"/>
        </w:rPr>
        <w:t>②、封锚：锚具外面的预应力筋间隙用水泥砂浆堵塞，除开排浆孔，以利于在抽出孔道内的空气形成负压。</w:t>
      </w:r>
    </w:p>
    <w:p w14:paraId="2F99A0F1">
      <w:pPr>
        <w:ind w:firstLine="480"/>
        <w:rPr>
          <w:rFonts w:hint="default" w:eastAsia="宋体"/>
          <w:highlight w:val="none"/>
          <w:lang w:val="en-US" w:eastAsia="zh-CN"/>
        </w:rPr>
      </w:pPr>
      <w:r>
        <w:rPr>
          <w:rFonts w:hint="default" w:eastAsia="宋体"/>
          <w:highlight w:val="none"/>
          <w:lang w:val="en-US" w:eastAsia="zh-CN"/>
        </w:rPr>
        <w:t>③、冲洗孔道：孔道在压浆前应用压力水冲洗，排除孔内杂物，保证孔道畅道，冲洗后用空压机吹去孔内积水，但要保持孔道湿润，而使水泥浆与孔壁的结合良好。</w:t>
      </w:r>
    </w:p>
    <w:p w14:paraId="143220F7">
      <w:pPr>
        <w:ind w:firstLine="480"/>
        <w:rPr>
          <w:rFonts w:hint="default" w:eastAsia="宋体"/>
          <w:highlight w:val="none"/>
          <w:lang w:val="en-US" w:eastAsia="zh-CN"/>
        </w:rPr>
      </w:pPr>
      <w:r>
        <w:rPr>
          <w:rFonts w:hint="default" w:eastAsia="宋体"/>
          <w:highlight w:val="none"/>
          <w:lang w:val="en-US" w:eastAsia="zh-CN"/>
        </w:rPr>
        <w:t>(3)水泥浆的拌制</w:t>
      </w:r>
    </w:p>
    <w:p w14:paraId="5458541F">
      <w:pPr>
        <w:ind w:firstLine="480"/>
        <w:rPr>
          <w:rFonts w:hint="default" w:eastAsia="宋体"/>
          <w:highlight w:val="none"/>
          <w:lang w:val="en-US" w:eastAsia="zh-CN"/>
        </w:rPr>
      </w:pPr>
      <w:r>
        <w:rPr>
          <w:rFonts w:hint="default" w:eastAsia="宋体"/>
          <w:highlight w:val="none"/>
          <w:lang w:val="en-US" w:eastAsia="zh-CN"/>
        </w:rPr>
        <w:t>按技术规范要求，压浆宜采用专用压浆料或者压浆剂配制的浆液进行压浆。所用原材料应当符合以下规定：</w:t>
      </w:r>
    </w:p>
    <w:p w14:paraId="1FF3D6B4">
      <w:pPr>
        <w:ind w:firstLine="480"/>
        <w:rPr>
          <w:rFonts w:hint="default" w:eastAsia="宋体"/>
          <w:highlight w:val="none"/>
          <w:lang w:val="en-US" w:eastAsia="zh-CN"/>
        </w:rPr>
      </w:pPr>
      <w:r>
        <w:rPr>
          <w:rFonts w:hint="default" w:eastAsia="宋体"/>
          <w:highlight w:val="none"/>
          <w:lang w:val="en-US" w:eastAsia="zh-CN"/>
        </w:rPr>
        <w:t>水泥采用性能稳定、强度等级不低于42.5的低碱硅酸盐或低碱普通硅酸盐水泥，水泥浆自调制到压入管道时间不能超过40分钟，且在使用前和使用过程中应连续搅拌，对因延迟使用所致流动度降低的水泥浆，不得通过额外加水增加其流动度。</w:t>
      </w:r>
    </w:p>
    <w:p w14:paraId="1BF778D9">
      <w:pPr>
        <w:ind w:firstLine="480"/>
        <w:rPr>
          <w:rFonts w:hint="default" w:eastAsia="宋体"/>
          <w:highlight w:val="none"/>
          <w:lang w:val="en-US" w:eastAsia="zh-CN"/>
        </w:rPr>
      </w:pPr>
      <w:r>
        <w:rPr>
          <w:rFonts w:hint="default" w:eastAsia="宋体"/>
          <w:highlight w:val="none"/>
          <w:lang w:val="en-US" w:eastAsia="zh-CN"/>
        </w:rPr>
        <w:t>（4）压浆施工工艺</w:t>
      </w:r>
    </w:p>
    <w:p w14:paraId="093A098C">
      <w:pPr>
        <w:ind w:firstLine="480"/>
        <w:rPr>
          <w:rFonts w:hint="default" w:eastAsia="宋体"/>
          <w:highlight w:val="none"/>
          <w:lang w:val="en-US" w:eastAsia="zh-CN"/>
        </w:rPr>
      </w:pPr>
      <w:r>
        <w:rPr>
          <w:rFonts w:hint="default" w:eastAsia="宋体"/>
          <w:highlight w:val="none"/>
          <w:lang w:val="en-US" w:eastAsia="zh-CN"/>
        </w:rPr>
        <w:t>压浆设备准备→切割锚头部分钢绞线、封锚→锚头安装控制阀门→连接真空泵对孔道抽真空→拌浆并压浆</w:t>
      </w:r>
    </w:p>
    <w:p w14:paraId="6329EE06">
      <w:pPr>
        <w:ind w:firstLine="480"/>
        <w:rPr>
          <w:rFonts w:hint="default" w:eastAsia="宋体"/>
          <w:highlight w:val="none"/>
          <w:lang w:val="en-US" w:eastAsia="zh-CN"/>
        </w:rPr>
      </w:pPr>
      <w:r>
        <w:rPr>
          <w:rFonts w:hint="default" w:eastAsia="宋体"/>
          <w:highlight w:val="none"/>
          <w:lang w:val="en-US" w:eastAsia="zh-CN"/>
        </w:rPr>
        <w:t xml:space="preserve">第一步：除了真空泵进气阀外、关闭其他通风孔，启动真空泵，开启连接在锚具端部上的控制阀门，关闭另一出浆口的阀门，使孔道内的真空度不小于-0.1Mpa。 </w:t>
      </w:r>
    </w:p>
    <w:p w14:paraId="12452520">
      <w:pPr>
        <w:ind w:firstLine="480"/>
        <w:rPr>
          <w:rFonts w:hint="default" w:eastAsia="宋体"/>
          <w:highlight w:val="none"/>
          <w:lang w:val="en-US" w:eastAsia="zh-CN"/>
        </w:rPr>
      </w:pPr>
      <w:r>
        <w:rPr>
          <w:rFonts w:hint="default" w:eastAsia="宋体"/>
          <w:highlight w:val="none"/>
          <w:lang w:val="en-US" w:eastAsia="zh-CN"/>
        </w:rPr>
        <w:t>第二步：拌制水泥浆，加水开动搅拌机后，加入压浆料，搅拌时间约3分钟，搅拌过程中不停顿，以免水泥浆变稠。</w:t>
      </w:r>
    </w:p>
    <w:p w14:paraId="0583A3C5">
      <w:pPr>
        <w:ind w:firstLine="480"/>
        <w:rPr>
          <w:rFonts w:hint="default" w:eastAsia="宋体"/>
          <w:highlight w:val="none"/>
          <w:lang w:val="en-US" w:eastAsia="zh-CN"/>
        </w:rPr>
      </w:pPr>
      <w:r>
        <w:rPr>
          <w:rFonts w:hint="default" w:eastAsia="宋体"/>
          <w:highlight w:val="none"/>
          <w:lang w:val="en-US" w:eastAsia="zh-CN"/>
        </w:rPr>
        <w:t>第三步：保持真空泵在启动状态，开启压浆端阀门，将拌制好的水泥浆往孔道压浆，待见到水泥浆体从出浆端连接的透明管排出后，关闭出浆阀门保持压力于0.7MPa，持压2分钟。关闭压浆机及压浆端阀门，完成压浆。</w:t>
      </w:r>
    </w:p>
    <w:p w14:paraId="4022F897">
      <w:pPr>
        <w:ind w:firstLine="480"/>
        <w:rPr>
          <w:rFonts w:hint="default" w:eastAsia="宋体"/>
          <w:highlight w:val="none"/>
          <w:lang w:val="en-US" w:eastAsia="zh-CN"/>
        </w:rPr>
      </w:pPr>
      <w:r>
        <w:rPr>
          <w:rFonts w:hint="default" w:eastAsia="宋体"/>
          <w:highlight w:val="none"/>
          <w:lang w:val="en-US" w:eastAsia="zh-CN"/>
        </w:rPr>
        <w:t>第四步：压浆完成后应立即清洗连接至真空泵的透明管，以便下次压浆观察，在完成当时全部压浆后应清洗所有连接管及阀门等。</w:t>
      </w:r>
    </w:p>
    <w:p w14:paraId="1C2A8954">
      <w:pPr>
        <w:ind w:firstLine="480"/>
        <w:rPr>
          <w:rFonts w:hint="default" w:eastAsia="宋体"/>
          <w:highlight w:val="none"/>
          <w:lang w:val="en-US" w:eastAsia="zh-CN"/>
        </w:rPr>
      </w:pPr>
      <w:r>
        <w:rPr>
          <w:rFonts w:hint="default" w:eastAsia="宋体"/>
          <w:highlight w:val="none"/>
          <w:lang w:val="en-US" w:eastAsia="zh-CN"/>
        </w:rPr>
        <w:t>（5）压浆注意事项：</w:t>
      </w:r>
    </w:p>
    <w:p w14:paraId="7A85BC14">
      <w:pPr>
        <w:ind w:firstLine="480"/>
        <w:rPr>
          <w:rFonts w:hint="default" w:eastAsia="宋体"/>
          <w:highlight w:val="none"/>
          <w:lang w:val="en-US" w:eastAsia="zh-CN"/>
        </w:rPr>
      </w:pPr>
      <w:r>
        <w:rPr>
          <w:rFonts w:hint="default" w:eastAsia="宋体"/>
          <w:highlight w:val="none"/>
          <w:lang w:val="en-US" w:eastAsia="zh-CN"/>
        </w:rPr>
        <w:t>①、压浆顺序先下后上，若中间因故停歇应立即将孔道内的水泥浆冲洗干净，以便重新压浆时孔道畅通无阻。</w:t>
      </w:r>
    </w:p>
    <w:p w14:paraId="3CBD1DB1">
      <w:pPr>
        <w:ind w:firstLine="480"/>
        <w:rPr>
          <w:rFonts w:hint="default" w:eastAsia="宋体"/>
          <w:highlight w:val="none"/>
          <w:lang w:val="en-US" w:eastAsia="zh-CN"/>
        </w:rPr>
      </w:pPr>
      <w:r>
        <w:rPr>
          <w:rFonts w:hint="default" w:eastAsia="宋体"/>
          <w:highlight w:val="none"/>
          <w:lang w:val="en-US" w:eastAsia="zh-CN"/>
        </w:rPr>
        <w:t xml:space="preserve">②、预应力筋张拉后，孔道应尽早压浆，一般不宜超过48h。 </w:t>
      </w:r>
    </w:p>
    <w:p w14:paraId="53FE0DC3">
      <w:pPr>
        <w:ind w:firstLine="480"/>
        <w:rPr>
          <w:rFonts w:hint="default" w:eastAsia="宋体"/>
          <w:highlight w:val="none"/>
          <w:lang w:val="en-US" w:eastAsia="zh-CN"/>
        </w:rPr>
      </w:pPr>
      <w:r>
        <w:rPr>
          <w:rFonts w:hint="default" w:eastAsia="宋体"/>
          <w:highlight w:val="none"/>
          <w:lang w:val="en-US" w:eastAsia="zh-CN"/>
        </w:rPr>
        <w:t xml:space="preserve">③、控制水泥浆的制浆时间以及由制浆到结束的整个时间。在压浆过程中必须一次不间断压完一根孔道，不得中断，水泥浆在压注前必须不停地搅拌。当遇特殊情况不得已停断时，贮浆罐中的浆液必须不停地搅动。 </w:t>
      </w:r>
    </w:p>
    <w:p w14:paraId="37EC46A1">
      <w:pPr>
        <w:ind w:firstLine="480"/>
        <w:rPr>
          <w:rFonts w:hint="default" w:eastAsia="宋体"/>
          <w:highlight w:val="none"/>
          <w:lang w:val="en-US" w:eastAsia="zh-CN"/>
        </w:rPr>
      </w:pPr>
      <w:r>
        <w:rPr>
          <w:rFonts w:hint="default" w:eastAsia="宋体"/>
          <w:highlight w:val="none"/>
          <w:lang w:val="en-US" w:eastAsia="zh-CN"/>
        </w:rPr>
        <w:t>④、遇孔堵塞时，适当增大持压压力，延长持压时间，如仍堵塞，则应更换压浆口，按压浆要求继续压浆。</w:t>
      </w:r>
    </w:p>
    <w:p w14:paraId="34C41299">
      <w:pPr>
        <w:ind w:firstLine="480"/>
        <w:rPr>
          <w:rFonts w:hint="default" w:eastAsia="宋体"/>
          <w:highlight w:val="none"/>
          <w:lang w:val="en-US" w:eastAsia="zh-CN"/>
        </w:rPr>
      </w:pPr>
      <w:r>
        <w:rPr>
          <w:rFonts w:hint="default" w:eastAsia="宋体"/>
          <w:highlight w:val="none"/>
          <w:lang w:val="en-US" w:eastAsia="zh-CN"/>
        </w:rPr>
        <w:t>⑤、要在拌制水泥浆同时制作标准试块，每一工作班应制作留取不少于3组尺寸为40mm×40mm×160mm的试件，标准养护28d，进行</w:t>
      </w:r>
    </w:p>
    <w:p w14:paraId="13453BC8">
      <w:pPr>
        <w:ind w:firstLine="480"/>
        <w:rPr>
          <w:rFonts w:hint="default" w:eastAsia="宋体"/>
          <w:highlight w:val="none"/>
          <w:lang w:val="en-US" w:eastAsia="zh-CN"/>
        </w:rPr>
      </w:pPr>
      <w:r>
        <w:rPr>
          <w:rFonts w:hint="default" w:eastAsia="宋体"/>
          <w:highlight w:val="none"/>
          <w:lang w:val="en-US" w:eastAsia="zh-CN"/>
        </w:rPr>
        <w:t>抗压强度和抗折强度试验，作为质量评定的依据。</w:t>
      </w:r>
    </w:p>
    <w:p w14:paraId="22A33AB5">
      <w:pPr>
        <w:ind w:firstLine="480"/>
        <w:rPr>
          <w:rFonts w:hint="default" w:eastAsia="宋体"/>
          <w:highlight w:val="none"/>
          <w:lang w:val="en-US" w:eastAsia="zh-CN"/>
        </w:rPr>
      </w:pPr>
      <w:r>
        <w:rPr>
          <w:rFonts w:hint="default" w:eastAsia="宋体"/>
          <w:highlight w:val="none"/>
          <w:lang w:val="en-US" w:eastAsia="zh-CN"/>
        </w:rPr>
        <w:t>（6）质量保证技术措施：</w:t>
      </w:r>
    </w:p>
    <w:p w14:paraId="6CA8BD08">
      <w:pPr>
        <w:ind w:firstLine="480"/>
        <w:rPr>
          <w:rFonts w:hint="default" w:eastAsia="宋体"/>
          <w:highlight w:val="none"/>
          <w:lang w:val="en-US" w:eastAsia="zh-CN"/>
        </w:rPr>
      </w:pPr>
      <w:r>
        <w:rPr>
          <w:rFonts w:hint="default" w:eastAsia="宋体"/>
          <w:highlight w:val="none"/>
          <w:lang w:val="en-US" w:eastAsia="zh-CN"/>
        </w:rPr>
        <w:t>a.灌浆用水泥浆应事先试配后方可使用。</w:t>
      </w:r>
    </w:p>
    <w:p w14:paraId="1D5C16EB">
      <w:pPr>
        <w:ind w:firstLine="480"/>
        <w:rPr>
          <w:rFonts w:hint="default" w:eastAsia="宋体"/>
          <w:highlight w:val="none"/>
          <w:lang w:val="en-US" w:eastAsia="zh-CN"/>
        </w:rPr>
      </w:pPr>
      <w:r>
        <w:rPr>
          <w:rFonts w:hint="default" w:eastAsia="宋体"/>
          <w:highlight w:val="none"/>
          <w:lang w:val="en-US" w:eastAsia="zh-CN"/>
        </w:rPr>
        <w:t>b.灌浆时必须从一孔灌入直至另一孔有浓浆冒出为止，灌浆压力宜为0.7Mpa，出气孔封堵后进行两次压浆，加压至0.7Mpa，并做好记录。</w:t>
      </w:r>
    </w:p>
    <w:p w14:paraId="230B3501">
      <w:pPr>
        <w:ind w:firstLine="480"/>
        <w:rPr>
          <w:rFonts w:hint="default" w:eastAsia="宋体"/>
          <w:highlight w:val="none"/>
          <w:lang w:val="en-US" w:eastAsia="zh-CN"/>
        </w:rPr>
      </w:pPr>
      <w:r>
        <w:rPr>
          <w:rFonts w:hint="default" w:eastAsia="宋体"/>
          <w:highlight w:val="none"/>
          <w:lang w:val="en-US" w:eastAsia="zh-CN"/>
        </w:rPr>
        <w:t>c.如灌浆过程中出现堵塞则用清水清理出水泥浆后重新灌入。</w:t>
      </w:r>
    </w:p>
    <w:p w14:paraId="0F6ABF2C">
      <w:pPr>
        <w:ind w:firstLine="480"/>
        <w:rPr>
          <w:rFonts w:hint="default" w:eastAsia="宋体"/>
          <w:highlight w:val="none"/>
          <w:lang w:val="en-US" w:eastAsia="zh-CN"/>
        </w:rPr>
      </w:pPr>
      <w:r>
        <w:rPr>
          <w:rFonts w:hint="default" w:eastAsia="宋体"/>
          <w:highlight w:val="none"/>
          <w:lang w:val="en-US" w:eastAsia="zh-CN"/>
        </w:rPr>
        <w:t>d.灌浆结束后必须制作灌浆用水泥净浆试块。</w:t>
      </w:r>
    </w:p>
    <w:p w14:paraId="2612E625">
      <w:pPr>
        <w:ind w:firstLine="480"/>
        <w:rPr>
          <w:rFonts w:hint="default" w:eastAsia="宋体"/>
          <w:highlight w:val="none"/>
          <w:lang w:val="en-US" w:eastAsia="zh-CN"/>
        </w:rPr>
      </w:pPr>
      <w:r>
        <w:rPr>
          <w:rFonts w:hint="default" w:eastAsia="宋体"/>
          <w:highlight w:val="none"/>
          <w:lang w:val="en-US" w:eastAsia="zh-CN"/>
        </w:rPr>
        <w:t>（九）梁端封锚</w:t>
      </w:r>
    </w:p>
    <w:p w14:paraId="5FEA3545">
      <w:pPr>
        <w:ind w:firstLine="480"/>
        <w:rPr>
          <w:rFonts w:hint="default" w:eastAsia="宋体"/>
          <w:highlight w:val="none"/>
          <w:lang w:val="en-US" w:eastAsia="zh-CN"/>
        </w:rPr>
      </w:pPr>
      <w:r>
        <w:rPr>
          <w:rFonts w:hint="default" w:eastAsia="宋体"/>
          <w:highlight w:val="none"/>
          <w:lang w:val="en-US" w:eastAsia="zh-CN"/>
        </w:rPr>
        <w:t>孔道压浆完将梁端水泥浆冲洗干净，同时清除支承垫板。锚具及端面砼的污垢，并将端部砼凿毛。将因预应力施工暂时截断定钢筋恢复，设置端部钢筋网，一定要固定好封头模板，以免影响梁长，伸缩缝宽度等，采用与梁体相同标号的砼（C50）浇注，认真振捣，脱模后注意养生。</w:t>
      </w:r>
    </w:p>
    <w:p w14:paraId="2F4B7E02">
      <w:pPr>
        <w:ind w:firstLine="480"/>
        <w:rPr>
          <w:rFonts w:hint="default" w:eastAsia="宋体"/>
          <w:highlight w:val="none"/>
          <w:lang w:val="en-US" w:eastAsia="zh-CN"/>
        </w:rPr>
      </w:pPr>
      <w:r>
        <w:rPr>
          <w:rFonts w:hint="default" w:eastAsia="宋体"/>
          <w:highlight w:val="none"/>
          <w:lang w:val="en-US" w:eastAsia="zh-CN"/>
        </w:rPr>
        <w:t>（十）支架拆除</w:t>
      </w:r>
    </w:p>
    <w:p w14:paraId="0A507280">
      <w:pPr>
        <w:ind w:firstLine="480"/>
        <w:rPr>
          <w:rFonts w:hint="default" w:eastAsia="宋体"/>
          <w:highlight w:val="none"/>
          <w:lang w:val="en-US" w:eastAsia="zh-CN"/>
        </w:rPr>
      </w:pPr>
      <w:r>
        <w:rPr>
          <w:rFonts w:hint="eastAsia"/>
          <w:highlight w:val="none"/>
          <w:lang w:val="en-US" w:eastAsia="zh-CN"/>
        </w:rPr>
        <w:t>现</w:t>
      </w:r>
      <w:r>
        <w:rPr>
          <w:rFonts w:hint="default" w:eastAsia="宋体"/>
          <w:highlight w:val="none"/>
          <w:lang w:val="en-US" w:eastAsia="zh-CN"/>
        </w:rPr>
        <w:t>浇连续箱梁在混凝土强度达到设计要求后，方可拆架。支架拆除前应进行技术交底，由专人负责，统一指挥。拆架从跨中开始，对称均匀缓慢进行。首先松动顶托，纵向由跨中对称向两端逐渐松动，横向由箱梁轴线向两边逐个进行松动。松动前，在顶托上用粉笔打上记号，第一次使顶托往下降2cm，在全跨的顶托第一次松动完成后，进行第二次松动，第二次松动顺序和第一次一致，往下降高度为4cm。顶托经过两次往下降后，底模已完全和砼底板脱落，然后可拆除竹胶板、横向钢管、顶托，最后拆除钢管支架。</w:t>
      </w:r>
    </w:p>
    <w:p w14:paraId="1B23A083">
      <w:pPr>
        <w:ind w:firstLine="480"/>
        <w:rPr>
          <w:rFonts w:hint="default" w:eastAsia="宋体"/>
          <w:highlight w:val="none"/>
          <w:lang w:val="en-US" w:eastAsia="zh-CN"/>
        </w:rPr>
      </w:pPr>
      <w:r>
        <w:rPr>
          <w:rFonts w:hint="default" w:eastAsia="宋体"/>
          <w:highlight w:val="none"/>
          <w:lang w:val="en-US" w:eastAsia="zh-CN"/>
        </w:rPr>
        <w:t>在进行二次顶托松动时，在桥面上跨中位置，必须安排测量人员进行沉降观测，发现异常立即停止顶托松动，找出原因、分析原因，得出解决方案后方可继续拆除。</w:t>
      </w:r>
    </w:p>
    <w:p w14:paraId="307D0217">
      <w:pPr>
        <w:ind w:firstLine="480"/>
        <w:rPr>
          <w:rFonts w:hint="default" w:eastAsia="宋体"/>
          <w:highlight w:val="none"/>
          <w:lang w:val="en-US" w:eastAsia="zh-CN"/>
        </w:rPr>
      </w:pPr>
      <w:r>
        <w:rPr>
          <w:rFonts w:hint="default" w:eastAsia="宋体"/>
          <w:highlight w:val="none"/>
          <w:lang w:val="en-US" w:eastAsia="zh-CN"/>
        </w:rPr>
        <w:t>六、施工要点、重点及控制方法</w:t>
      </w:r>
    </w:p>
    <w:p w14:paraId="51FDD449">
      <w:pPr>
        <w:ind w:firstLine="480"/>
        <w:rPr>
          <w:rFonts w:hint="default" w:eastAsia="宋体"/>
          <w:highlight w:val="none"/>
          <w:lang w:val="en-US" w:eastAsia="zh-CN"/>
        </w:rPr>
      </w:pPr>
      <w:r>
        <w:rPr>
          <w:rFonts w:hint="default" w:eastAsia="宋体"/>
          <w:highlight w:val="none"/>
          <w:lang w:val="en-US" w:eastAsia="zh-CN"/>
        </w:rPr>
        <w:t>1、箱梁设计采用搭设支架现浇，支架必须有足够的刚度、强度和稳定性，支架下应设置必要的基础，对支架必须等荷载预压，以消除其非弹性变形及基础沉降，待支架充分稳定后（连续观测3天，累计沉降不大于3mm），且预压时间不少于7天后，再浇筑箱梁。</w:t>
      </w:r>
    </w:p>
    <w:p w14:paraId="273375A7">
      <w:pPr>
        <w:ind w:firstLine="480"/>
        <w:rPr>
          <w:rFonts w:hint="default" w:eastAsia="宋体"/>
          <w:highlight w:val="none"/>
          <w:lang w:val="en-US" w:eastAsia="zh-CN"/>
        </w:rPr>
      </w:pPr>
      <w:r>
        <w:rPr>
          <w:rFonts w:hint="default" w:eastAsia="宋体"/>
          <w:highlight w:val="none"/>
          <w:lang w:val="en-US" w:eastAsia="zh-CN"/>
        </w:rPr>
        <w:t>2、在浇筑砼前，应采用高压水枪对箱梁模板进行冲洗干净，严格控制各梁段的断面尺寸。</w:t>
      </w:r>
    </w:p>
    <w:p w14:paraId="300DB2A8">
      <w:pPr>
        <w:ind w:firstLine="480"/>
        <w:rPr>
          <w:rFonts w:hint="default" w:eastAsia="宋体"/>
          <w:highlight w:val="none"/>
          <w:lang w:val="en-US" w:eastAsia="zh-CN"/>
        </w:rPr>
      </w:pPr>
      <w:r>
        <w:rPr>
          <w:rFonts w:hint="default" w:eastAsia="宋体"/>
          <w:highlight w:val="none"/>
          <w:lang w:val="en-US" w:eastAsia="zh-CN"/>
        </w:rPr>
        <w:t>3、浇筑好的箱梁应当做好养护措施，以防止桥面板出现不规则龟裂。</w:t>
      </w:r>
    </w:p>
    <w:p w14:paraId="1C0FB92B">
      <w:pPr>
        <w:ind w:firstLine="480"/>
        <w:rPr>
          <w:rFonts w:hint="default" w:eastAsia="宋体"/>
          <w:highlight w:val="none"/>
          <w:lang w:val="en-US" w:eastAsia="zh-CN"/>
        </w:rPr>
      </w:pPr>
      <w:r>
        <w:rPr>
          <w:rFonts w:hint="default" w:eastAsia="宋体"/>
          <w:highlight w:val="none"/>
          <w:lang w:val="en-US" w:eastAsia="zh-CN"/>
        </w:rPr>
        <w:t>4、为防止混凝土裂缝和边棱破损，并满足局部强度要求，混凝土抗压强度达到25Mpa时方可拆除侧模板，混凝土强度达到30Mpa时方可拆除顶模板。卸载时首先卸悬臂部分，再从跨中向两边对称卸架，支架拆除宜分两次进行，第一次先从跨中对称向两端松一次架，然后再从跨中对称向两端卸除，以防止冲击过大。</w:t>
      </w:r>
    </w:p>
    <w:p w14:paraId="7B459693">
      <w:pPr>
        <w:ind w:firstLine="480"/>
        <w:rPr>
          <w:rFonts w:hint="default" w:eastAsia="宋体"/>
          <w:highlight w:val="none"/>
          <w:lang w:val="en-US" w:eastAsia="zh-CN"/>
        </w:rPr>
      </w:pPr>
      <w:r>
        <w:rPr>
          <w:rFonts w:hint="default" w:eastAsia="宋体"/>
          <w:highlight w:val="none"/>
          <w:lang w:val="en-US" w:eastAsia="zh-CN"/>
        </w:rPr>
        <w:t>5、落架完成后凿毛、清洗箱梁顶面，必须保证无任何异物，然后再浇筑混凝土调平层。</w:t>
      </w:r>
    </w:p>
    <w:p w14:paraId="23858A8A">
      <w:pPr>
        <w:ind w:firstLine="480"/>
        <w:rPr>
          <w:rFonts w:hint="default" w:eastAsia="宋体"/>
          <w:highlight w:val="none"/>
          <w:lang w:val="en-US" w:eastAsia="zh-CN"/>
        </w:rPr>
      </w:pPr>
      <w:r>
        <w:rPr>
          <w:rFonts w:hint="default" w:eastAsia="宋体"/>
          <w:highlight w:val="none"/>
          <w:lang w:val="en-US" w:eastAsia="zh-CN"/>
        </w:rPr>
        <w:t>6、在浇筑混凝土前，应准确预埋好各种预埋件。</w:t>
      </w:r>
    </w:p>
    <w:p w14:paraId="4B99C40F">
      <w:pPr>
        <w:pStyle w:val="5"/>
        <w:bidi w:val="0"/>
        <w:rPr>
          <w:rFonts w:hint="eastAsia"/>
          <w:color w:val="auto"/>
          <w:lang w:val="en-US" w:eastAsia="zh-CN"/>
        </w:rPr>
      </w:pPr>
      <w:bookmarkStart w:id="1228" w:name="_Toc25722"/>
      <w:r>
        <w:rPr>
          <w:rFonts w:hint="eastAsia"/>
          <w:color w:val="auto"/>
          <w:lang w:val="en-US" w:eastAsia="zh-CN"/>
        </w:rPr>
        <w:t>8</w:t>
      </w:r>
      <w:r>
        <w:rPr>
          <w:rFonts w:hint="default"/>
          <w:color w:val="auto"/>
          <w:lang w:val="en-US" w:eastAsia="zh-CN"/>
        </w:rPr>
        <w:t>.</w:t>
      </w:r>
      <w:r>
        <w:rPr>
          <w:rFonts w:hint="eastAsia"/>
          <w:color w:val="auto"/>
          <w:lang w:val="en-US" w:eastAsia="zh-CN"/>
        </w:rPr>
        <w:t>2.8 桥面系施工</w:t>
      </w:r>
      <w:bookmarkEnd w:id="1095"/>
      <w:bookmarkEnd w:id="1228"/>
    </w:p>
    <w:p w14:paraId="476FBB3C">
      <w:pPr>
        <w:ind w:firstLine="480"/>
        <w:rPr>
          <w:rFonts w:hint="eastAsia"/>
          <w:highlight w:val="none"/>
          <w:lang w:val="en-US" w:eastAsia="zh-CN"/>
        </w:rPr>
      </w:pPr>
      <w:r>
        <w:rPr>
          <w:rFonts w:hint="eastAsia"/>
          <w:highlight w:val="none"/>
          <w:lang w:val="en-US" w:eastAsia="zh-CN"/>
        </w:rPr>
        <w:t>桥面系包括桥面铺装、护栏施工、桥面排水施工等内容。本合同空心板梁上部构造桥面铺装设计为8cm厚现浇C50海工砼+防水层+10cm厚沥青混凝土结构；桥梁伸缩缝根据设计要求分别采用D16或D80型，伸缩缝预留槽砼为C50钢纤维海工砼；防撞护栏为C35海工混凝土防撞护栏，桥面横向坡度设计为2.5%，雨水由两侧泄水管排入桥下。</w:t>
      </w:r>
    </w:p>
    <w:p w14:paraId="21EDCBB9">
      <w:pPr>
        <w:numPr>
          <w:ilvl w:val="0"/>
          <w:numId w:val="7"/>
        </w:numPr>
        <w:spacing w:line="360" w:lineRule="auto"/>
        <w:ind w:firstLine="480" w:firstLineChars="200"/>
        <w:rPr>
          <w:rFonts w:hint="eastAsia" w:ascii="宋体" w:hAnsi="宋体"/>
          <w:sz w:val="24"/>
          <w:szCs w:val="24"/>
          <w:highlight w:val="none"/>
        </w:rPr>
      </w:pPr>
      <w:r>
        <w:rPr>
          <w:rFonts w:hint="eastAsia" w:ascii="宋体" w:hAnsi="宋体"/>
          <w:sz w:val="24"/>
          <w:szCs w:val="24"/>
          <w:highlight w:val="none"/>
        </w:rPr>
        <w:t>桥面砼铺装施工其施工方法如下：</w:t>
      </w:r>
    </w:p>
    <w:p w14:paraId="01EA1EC8">
      <w:pPr>
        <w:ind w:firstLine="480"/>
      </w:pPr>
      <w:r>
        <w:rPr>
          <w:rFonts w:hint="eastAsia"/>
        </w:rPr>
        <w:t>进行桥面铺装施工之前，应首先对桥梁现阶段梁顶标高进行一次全面测量，应根据测量结果及有关施工规范拟合桥面标高及各部位砼铺装厚度以满足设计要求。施工沥青路面，施工沥青路面时应严格控制设计标高和铺装层厚度。</w:t>
      </w:r>
    </w:p>
    <w:p w14:paraId="2B803DD9">
      <w:pPr>
        <w:ind w:firstLine="480"/>
      </w:pPr>
      <w:r>
        <w:rPr>
          <w:rFonts w:hint="eastAsia"/>
        </w:rPr>
        <w:t>桥梁防水层应确保能有效防水，且与桥面现浇层及沥青混凝土铺装层间有足够的粘结强度和剪切强度，防水材料必须具备柔韧性、温度稳定性和耐久性车行道防水材料采用</w:t>
      </w:r>
      <w:r>
        <w:t>FYT</w:t>
      </w:r>
      <w:r>
        <w:rPr>
          <w:rFonts w:hint="eastAsia"/>
        </w:rPr>
        <w:t>改进型（聚合物改性沥青）防水涂料。桥面防水等级为</w:t>
      </w:r>
      <w:r>
        <w:t>I</w:t>
      </w:r>
      <w:r>
        <w:rPr>
          <w:rFonts w:hint="eastAsia"/>
        </w:rPr>
        <w:t>级，防水层厚度不小于</w:t>
      </w:r>
      <w:r>
        <w:t>2mm</w:t>
      </w:r>
      <w:r>
        <w:rPr>
          <w:rFonts w:hint="eastAsia"/>
        </w:rPr>
        <w:t>。防水涂料的性能应符合《道桥用防水涂料》（</w:t>
      </w:r>
      <w:r>
        <w:t>JC/T975-2005</w:t>
      </w:r>
      <w:r>
        <w:rPr>
          <w:rFonts w:hint="eastAsia"/>
        </w:rPr>
        <w:t>）要求。施工混凝土垫层或沥青铺装前，必须清除梁体表面的浮渣，并清洗干净</w:t>
      </w:r>
      <w:r>
        <w:rPr>
          <w:rFonts w:hint="eastAsia"/>
          <w:lang w:eastAsia="zh-CN"/>
        </w:rPr>
        <w:t>。</w:t>
      </w:r>
      <w:r>
        <w:rPr>
          <w:rFonts w:hint="eastAsia"/>
        </w:rPr>
        <w:t>垫层顶面必须拉毛。</w:t>
      </w:r>
    </w:p>
    <w:p w14:paraId="15F92905">
      <w:pPr>
        <w:ind w:firstLine="480"/>
        <w:rPr>
          <w:rFonts w:hint="eastAsia"/>
        </w:rPr>
      </w:pPr>
      <w:r>
        <w:rPr>
          <w:rFonts w:hint="eastAsia"/>
        </w:rPr>
        <w:t>混凝土主梁顶面的施工质量关系到桥面铺装的质量，施工过程中应采取措施对顶面的平整度、拉毛情况予以重视。</w:t>
      </w:r>
    </w:p>
    <w:p w14:paraId="2795DECC">
      <w:pPr>
        <w:spacing w:line="360" w:lineRule="auto"/>
        <w:ind w:firstLine="600" w:firstLineChars="250"/>
        <w:rPr>
          <w:rFonts w:hint="eastAsia" w:ascii="宋体" w:hAnsi="宋体"/>
          <w:sz w:val="24"/>
          <w:szCs w:val="24"/>
        </w:rPr>
      </w:pPr>
      <w:r>
        <w:rPr>
          <w:rFonts w:hint="eastAsia" w:ascii="宋体" w:hAnsi="宋体"/>
          <w:sz w:val="24"/>
          <w:szCs w:val="24"/>
        </w:rPr>
        <w:t>①施工前清扫并用水冲洗桥面，铺设桥面钢筋网,钢筋网纵向钢筋在墩顶现浇段位置通过时要连续，不能断开；钢筋网保护层要满足设计要求和施工技术规范的规定。</w:t>
      </w:r>
    </w:p>
    <w:p w14:paraId="62577D37">
      <w:pPr>
        <w:spacing w:line="360" w:lineRule="auto"/>
        <w:ind w:firstLine="480" w:firstLineChars="200"/>
        <w:rPr>
          <w:rFonts w:hint="eastAsia" w:ascii="宋体" w:hAnsi="宋体"/>
          <w:sz w:val="24"/>
          <w:szCs w:val="24"/>
        </w:rPr>
      </w:pPr>
      <w:r>
        <w:rPr>
          <w:rFonts w:hint="eastAsia" w:ascii="宋体" w:hAnsi="宋体"/>
          <w:sz w:val="24"/>
          <w:szCs w:val="24"/>
        </w:rPr>
        <w:t>②浇注桥面砼前，正确放出泄水管、伸缩缝的标高和位置，砼铺设在桥面全宽全长上同时进行，同一连续段桥面除设计要求的伸缩缝外，尽可能不设纵向和横向施工缝；</w:t>
      </w:r>
    </w:p>
    <w:p w14:paraId="50213D58">
      <w:pPr>
        <w:spacing w:line="360" w:lineRule="auto"/>
        <w:ind w:firstLine="480" w:firstLineChars="200"/>
        <w:rPr>
          <w:rFonts w:hint="eastAsia" w:ascii="宋体" w:hAnsi="宋体"/>
          <w:sz w:val="24"/>
          <w:szCs w:val="24"/>
        </w:rPr>
      </w:pPr>
      <w:r>
        <w:rPr>
          <w:rFonts w:hint="eastAsia" w:ascii="宋体" w:hAnsi="宋体"/>
          <w:sz w:val="24"/>
          <w:szCs w:val="24"/>
        </w:rPr>
        <mc:AlternateContent>
          <mc:Choice Requires="wps">
            <w:drawing>
              <wp:anchor distT="0" distB="0" distL="114300" distR="114300" simplePos="0" relativeHeight="251664384" behindDoc="1" locked="1" layoutInCell="1" allowOverlap="1">
                <wp:simplePos x="0" y="0"/>
                <wp:positionH relativeFrom="column">
                  <wp:posOffset>4673600</wp:posOffset>
                </wp:positionH>
                <wp:positionV relativeFrom="paragraph">
                  <wp:posOffset>7899400</wp:posOffset>
                </wp:positionV>
                <wp:extent cx="850900" cy="825500"/>
                <wp:effectExtent l="0" t="0" r="0" b="0"/>
                <wp:wrapNone/>
                <wp:docPr id="399" name="图片 20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50900" cy="825500"/>
                        </a:xfrm>
                        <a:prstGeom prst="rect">
                          <a:avLst/>
                        </a:prstGeom>
                        <a:noFill/>
                        <a:ln>
                          <a:noFill/>
                        </a:ln>
                      </wps:spPr>
                      <wps:bodyPr upright="1"/>
                    </wps:wsp>
                  </a:graphicData>
                </a:graphic>
              </wp:anchor>
            </w:drawing>
          </mc:Choice>
          <mc:Fallback>
            <w:pict>
              <v:rect id="图片 2069" o:spid="_x0000_s1026" o:spt="1" style="position:absolute;left:0pt;margin-left:368pt;margin-top:622pt;height:65pt;width:67pt;z-index:-251652096;mso-width-relative:page;mso-height-relative:page;" filled="f" stroked="f" coordsize="21600,21600" o:gfxdata="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r0rJNsAAAANAQAADwAAAAAAAAABACAAAAAiAAAAZHJzL2Rvd25yZXYueG1sUEsBAhQA&#10;FAAAAAgAh07iQHw9DjW2AQAAZgMAAA4AAAAAAAAAAQAgAAAAKgEAAGRycy9lMm9Eb2MueG1sUEsF&#10;BgAAAAAGAAYAWQEAAFIFAAAAAA==&#10;">
                <v:fill on="f" focussize="0,0"/>
                <v:stroke on="f"/>
                <v:imagedata o:title=""/>
                <o:lock v:ext="edit" aspectratio="t"/>
                <w10:anchorlock/>
              </v:rect>
            </w:pict>
          </mc:Fallback>
        </mc:AlternateContent>
      </w:r>
      <w:r>
        <w:rPr>
          <w:rFonts w:hint="eastAsia" w:ascii="宋体" w:hAnsi="宋体"/>
          <w:sz w:val="24"/>
          <w:szCs w:val="24"/>
        </w:rPr>
        <mc:AlternateContent>
          <mc:Choice Requires="wps">
            <w:drawing>
              <wp:anchor distT="0" distB="0" distL="114300" distR="114300" simplePos="0" relativeHeight="251663360" behindDoc="1" locked="1" layoutInCell="1" allowOverlap="1">
                <wp:simplePos x="0" y="0"/>
                <wp:positionH relativeFrom="column">
                  <wp:posOffset>3136900</wp:posOffset>
                </wp:positionH>
                <wp:positionV relativeFrom="paragraph">
                  <wp:posOffset>7277100</wp:posOffset>
                </wp:positionV>
                <wp:extent cx="546100" cy="520700"/>
                <wp:effectExtent l="0" t="0" r="0" b="0"/>
                <wp:wrapNone/>
                <wp:docPr id="398" name="图片 20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46100" cy="520700"/>
                        </a:xfrm>
                        <a:prstGeom prst="rect">
                          <a:avLst/>
                        </a:prstGeom>
                        <a:noFill/>
                        <a:ln>
                          <a:noFill/>
                        </a:ln>
                      </wps:spPr>
                      <wps:bodyPr upright="1"/>
                    </wps:wsp>
                  </a:graphicData>
                </a:graphic>
              </wp:anchor>
            </w:drawing>
          </mc:Choice>
          <mc:Fallback>
            <w:pict>
              <v:rect id="图片 2070" o:spid="_x0000_s1026" o:spt="1" style="position:absolute;left:0pt;margin-left:247pt;margin-top:573pt;height:41pt;width:43pt;z-index:-251653120;mso-width-relative:page;mso-height-relative:page;" filled="f" stroked="f" coordsize="21600,21600" o:gfxdata="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mRz0bbAAAADQEAAA8AAAAAAAAAAQAgAAAAIgAAAGRycy9kb3ducmV2LnhtbFBLAQIUABQA&#10;AAAIAIdO4kDuEhqvtAEAAGYDAAAOAAAAAAAAAAEAIAAAACoBAABkcnMvZTJvRG9jLnhtbFBLBQYA&#10;AAAABgAGAFkBAABQBQAAAAA=&#10;">
                <v:fill on="f" focussize="0,0"/>
                <v:stroke on="f"/>
                <v:imagedata o:title=""/>
                <o:lock v:ext="edit" aspectratio="t"/>
                <w10:anchorlock/>
              </v:rect>
            </w:pict>
          </mc:Fallback>
        </mc:AlternateContent>
      </w:r>
      <w:r>
        <w:rPr>
          <w:rFonts w:hint="eastAsia" w:ascii="宋体" w:hAnsi="宋体"/>
          <w:sz w:val="24"/>
          <w:szCs w:val="24"/>
        </w:rPr>
        <w:t>③铺装钢筋的高度严格按设计要求定位，设置高程控制模板和振捣梁导轨时加强固定和支撑，另设置架立钢筋，防止桥面钢筋网受压下沉。</w:t>
      </w:r>
    </w:p>
    <w:p w14:paraId="33D4CE3E">
      <w:pPr>
        <w:spacing w:line="360" w:lineRule="auto"/>
        <w:ind w:firstLine="480" w:firstLineChars="200"/>
        <w:rPr>
          <w:rFonts w:hint="eastAsia" w:ascii="宋体" w:hAnsi="宋体"/>
          <w:sz w:val="24"/>
          <w:szCs w:val="24"/>
        </w:rPr>
      </w:pPr>
      <w:r>
        <w:rPr>
          <w:rFonts w:hint="eastAsia" w:ascii="宋体" w:hAnsi="宋体"/>
          <w:sz w:val="24"/>
          <w:szCs w:val="24"/>
        </w:rPr>
        <w:t>④ 砼摊铺厚度略高于设计标高，先用平板振捣器振捣密实，再用整平板整平。整平完成后，局部表面有缺陷的地方用新鲜砼填补，镘刀成形，施工时必须强调混凝土的拌和和浇注质量。动力镘抹过后，接着用手工镘抹平，以消除不规整，对于棱角、孔周围，手工抹平。在混凝土面层初凝前进行拉毛处理，均匀凹槽深度约为2～3mm，以增加与沥青混凝土的粘结。</w:t>
      </w:r>
    </w:p>
    <w:p w14:paraId="2C62FBC5">
      <w:pPr>
        <w:spacing w:line="360" w:lineRule="auto"/>
        <w:ind w:firstLine="480" w:firstLineChars="200"/>
        <w:rPr>
          <w:rFonts w:hint="eastAsia" w:ascii="宋体" w:hAnsi="宋体"/>
          <w:sz w:val="24"/>
          <w:szCs w:val="24"/>
        </w:rPr>
      </w:pPr>
      <w:r>
        <w:rPr>
          <w:rFonts w:hint="eastAsia" w:ascii="宋体" w:hAnsi="宋体"/>
          <w:sz w:val="24"/>
          <w:szCs w:val="24"/>
        </w:rPr>
        <w:t>⑤ 严格控制桥面混凝土的标高、平整度和横坡，采用安装控制标杆与小槽钢相结合方式来控制桥面标高。现浇混凝土任意点最小厚度偏差不允许超过-5mm，最大厚度的控制按设计提供的允许最大值控制，不能超过+10mm。平整度用3m直尺检测，检测频率为一连续桥面（单幅）段不少于3处×3尺，平整度允许偏差按h=3mm控制。</w:t>
      </w:r>
    </w:p>
    <w:p w14:paraId="68469346">
      <w:pPr>
        <w:spacing w:line="360" w:lineRule="auto"/>
        <w:ind w:firstLine="480" w:firstLineChars="200"/>
        <w:rPr>
          <w:rFonts w:hint="eastAsia" w:ascii="宋体" w:hAnsi="宋体"/>
          <w:sz w:val="24"/>
          <w:szCs w:val="24"/>
        </w:rPr>
      </w:pPr>
      <w:r>
        <w:rPr>
          <w:rFonts w:hint="eastAsia" w:ascii="宋体" w:hAnsi="宋体"/>
          <w:sz w:val="24"/>
          <w:szCs w:val="24"/>
        </w:rPr>
        <w:t>⑥ 每段砼桥面浇注修整完工后半小时内，用监理工程师认可的方法对砼表面进行防护，以防暴晒或刮风使水分散失过快，造成裂纹。</w:t>
      </w:r>
    </w:p>
    <w:p w14:paraId="4B88855F">
      <w:pPr>
        <w:spacing w:line="360" w:lineRule="auto"/>
        <w:ind w:firstLine="480" w:firstLineChars="200"/>
        <w:rPr>
          <w:rFonts w:hint="eastAsia" w:ascii="宋体" w:hAnsi="宋体"/>
          <w:sz w:val="24"/>
          <w:szCs w:val="24"/>
        </w:rPr>
      </w:pPr>
      <w:r>
        <w:rPr>
          <w:rFonts w:hint="eastAsia" w:ascii="宋体" w:hAnsi="宋体"/>
          <w:sz w:val="24"/>
          <w:szCs w:val="24"/>
        </w:rPr>
        <w:t>⑦需要特别注意的是：在进行桥面铺装时，按图纸所示位置及尺寸预留好伸缩缝的工作槽，并预埋伸缩装置的预埋件。</w:t>
      </w:r>
    </w:p>
    <w:p w14:paraId="1ADE7F46">
      <w:pPr>
        <w:spacing w:line="360" w:lineRule="auto"/>
        <w:ind w:firstLine="480" w:firstLineChars="200"/>
        <w:rPr>
          <w:rFonts w:hint="eastAsia" w:ascii="宋体" w:hAnsi="宋体"/>
          <w:sz w:val="24"/>
          <w:szCs w:val="24"/>
        </w:rPr>
      </w:pPr>
      <w:r>
        <w:rPr>
          <w:rFonts w:hint="eastAsia" w:ascii="宋体" w:hAnsi="宋体"/>
          <w:sz w:val="24"/>
          <w:szCs w:val="24"/>
        </w:rPr>
        <w:t>⑧ 复合桥面的施工原始资料和检验评定资料，按二个结构层分别填报，经监理工程师核验和签证。</w:t>
      </w:r>
    </w:p>
    <w:p w14:paraId="10C6A953">
      <w:pPr>
        <w:spacing w:line="360" w:lineRule="auto"/>
        <w:ind w:firstLine="480" w:firstLineChars="200"/>
        <w:rPr>
          <w:rFonts w:hint="eastAsia" w:ascii="宋体" w:hAnsi="宋体"/>
          <w:sz w:val="24"/>
          <w:szCs w:val="24"/>
        </w:rPr>
      </w:pPr>
      <w:r>
        <w:rPr>
          <w:rFonts w:hint="eastAsia" w:ascii="宋体" w:hAnsi="宋体"/>
          <w:sz w:val="24"/>
          <w:szCs w:val="24"/>
        </w:rPr>
        <w:t>（二）伸缩缝施工</w:t>
      </w:r>
    </w:p>
    <w:p w14:paraId="2789D9E4">
      <w:pPr>
        <w:ind w:firstLine="480"/>
        <w:rPr>
          <w:rFonts w:hint="eastAsia"/>
        </w:rPr>
      </w:pPr>
      <w:r>
        <w:rPr>
          <w:rFonts w:hint="eastAsia"/>
        </w:rPr>
        <w:t>本合同段桥梁伸缩缝</w:t>
      </w:r>
      <w:r>
        <w:t>采用 D80 型及 D160 型伸缩装置 ，伸缩装置橡胶带均采用天然橡胶</w:t>
      </w:r>
      <w:r>
        <w:rPr>
          <w:rFonts w:hint="eastAsia"/>
        </w:rPr>
        <w:t>。</w:t>
      </w:r>
      <w:r>
        <w:t>伸缩装置是参照有关厂家定型产品设计的 ，所有附件均应由生产厂家配套提供 。生产厂家随产品应 提供产品所用材质 、技术指标及成品整体力学性能和技术指标的检验报告 ，检验结果必 须符合国家及交通部颁布的标准和设计要求</w:t>
      </w:r>
      <w:r>
        <w:rPr>
          <w:rFonts w:hint="eastAsia"/>
        </w:rPr>
        <w:t>。伸缩装置的施工要点如下：</w:t>
      </w:r>
    </w:p>
    <w:p w14:paraId="7293152B">
      <w:pPr>
        <w:ind w:firstLine="480"/>
        <w:rPr>
          <w:rFonts w:hint="eastAsia"/>
        </w:rPr>
      </w:pPr>
      <w:r>
        <w:rPr>
          <w:rFonts w:hint="eastAsia"/>
        </w:rPr>
        <w:t>①伸缩缝装置应根据图纸提出的型号、长度、密封橡胶件的类别以及安装时的宽度等要求进行购置和装配。</w:t>
      </w:r>
    </w:p>
    <w:p w14:paraId="3D963DBE">
      <w:pPr>
        <w:ind w:firstLine="480"/>
        <w:rPr>
          <w:rFonts w:hint="eastAsia"/>
        </w:rPr>
      </w:pPr>
      <w:r>
        <w:rPr>
          <w:rFonts w:hint="eastAsia"/>
        </w:rPr>
        <w:t>②伸缩缝装置应预先在工厂组装好，由专门的设备包装后运送到工地。应及时与厂家协调，以确保装配好的伸缩装置在出厂前，生产厂家能按照图纸要求的安装尺寸，用夹具固定，以保持图纸需要的宽度，并应分别标出质量、吊点位置。伸缩装置运到工地存放时，其底面应垫离地面至少30mm，并不得露天存放，应确保其不受损害。</w:t>
      </w:r>
    </w:p>
    <w:p w14:paraId="6B7760D2">
      <w:pPr>
        <w:ind w:firstLine="480"/>
        <w:rPr>
          <w:rFonts w:hint="eastAsia"/>
        </w:rPr>
      </w:pPr>
      <w:r>
        <w:rPr>
          <w:rFonts w:hint="eastAsia"/>
        </w:rPr>
        <w:t>③在浇注桥面砼或桥台混凝土时，应按照图纸或生产厂家提供的安装图，预留安装伸缩装置的凹槽，并按图纸要求预埋钢筋，且钢筋头应伸进凹槽内。</w:t>
      </w:r>
    </w:p>
    <w:p w14:paraId="0F5262DD">
      <w:pPr>
        <w:ind w:firstLine="480"/>
        <w:rPr>
          <w:rFonts w:hint="eastAsia"/>
        </w:rPr>
      </w:pPr>
      <w:r>
        <w:rPr>
          <w:rFonts w:hint="eastAsia"/>
        </w:rPr>
        <w:t>④伸缩装置的安装，可请生产厂家现场指导，或委托生产厂家安装。安装前，应对上部构造端部间的空隙宽度和预埋钢筋的位置进行检查，并将预留凹槽内混凝土打毛，清扫干净；根据生产厂家提供的安装温度或温度范围，检查实际气温与安装温度是否相符合。如果有出入，则应调整伸缩装置的安装宽度，并用专用卡具将其固定。</w:t>
      </w:r>
    </w:p>
    <w:p w14:paraId="053966F5">
      <w:pPr>
        <w:ind w:firstLine="480"/>
        <w:rPr>
          <w:rFonts w:hint="eastAsia"/>
        </w:rPr>
      </w:pPr>
      <w:r>
        <w:rPr>
          <w:rFonts w:hint="eastAsia"/>
        </w:rPr>
        <w:t>⑤在预留凹槽内划出伸缩装置定位中心线（顺缝向和垂直缝向）和标高，用起重机将伸缩装置吊入预留凹槽内，使伸缩装置准确就位。如伸缩装置坐落在坡面上，需作适应纵横坡的调整。此后将锚固钢筋与预埋钢筋焊接，使伸缩装置固定。禁止在伸缩装置边梁上施焊，以免造成边梁局部变形。伸缩装置固定后即可松开夹具，使伸缩装置参与工作。</w:t>
      </w:r>
    </w:p>
    <w:p w14:paraId="44687987">
      <w:pPr>
        <w:ind w:firstLine="480"/>
        <w:rPr>
          <w:rFonts w:hint="eastAsia"/>
        </w:rPr>
      </w:pPr>
      <w:r>
        <w:rPr>
          <w:rFonts w:hint="eastAsia"/>
        </w:rPr>
        <w:t>⑥安装伸缩装置的最终一道工序是在槽口上立模板浇筑混凝土。模板应严密无缝，防止混凝土进入控制箱内，同时，也不允许将混凝土溅洒到密封橡胶件上，如果发生上述现象应立即予以清除。在边梁、锚固板周围的混凝土务必要振捣密实，并及时进行养生。混凝土浇注前，应经监理工程师对安装好的伸缩装置进行检查认可。</w:t>
      </w:r>
    </w:p>
    <w:p w14:paraId="0F27040A">
      <w:pPr>
        <w:ind w:firstLine="480"/>
        <w:rPr>
          <w:rFonts w:hint="eastAsia"/>
        </w:rPr>
      </w:pPr>
      <w:r>
        <w:rPr>
          <w:rFonts w:hint="eastAsia"/>
        </w:rPr>
        <w:t>⑦当伸缩装置在桥面铺装施工中对伸缩装置应加盖临时保护措施，避免撞击及直接承受车辆荷载。桥面铺装完成后，在桥面上不应出现缝隙，且桥面与伸缩装置齐平。</w:t>
      </w:r>
    </w:p>
    <w:p w14:paraId="0E06E6A1">
      <w:pPr>
        <w:spacing w:line="360" w:lineRule="auto"/>
        <w:ind w:firstLine="480" w:firstLineChars="200"/>
        <w:rPr>
          <w:rFonts w:hint="eastAsia" w:ascii="宋体" w:hAnsi="宋体"/>
          <w:sz w:val="24"/>
          <w:szCs w:val="24"/>
        </w:rPr>
      </w:pPr>
      <w:r>
        <w:rPr>
          <w:rFonts w:hint="eastAsia" w:ascii="宋体" w:hAnsi="宋体"/>
          <w:sz w:val="24"/>
          <w:szCs w:val="24"/>
        </w:rPr>
        <w:t>（三）防撞护栏施工</w:t>
      </w:r>
    </w:p>
    <w:p w14:paraId="70211140">
      <w:pPr>
        <w:spacing w:line="360" w:lineRule="auto"/>
        <w:ind w:firstLine="480" w:firstLineChars="200"/>
        <w:rPr>
          <w:rFonts w:hint="eastAsia" w:ascii="宋体" w:hAnsi="宋体"/>
          <w:sz w:val="24"/>
          <w:szCs w:val="24"/>
        </w:rPr>
      </w:pPr>
      <w:r>
        <w:rPr>
          <w:rFonts w:hint="eastAsia" w:ascii="宋体" w:hAnsi="宋体"/>
          <w:sz w:val="24"/>
          <w:szCs w:val="24"/>
        </w:rPr>
        <w:t>钢筋砼防撞护栏在桥面砼铺装完成后施工，桥面铺装钢筋应伸入防撞护栏内。具体方法如下：</w:t>
      </w:r>
    </w:p>
    <w:p w14:paraId="1C5D4834">
      <w:pPr>
        <w:spacing w:line="360" w:lineRule="auto"/>
        <w:ind w:firstLine="480"/>
        <w:rPr>
          <w:rFonts w:hint="eastAsia" w:ascii="宋体" w:hAnsi="宋体"/>
          <w:sz w:val="24"/>
          <w:szCs w:val="24"/>
        </w:rPr>
      </w:pPr>
      <w:r>
        <w:rPr>
          <w:rFonts w:hint="eastAsia" w:ascii="宋体" w:hAnsi="宋体"/>
          <w:sz w:val="24"/>
          <w:szCs w:val="24"/>
        </w:rPr>
        <w:t>①护栏钢筋工程</w:t>
      </w:r>
    </w:p>
    <w:p w14:paraId="6F9E75FA">
      <w:pPr>
        <w:spacing w:line="360" w:lineRule="auto"/>
        <w:ind w:firstLine="480"/>
        <w:rPr>
          <w:rFonts w:hint="eastAsia" w:ascii="宋体" w:hAnsi="宋体"/>
          <w:sz w:val="24"/>
          <w:szCs w:val="24"/>
        </w:rPr>
      </w:pPr>
      <w:r>
        <w:rPr>
          <w:rFonts w:hint="eastAsia" w:ascii="宋体" w:hAnsi="宋体"/>
          <w:sz w:val="24"/>
          <w:szCs w:val="24"/>
        </w:rPr>
        <w:t>防撞护栏钢筋要求与T梁</w:t>
      </w:r>
      <w:r>
        <w:rPr>
          <w:rFonts w:hint="eastAsia" w:ascii="宋体" w:hAnsi="宋体"/>
          <w:sz w:val="24"/>
          <w:szCs w:val="24"/>
          <w:lang w:eastAsia="zh-CN"/>
        </w:rPr>
        <w:t>、</w:t>
      </w:r>
      <w:r>
        <w:rPr>
          <w:rFonts w:hint="eastAsia" w:ascii="宋体" w:hAnsi="宋体"/>
          <w:sz w:val="24"/>
          <w:szCs w:val="24"/>
          <w:lang w:val="en-US" w:eastAsia="zh-CN"/>
        </w:rPr>
        <w:t>箱梁</w:t>
      </w:r>
      <w:r>
        <w:rPr>
          <w:rFonts w:hint="eastAsia" w:ascii="宋体" w:hAnsi="宋体"/>
          <w:sz w:val="24"/>
          <w:szCs w:val="24"/>
        </w:rPr>
        <w:t>边梁外侧翼板预埋钢筋焊接，焊接量较大，采取电弧搭接焊双面焊接，焊缝长度不小于5倍钢筋直径。绑扎护栏钢筋的同时，安装护栏内预埋的通信及电力电缆管，用钢筋井字架点焊在护栏钢筋上固定。</w:t>
      </w:r>
    </w:p>
    <w:p w14:paraId="0598772E">
      <w:pPr>
        <w:spacing w:line="360" w:lineRule="auto"/>
        <w:ind w:firstLine="480" w:firstLineChars="200"/>
        <w:rPr>
          <w:rFonts w:hint="eastAsia" w:ascii="宋体" w:hAnsi="宋体"/>
          <w:sz w:val="24"/>
          <w:szCs w:val="24"/>
        </w:rPr>
      </w:pPr>
      <w:r>
        <w:rPr>
          <w:rFonts w:hint="eastAsia" w:ascii="宋体" w:hAnsi="宋体"/>
          <w:sz w:val="24"/>
          <w:szCs w:val="24"/>
        </w:rPr>
        <w:t>②防撞护栏模板</w:t>
      </w:r>
    </w:p>
    <w:p w14:paraId="1483B2A7">
      <w:pPr>
        <w:spacing w:line="360" w:lineRule="auto"/>
        <w:ind w:firstLine="480" w:firstLineChars="200"/>
        <w:rPr>
          <w:rFonts w:hint="eastAsia" w:ascii="宋体" w:hAnsi="宋体"/>
          <w:sz w:val="24"/>
          <w:szCs w:val="24"/>
        </w:rPr>
      </w:pPr>
      <w:r>
        <w:rPr>
          <w:rFonts w:hint="eastAsia" w:ascii="宋体" w:hAnsi="宋体"/>
          <w:sz w:val="24"/>
          <w:szCs w:val="24"/>
        </w:rPr>
        <w:t>防撞护栏模板采用定制钢模板，每块长度2米，模板下部用圆钢拉杆固定模板间距，上部用专用卡具卡紧固定间距，模板间用螺栓连接，用汽车吊机配合安装。</w:t>
      </w:r>
    </w:p>
    <w:p w14:paraId="02DF3A27">
      <w:pPr>
        <w:spacing w:line="360" w:lineRule="auto"/>
        <w:ind w:firstLine="480" w:firstLineChars="200"/>
        <w:rPr>
          <w:rFonts w:hint="eastAsia" w:ascii="宋体" w:hAnsi="宋体"/>
          <w:sz w:val="24"/>
          <w:szCs w:val="24"/>
        </w:rPr>
      </w:pPr>
      <w:r>
        <w:rPr>
          <w:rFonts w:hint="eastAsia" w:ascii="宋体" w:hAnsi="宋体"/>
          <w:sz w:val="24"/>
          <w:szCs w:val="24"/>
        </w:rPr>
        <w:t>③护栏模板安装</w:t>
      </w:r>
    </w:p>
    <w:p w14:paraId="3BB4F3FA">
      <w:pPr>
        <w:spacing w:line="360" w:lineRule="auto"/>
        <w:ind w:firstLine="480" w:firstLineChars="200"/>
        <w:rPr>
          <w:rFonts w:hint="eastAsia" w:ascii="宋体" w:hAnsi="宋体"/>
          <w:sz w:val="24"/>
          <w:szCs w:val="24"/>
        </w:rPr>
      </w:pPr>
      <w:r>
        <w:rPr>
          <w:rFonts w:hint="eastAsia" w:ascii="宋体" w:hAnsi="宋体"/>
          <w:sz w:val="24"/>
          <w:szCs w:val="24"/>
        </w:rPr>
        <w:t>护栏模板安装前，先用全站仪测设护栏底座边线，测量支立模板处标高，用水泥砂浆找平，使护栏模板顶面正好为护栏顶，并保持顶面线形平顺。模板下部通过在T梁顶面打入膨胀螺栓用木楔卡紧固定，模板安装从一头向另一头内外同步进行，先安装单块外侧模板，施工人员在用钢筋焊制的吊篮上进行操作，然后安装内侧一块护栏模板，穿入钢筋拉杆（拉杆外套硬塑料管，一是方便拉杆拨出重复利用，二是可保持模板间距离），上好上口卡具，在内侧梁面上打入膨胀螺栓，可调长度的钢支撑杆支撑临时固定，支撑杆脚固定在T梁上打入的膨胀螺栓上，然后依次安装相邻护栏模板。</w:t>
      </w:r>
    </w:p>
    <w:p w14:paraId="00C0BC09">
      <w:pPr>
        <w:spacing w:line="360" w:lineRule="auto"/>
        <w:ind w:firstLine="480" w:firstLineChars="200"/>
        <w:rPr>
          <w:rFonts w:hint="eastAsia" w:ascii="宋体" w:hAnsi="宋体"/>
          <w:sz w:val="24"/>
          <w:szCs w:val="24"/>
        </w:rPr>
      </w:pPr>
      <w:r>
        <w:rPr>
          <w:rFonts w:hint="eastAsia" w:ascii="宋体" w:hAnsi="宋体"/>
          <w:sz w:val="24"/>
          <w:szCs w:val="24"/>
        </w:rPr>
        <w:t>防撞护栏在墩顶处设1cm断缝，缝内填塞密封油膏。模板一次安装长度以每跨为单元进行，模板组装后，拉线调整直顺度，下部通过木楔调整，上部通过内侧可调长度的钢支撑杆调整，模板拼缝夹泡沫塑料条以防止漏浆，伸缩缝处预留安装伸缩缝的孔洞。</w:t>
      </w:r>
    </w:p>
    <w:p w14:paraId="7B5FE4E6">
      <w:pPr>
        <w:spacing w:line="360" w:lineRule="auto"/>
        <w:rPr>
          <w:rFonts w:hint="eastAsia" w:ascii="宋体" w:hAnsi="宋体"/>
          <w:sz w:val="24"/>
          <w:szCs w:val="24"/>
        </w:rPr>
      </w:pPr>
      <w:r>
        <w:rPr>
          <w:rFonts w:hint="eastAsia" w:ascii="宋体" w:hAnsi="宋体"/>
          <w:sz w:val="24"/>
          <w:szCs w:val="24"/>
        </w:rPr>
        <w:t>④护栏砼浇筑</w:t>
      </w:r>
    </w:p>
    <w:p w14:paraId="20CF9E74">
      <w:pPr>
        <w:spacing w:line="360" w:lineRule="auto"/>
        <w:ind w:firstLine="480" w:firstLineChars="200"/>
        <w:rPr>
          <w:rFonts w:hint="eastAsia" w:ascii="宋体" w:hAnsi="宋体"/>
          <w:sz w:val="24"/>
          <w:szCs w:val="24"/>
        </w:rPr>
      </w:pPr>
      <w:r>
        <w:rPr>
          <w:rFonts w:hint="eastAsia" w:ascii="宋体" w:hAnsi="宋体"/>
          <w:sz w:val="24"/>
          <w:szCs w:val="24"/>
        </w:rPr>
        <w:t>砼采用集拌砼，砼搅拌车运输，人工用铁锹送料入模。砼塌落度控制在4~6cm，石料粒径采用5~25mm。砼分层浇筑，用插入式振动器振振捣，第一层浇筑至圆弧线略下一点，在第二层砼浇筑前必须进行砼复振，尽可能驱赶掉积留在圆弧斜板上的气泡，护栏顶面用铁抹子仔细压实抹平。</w:t>
      </w:r>
    </w:p>
    <w:p w14:paraId="615171B2">
      <w:pPr>
        <w:spacing w:line="360" w:lineRule="auto"/>
        <w:rPr>
          <w:rFonts w:hint="eastAsia" w:ascii="宋体" w:hAnsi="宋体"/>
          <w:sz w:val="24"/>
          <w:szCs w:val="24"/>
        </w:rPr>
      </w:pPr>
      <w:r>
        <w:rPr>
          <w:rFonts w:hint="eastAsia" w:ascii="宋体" w:hAnsi="宋体"/>
          <w:sz w:val="24"/>
          <w:szCs w:val="24"/>
        </w:rPr>
        <w:t>防撞墙对混凝土外观质量要求较高，墙内予埋件较多，施工时派专人负责巡模，要防止砼漏振、蜂窝出现。，如有跑模和漏浆现象，及时采取必要的补救措施。</w:t>
      </w:r>
    </w:p>
    <w:p w14:paraId="4026DAC5">
      <w:pPr>
        <w:spacing w:line="360" w:lineRule="auto"/>
        <w:rPr>
          <w:rFonts w:hint="eastAsia" w:ascii="宋体" w:hAnsi="宋体"/>
          <w:sz w:val="24"/>
          <w:szCs w:val="24"/>
        </w:rPr>
      </w:pPr>
      <w:r>
        <w:rPr>
          <w:rFonts w:hint="eastAsia" w:ascii="宋体" w:hAnsi="宋体"/>
          <w:sz w:val="24"/>
          <w:szCs w:val="24"/>
        </w:rPr>
        <w:t>⑤拆模及养护</w:t>
      </w:r>
    </w:p>
    <w:p w14:paraId="61E1677D">
      <w:pPr>
        <w:spacing w:line="360" w:lineRule="auto"/>
        <w:rPr>
          <w:rFonts w:hint="default"/>
          <w:highlight w:val="none"/>
          <w:lang w:val="en-US" w:eastAsia="zh-CN"/>
        </w:rPr>
      </w:pPr>
      <w:r>
        <w:rPr>
          <w:rFonts w:hint="eastAsia" w:ascii="宋体" w:hAnsi="宋体"/>
          <w:sz w:val="24"/>
          <w:szCs w:val="24"/>
        </w:rPr>
        <w:t>模板拆除用汽车吊配合，先拆除外侧模板，人员在吊篮上进行操作，松去连接螺栓及拉杆后，汽车吊吊离，再拆除内侧模板。模板拆除后及时修补外表缺陷，然后浇水用塑料薄膜</w:t>
      </w:r>
      <w:r>
        <w:rPr>
          <w:rFonts w:hint="eastAsia" w:ascii="宋体" w:hAnsi="宋体"/>
          <w:sz w:val="24"/>
          <w:szCs w:val="24"/>
          <w:highlight w:val="none"/>
        </w:rPr>
        <w:t>覆盖养护。</w:t>
      </w:r>
    </w:p>
    <w:bookmarkEnd w:id="1074"/>
    <w:bookmarkEnd w:id="1075"/>
    <w:bookmarkEnd w:id="1076"/>
    <w:bookmarkEnd w:id="1077"/>
    <w:bookmarkEnd w:id="1078"/>
    <w:bookmarkEnd w:id="1079"/>
    <w:bookmarkEnd w:id="1080"/>
    <w:bookmarkEnd w:id="1089"/>
    <w:bookmarkEnd w:id="1090"/>
    <w:bookmarkEnd w:id="1091"/>
    <w:bookmarkEnd w:id="1092"/>
    <w:p w14:paraId="01DBE1BB">
      <w:pPr>
        <w:pStyle w:val="5"/>
        <w:bidi w:val="0"/>
        <w:rPr>
          <w:rFonts w:hint="eastAsia"/>
          <w:color w:val="auto"/>
        </w:rPr>
      </w:pPr>
      <w:bookmarkStart w:id="1229" w:name="_Toc26496"/>
      <w:bookmarkStart w:id="1230" w:name="_Toc10309"/>
      <w:bookmarkStart w:id="1231" w:name="_Toc2710"/>
      <w:bookmarkStart w:id="1232" w:name="_Toc27426"/>
      <w:bookmarkStart w:id="1233" w:name="_Toc6680"/>
      <w:bookmarkStart w:id="1234" w:name="_Toc6336"/>
      <w:bookmarkStart w:id="1235" w:name="_Toc25218"/>
      <w:bookmarkStart w:id="1236" w:name="_Toc30488"/>
      <w:bookmarkStart w:id="1237" w:name="_Toc7118"/>
      <w:bookmarkStart w:id="1238" w:name="_Toc13894"/>
      <w:bookmarkStart w:id="1239" w:name="_Toc19634"/>
      <w:bookmarkStart w:id="1240" w:name="_Toc260037184"/>
      <w:bookmarkStart w:id="1241" w:name="_Toc232929228"/>
      <w:bookmarkStart w:id="1242" w:name="_Toc1475"/>
      <w:bookmarkStart w:id="1243" w:name="_Toc13759"/>
      <w:bookmarkStart w:id="1244" w:name="_Toc21597"/>
      <w:bookmarkStart w:id="1245" w:name="_Toc2414"/>
      <w:bookmarkStart w:id="1246" w:name="_Toc35524924"/>
      <w:bookmarkStart w:id="1247" w:name="_Toc23773"/>
      <w:bookmarkStart w:id="1248" w:name="_Toc9317"/>
      <w:bookmarkStart w:id="1249" w:name="_Toc9910"/>
      <w:r>
        <w:rPr>
          <w:rFonts w:hint="eastAsia"/>
          <w:color w:val="auto"/>
          <w:lang w:val="en-US" w:eastAsia="zh-CN"/>
        </w:rPr>
        <w:t>8</w:t>
      </w:r>
      <w:r>
        <w:rPr>
          <w:rFonts w:hint="default"/>
          <w:color w:val="auto"/>
          <w:lang w:val="en-US" w:eastAsia="zh-CN"/>
        </w:rPr>
        <w:t>.</w:t>
      </w:r>
      <w:r>
        <w:rPr>
          <w:rFonts w:hint="eastAsia"/>
          <w:color w:val="auto"/>
          <w:lang w:val="en-US" w:eastAsia="zh-CN"/>
        </w:rPr>
        <w:t xml:space="preserve">2.9 </w:t>
      </w:r>
      <w:r>
        <w:rPr>
          <w:rFonts w:hint="eastAsia"/>
          <w:color w:val="auto"/>
        </w:rPr>
        <w:t>桥头搭板</w:t>
      </w:r>
      <w:bookmarkEnd w:id="1229"/>
      <w:bookmarkEnd w:id="1230"/>
      <w:bookmarkEnd w:id="1231"/>
      <w:bookmarkEnd w:id="1232"/>
      <w:bookmarkEnd w:id="1233"/>
      <w:bookmarkEnd w:id="1234"/>
      <w:bookmarkEnd w:id="1235"/>
      <w:bookmarkEnd w:id="1236"/>
      <w:bookmarkEnd w:id="1237"/>
      <w:bookmarkEnd w:id="1238"/>
      <w:bookmarkEnd w:id="1239"/>
    </w:p>
    <w:p w14:paraId="69751CAA">
      <w:pPr>
        <w:ind w:firstLine="480"/>
        <w:rPr>
          <w:highlight w:val="none"/>
        </w:rPr>
      </w:pPr>
      <w:r>
        <w:rPr>
          <w:highlight w:val="none"/>
        </w:rPr>
        <w:t>1</w:t>
      </w:r>
      <w:r>
        <w:rPr>
          <w:rFonts w:hint="eastAsia"/>
          <w:highlight w:val="none"/>
        </w:rPr>
        <w:t>、标高复核</w:t>
      </w:r>
    </w:p>
    <w:p w14:paraId="352D2CF3">
      <w:pPr>
        <w:ind w:firstLine="480"/>
        <w:rPr>
          <w:highlight w:val="none"/>
        </w:rPr>
      </w:pPr>
      <w:r>
        <w:rPr>
          <w:rFonts w:hint="eastAsia"/>
          <w:highlight w:val="none"/>
        </w:rPr>
        <w:t>由测量人员复核路床顶标高，将实测标高与设计标高进行对比，高铲低砼垫。</w:t>
      </w:r>
    </w:p>
    <w:p w14:paraId="183510D6">
      <w:pPr>
        <w:ind w:firstLine="480"/>
        <w:rPr>
          <w:highlight w:val="none"/>
        </w:rPr>
      </w:pPr>
      <w:r>
        <w:rPr>
          <w:highlight w:val="none"/>
        </w:rPr>
        <w:t>2</w:t>
      </w:r>
      <w:r>
        <w:rPr>
          <w:rFonts w:hint="eastAsia"/>
          <w:highlight w:val="none"/>
        </w:rPr>
        <w:t>、压实度检测</w:t>
      </w:r>
    </w:p>
    <w:p w14:paraId="6F3AACB7">
      <w:pPr>
        <w:ind w:firstLine="480"/>
        <w:rPr>
          <w:highlight w:val="none"/>
        </w:rPr>
      </w:pPr>
      <w:r>
        <w:rPr>
          <w:rFonts w:hint="eastAsia"/>
          <w:highlight w:val="none"/>
        </w:rPr>
        <w:t>在控制标高的同时，对路基平面及边角用小型夯机进行夯实，同时进行压实度检测，直至压实度符合设计规范要求。</w:t>
      </w:r>
    </w:p>
    <w:p w14:paraId="3FBB494E">
      <w:pPr>
        <w:ind w:firstLine="480"/>
        <w:rPr>
          <w:highlight w:val="none"/>
        </w:rPr>
      </w:pPr>
      <w:r>
        <w:rPr>
          <w:highlight w:val="none"/>
        </w:rPr>
        <w:t>3</w:t>
      </w:r>
      <w:r>
        <w:rPr>
          <w:rFonts w:hint="eastAsia"/>
          <w:highlight w:val="none"/>
        </w:rPr>
        <w:t>、垫层施工及钢筋绑扎</w:t>
      </w:r>
    </w:p>
    <w:p w14:paraId="3CE412F2">
      <w:pPr>
        <w:ind w:firstLine="480"/>
        <w:rPr>
          <w:highlight w:val="none"/>
        </w:rPr>
      </w:pPr>
      <w:r>
        <w:rPr>
          <w:rFonts w:hint="eastAsia"/>
          <w:highlight w:val="none"/>
        </w:rPr>
        <w:t>垫层采用</w:t>
      </w:r>
      <w:r>
        <w:rPr>
          <w:highlight w:val="none"/>
        </w:rPr>
        <w:t>C15</w:t>
      </w:r>
      <w:r>
        <w:rPr>
          <w:rFonts w:hint="eastAsia"/>
          <w:highlight w:val="none"/>
        </w:rPr>
        <w:t>素混凝土，厚</w:t>
      </w:r>
      <w:r>
        <w:rPr>
          <w:highlight w:val="none"/>
        </w:rPr>
        <w:t>15cm</w:t>
      </w:r>
      <w:r>
        <w:rPr>
          <w:rFonts w:hint="eastAsia"/>
          <w:highlight w:val="none"/>
        </w:rPr>
        <w:t>，施工过程中安排专人用木抹子将混凝土表面收浆抹平，横向拉毛。严格控制搭板底标高，确保两层钢筋骨架间架立筋牢固，以免混凝土浇筑过程中变形过大，按照设计图纸绑扎搭板钢筋。</w:t>
      </w:r>
    </w:p>
    <w:p w14:paraId="1A929375">
      <w:pPr>
        <w:ind w:firstLine="480"/>
        <w:rPr>
          <w:highlight w:val="none"/>
        </w:rPr>
      </w:pPr>
      <w:r>
        <w:rPr>
          <w:highlight w:val="none"/>
        </w:rPr>
        <w:t>4</w:t>
      </w:r>
      <w:r>
        <w:rPr>
          <w:rFonts w:hint="eastAsia"/>
          <w:highlight w:val="none"/>
        </w:rPr>
        <w:t>、模板安装</w:t>
      </w:r>
    </w:p>
    <w:p w14:paraId="69F97ECD">
      <w:pPr>
        <w:ind w:firstLine="480"/>
        <w:rPr>
          <w:highlight w:val="none"/>
        </w:rPr>
      </w:pPr>
      <w:r>
        <w:rPr>
          <w:rFonts w:hint="eastAsia"/>
          <w:highlight w:val="none"/>
        </w:rPr>
        <w:t>由专业支模人员进行模板拼接安装，模板采用底部锚固，顶部内拉外撑的安装方式，并对模板线形、垂直度等进行检查，保证搭板的顺直。</w:t>
      </w:r>
    </w:p>
    <w:p w14:paraId="634583FA">
      <w:pPr>
        <w:ind w:firstLine="480"/>
        <w:rPr>
          <w:highlight w:val="none"/>
        </w:rPr>
      </w:pPr>
      <w:r>
        <w:rPr>
          <w:highlight w:val="none"/>
        </w:rPr>
        <w:t>5</w:t>
      </w:r>
      <w:r>
        <w:rPr>
          <w:rFonts w:hint="eastAsia"/>
          <w:highlight w:val="none"/>
        </w:rPr>
        <w:t>、混凝土浇筑</w:t>
      </w:r>
    </w:p>
    <w:p w14:paraId="17A5A73A">
      <w:pPr>
        <w:ind w:firstLine="480"/>
        <w:rPr>
          <w:highlight w:val="none"/>
        </w:rPr>
      </w:pPr>
      <w:r>
        <w:rPr>
          <w:rFonts w:hint="eastAsia"/>
          <w:highlight w:val="none"/>
        </w:rPr>
        <w:t>搭板采用</w:t>
      </w:r>
      <w:r>
        <w:rPr>
          <w:highlight w:val="none"/>
        </w:rPr>
        <w:t>C30</w:t>
      </w:r>
      <w:r>
        <w:rPr>
          <w:rFonts w:hint="eastAsia"/>
          <w:highlight w:val="none"/>
        </w:rPr>
        <w:t>混凝土，混凝土商混站集中拌和、罐车运输、插入式振捣棒振捣。并安排专人用木抹子将混凝土表面收浆抹平，横向拉毛。浇筑时严格控制搭板顶面标高及纵、横向坡度。</w:t>
      </w:r>
    </w:p>
    <w:p w14:paraId="63CC6643">
      <w:pPr>
        <w:ind w:firstLine="480"/>
        <w:rPr>
          <w:highlight w:val="none"/>
        </w:rPr>
      </w:pPr>
      <w:r>
        <w:rPr>
          <w:highlight w:val="none"/>
        </w:rPr>
        <w:t>6</w:t>
      </w:r>
      <w:r>
        <w:rPr>
          <w:rFonts w:hint="eastAsia"/>
          <w:highlight w:val="none"/>
        </w:rPr>
        <w:t>、养护</w:t>
      </w:r>
    </w:p>
    <w:p w14:paraId="499D5196">
      <w:pPr>
        <w:ind w:firstLine="480"/>
        <w:rPr>
          <w:highlight w:val="none"/>
        </w:rPr>
      </w:pPr>
      <w:r>
        <w:rPr>
          <w:rFonts w:hint="eastAsia"/>
          <w:highlight w:val="none"/>
        </w:rPr>
        <w:t>混凝土浇筑结束后及时进行洒水养护，用土工布覆盖，保温保湿，养护时间不少于</w:t>
      </w:r>
      <w:r>
        <w:rPr>
          <w:highlight w:val="none"/>
        </w:rPr>
        <w:t>7</w:t>
      </w:r>
      <w:r>
        <w:rPr>
          <w:rFonts w:hint="eastAsia"/>
          <w:highlight w:val="none"/>
        </w:rPr>
        <w:t>天。</w:t>
      </w:r>
    </w:p>
    <w:p w14:paraId="061D517D">
      <w:pPr>
        <w:ind w:firstLine="480"/>
        <w:rPr>
          <w:rFonts w:hint="eastAsia"/>
          <w:highlight w:val="none"/>
        </w:rPr>
      </w:pPr>
      <w:r>
        <w:rPr>
          <w:rFonts w:hint="eastAsia"/>
          <w:highlight w:val="none"/>
        </w:rPr>
        <w:t>桥头搭板施工中必须严格控制施工质量，桥头搭板必须就地浇筑，不可预制安装，搭板下的路基要严格按设计要求控制夯实，以减少完工后搭板端的下沉量。</w:t>
      </w:r>
      <w:bookmarkEnd w:id="1240"/>
      <w:bookmarkEnd w:id="1241"/>
    </w:p>
    <w:p w14:paraId="63792E4A">
      <w:pPr>
        <w:pStyle w:val="4"/>
        <w:bidi w:val="0"/>
        <w:rPr>
          <w:rFonts w:hint="eastAsia"/>
          <w:color w:val="auto"/>
        </w:rPr>
      </w:pPr>
      <w:bookmarkStart w:id="1250" w:name="_Toc17649"/>
      <w:r>
        <w:rPr>
          <w:rFonts w:hint="eastAsia"/>
          <w:color w:val="auto"/>
          <w:lang w:val="en-US" w:eastAsia="zh-CN"/>
        </w:rPr>
        <w:t xml:space="preserve">8.3 </w:t>
      </w:r>
      <w:r>
        <w:rPr>
          <w:rFonts w:hint="eastAsia"/>
          <w:color w:val="auto"/>
        </w:rPr>
        <w:t>路面工程</w:t>
      </w:r>
      <w:bookmarkEnd w:id="1250"/>
    </w:p>
    <w:p w14:paraId="2EF745C6">
      <w:pPr>
        <w:ind w:firstLine="482"/>
        <w:rPr>
          <w:rFonts w:hint="eastAsia" w:ascii="宋体" w:hAnsi="宋体" w:eastAsia="宋体" w:cs="宋体"/>
          <w:b/>
          <w:bCs/>
        </w:rPr>
      </w:pPr>
      <w:bookmarkStart w:id="1251" w:name="_Toc5271"/>
      <w:bookmarkStart w:id="1252" w:name="_Toc20084"/>
      <w:bookmarkStart w:id="1253" w:name="_Toc26103"/>
      <w:bookmarkStart w:id="1254" w:name="_Toc3576"/>
      <w:bookmarkStart w:id="1255" w:name="_Toc73"/>
      <w:bookmarkStart w:id="1256" w:name="_Toc31846"/>
      <w:bookmarkStart w:id="1257" w:name="_Toc7092"/>
      <w:bookmarkStart w:id="1258" w:name="_Toc451157561"/>
      <w:bookmarkStart w:id="1259" w:name="_Toc438366698"/>
      <w:bookmarkStart w:id="1260" w:name="_Toc26022"/>
      <w:bookmarkStart w:id="1261" w:name="_Toc12540"/>
      <w:bookmarkStart w:id="1262" w:name="_Toc11425"/>
      <w:bookmarkStart w:id="1263" w:name="_Toc12608"/>
      <w:bookmarkStart w:id="1264" w:name="_Toc1674"/>
      <w:bookmarkStart w:id="1265" w:name="_Toc439228116"/>
      <w:r>
        <w:rPr>
          <w:rFonts w:hint="eastAsia" w:ascii="宋体" w:hAnsi="宋体" w:eastAsia="宋体" w:cs="宋体"/>
          <w:b/>
          <w:bCs/>
        </w:rPr>
        <w:t>一、施工准备</w:t>
      </w:r>
      <w:bookmarkEnd w:id="1251"/>
      <w:bookmarkEnd w:id="1252"/>
      <w:bookmarkEnd w:id="1253"/>
      <w:bookmarkEnd w:id="1254"/>
      <w:bookmarkEnd w:id="1255"/>
      <w:bookmarkEnd w:id="1256"/>
    </w:p>
    <w:p w14:paraId="4CABAB22">
      <w:pPr>
        <w:ind w:firstLine="480"/>
        <w:rPr>
          <w:rFonts w:hint="eastAsia" w:ascii="宋体" w:hAnsi="宋体" w:eastAsia="宋体" w:cs="宋体"/>
        </w:rPr>
      </w:pPr>
      <w:r>
        <w:rPr>
          <w:rFonts w:hint="eastAsia" w:ascii="宋体" w:hAnsi="宋体" w:eastAsia="宋体" w:cs="宋体"/>
        </w:rPr>
        <w:t>检查验收：级配碎石层施工前，对路槽路基的压实度、平整度、纵断高程、宽度、横坡和弯沉值等各检查项目进行验收。各检查项目的原始数值不得超过施工规范所规定值或允许偏差，（超过则作清除，并返工处理直至合格），并交监理工程师认可。</w:t>
      </w:r>
    </w:p>
    <w:p w14:paraId="1C2B60AE">
      <w:pPr>
        <w:ind w:firstLine="480"/>
        <w:rPr>
          <w:rFonts w:hint="eastAsia" w:ascii="宋体" w:hAnsi="宋体" w:eastAsia="宋体" w:cs="宋体"/>
        </w:rPr>
      </w:pPr>
      <w:r>
        <w:rPr>
          <w:rFonts w:hint="eastAsia" w:ascii="宋体" w:hAnsi="宋体" w:eastAsia="宋体" w:cs="宋体"/>
        </w:rPr>
        <w:t>施工设备及人员：检验底基层施工所需机械设备、试验检验设备及测量工具等，落实料场混合料拌和生产情况，组织施工所需机械操作手、测量与检测工、施工管理人员就位。</w:t>
      </w:r>
    </w:p>
    <w:p w14:paraId="7B68DF1A">
      <w:pPr>
        <w:ind w:firstLine="480"/>
        <w:rPr>
          <w:rFonts w:hint="eastAsia" w:ascii="宋体" w:hAnsi="宋体" w:eastAsia="宋体" w:cs="宋体"/>
        </w:rPr>
      </w:pPr>
      <w:r>
        <w:rPr>
          <w:rFonts w:hint="eastAsia" w:ascii="宋体" w:hAnsi="宋体" w:eastAsia="宋体" w:cs="宋体"/>
        </w:rPr>
        <w:t>路基整修</w:t>
      </w:r>
      <w:bookmarkEnd w:id="1257"/>
      <w:bookmarkEnd w:id="1258"/>
      <w:bookmarkEnd w:id="1259"/>
      <w:bookmarkEnd w:id="1260"/>
      <w:bookmarkEnd w:id="1261"/>
      <w:bookmarkEnd w:id="1262"/>
      <w:bookmarkEnd w:id="1263"/>
      <w:bookmarkEnd w:id="1264"/>
      <w:bookmarkEnd w:id="1265"/>
      <w:r>
        <w:rPr>
          <w:rFonts w:hint="eastAsia" w:ascii="宋体" w:hAnsi="宋体" w:eastAsia="宋体" w:cs="宋体"/>
        </w:rPr>
        <w:t>：主要进行路堤边坡的修整，使其达到符合图纸规定的线性、纵坡、过坡和路基断面等。恢复各项标桩，检查路基的中线位置、宽度、纵坡、横坡、边坡以及相应的标高等，根据检查结果编制整修计划报监理核查与批准后动工。</w:t>
      </w:r>
    </w:p>
    <w:p w14:paraId="3DE5199A">
      <w:pPr>
        <w:ind w:firstLine="480"/>
        <w:rPr>
          <w:rFonts w:hint="eastAsia" w:ascii="宋体" w:hAnsi="宋体" w:eastAsia="宋体" w:cs="宋体"/>
        </w:rPr>
      </w:pPr>
      <w:r>
        <w:rPr>
          <w:rFonts w:hint="eastAsia" w:ascii="宋体" w:hAnsi="宋体" w:eastAsia="宋体" w:cs="宋体"/>
        </w:rPr>
        <w:t>土质路基达到设计标高后采用平地机或推土机刮平，铲下的土不足以填补凹陷时，采用与路基表面相同的土填平夯实。石质路基表面用石屑嵌缝紧密、平整，不得有坑槽和松石。</w:t>
      </w:r>
    </w:p>
    <w:p w14:paraId="6730EDD0">
      <w:pPr>
        <w:ind w:firstLine="482"/>
        <w:rPr>
          <w:rFonts w:hint="eastAsia" w:ascii="宋体" w:hAnsi="宋体" w:eastAsia="宋体" w:cs="宋体"/>
          <w:b/>
          <w:bCs/>
        </w:rPr>
      </w:pPr>
      <w:bookmarkStart w:id="1266" w:name="_Toc7042"/>
      <w:bookmarkStart w:id="1267" w:name="_Toc21096"/>
      <w:bookmarkStart w:id="1268" w:name="_Toc29328"/>
      <w:bookmarkStart w:id="1269" w:name="_Toc22471"/>
      <w:r>
        <w:rPr>
          <w:rFonts w:hint="eastAsia" w:ascii="宋体" w:hAnsi="宋体" w:eastAsia="宋体" w:cs="宋体"/>
          <w:b/>
          <w:bCs/>
        </w:rPr>
        <w:t>二、级配碎石层施工</w:t>
      </w:r>
      <w:bookmarkEnd w:id="1266"/>
      <w:bookmarkEnd w:id="1267"/>
      <w:bookmarkEnd w:id="1268"/>
      <w:bookmarkEnd w:id="1269"/>
    </w:p>
    <w:p w14:paraId="5F5074B5">
      <w:pPr>
        <w:ind w:firstLine="480"/>
        <w:rPr>
          <w:rFonts w:hint="eastAsia" w:ascii="宋体" w:hAnsi="宋体" w:eastAsia="宋体" w:cs="宋体"/>
        </w:rPr>
      </w:pPr>
      <w:r>
        <w:rPr>
          <w:rFonts w:hint="eastAsia" w:ascii="宋体" w:hAnsi="宋体" w:eastAsia="宋体" w:cs="宋体"/>
        </w:rPr>
        <w:t>级配碎石混合料在生产场地集中拌和，横向全幅铺筑，纵向以200～300m长分段流水作业，15cm厚级配碎石可一次铺筑压实完成。</w:t>
      </w:r>
    </w:p>
    <w:p w14:paraId="0BC1D160">
      <w:pPr>
        <w:ind w:firstLine="480"/>
        <w:rPr>
          <w:rFonts w:hint="eastAsia" w:ascii="宋体" w:hAnsi="宋体" w:eastAsia="宋体" w:cs="宋体"/>
          <w:lang w:val="en-US" w:eastAsia="zh-CN"/>
        </w:rPr>
      </w:pPr>
      <w:r>
        <w:rPr>
          <w:rFonts w:hint="eastAsia" w:ascii="宋体" w:hAnsi="宋体" w:eastAsia="宋体" w:cs="宋体"/>
          <w:lang w:val="en-US" w:eastAsia="zh-CN"/>
        </w:rPr>
        <w:t>级配碎石采用中心站集中拌合。摊铺时，采取两台摊铺机同步向前摊铺混合料，并一起碾压以免纵向接缝。在最佳含水量下进行碾压，达到按照重型压实试验法确定的压实度要求，级配碎石基层的压实度要求为≥99%。</w:t>
      </w:r>
    </w:p>
    <w:p w14:paraId="505640D1">
      <w:pPr>
        <w:ind w:firstLine="480"/>
        <w:rPr>
          <w:rFonts w:hint="eastAsia" w:ascii="宋体" w:hAnsi="宋体" w:eastAsia="宋体" w:cs="宋体"/>
          <w:lang w:val="en-US" w:eastAsia="zh-CN"/>
        </w:rPr>
      </w:pPr>
      <w:r>
        <w:rPr>
          <w:rFonts w:hint="eastAsia" w:ascii="宋体" w:hAnsi="宋体" w:eastAsia="宋体" w:cs="宋体"/>
          <w:lang w:val="en-US" w:eastAsia="zh-CN"/>
        </w:rPr>
        <w:t>放集料的场地应进行硬化，集料应进行覆盖，防止雨淋。在摊铺前视现场情况，在底基层上洒水，使底基层顶面保持适宜的温度。</w:t>
      </w:r>
    </w:p>
    <w:p w14:paraId="1942517A">
      <w:pPr>
        <w:ind w:firstLine="480"/>
        <w:rPr>
          <w:rFonts w:hint="eastAsia" w:ascii="宋体" w:hAnsi="宋体" w:eastAsia="宋体" w:cs="宋体"/>
          <w:lang w:val="en-US" w:eastAsia="zh-CN"/>
        </w:rPr>
      </w:pPr>
      <w:r>
        <w:rPr>
          <w:rFonts w:hint="eastAsia" w:ascii="宋体" w:hAnsi="宋体" w:eastAsia="宋体" w:cs="宋体"/>
          <w:lang w:val="en-US" w:eastAsia="zh-CN"/>
        </w:rPr>
        <w:t>级配碎石层施工的日最低气温应在5.C以上。严禁下雨天进行级配碎石施工。沥青路面的级配碎石施工后宜及时洒乳化沥青透层油并禁止开放交通，以避免表层在车辆的行驶作用下松散。</w:t>
      </w:r>
    </w:p>
    <w:p w14:paraId="2DB46AFC">
      <w:pPr>
        <w:numPr>
          <w:ilvl w:val="0"/>
          <w:numId w:val="8"/>
        </w:numPr>
        <w:ind w:firstLine="480"/>
        <w:rPr>
          <w:rFonts w:hint="eastAsia" w:ascii="宋体" w:hAnsi="宋体" w:eastAsia="宋体" w:cs="宋体"/>
          <w:highlight w:val="none"/>
        </w:rPr>
      </w:pPr>
      <w:r>
        <w:rPr>
          <w:rFonts w:hint="eastAsia" w:ascii="宋体" w:hAnsi="宋体" w:eastAsia="宋体" w:cs="宋体"/>
          <w:highlight w:val="none"/>
        </w:rPr>
        <w:t>、施工工艺</w:t>
      </w:r>
    </w:p>
    <w:p w14:paraId="4DA2EE2E">
      <w:pPr>
        <w:ind w:firstLine="480"/>
        <w:rPr>
          <w:rFonts w:hint="eastAsia" w:ascii="宋体" w:hAnsi="宋体" w:eastAsia="宋体" w:cs="宋体"/>
          <w:highlight w:val="none"/>
          <w:u w:val="double"/>
        </w:rPr>
      </w:pPr>
      <w:r>
        <w:rPr>
          <w:rFonts w:hint="eastAsia" w:ascii="宋体" w:hAnsi="宋体" w:eastAsia="宋体" w:cs="宋体"/>
          <w:highlight w:val="none"/>
          <w:u w:val="double"/>
        </w:rPr>
        <mc:AlternateContent>
          <mc:Choice Requires="wpg">
            <w:drawing>
              <wp:anchor distT="0" distB="0" distL="114300" distR="114300" simplePos="0" relativeHeight="251727872" behindDoc="0" locked="0" layoutInCell="1" allowOverlap="1">
                <wp:simplePos x="0" y="0"/>
                <wp:positionH relativeFrom="column">
                  <wp:posOffset>400050</wp:posOffset>
                </wp:positionH>
                <wp:positionV relativeFrom="paragraph">
                  <wp:posOffset>232410</wp:posOffset>
                </wp:positionV>
                <wp:extent cx="5186045" cy="2010410"/>
                <wp:effectExtent l="5080" t="5080" r="5715" b="11430"/>
                <wp:wrapTopAndBottom/>
                <wp:docPr id="2257" name="组合 982"/>
                <wp:cNvGraphicFramePr/>
                <a:graphic xmlns:a="http://schemas.openxmlformats.org/drawingml/2006/main">
                  <a:graphicData uri="http://schemas.microsoft.com/office/word/2010/wordprocessingGroup">
                    <wpg:wgp>
                      <wpg:cNvGrpSpPr/>
                      <wpg:grpSpPr>
                        <a:xfrm>
                          <a:off x="0" y="0"/>
                          <a:ext cx="5186045" cy="2010410"/>
                          <a:chOff x="1558" y="4439"/>
                          <a:chExt cx="8094" cy="3313"/>
                        </a:xfrm>
                      </wpg:grpSpPr>
                      <wps:wsp>
                        <wps:cNvPr id="515" name="文本框 2515"/>
                        <wps:cNvSpPr txBox="1"/>
                        <wps:spPr>
                          <a:xfrm>
                            <a:off x="1558" y="4485"/>
                            <a:ext cx="1713"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09A4E6A">
                              <w:pPr>
                                <w:pStyle w:val="19"/>
                              </w:pPr>
                              <w:r>
                                <w:rPr>
                                  <w:rFonts w:hint="eastAsia"/>
                                </w:rPr>
                                <w:t>验收基床底层</w:t>
                              </w:r>
                            </w:p>
                          </w:txbxContent>
                        </wps:txbx>
                        <wps:bodyPr upright="1"/>
                      </wps:wsp>
                      <wps:wsp>
                        <wps:cNvPr id="516" name="文本框 2516"/>
                        <wps:cNvSpPr txBox="1"/>
                        <wps:spPr>
                          <a:xfrm>
                            <a:off x="1599" y="5786"/>
                            <a:ext cx="587" cy="196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0A1DE60">
                              <w:pPr>
                                <w:pStyle w:val="19"/>
                              </w:pPr>
                              <w:r>
                                <w:rPr>
                                  <w:rFonts w:hint="eastAsia"/>
                                </w:rPr>
                                <w:t>中线测量检验</w:t>
                              </w:r>
                            </w:p>
                          </w:txbxContent>
                        </wps:txbx>
                        <wps:bodyPr upright="1"/>
                      </wps:wsp>
                      <wps:wsp>
                        <wps:cNvPr id="517" name="文本框 2517"/>
                        <wps:cNvSpPr txBox="1"/>
                        <wps:spPr>
                          <a:xfrm>
                            <a:off x="3629" y="4459"/>
                            <a:ext cx="1713" cy="44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35726B8">
                              <w:pPr>
                                <w:pStyle w:val="19"/>
                              </w:pPr>
                              <w:r>
                                <w:rPr>
                                  <w:rFonts w:hint="eastAsia"/>
                                </w:rPr>
                                <w:t>搅拌运输阶段</w:t>
                              </w:r>
                            </w:p>
                          </w:txbxContent>
                        </wps:txbx>
                        <wps:bodyPr upright="1"/>
                      </wps:wsp>
                      <wps:wsp>
                        <wps:cNvPr id="518" name="文本框 2518"/>
                        <wps:cNvSpPr txBox="1"/>
                        <wps:spPr>
                          <a:xfrm>
                            <a:off x="5784" y="4466"/>
                            <a:ext cx="1713" cy="44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16CE2AA">
                              <w:pPr>
                                <w:pStyle w:val="19"/>
                              </w:pPr>
                              <w:r>
                                <w:rPr>
                                  <w:rFonts w:hint="eastAsia"/>
                                </w:rPr>
                                <w:t>摊铺碾压阶段</w:t>
                              </w:r>
                            </w:p>
                          </w:txbxContent>
                        </wps:txbx>
                        <wps:bodyPr upright="1"/>
                      </wps:wsp>
                      <wps:wsp>
                        <wps:cNvPr id="519" name="文本框 2519"/>
                        <wps:cNvSpPr txBox="1"/>
                        <wps:spPr>
                          <a:xfrm>
                            <a:off x="7938" y="4439"/>
                            <a:ext cx="1714" cy="44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0605FEC">
                              <w:pPr>
                                <w:pStyle w:val="19"/>
                              </w:pPr>
                              <w:r>
                                <w:rPr>
                                  <w:rFonts w:hint="eastAsia"/>
                                </w:rPr>
                                <w:t>检测修正</w:t>
                              </w:r>
                            </w:p>
                          </w:txbxContent>
                        </wps:txbx>
                        <wps:bodyPr upright="1"/>
                      </wps:wsp>
                      <wps:wsp>
                        <wps:cNvPr id="520" name="文本框 2520"/>
                        <wps:cNvSpPr txBox="1"/>
                        <wps:spPr>
                          <a:xfrm>
                            <a:off x="2705" y="5750"/>
                            <a:ext cx="587" cy="196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99CF59F">
                              <w:pPr>
                                <w:pStyle w:val="19"/>
                              </w:pPr>
                              <w:r>
                                <w:rPr>
                                  <w:rFonts w:hint="eastAsia"/>
                                </w:rPr>
                                <w:t>高程测量检验</w:t>
                              </w:r>
                            </w:p>
                          </w:txbxContent>
                        </wps:txbx>
                        <wps:bodyPr upright="1"/>
                      </wps:wsp>
                      <wps:wsp>
                        <wps:cNvPr id="521" name="文本框 2521"/>
                        <wps:cNvSpPr txBox="1"/>
                        <wps:spPr>
                          <a:xfrm>
                            <a:off x="3768" y="5742"/>
                            <a:ext cx="587" cy="196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766FF74">
                              <w:pPr>
                                <w:pStyle w:val="19"/>
                              </w:pPr>
                              <w:r>
                                <w:rPr>
                                  <w:rFonts w:hint="eastAsia"/>
                                </w:rPr>
                                <w:t>级配碎石拌合</w:t>
                              </w:r>
                            </w:p>
                          </w:txbxContent>
                        </wps:txbx>
                        <wps:bodyPr upright="1"/>
                      </wps:wsp>
                      <wps:wsp>
                        <wps:cNvPr id="522" name="文本框 2522"/>
                        <wps:cNvSpPr txBox="1"/>
                        <wps:spPr>
                          <a:xfrm>
                            <a:off x="4814" y="5762"/>
                            <a:ext cx="588" cy="196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D5BC250">
                              <w:pPr>
                                <w:pStyle w:val="19"/>
                              </w:pPr>
                              <w:r>
                                <w:rPr>
                                  <w:rFonts w:hint="eastAsia"/>
                                </w:rPr>
                                <w:t>级配碎石运输</w:t>
                              </w:r>
                            </w:p>
                          </w:txbxContent>
                        </wps:txbx>
                        <wps:bodyPr upright="1"/>
                      </wps:wsp>
                      <wps:wsp>
                        <wps:cNvPr id="523" name="文本框 2523"/>
                        <wps:cNvSpPr txBox="1"/>
                        <wps:spPr>
                          <a:xfrm>
                            <a:off x="5896" y="5768"/>
                            <a:ext cx="587" cy="196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35844D9">
                              <w:pPr>
                                <w:pStyle w:val="19"/>
                              </w:pPr>
                              <w:r>
                                <w:rPr>
                                  <w:rFonts w:hint="eastAsia"/>
                                </w:rPr>
                                <w:t>级配碎石摊铺</w:t>
                              </w:r>
                            </w:p>
                          </w:txbxContent>
                        </wps:txbx>
                        <wps:bodyPr upright="1"/>
                      </wps:wsp>
                      <wps:wsp>
                        <wps:cNvPr id="524" name="文本框 2524"/>
                        <wps:cNvSpPr txBox="1"/>
                        <wps:spPr>
                          <a:xfrm>
                            <a:off x="6893" y="5744"/>
                            <a:ext cx="587" cy="196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EA40C23">
                              <w:pPr>
                                <w:pStyle w:val="19"/>
                              </w:pPr>
                              <w:r>
                                <w:rPr>
                                  <w:rFonts w:hint="eastAsia"/>
                                </w:rPr>
                                <w:t>级配碎石碾压</w:t>
                              </w:r>
                            </w:p>
                          </w:txbxContent>
                        </wps:txbx>
                        <wps:bodyPr upright="1"/>
                      </wps:wsp>
                      <wps:wsp>
                        <wps:cNvPr id="525" name="文本框 2525"/>
                        <wps:cNvSpPr txBox="1"/>
                        <wps:spPr>
                          <a:xfrm>
                            <a:off x="7991" y="5750"/>
                            <a:ext cx="587" cy="196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E2905B3">
                              <w:pPr>
                                <w:pStyle w:val="19"/>
                              </w:pPr>
                              <w:r>
                                <w:rPr>
                                  <w:rFonts w:hint="eastAsia"/>
                                </w:rPr>
                                <w:t>修整养护</w:t>
                              </w:r>
                            </w:p>
                          </w:txbxContent>
                        </wps:txbx>
                        <wps:bodyPr upright="1"/>
                      </wps:wsp>
                      <wps:wsp>
                        <wps:cNvPr id="526" name="文本框 2526"/>
                        <wps:cNvSpPr txBox="1"/>
                        <wps:spPr>
                          <a:xfrm>
                            <a:off x="8988" y="5755"/>
                            <a:ext cx="587" cy="196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71CEDD1">
                              <w:pPr>
                                <w:pStyle w:val="19"/>
                              </w:pPr>
                              <w:r>
                                <w:rPr>
                                  <w:rFonts w:hint="eastAsia"/>
                                </w:rPr>
                                <w:t>检测试验</w:t>
                              </w:r>
                            </w:p>
                          </w:txbxContent>
                        </wps:txbx>
                        <wps:bodyPr upright="1"/>
                      </wps:wsp>
                      <wpg:grpSp>
                        <wpg:cNvPr id="2258" name="组合 995"/>
                        <wpg:cNvGrpSpPr/>
                        <wpg:grpSpPr>
                          <a:xfrm>
                            <a:off x="1878" y="4911"/>
                            <a:ext cx="1114" cy="875"/>
                            <a:chOff x="1878" y="4911"/>
                            <a:chExt cx="1114" cy="875"/>
                          </a:xfrm>
                        </wpg:grpSpPr>
                        <wps:wsp>
                          <wps:cNvPr id="527" name="直线 2528"/>
                          <wps:cNvCnPr/>
                          <wps:spPr>
                            <a:xfrm>
                              <a:off x="2397" y="4911"/>
                              <a:ext cx="1" cy="410"/>
                            </a:xfrm>
                            <a:prstGeom prst="line">
                              <a:avLst/>
                            </a:prstGeom>
                            <a:ln w="3175" cap="flat" cmpd="sng">
                              <a:solidFill>
                                <a:srgbClr val="000000"/>
                              </a:solidFill>
                              <a:prstDash val="solid"/>
                              <a:headEnd type="none" w="med" len="med"/>
                              <a:tailEnd type="none" w="med" len="med"/>
                            </a:ln>
                          </wps:spPr>
                          <wps:bodyPr upright="1"/>
                        </wps:wsp>
                        <wpg:grpSp>
                          <wpg:cNvPr id="2259" name="组合 997"/>
                          <wpg:cNvGrpSpPr/>
                          <wpg:grpSpPr>
                            <a:xfrm>
                              <a:off x="1878" y="5294"/>
                              <a:ext cx="1114" cy="492"/>
                              <a:chOff x="1878" y="5294"/>
                              <a:chExt cx="1114" cy="492"/>
                            </a:xfrm>
                          </wpg:grpSpPr>
                          <wps:wsp>
                            <wps:cNvPr id="528" name="直线 2530"/>
                            <wps:cNvCnPr/>
                            <wps:spPr>
                              <a:xfrm>
                                <a:off x="1878" y="5304"/>
                                <a:ext cx="1084" cy="1"/>
                              </a:xfrm>
                              <a:prstGeom prst="line">
                                <a:avLst/>
                              </a:prstGeom>
                              <a:ln w="3175" cap="flat" cmpd="sng">
                                <a:solidFill>
                                  <a:srgbClr val="000000"/>
                                </a:solidFill>
                                <a:prstDash val="solid"/>
                                <a:headEnd type="none" w="med" len="med"/>
                                <a:tailEnd type="none" w="med" len="med"/>
                              </a:ln>
                            </wps:spPr>
                            <wps:bodyPr upright="1"/>
                          </wps:wsp>
                          <wps:wsp>
                            <wps:cNvPr id="529" name="自选图形 2531"/>
                            <wps:cNvCnPr/>
                            <wps:spPr>
                              <a:xfrm>
                                <a:off x="1878" y="5304"/>
                                <a:ext cx="15" cy="482"/>
                              </a:xfrm>
                              <a:prstGeom prst="straightConnector1">
                                <a:avLst/>
                              </a:prstGeom>
                              <a:ln w="3175" cap="flat" cmpd="sng">
                                <a:solidFill>
                                  <a:srgbClr val="000000"/>
                                </a:solidFill>
                                <a:prstDash val="solid"/>
                                <a:headEnd type="none" w="med" len="med"/>
                                <a:tailEnd type="arrow" w="med" len="med"/>
                              </a:ln>
                            </wps:spPr>
                            <wps:bodyPr/>
                          </wps:wsp>
                          <wps:wsp>
                            <wps:cNvPr id="530" name="自选图形 2532"/>
                            <wps:cNvCnPr/>
                            <wps:spPr>
                              <a:xfrm flipH="1">
                                <a:off x="2991" y="5294"/>
                                <a:ext cx="1" cy="465"/>
                              </a:xfrm>
                              <a:prstGeom prst="straightConnector1">
                                <a:avLst/>
                              </a:prstGeom>
                              <a:ln w="3175" cap="flat" cmpd="sng">
                                <a:solidFill>
                                  <a:srgbClr val="000000"/>
                                </a:solidFill>
                                <a:prstDash val="solid"/>
                                <a:headEnd type="none" w="med" len="med"/>
                                <a:tailEnd type="arrow" w="med" len="med"/>
                              </a:ln>
                            </wps:spPr>
                            <wps:bodyPr/>
                          </wps:wsp>
                        </wpg:grpSp>
                      </wpg:grpSp>
                      <wpg:grpSp>
                        <wpg:cNvPr id="2260" name="组合 1001"/>
                        <wpg:cNvGrpSpPr/>
                        <wpg:grpSpPr>
                          <a:xfrm>
                            <a:off x="3999" y="4918"/>
                            <a:ext cx="1114" cy="875"/>
                            <a:chOff x="3999" y="4918"/>
                            <a:chExt cx="1114" cy="875"/>
                          </a:xfrm>
                        </wpg:grpSpPr>
                        <wps:wsp>
                          <wps:cNvPr id="533" name="直线 2534"/>
                          <wps:cNvCnPr/>
                          <wps:spPr>
                            <a:xfrm>
                              <a:off x="4518" y="4918"/>
                              <a:ext cx="1" cy="410"/>
                            </a:xfrm>
                            <a:prstGeom prst="line">
                              <a:avLst/>
                            </a:prstGeom>
                            <a:ln w="3175" cap="flat" cmpd="sng">
                              <a:solidFill>
                                <a:srgbClr val="000000"/>
                              </a:solidFill>
                              <a:prstDash val="solid"/>
                              <a:headEnd type="none" w="med" len="med"/>
                              <a:tailEnd type="none" w="med" len="med"/>
                            </a:ln>
                          </wps:spPr>
                          <wps:bodyPr upright="1"/>
                        </wps:wsp>
                        <wpg:grpSp>
                          <wpg:cNvPr id="2261" name="组合 1003"/>
                          <wpg:cNvGrpSpPr/>
                          <wpg:grpSpPr>
                            <a:xfrm>
                              <a:off x="3999" y="5301"/>
                              <a:ext cx="1114" cy="492"/>
                              <a:chOff x="3999" y="5301"/>
                              <a:chExt cx="1114" cy="492"/>
                            </a:xfrm>
                          </wpg:grpSpPr>
                          <wps:wsp>
                            <wps:cNvPr id="534" name="直线 2536"/>
                            <wps:cNvCnPr/>
                            <wps:spPr>
                              <a:xfrm>
                                <a:off x="3999" y="5311"/>
                                <a:ext cx="1084" cy="1"/>
                              </a:xfrm>
                              <a:prstGeom prst="line">
                                <a:avLst/>
                              </a:prstGeom>
                              <a:ln w="3175" cap="flat" cmpd="sng">
                                <a:solidFill>
                                  <a:srgbClr val="000000"/>
                                </a:solidFill>
                                <a:prstDash val="solid"/>
                                <a:headEnd type="none" w="med" len="med"/>
                                <a:tailEnd type="none" w="med" len="med"/>
                              </a:ln>
                            </wps:spPr>
                            <wps:bodyPr upright="1"/>
                          </wps:wsp>
                          <wps:wsp>
                            <wps:cNvPr id="535" name="自选图形 2537"/>
                            <wps:cNvCnPr/>
                            <wps:spPr>
                              <a:xfrm>
                                <a:off x="3999" y="5311"/>
                                <a:ext cx="15" cy="482"/>
                              </a:xfrm>
                              <a:prstGeom prst="straightConnector1">
                                <a:avLst/>
                              </a:prstGeom>
                              <a:ln w="3175" cap="flat" cmpd="sng">
                                <a:solidFill>
                                  <a:srgbClr val="000000"/>
                                </a:solidFill>
                                <a:prstDash val="solid"/>
                                <a:headEnd type="none" w="med" len="med"/>
                                <a:tailEnd type="arrow" w="med" len="med"/>
                              </a:ln>
                            </wps:spPr>
                            <wps:bodyPr/>
                          </wps:wsp>
                          <wps:wsp>
                            <wps:cNvPr id="536" name="自选图形 2538"/>
                            <wps:cNvCnPr/>
                            <wps:spPr>
                              <a:xfrm flipH="1">
                                <a:off x="5112" y="5301"/>
                                <a:ext cx="1" cy="465"/>
                              </a:xfrm>
                              <a:prstGeom prst="straightConnector1">
                                <a:avLst/>
                              </a:prstGeom>
                              <a:ln w="3175" cap="flat" cmpd="sng">
                                <a:solidFill>
                                  <a:srgbClr val="000000"/>
                                </a:solidFill>
                                <a:prstDash val="solid"/>
                                <a:headEnd type="none" w="med" len="med"/>
                                <a:tailEnd type="arrow" w="med" len="med"/>
                              </a:ln>
                            </wps:spPr>
                            <wps:bodyPr/>
                          </wps:wsp>
                        </wpg:grpSp>
                      </wpg:grpSp>
                      <wpg:grpSp>
                        <wpg:cNvPr id="2262" name="组合 1007"/>
                        <wpg:cNvGrpSpPr/>
                        <wpg:grpSpPr>
                          <a:xfrm>
                            <a:off x="6171" y="4925"/>
                            <a:ext cx="1114" cy="875"/>
                            <a:chOff x="6171" y="4925"/>
                            <a:chExt cx="1114" cy="875"/>
                          </a:xfrm>
                        </wpg:grpSpPr>
                        <wps:wsp>
                          <wps:cNvPr id="539" name="直线 2540"/>
                          <wps:cNvCnPr/>
                          <wps:spPr>
                            <a:xfrm>
                              <a:off x="6691" y="4925"/>
                              <a:ext cx="1" cy="409"/>
                            </a:xfrm>
                            <a:prstGeom prst="line">
                              <a:avLst/>
                            </a:prstGeom>
                            <a:ln w="3175" cap="flat" cmpd="sng">
                              <a:solidFill>
                                <a:srgbClr val="000000"/>
                              </a:solidFill>
                              <a:prstDash val="solid"/>
                              <a:headEnd type="none" w="med" len="med"/>
                              <a:tailEnd type="none" w="med" len="med"/>
                            </a:ln>
                          </wps:spPr>
                          <wps:bodyPr upright="1"/>
                        </wps:wsp>
                        <wpg:grpSp>
                          <wpg:cNvPr id="2263" name="组合 1009"/>
                          <wpg:cNvGrpSpPr/>
                          <wpg:grpSpPr>
                            <a:xfrm>
                              <a:off x="6171" y="5308"/>
                              <a:ext cx="1114" cy="492"/>
                              <a:chOff x="6171" y="5308"/>
                              <a:chExt cx="1114" cy="492"/>
                            </a:xfrm>
                          </wpg:grpSpPr>
                          <wps:wsp>
                            <wps:cNvPr id="540" name="直线 2542"/>
                            <wps:cNvCnPr/>
                            <wps:spPr>
                              <a:xfrm>
                                <a:off x="6171" y="5318"/>
                                <a:ext cx="1085" cy="1"/>
                              </a:xfrm>
                              <a:prstGeom prst="line">
                                <a:avLst/>
                              </a:prstGeom>
                              <a:ln w="3175" cap="flat" cmpd="sng">
                                <a:solidFill>
                                  <a:srgbClr val="000000"/>
                                </a:solidFill>
                                <a:prstDash val="solid"/>
                                <a:headEnd type="none" w="med" len="med"/>
                                <a:tailEnd type="none" w="med" len="med"/>
                              </a:ln>
                            </wps:spPr>
                            <wps:bodyPr upright="1"/>
                          </wps:wsp>
                          <wps:wsp>
                            <wps:cNvPr id="541" name="自选图形 2543"/>
                            <wps:cNvCnPr/>
                            <wps:spPr>
                              <a:xfrm>
                                <a:off x="6171" y="5318"/>
                                <a:ext cx="15" cy="482"/>
                              </a:xfrm>
                              <a:prstGeom prst="straightConnector1">
                                <a:avLst/>
                              </a:prstGeom>
                              <a:ln w="3175" cap="flat" cmpd="sng">
                                <a:solidFill>
                                  <a:srgbClr val="000000"/>
                                </a:solidFill>
                                <a:prstDash val="solid"/>
                                <a:headEnd type="none" w="med" len="med"/>
                                <a:tailEnd type="arrow" w="med" len="med"/>
                              </a:ln>
                            </wps:spPr>
                            <wps:bodyPr/>
                          </wps:wsp>
                          <wps:wsp>
                            <wps:cNvPr id="542" name="自选图形 2544"/>
                            <wps:cNvCnPr/>
                            <wps:spPr>
                              <a:xfrm flipH="1">
                                <a:off x="7284" y="5308"/>
                                <a:ext cx="1" cy="465"/>
                              </a:xfrm>
                              <a:prstGeom prst="straightConnector1">
                                <a:avLst/>
                              </a:prstGeom>
                              <a:ln w="3175" cap="flat" cmpd="sng">
                                <a:solidFill>
                                  <a:srgbClr val="000000"/>
                                </a:solidFill>
                                <a:prstDash val="solid"/>
                                <a:headEnd type="none" w="med" len="med"/>
                                <a:tailEnd type="arrow" w="med" len="med"/>
                              </a:ln>
                            </wps:spPr>
                            <wps:bodyPr/>
                          </wps:wsp>
                        </wpg:grpSp>
                      </wpg:grpSp>
                      <wpg:grpSp>
                        <wpg:cNvPr id="2264" name="组合 1013"/>
                        <wpg:cNvGrpSpPr/>
                        <wpg:grpSpPr>
                          <a:xfrm>
                            <a:off x="8259" y="4915"/>
                            <a:ext cx="1114" cy="875"/>
                            <a:chOff x="8259" y="4915"/>
                            <a:chExt cx="1114" cy="875"/>
                          </a:xfrm>
                        </wpg:grpSpPr>
                        <wps:wsp>
                          <wps:cNvPr id="545" name="直线 2546"/>
                          <wps:cNvCnPr/>
                          <wps:spPr>
                            <a:xfrm>
                              <a:off x="8778" y="4915"/>
                              <a:ext cx="1" cy="410"/>
                            </a:xfrm>
                            <a:prstGeom prst="line">
                              <a:avLst/>
                            </a:prstGeom>
                            <a:ln w="3175" cap="flat" cmpd="sng">
                              <a:solidFill>
                                <a:srgbClr val="000000"/>
                              </a:solidFill>
                              <a:prstDash val="solid"/>
                              <a:headEnd type="none" w="med" len="med"/>
                              <a:tailEnd type="none" w="med" len="med"/>
                            </a:ln>
                          </wps:spPr>
                          <wps:bodyPr upright="1"/>
                        </wps:wsp>
                        <wpg:grpSp>
                          <wpg:cNvPr id="2265" name="组合 1015"/>
                          <wpg:cNvGrpSpPr/>
                          <wpg:grpSpPr>
                            <a:xfrm>
                              <a:off x="8259" y="5298"/>
                              <a:ext cx="1114" cy="492"/>
                              <a:chOff x="8259" y="5298"/>
                              <a:chExt cx="1114" cy="492"/>
                            </a:xfrm>
                          </wpg:grpSpPr>
                          <wps:wsp>
                            <wps:cNvPr id="546" name="直线 2548"/>
                            <wps:cNvCnPr/>
                            <wps:spPr>
                              <a:xfrm>
                                <a:off x="8259" y="5308"/>
                                <a:ext cx="1084" cy="1"/>
                              </a:xfrm>
                              <a:prstGeom prst="line">
                                <a:avLst/>
                              </a:prstGeom>
                              <a:ln w="3175" cap="flat" cmpd="sng">
                                <a:solidFill>
                                  <a:srgbClr val="000000"/>
                                </a:solidFill>
                                <a:prstDash val="solid"/>
                                <a:headEnd type="none" w="med" len="med"/>
                                <a:tailEnd type="none" w="med" len="med"/>
                              </a:ln>
                            </wps:spPr>
                            <wps:bodyPr upright="1"/>
                          </wps:wsp>
                          <wps:wsp>
                            <wps:cNvPr id="547" name="自选图形 2549"/>
                            <wps:cNvCnPr/>
                            <wps:spPr>
                              <a:xfrm>
                                <a:off x="8259" y="5308"/>
                                <a:ext cx="15" cy="482"/>
                              </a:xfrm>
                              <a:prstGeom prst="straightConnector1">
                                <a:avLst/>
                              </a:prstGeom>
                              <a:ln w="3175" cap="flat" cmpd="sng">
                                <a:solidFill>
                                  <a:srgbClr val="000000"/>
                                </a:solidFill>
                                <a:prstDash val="solid"/>
                                <a:headEnd type="none" w="med" len="med"/>
                                <a:tailEnd type="arrow" w="med" len="med"/>
                              </a:ln>
                            </wps:spPr>
                            <wps:bodyPr/>
                          </wps:wsp>
                          <wps:wsp>
                            <wps:cNvPr id="548" name="自选图形 2550"/>
                            <wps:cNvCnPr/>
                            <wps:spPr>
                              <a:xfrm flipH="1">
                                <a:off x="9372" y="5298"/>
                                <a:ext cx="1" cy="465"/>
                              </a:xfrm>
                              <a:prstGeom prst="straightConnector1">
                                <a:avLst/>
                              </a:prstGeom>
                              <a:ln w="3175" cap="flat" cmpd="sng">
                                <a:solidFill>
                                  <a:srgbClr val="000000"/>
                                </a:solidFill>
                                <a:prstDash val="solid"/>
                                <a:headEnd type="none" w="med" len="med"/>
                                <a:tailEnd type="arrow" w="med" len="med"/>
                              </a:ln>
                            </wps:spPr>
                            <wps:bodyPr/>
                          </wps:wsp>
                        </wpg:grpSp>
                      </wpg:grpSp>
                      <wps:wsp>
                        <wps:cNvPr id="551" name="自选图形 2551"/>
                        <wps:cNvCnPr/>
                        <wps:spPr>
                          <a:xfrm flipV="1">
                            <a:off x="2186" y="6734"/>
                            <a:ext cx="519" cy="1"/>
                          </a:xfrm>
                          <a:prstGeom prst="straightConnector1">
                            <a:avLst/>
                          </a:prstGeom>
                          <a:ln w="3175" cap="flat" cmpd="sng">
                            <a:solidFill>
                              <a:srgbClr val="000000"/>
                            </a:solidFill>
                            <a:prstDash val="solid"/>
                            <a:headEnd type="none" w="med" len="med"/>
                            <a:tailEnd type="arrow" w="med" len="med"/>
                          </a:ln>
                        </wps:spPr>
                        <wps:bodyPr/>
                      </wps:wsp>
                      <wps:wsp>
                        <wps:cNvPr id="552" name="自选图形 2552"/>
                        <wps:cNvCnPr/>
                        <wps:spPr>
                          <a:xfrm flipV="1">
                            <a:off x="3307" y="6763"/>
                            <a:ext cx="518" cy="1"/>
                          </a:xfrm>
                          <a:prstGeom prst="straightConnector1">
                            <a:avLst/>
                          </a:prstGeom>
                          <a:ln w="3175" cap="flat" cmpd="sng">
                            <a:solidFill>
                              <a:srgbClr val="000000"/>
                            </a:solidFill>
                            <a:prstDash val="solid"/>
                            <a:headEnd type="none" w="med" len="med"/>
                            <a:tailEnd type="arrow" w="med" len="med"/>
                          </a:ln>
                        </wps:spPr>
                        <wps:bodyPr/>
                      </wps:wsp>
                      <wps:wsp>
                        <wps:cNvPr id="553" name="自选图形 2553"/>
                        <wps:cNvCnPr/>
                        <wps:spPr>
                          <a:xfrm flipV="1">
                            <a:off x="4271" y="6818"/>
                            <a:ext cx="518" cy="1"/>
                          </a:xfrm>
                          <a:prstGeom prst="straightConnector1">
                            <a:avLst/>
                          </a:prstGeom>
                          <a:ln w="3175" cap="flat" cmpd="sng">
                            <a:solidFill>
                              <a:srgbClr val="000000"/>
                            </a:solidFill>
                            <a:prstDash val="solid"/>
                            <a:headEnd type="none" w="med" len="med"/>
                            <a:tailEnd type="arrow" w="med" len="med"/>
                          </a:ln>
                        </wps:spPr>
                        <wps:bodyPr/>
                      </wps:wsp>
                      <wps:wsp>
                        <wps:cNvPr id="554" name="自选图形 2554"/>
                        <wps:cNvCnPr/>
                        <wps:spPr>
                          <a:xfrm flipV="1">
                            <a:off x="5351" y="6809"/>
                            <a:ext cx="519" cy="1"/>
                          </a:xfrm>
                          <a:prstGeom prst="straightConnector1">
                            <a:avLst/>
                          </a:prstGeom>
                          <a:ln w="3175" cap="flat" cmpd="sng">
                            <a:solidFill>
                              <a:srgbClr val="000000"/>
                            </a:solidFill>
                            <a:prstDash val="solid"/>
                            <a:headEnd type="none" w="med" len="med"/>
                            <a:tailEnd type="arrow" w="med" len="med"/>
                          </a:ln>
                        </wps:spPr>
                        <wps:bodyPr/>
                      </wps:wsp>
                      <wps:wsp>
                        <wps:cNvPr id="555" name="自选图形 2555"/>
                        <wps:cNvCnPr/>
                        <wps:spPr>
                          <a:xfrm flipV="1">
                            <a:off x="6399" y="6783"/>
                            <a:ext cx="518" cy="1"/>
                          </a:xfrm>
                          <a:prstGeom prst="straightConnector1">
                            <a:avLst/>
                          </a:prstGeom>
                          <a:ln w="3175" cap="flat" cmpd="sng">
                            <a:solidFill>
                              <a:srgbClr val="000000"/>
                            </a:solidFill>
                            <a:prstDash val="solid"/>
                            <a:headEnd type="none" w="med" len="med"/>
                            <a:tailEnd type="arrow" w="med" len="med"/>
                          </a:ln>
                        </wps:spPr>
                        <wps:bodyPr/>
                      </wps:wsp>
                      <wps:wsp>
                        <wps:cNvPr id="556" name="自选图形 2556"/>
                        <wps:cNvCnPr/>
                        <wps:spPr>
                          <a:xfrm flipV="1">
                            <a:off x="7447" y="6789"/>
                            <a:ext cx="519" cy="1"/>
                          </a:xfrm>
                          <a:prstGeom prst="straightConnector1">
                            <a:avLst/>
                          </a:prstGeom>
                          <a:ln w="3175" cap="flat" cmpd="sng">
                            <a:solidFill>
                              <a:srgbClr val="000000"/>
                            </a:solidFill>
                            <a:prstDash val="solid"/>
                            <a:headEnd type="none" w="med" len="med"/>
                            <a:tailEnd type="arrow" w="med" len="med"/>
                          </a:ln>
                        </wps:spPr>
                        <wps:bodyPr/>
                      </wps:wsp>
                      <wps:wsp>
                        <wps:cNvPr id="557" name="自选图形 2557"/>
                        <wps:cNvCnPr/>
                        <wps:spPr>
                          <a:xfrm flipV="1">
                            <a:off x="8527" y="6796"/>
                            <a:ext cx="518" cy="0"/>
                          </a:xfrm>
                          <a:prstGeom prst="straightConnector1">
                            <a:avLst/>
                          </a:prstGeom>
                          <a:ln w="3175" cap="flat" cmpd="sng">
                            <a:solidFill>
                              <a:srgbClr val="000000"/>
                            </a:solidFill>
                            <a:prstDash val="solid"/>
                            <a:headEnd type="none" w="med" len="med"/>
                            <a:tailEnd type="arrow" w="med" len="med"/>
                          </a:ln>
                        </wps:spPr>
                        <wps:bodyPr/>
                      </wps:wsp>
                    </wpg:wgp>
                  </a:graphicData>
                </a:graphic>
              </wp:anchor>
            </w:drawing>
          </mc:Choice>
          <mc:Fallback>
            <w:pict>
              <v:group id="组合 982" o:spid="_x0000_s1026" o:spt="203" style="position:absolute;left:0pt;margin-left:31.5pt;margin-top:18.3pt;height:158.3pt;width:408.35pt;mso-wrap-distance-bottom:0pt;mso-wrap-distance-top:0pt;z-index:251727872;mso-width-relative:page;mso-height-relative:page;" coordorigin="1558,4439" coordsize="8094,3313" o:gfxdata="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">
                <o:lock v:ext="edit" aspectratio="f"/>
                <v:shape id="文本框 2515" o:spid="_x0000_s1026" o:spt="202" type="#_x0000_t202" style="position:absolute;left:1558;top:4485;height:447;width:1713;" fillcolor="#C6D9F1" filled="t" stroked="t" coordsize="21600,21600" o:gfxdata="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Iv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409A4E6A">
                        <w:pPr>
                          <w:pStyle w:val="19"/>
                        </w:pPr>
                        <w:r>
                          <w:rPr>
                            <w:rFonts w:hint="eastAsia"/>
                          </w:rPr>
                          <w:t>验收基床底层</w:t>
                        </w:r>
                      </w:p>
                    </w:txbxContent>
                  </v:textbox>
                </v:shape>
                <v:shape id="文本框 2516" o:spid="_x0000_s1026" o:spt="202" type="#_x0000_t202" style="position:absolute;left:1599;top:5786;height:1966;width:587;" fillcolor="#C6D9F1" filled="t" stroked="t" coordsize="21600,21600" o:gfxdata="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1Wy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60A1DE60">
                        <w:pPr>
                          <w:pStyle w:val="19"/>
                        </w:pPr>
                        <w:r>
                          <w:rPr>
                            <w:rFonts w:hint="eastAsia"/>
                          </w:rPr>
                          <w:t>中线测量检验</w:t>
                        </w:r>
                      </w:p>
                    </w:txbxContent>
                  </v:textbox>
                </v:shape>
                <v:shape id="文本框 2517" o:spid="_x0000_s1026" o:spt="202" type="#_x0000_t202" style="position:absolute;left:3629;top:4459;height:446;width:1713;" fillcolor="#C6D9F1" filled="t" stroked="t" coordsize="21600,21600" o:gfxdata="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HzU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635726B8">
                        <w:pPr>
                          <w:pStyle w:val="19"/>
                        </w:pPr>
                        <w:r>
                          <w:rPr>
                            <w:rFonts w:hint="eastAsia"/>
                          </w:rPr>
                          <w:t>搅拌运输阶段</w:t>
                        </w:r>
                      </w:p>
                    </w:txbxContent>
                  </v:textbox>
                </v:shape>
                <v:shape id="文本框 2518" o:spid="_x0000_s1026" o:spt="202" type="#_x0000_t202" style="position:absolute;left:5784;top:4466;height:446;width:1713;" fillcolor="#C6D9F1" filled="t" stroked="t" coordsize="21600,21600" o:gfxdata="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vmcg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216CE2AA">
                        <w:pPr>
                          <w:pStyle w:val="19"/>
                        </w:pPr>
                        <w:r>
                          <w:rPr>
                            <w:rFonts w:hint="eastAsia"/>
                          </w:rPr>
                          <w:t>摊铺碾压阶段</w:t>
                        </w:r>
                      </w:p>
                    </w:txbxContent>
                  </v:textbox>
                </v:shape>
                <v:shape id="文本框 2519" o:spid="_x0000_s1026" o:spt="202" type="#_x0000_t202" style="position:absolute;left:7938;top:4439;height:446;width:1714;" fillcolor="#C6D9F1" filled="t" stroked="t" coordsize="21600,21600" o:gfxdata="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PLCu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50605FEC">
                        <w:pPr>
                          <w:pStyle w:val="19"/>
                        </w:pPr>
                        <w:r>
                          <w:rPr>
                            <w:rFonts w:hint="eastAsia"/>
                          </w:rPr>
                          <w:t>检测修正</w:t>
                        </w:r>
                      </w:p>
                    </w:txbxContent>
                  </v:textbox>
                </v:shape>
                <v:shape id="文本框 2520" o:spid="_x0000_s1026" o:spt="202" type="#_x0000_t202" style="position:absolute;left:2705;top:5750;height:1967;width:587;" fillcolor="#C6D9F1" filled="t" stroked="t" coordsize="21600,21600" o:gfxdata="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6Shm7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099CF59F">
                        <w:pPr>
                          <w:pStyle w:val="19"/>
                        </w:pPr>
                        <w:r>
                          <w:rPr>
                            <w:rFonts w:hint="eastAsia"/>
                          </w:rPr>
                          <w:t>高程测量检验</w:t>
                        </w:r>
                      </w:p>
                    </w:txbxContent>
                  </v:textbox>
                </v:shape>
                <v:shape id="文本框 2521" o:spid="_x0000_s1026" o:spt="202" type="#_x0000_t202" style="position:absolute;left:3768;top:5742;height:1966;width:587;" fillcolor="#C6D9F1" filled="t" stroked="t" coordsize="21600,21600" o:gfxdata="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OgEA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1766FF74">
                        <w:pPr>
                          <w:pStyle w:val="19"/>
                        </w:pPr>
                        <w:r>
                          <w:rPr>
                            <w:rFonts w:hint="eastAsia"/>
                          </w:rPr>
                          <w:t>级配碎石拌合</w:t>
                        </w:r>
                      </w:p>
                    </w:txbxContent>
                  </v:textbox>
                </v:shape>
                <v:shape id="文本框 2522" o:spid="_x0000_s1026" o:spt="202" type="#_x0000_t202" style="position:absolute;left:4814;top:5762;height:1967;width:588;" fillcolor="#C6D9F1" filled="t" stroked="t" coordsize="21600,21600" o:gfxdata="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qad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3D5BC250">
                        <w:pPr>
                          <w:pStyle w:val="19"/>
                        </w:pPr>
                        <w:r>
                          <w:rPr>
                            <w:rFonts w:hint="eastAsia"/>
                          </w:rPr>
                          <w:t>级配碎石运输</w:t>
                        </w:r>
                      </w:p>
                    </w:txbxContent>
                  </v:textbox>
                </v:shape>
                <v:shape id="文本框 2523" o:spid="_x0000_s1026" o:spt="202" type="#_x0000_t202" style="position:absolute;left:5896;top:5768;height:1966;width:587;" fillcolor="#C6D9F1" filled="t" stroked="t" coordsize="21600,21600" o:gfxdata="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2P+y/&#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635844D9">
                        <w:pPr>
                          <w:pStyle w:val="19"/>
                        </w:pPr>
                        <w:r>
                          <w:rPr>
                            <w:rFonts w:hint="eastAsia"/>
                          </w:rPr>
                          <w:t>级配碎石摊铺</w:t>
                        </w:r>
                      </w:p>
                    </w:txbxContent>
                  </v:textbox>
                </v:shape>
                <v:shape id="文本框 2524" o:spid="_x0000_s1026" o:spt="202" type="#_x0000_t202" style="position:absolute;left:6893;top:5744;height:1966;width:587;" fillcolor="#C6D9F1" filled="t" stroked="t" coordsize="21600,21600" o:gfxdata="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fp5i/&#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5EA40C23">
                        <w:pPr>
                          <w:pStyle w:val="19"/>
                        </w:pPr>
                        <w:r>
                          <w:rPr>
                            <w:rFonts w:hint="eastAsia"/>
                          </w:rPr>
                          <w:t>级配碎石碾压</w:t>
                        </w:r>
                      </w:p>
                    </w:txbxContent>
                  </v:textbox>
                </v:shape>
                <v:shape id="文本框 2525" o:spid="_x0000_s1026" o:spt="202" type="#_x0000_t202" style="position:absolute;left:7991;top:5750;height:1967;width:587;" fillcolor="#C6D9F1" filled="t" stroked="t" coordsize="21600,21600" o:gfxdata="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0wID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E2905B3">
                        <w:pPr>
                          <w:pStyle w:val="19"/>
                        </w:pPr>
                        <w:r>
                          <w:rPr>
                            <w:rFonts w:hint="eastAsia"/>
                          </w:rPr>
                          <w:t>修整养护</w:t>
                        </w:r>
                      </w:p>
                    </w:txbxContent>
                  </v:textbox>
                </v:shape>
                <v:shape id="文本框 2526" o:spid="_x0000_s1026" o:spt="202" type="#_x0000_t202" style="position:absolute;left:8988;top:5755;height:1967;width:587;" fillcolor="#C6D9F1" filled="t" stroked="t" coordsize="21600,21600" o:gfxdata="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AZx0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771CEDD1">
                        <w:pPr>
                          <w:pStyle w:val="19"/>
                        </w:pPr>
                        <w:r>
                          <w:rPr>
                            <w:rFonts w:hint="eastAsia"/>
                          </w:rPr>
                          <w:t>检测试验</w:t>
                        </w:r>
                      </w:p>
                    </w:txbxContent>
                  </v:textbox>
                </v:shape>
                <v:group id="组合 995" o:spid="_x0000_s1026" o:spt="203" style="position:absolute;left:1878;top:4911;height:875;width:1114;" coordorigin="1878,4911" coordsize="1114,875" o:gfxdata="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ZHT+r0AAADdAAAADwAAAAAAAAABACAAAAAiAAAAZHJzL2Rvd25yZXYueG1s&#10;UEsBAhQAFAAAAAgAh07iQDMvBZ47AAAAOQAAABUAAAAAAAAAAQAgAAAADAEAAGRycy9ncm91cHNo&#10;YXBleG1sLnhtbFBLBQYAAAAABgAGAGABAADJAwAAAAA=&#10;">
                  <o:lock v:ext="edit" aspectratio="f"/>
                  <v:line id="直线 2528" o:spid="_x0000_s1026" o:spt="20" style="position:absolute;left:2397;top:4911;height:410;width:1;" filled="f" stroked="t" coordsize="21600,21600" o:gfxdata="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9RWq/&#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group id="组合 997" o:spid="_x0000_s1026" o:spt="203" style="position:absolute;left:1878;top:5294;height:492;width:1114;" coordorigin="1878,5294" coordsize="1114,492" o:gfxdata="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i3XZhvwAAAN0AAAAPAAAAAAAAAAEAIAAAACIAAABkcnMvZG93bnJldi54&#10;bWxQSwECFAAUAAAACACHTuJAMy8FnjsAAAA5AAAAFQAAAAAAAAABACAAAAAOAQAAZHJzL2dyb3Vw&#10;c2hhcGV4bWwueG1sUEsFBgAAAAAGAAYAYAEAAMsDAAAAAA==&#10;">
                    <o:lock v:ext="edit" aspectratio="f"/>
                    <v:line id="直线 2530" o:spid="_x0000_s1026" o:spt="20" style="position:absolute;left:1878;top:5304;height:1;width:1084;" filled="f" stroked="t" coordsize="21600,21600" o:gfxdata="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KLRGL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shape id="自选图形 2531" o:spid="_x0000_s1026" o:spt="32" type="#_x0000_t32" style="position:absolute;left:1878;top:5304;height:482;width:15;" filled="f" stroked="t" coordsize="21600,21600" o:gfxdata="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M9Dyb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v:shape id="自选图形 2532" o:spid="_x0000_s1026" o:spt="32" type="#_x0000_t32" style="position:absolute;left:2991;top:5294;flip:x;height:465;width:1;" filled="f" stroked="t" coordsize="21600,21600" o:gfxdata="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JeY+ugAAANwA&#10;AAAPAAAAAAAAAAEAIAAAACIAAABkcnMvZG93bnJldi54bWxQSwECFAAUAAAACACHTuJAMy8FnjsA&#10;AAA5AAAAEAAAAAAAAAABACAAAAAJAQAAZHJzL3NoYXBleG1sLnhtbFBLBQYAAAAABgAGAFsBAACz&#10;AwAAAAA=&#10;">
                      <v:fill on="f" focussize="0,0"/>
                      <v:stroke weight="0.25pt" color="#000000" joinstyle="round" endarrow="open"/>
                      <v:imagedata o:title=""/>
                      <o:lock v:ext="edit" aspectratio="f"/>
                    </v:shape>
                  </v:group>
                </v:group>
                <v:group id="组合 1001" o:spid="_x0000_s1026" o:spt="203" style="position:absolute;left:3999;top:4918;height:875;width:1114;" coordorigin="3999,4918" coordsize="1114,875" o:gfxdata="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vYsVQb0AAADdAAAADwAAAAAAAAABACAAAAAiAAAAZHJzL2Rvd25yZXYueG1s&#10;UEsBAhQAFAAAAAgAh07iQDMvBZ47AAAAOQAAABUAAAAAAAAAAQAgAAAADAEAAGRycy9ncm91cHNo&#10;YXBleG1sLnhtbFBLBQYAAAAABgAGAGABAADJAwAAAAA=&#10;">
                  <o:lock v:ext="edit" aspectratio="f"/>
                  <v:line id="直线 2534" o:spid="_x0000_s1026" o:spt="20" style="position:absolute;left:4518;top:4918;height:410;width:1;" filled="f" stroked="t" coordsize="21600,21600" o:gfxdata="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39W0&#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group id="组合 1003" o:spid="_x0000_s1026" o:spt="203" style="position:absolute;left:3999;top:5301;height:492;width:1114;" coordorigin="3999,5301" coordsize="1114,492" o:gfxdata="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Sx7DavwAAAN0AAAAPAAAAAAAAAAEAIAAAACIAAABkcnMvZG93bnJldi54&#10;bWxQSwECFAAUAAAACACHTuJAMy8FnjsAAAA5AAAAFQAAAAAAAAABACAAAAAOAQAAZHJzL2dyb3Vw&#10;c2hhcGV4bWwueG1sUEsFBgAAAAAGAAYAYAEAAMsDAAAAAA==&#10;">
                    <o:lock v:ext="edit" aspectratio="f"/>
                    <v:line id="直线 2536" o:spid="_x0000_s1026" o:spt="20" style="position:absolute;left:3999;top:5311;height:1;width:1084;" filled="f" stroked="t" coordsize="21600,21600" o:gfxdata="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Nk3A&#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shape id="自选图形 2537" o:spid="_x0000_s1026" o:spt="32" type="#_x0000_t32" style="position:absolute;left:3999;top:5311;height:482;width:15;" filled="f" stroked="t" coordsize="21600,21600" o:gfxdata="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FvfEb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v:shape id="自选图形 2538" o:spid="_x0000_s1026" o:spt="32" type="#_x0000_t32" style="position:absolute;left:5112;top:5301;flip:x;height:465;width:1;" filled="f" stroked="t" coordsize="21600,21600" o:gfxdata="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oDb0b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v:group>
                </v:group>
                <v:group id="组合 1007" o:spid="_x0000_s1026" o:spt="203" style="position:absolute;left:6171;top:4925;height:875;width:1114;" coordorigin="6171,4925" coordsize="1114,875" o:gfxdata="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IhUurcAAAADdAAAADwAAAAAAAAABACAAAAAiAAAAZHJzL2Rvd25yZXYu&#10;eG1sUEsBAhQAFAAAAAgAh07iQDMvBZ47AAAAOQAAABUAAAAAAAAAAQAgAAAADwEAAGRycy9ncm91&#10;cHNoYXBleG1sLnhtbFBLBQYAAAAABgAGAGABAADMAwAAAAA=&#10;">
                  <o:lock v:ext="edit" aspectratio="f"/>
                  <v:line id="直线 2540" o:spid="_x0000_s1026" o:spt="20" style="position:absolute;left:6691;top:4925;height:409;width:1;" filled="f" stroked="t" coordsize="21600,21600" o:gfxdata="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N+Je&#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group id="组合 1009" o:spid="_x0000_s1026" o:spt="203" style="position:absolute;left:6171;top:5308;height:492;width:1114;" coordorigin="6171,5308" coordsize="1114,492" o:gfxdata="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VmLNsAAAADdAAAADwAAAAAAAAABACAAAAAiAAAAZHJzL2Rvd25yZXYu&#10;eG1sUEsBAhQAFAAAAAgAh07iQDMvBZ47AAAAOQAAABUAAAAAAAAAAQAgAAAADwEAAGRycy9ncm91&#10;cHNoYXBleG1sLnhtbFBLBQYAAAAABgAGAGABAADMAwAAAAA=&#10;">
                    <o:lock v:ext="edit" aspectratio="f"/>
                    <v:line id="直线 2542" o:spid="_x0000_s1026" o:spt="20" style="position:absolute;left:6171;top:5318;height:1;width:1085;" filled="f" stroked="t" coordsize="21600,21600" o:gfxdata="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LOL6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shape id="自选图形 2543" o:spid="_x0000_s1026" o:spt="32" type="#_x0000_t32" style="position:absolute;left:6171;top:5318;height:482;width:15;" filled="f" stroked="t" coordsize="21600,21600" o:gfxdata="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mqm+/&#10;AAAA3AAAAA8AAAAAAAAAAQAgAAAAIgAAAGRycy9kb3ducmV2LnhtbFBLAQIUABQAAAAIAIdO4kAz&#10;LwWeOwAAADkAAAAQAAAAAAAAAAEAIAAAAA4BAABkcnMvc2hhcGV4bWwueG1sUEsFBgAAAAAGAAYA&#10;WwEAALgDAAAAAA==&#10;">
                      <v:fill on="f" focussize="0,0"/>
                      <v:stroke weight="0.25pt" color="#000000" joinstyle="round" endarrow="open"/>
                      <v:imagedata o:title=""/>
                      <o:lock v:ext="edit" aspectratio="f"/>
                    </v:shape>
                    <v:shape id="自选图形 2544" o:spid="_x0000_s1026" o:spt="32" type="#_x0000_t32" style="position:absolute;left:7284;top:5308;flip:x;height:465;width:1;" filled="f" stroked="t" coordsize="21600,21600" o:gfxdata="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va6vvQAA&#10;ANwAAAAPAAAAAAAAAAEAIAAAACIAAABkcnMvZG93bnJldi54bWxQSwECFAAUAAAACACHTuJAMy8F&#10;njsAAAA5AAAAEAAAAAAAAAABACAAAAAMAQAAZHJzL3NoYXBleG1sLnhtbFBLBQYAAAAABgAGAFsB&#10;AAC2AwAAAAA=&#10;">
                      <v:fill on="f" focussize="0,0"/>
                      <v:stroke weight="0.25pt" color="#000000" joinstyle="round" endarrow="open"/>
                      <v:imagedata o:title=""/>
                      <o:lock v:ext="edit" aspectratio="f"/>
                    </v:shape>
                  </v:group>
                </v:group>
                <v:group id="组合 1013" o:spid="_x0000_s1026" o:spt="203" style="position:absolute;left:8259;top:4915;height:875;width:1114;" coordorigin="8259,4915" coordsize="1114,875" o:gfxdata="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CsBNCvwAAAN0AAAAPAAAAAAAAAAEAIAAAACIAAABkcnMvZG93bnJldi54&#10;bWxQSwECFAAUAAAACACHTuJAMy8FnjsAAAA5AAAAFQAAAAAAAAABACAAAAAOAQAAZHJzL2dyb3Vw&#10;c2hhcGV4bWwueG1sUEsFBgAAAAAGAAYAYAEAAMsDAAAAAA==&#10;">
                  <o:lock v:ext="edit" aspectratio="f"/>
                  <v:line id="直线 2546" o:spid="_x0000_s1026" o:spt="20" style="position:absolute;left:8778;top:4915;height:410;width:1;" filled="f" stroked="t" coordsize="21600,21600" o:gfxdata="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fJsm&#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group id="组合 1015" o:spid="_x0000_s1026" o:spt="203" style="position:absolute;left:8259;top:5298;height:492;width:1114;" coordorigin="8259,5298" coordsize="1114,492" o:gfxdata="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LbZvwAAAN0AAAAPAAAAAAAAAAEAIAAAACIAAABkcnMvZG93bnJldi54&#10;bWxQSwECFAAUAAAACACHTuJAMy8FnjsAAAA5AAAAFQAAAAAAAAABACAAAAAOAQAAZHJzL2dyb3Vw&#10;c2hhcGV4bWwueG1sUEsFBgAAAAAGAAYAYAEAAMsDAAAAAA==&#10;">
                    <o:lock v:ext="edit" aspectratio="f"/>
                    <v:line id="直线 2548" o:spid="_x0000_s1026" o:spt="20" style="position:absolute;left:8259;top:5308;height:1;width:1084;" filled="f" stroked="t" coordsize="21600,21600" o:gfxdata="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uBVG/&#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shape id="自选图形 2549" o:spid="_x0000_s1026" o:spt="32" type="#_x0000_t32" style="position:absolute;left:8259;top:5308;height:482;width:15;" filled="f" stroked="t" coordsize="21600,21600" o:gfxdata="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Dl4C/&#10;AAAA3AAAAA8AAAAAAAAAAQAgAAAAIgAAAGRycy9kb3ducmV2LnhtbFBLAQIUABQAAAAIAIdO4kAz&#10;LwWeOwAAADkAAAAQAAAAAAAAAAEAIAAAAA4BAABkcnMvc2hhcGV4bWwueG1sUEsFBgAAAAAGAAYA&#10;WwEAALgDAAAAAA==&#10;">
                      <v:fill on="f" focussize="0,0"/>
                      <v:stroke weight="0.25pt" color="#000000" joinstyle="round" endarrow="open"/>
                      <v:imagedata o:title=""/>
                      <o:lock v:ext="edit" aspectratio="f"/>
                    </v:shape>
                    <v:shape id="自选图形 2550" o:spid="_x0000_s1026" o:spt="32" type="#_x0000_t32" style="position:absolute;left:9372;top:5298;flip:x;height:465;width:1;" filled="f" stroked="t" coordsize="21600,21600" o:gfxdata="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VZlFugAAANwA&#10;AAAPAAAAAAAAAAEAIAAAACIAAABkcnMvZG93bnJldi54bWxQSwECFAAUAAAACACHTuJAMy8FnjsA&#10;AAA5AAAAEAAAAAAAAAABACAAAAAJAQAAZHJzL3NoYXBleG1sLnhtbFBLBQYAAAAABgAGAFsBAACz&#10;AwAAAAA=&#10;">
                      <v:fill on="f" focussize="0,0"/>
                      <v:stroke weight="0.25pt" color="#000000" joinstyle="round" endarrow="open"/>
                      <v:imagedata o:title=""/>
                      <o:lock v:ext="edit" aspectratio="f"/>
                    </v:shape>
                  </v:group>
                </v:group>
                <v:shape id="自选图形 2551" o:spid="_x0000_s1026" o:spt="32" type="#_x0000_t32" style="position:absolute;left:2186;top:6734;flip:y;height:1;width:519;" filled="f" stroked="t" coordsize="21600,21600" o:gfxdata="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LamBb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v:shape id="自选图形 2552" o:spid="_x0000_s1026" o:spt="32" type="#_x0000_t32" style="position:absolute;left:3307;top:6763;flip:y;height:1;width:518;" filled="f" stroked="t" coordsize="21600,21600" o:gfxdata="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ZDhyvQAA&#10;ANwAAAAPAAAAAAAAAAEAIAAAACIAAABkcnMvZG93bnJldi54bWxQSwECFAAUAAAACACHTuJAMy8F&#10;njsAAAA5AAAAEAAAAAAAAAABACAAAAAMAQAAZHJzL3NoYXBleG1sLnhtbFBLBQYAAAAABgAGAFsB&#10;AAC2AwAAAAA=&#10;">
                  <v:fill on="f" focussize="0,0"/>
                  <v:stroke weight="0.25pt" color="#000000" joinstyle="round" endarrow="open"/>
                  <v:imagedata o:title=""/>
                  <o:lock v:ext="edit" aspectratio="f"/>
                </v:shape>
                <v:shape id="自选图形 2553" o:spid="_x0000_s1026" o:spt="32" type="#_x0000_t32" style="position:absolute;left:4271;top:6818;flip:y;height:1;width:518;" filled="f" stroked="t" coordsize="21600,21600" o:gfxdata="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yid6b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v:shape id="自选图形 2554" o:spid="_x0000_s1026" o:spt="32" type="#_x0000_t32" style="position:absolute;left:5351;top:6809;flip:y;height:1;width:519;" filled="f" stroked="t" coordsize="21600,21600" o:gfxdata="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MEFnb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v:shape id="自选图形 2555" o:spid="_x0000_s1026" o:spt="32" type="#_x0000_t32" style="position:absolute;left:6399;top:6783;flip:y;height:1;width:518;" filled="f" stroked="t" coordsize="21600,21600" o:gfxdata="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jaAGvQAA&#10;ANwAAAAPAAAAAAAAAAEAIAAAACIAAABkcnMvZG93bnJldi54bWxQSwECFAAUAAAACACHTuJAMy8F&#10;njsAAAA5AAAAEAAAAAAAAAABACAAAAAMAQAAZHJzL3NoYXBleG1sLnhtbFBLBQYAAAAABgAGAFsB&#10;AAC2AwAAAAA=&#10;">
                  <v:fill on="f" focussize="0,0"/>
                  <v:stroke weight="0.25pt" color="#000000" joinstyle="round" endarrow="open"/>
                  <v:imagedata o:title=""/>
                  <o:lock v:ext="edit" aspectratio="f"/>
                </v:shape>
                <v:shape id="自选图形 2556" o:spid="_x0000_s1026" o:spt="32" type="#_x0000_t32" style="position:absolute;left:7447;top:6789;flip:y;height:1;width:519;" filled="f" stroked="t" coordsize="21600,21600" o:gfxdata="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Xz5xvQAA&#10;ANwAAAAPAAAAAAAAAAEAIAAAACIAAABkcnMvZG93bnJldi54bWxQSwECFAAUAAAACACHTuJAMy8F&#10;njsAAAA5AAAAEAAAAAAAAAABACAAAAAMAQAAZHJzL3NoYXBleG1sLnhtbFBLBQYAAAAABgAGAFsB&#10;AAC2AwAAAAA=&#10;">
                  <v:fill on="f" focussize="0,0"/>
                  <v:stroke weight="0.25pt" color="#000000" joinstyle="round" endarrow="open"/>
                  <v:imagedata o:title=""/>
                  <o:lock v:ext="edit" aspectratio="f"/>
                </v:shape>
                <v:shape id="自选图形 2557" o:spid="_x0000_s1026" o:spt="32" type="#_x0000_t32" style="position:absolute;left:8527;top:6796;flip:y;height:0;width:518;" filled="f" stroked="t" coordsize="21600,21600" o:gfxdata="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Ob6r4A&#10;AADcAAAADwAAAAAAAAABACAAAAAiAAAAZHJzL2Rvd25yZXYueG1sUEsBAhQAFAAAAAgAh07iQDMv&#10;BZ47AAAAOQAAABAAAAAAAAAAAQAgAAAADQEAAGRycy9zaGFwZXhtbC54bWxQSwUGAAAAAAYABgBb&#10;AQAAtwMAAAAA&#10;">
                  <v:fill on="f" focussize="0,0"/>
                  <v:stroke weight="0.25pt" color="#000000" joinstyle="round" endarrow="open"/>
                  <v:imagedata o:title=""/>
                  <o:lock v:ext="edit" aspectratio="f"/>
                </v:shape>
                <w10:wrap type="topAndBottom"/>
              </v:group>
            </w:pict>
          </mc:Fallback>
        </mc:AlternateContent>
      </w:r>
    </w:p>
    <w:p w14:paraId="57E0B40A">
      <w:pPr>
        <w:ind w:firstLine="3840" w:firstLineChars="1600"/>
        <w:rPr>
          <w:rFonts w:hint="eastAsia" w:ascii="宋体" w:hAnsi="宋体" w:eastAsia="宋体" w:cs="宋体"/>
          <w:highlight w:val="none"/>
          <w:u w:val="double"/>
        </w:rPr>
      </w:pPr>
      <w:r>
        <w:rPr>
          <w:rFonts w:hint="eastAsia" w:ascii="宋体" w:hAnsi="宋体" w:eastAsia="宋体" w:cs="宋体"/>
          <w:highlight w:val="none"/>
          <w:u w:val="double"/>
        </w:rPr>
        <w:t>级配碎石层工艺流程图</w:t>
      </w:r>
    </w:p>
    <w:p w14:paraId="585D950A">
      <w:pPr>
        <w:ind w:firstLine="480"/>
        <w:rPr>
          <w:rFonts w:hint="eastAsia" w:ascii="宋体" w:hAnsi="宋体" w:eastAsia="宋体" w:cs="宋体"/>
        </w:rPr>
      </w:pPr>
      <w:r>
        <w:rPr>
          <w:rFonts w:hint="eastAsia" w:ascii="宋体" w:hAnsi="宋体" w:eastAsia="宋体" w:cs="宋体"/>
        </w:rPr>
        <w:t>（二）、路基清理及验收：级配碎石层施工前，人工将路基表面的浮土、石碴、杂物清理干净，并报请监理工程师验收合格。以上工作完毕后，用洒水车均匀洒水湿润。</w:t>
      </w:r>
    </w:p>
    <w:p w14:paraId="14455DD9">
      <w:pPr>
        <w:ind w:firstLine="480"/>
        <w:rPr>
          <w:rFonts w:hint="eastAsia" w:ascii="宋体" w:hAnsi="宋体" w:eastAsia="宋体" w:cs="宋体"/>
        </w:rPr>
      </w:pPr>
      <w:r>
        <w:rPr>
          <w:rFonts w:hint="eastAsia" w:ascii="宋体" w:hAnsi="宋体" w:eastAsia="宋体" w:cs="宋体"/>
        </w:rPr>
        <w:t>（三）、施工放样：施工放样，恢复中线。在直线段路基上每15～20m设一控制桩，在平曲线路基上每5～10m设一控制桩，分别在路面中心线和四分之一路面宽度处设置加密控制桩。根据试验路段得出的混合料的松铺系数，在控制桩上标出混合料的松铺厚度控制基准点，用施工线将这些控制基准点连接而成控制面，以保证碾压密实后高程符合设计及施工规范要求。</w:t>
      </w:r>
    </w:p>
    <w:p w14:paraId="66ED754F">
      <w:pPr>
        <w:ind w:firstLine="480"/>
        <w:rPr>
          <w:rFonts w:hint="eastAsia" w:ascii="宋体" w:hAnsi="宋体" w:eastAsia="宋体" w:cs="宋体"/>
        </w:rPr>
      </w:pPr>
      <w:r>
        <w:rPr>
          <w:rFonts w:hint="eastAsia" w:ascii="宋体" w:hAnsi="宋体" w:eastAsia="宋体" w:cs="宋体"/>
        </w:rPr>
        <w:t>根据级配要求计算出不同级配的粗细料数量后，用两台装载机在料场集中拌和，对级配碎石混合料进行拌和。拌合时采用两台装载机对向行驶，将混合料共同铲起抬高后再均匀地洒落。为了防止运输过程中水分散失，要洒足所需的水，使拌和后的混合料含水量高于最佳含水量1%。拌和料要求均匀，无粗、细料离析。沿两边向中间翻拌5～6遍并洒水闷料2天后即可用于铺筑。</w:t>
      </w:r>
    </w:p>
    <w:p w14:paraId="5EA59733">
      <w:pPr>
        <w:numPr>
          <w:ilvl w:val="0"/>
          <w:numId w:val="0"/>
        </w:numPr>
        <w:tabs>
          <w:tab w:val="left" w:pos="0"/>
        </w:tabs>
        <w:ind w:firstLine="480" w:firstLineChars="200"/>
        <w:rPr>
          <w:rFonts w:hint="eastAsia" w:ascii="宋体" w:hAnsi="宋体" w:eastAsia="宋体" w:cs="宋体"/>
        </w:rPr>
      </w:pPr>
      <w:r>
        <w:rPr>
          <w:rFonts w:hint="eastAsia" w:ascii="宋体" w:hAnsi="宋体" w:eastAsia="宋体" w:cs="宋体"/>
          <w:lang w:eastAsia="zh-CN"/>
        </w:rPr>
        <w:t>（</w:t>
      </w:r>
      <w:r>
        <w:rPr>
          <w:rFonts w:hint="eastAsia" w:ascii="宋体" w:hAnsi="宋体" w:eastAsia="宋体" w:cs="宋体"/>
          <w:lang w:val="en-US" w:eastAsia="zh-CN"/>
        </w:rPr>
        <w:t>四</w:t>
      </w:r>
      <w:r>
        <w:rPr>
          <w:rFonts w:hint="eastAsia" w:ascii="宋体" w:hAnsi="宋体" w:eastAsia="宋体" w:cs="宋体"/>
          <w:lang w:eastAsia="zh-CN"/>
        </w:rPr>
        <w:t>）</w:t>
      </w:r>
      <w:r>
        <w:rPr>
          <w:rFonts w:hint="eastAsia" w:ascii="宋体" w:hAnsi="宋体" w:eastAsia="宋体" w:cs="宋体"/>
        </w:rPr>
        <w:t>、碾压：拟在每个施工段各投入一台振动压路机进行级配碎石垫层的碾压。碾压在最佳含水量时进行，碾压时遵循先轻后重、先慢后快的原则。摊铺、整型后，先采用压路机进行静力稳压，以保持成型稳定，再采用振动压路机重碾压实。总碾压遍数为6～10遍（具体由碾压遍数试验路道确定），压实至按重型击实试验法确定的压实度达到96%以上。</w:t>
      </w:r>
    </w:p>
    <w:p w14:paraId="23A5EE29">
      <w:pPr>
        <w:ind w:firstLine="480"/>
        <w:rPr>
          <w:rFonts w:hint="eastAsia" w:ascii="宋体" w:hAnsi="宋体" w:eastAsia="宋体" w:cs="宋体"/>
        </w:rPr>
      </w:pPr>
      <w:r>
        <w:rPr>
          <w:rFonts w:hint="eastAsia" w:ascii="宋体" w:hAnsi="宋体" w:eastAsia="宋体" w:cs="宋体"/>
        </w:rPr>
        <w:t>（</w:t>
      </w:r>
      <w:r>
        <w:rPr>
          <w:rFonts w:hint="eastAsia" w:ascii="宋体" w:hAnsi="宋体" w:eastAsia="宋体" w:cs="宋体"/>
          <w:lang w:val="en-US" w:eastAsia="zh-CN"/>
        </w:rPr>
        <w:t>五</w:t>
      </w:r>
      <w:r>
        <w:rPr>
          <w:rFonts w:hint="eastAsia" w:ascii="宋体" w:hAnsi="宋体" w:eastAsia="宋体" w:cs="宋体"/>
        </w:rPr>
        <w:t>）级配碎石质量控制</w:t>
      </w:r>
    </w:p>
    <w:p w14:paraId="2E1B6BA6">
      <w:pPr>
        <w:ind w:firstLine="480"/>
        <w:rPr>
          <w:rFonts w:hint="eastAsia" w:ascii="宋体" w:hAnsi="宋体" w:eastAsia="宋体" w:cs="宋体"/>
          <w:lang w:val="zh-CN"/>
        </w:rPr>
      </w:pPr>
      <w:r>
        <w:rPr>
          <w:rFonts w:hint="eastAsia" w:ascii="宋体" w:hAnsi="宋体" w:eastAsia="宋体" w:cs="宋体"/>
        </w:rPr>
        <w:t>1、</w:t>
      </w:r>
      <w:r>
        <w:rPr>
          <w:rFonts w:hint="eastAsia" w:ascii="宋体" w:hAnsi="宋体" w:eastAsia="宋体" w:cs="宋体"/>
          <w:lang w:val="zh-CN"/>
        </w:rPr>
        <w:t>原材料试验应按照《公路路面基层施工技术细则》（JTG/TF20</w:t>
      </w:r>
      <w:r>
        <w:rPr>
          <w:rFonts w:hint="eastAsia" w:ascii="宋体" w:hAnsi="宋体" w:eastAsia="宋体" w:cs="宋体"/>
        </w:rPr>
        <w:t>-2015</w:t>
      </w:r>
      <w:r>
        <w:rPr>
          <w:rFonts w:hint="eastAsia" w:ascii="宋体" w:hAnsi="宋体" w:eastAsia="宋体" w:cs="宋体"/>
          <w:lang w:val="zh-CN"/>
        </w:rPr>
        <w:t>）有关规定进行。</w:t>
      </w:r>
    </w:p>
    <w:p w14:paraId="568DB7D8">
      <w:pPr>
        <w:ind w:firstLine="480"/>
        <w:rPr>
          <w:rFonts w:hint="eastAsia" w:ascii="宋体" w:hAnsi="宋体" w:eastAsia="宋体" w:cs="宋体"/>
        </w:rPr>
      </w:pPr>
      <w:r>
        <w:rPr>
          <w:rFonts w:hint="eastAsia" w:ascii="宋体" w:hAnsi="宋体" w:eastAsia="宋体" w:cs="宋体"/>
        </w:rPr>
        <w:t>2、</w:t>
      </w:r>
      <w:r>
        <w:rPr>
          <w:rFonts w:hint="eastAsia" w:ascii="宋体" w:hAnsi="宋体" w:eastAsia="宋体" w:cs="宋体"/>
          <w:lang w:val="zh-CN"/>
        </w:rPr>
        <w:t>压实度检查应在碾压结束后立即进行，对于小于规定值的测点应立即进行处理。</w:t>
      </w:r>
    </w:p>
    <w:p w14:paraId="55E17082">
      <w:pPr>
        <w:ind w:firstLine="480"/>
        <w:rPr>
          <w:rFonts w:hint="eastAsia" w:ascii="宋体" w:hAnsi="宋体" w:eastAsia="宋体" w:cs="宋体"/>
        </w:rPr>
      </w:pPr>
      <w:r>
        <w:rPr>
          <w:rFonts w:hint="eastAsia" w:ascii="宋体" w:hAnsi="宋体" w:eastAsia="宋体" w:cs="宋体"/>
        </w:rPr>
        <w:t>3、</w:t>
      </w:r>
      <w:r>
        <w:rPr>
          <w:rFonts w:hint="eastAsia" w:ascii="宋体" w:hAnsi="宋体" w:eastAsia="宋体" w:cs="宋体"/>
          <w:lang w:val="zh-CN"/>
        </w:rPr>
        <w:t>级配碎石混合料质量控制内容分别按</w:t>
      </w:r>
      <w:r>
        <w:rPr>
          <w:rFonts w:hint="eastAsia" w:ascii="宋体" w:hAnsi="宋体" w:eastAsia="宋体" w:cs="宋体"/>
        </w:rPr>
        <w:t>下表</w:t>
      </w:r>
      <w:r>
        <w:rPr>
          <w:rFonts w:hint="eastAsia" w:ascii="宋体" w:hAnsi="宋体" w:eastAsia="宋体" w:cs="宋体"/>
          <w:lang w:val="zh-CN"/>
        </w:rPr>
        <w:t>规定执行。垫层可参照级配碎石底基层质量控制标准执行。</w:t>
      </w:r>
    </w:p>
    <w:p w14:paraId="58FF7857">
      <w:pPr>
        <w:ind w:firstLine="482"/>
        <w:rPr>
          <w:rFonts w:hint="eastAsia" w:ascii="宋体" w:hAnsi="宋体" w:eastAsia="宋体" w:cs="宋体"/>
          <w:b/>
          <w:bCs/>
        </w:rPr>
      </w:pPr>
      <w:bookmarkStart w:id="1270" w:name="_Toc22205"/>
      <w:bookmarkStart w:id="1271" w:name="_Toc438366700"/>
      <w:bookmarkStart w:id="1272" w:name="_Toc451157563"/>
      <w:bookmarkStart w:id="1273" w:name="_Toc17868"/>
      <w:bookmarkStart w:id="1274" w:name="_Toc18915"/>
      <w:bookmarkStart w:id="1275" w:name="_Toc14864"/>
      <w:bookmarkStart w:id="1276" w:name="_Toc32659"/>
      <w:bookmarkStart w:id="1277" w:name="_Toc439228118"/>
      <w:bookmarkStart w:id="1278" w:name="_Toc7736"/>
      <w:r>
        <w:rPr>
          <w:rFonts w:hint="eastAsia" w:ascii="宋体" w:hAnsi="宋体" w:eastAsia="宋体" w:cs="宋体"/>
          <w:b/>
          <w:bCs/>
        </w:rPr>
        <w:t>三、水泥稳定碎石基层施工</w:t>
      </w:r>
      <w:bookmarkEnd w:id="1270"/>
      <w:bookmarkEnd w:id="1271"/>
      <w:bookmarkEnd w:id="1272"/>
      <w:bookmarkEnd w:id="1273"/>
      <w:bookmarkEnd w:id="1274"/>
      <w:bookmarkEnd w:id="1275"/>
      <w:bookmarkEnd w:id="1276"/>
      <w:bookmarkEnd w:id="1277"/>
      <w:bookmarkEnd w:id="1278"/>
    </w:p>
    <w:p w14:paraId="1019F936">
      <w:pPr>
        <w:ind w:firstLine="480"/>
        <w:rPr>
          <w:rFonts w:hint="eastAsia" w:ascii="宋体" w:hAnsi="宋体" w:eastAsia="宋体" w:cs="宋体"/>
        </w:rPr>
      </w:pPr>
      <w:r>
        <w:rPr>
          <w:rFonts w:hint="eastAsia" w:ascii="宋体" w:hAnsi="宋体" w:eastAsia="宋体" w:cs="宋体"/>
        </w:rPr>
        <w:t>水稳料采用集中拌合，自卸汽车运料，水泥稳定土摊铺机单机分幅摊铺，振动压路机碾压成型，铺筑完成后，及时按要求进行养生和交通管制。试验路段宜选在正线直线段，长度不少于200m。</w:t>
      </w:r>
    </w:p>
    <w:p w14:paraId="40EFCD8F">
      <w:pPr>
        <w:pStyle w:val="46"/>
        <w:rPr>
          <w:rFonts w:hint="eastAsia" w:ascii="宋体" w:hAnsi="宋体" w:eastAsia="宋体" w:cs="宋体"/>
          <w:lang w:val="en-US" w:eastAsia="zh-CN"/>
        </w:rPr>
      </w:pPr>
      <w:r>
        <w:rPr>
          <w:rFonts w:hint="eastAsia" w:ascii="宋体" w:hAnsi="宋体" w:eastAsia="宋体" w:cs="宋体"/>
          <w:lang w:val="en-US" w:eastAsia="zh-CN"/>
        </w:rPr>
        <w:t>水泥稳定碎石采用中兴站集中拌和。各种规格的集料应分别堆放，不得混杂；放集料的场地应进行硬化，细集料应进行覆盖，防止雨淋。</w:t>
      </w:r>
    </w:p>
    <w:p w14:paraId="7B6B6E62">
      <w:pPr>
        <w:pStyle w:val="46"/>
        <w:rPr>
          <w:rFonts w:hint="eastAsia" w:ascii="宋体" w:hAnsi="宋体" w:eastAsia="宋体" w:cs="宋体"/>
          <w:lang w:val="en-US" w:eastAsia="zh-CN"/>
        </w:rPr>
      </w:pPr>
      <w:r>
        <w:rPr>
          <w:rFonts w:hint="eastAsia" w:ascii="宋体" w:hAnsi="宋体" w:eastAsia="宋体" w:cs="宋体"/>
          <w:lang w:val="en-US" w:eastAsia="zh-CN"/>
        </w:rPr>
        <w:t>水泥稳定碎石层设计厚度为32cm，分2层摊铺碾压，在铺筑第二层时，应在下层顶面撒布薄层水泥浆，以增强上下层间的粘结和基层整体强度。</w:t>
      </w:r>
    </w:p>
    <w:p w14:paraId="45BD870A">
      <w:pPr>
        <w:numPr>
          <w:ilvl w:val="0"/>
          <w:numId w:val="9"/>
        </w:numPr>
        <w:ind w:firstLine="482"/>
        <w:rPr>
          <w:rFonts w:hint="eastAsia" w:ascii="宋体" w:hAnsi="宋体" w:eastAsia="宋体" w:cs="宋体"/>
          <w:highlight w:val="none"/>
        </w:rPr>
      </w:pPr>
      <w:r>
        <w:rPr>
          <w:rFonts w:hint="eastAsia" w:ascii="宋体" w:hAnsi="宋体" w:eastAsia="宋体" w:cs="宋体"/>
          <w:b/>
          <w:bCs/>
          <w:highlight w:val="none"/>
        </w:rPr>
        <w:t>水泥稳定碎石施工工艺流程：</w:t>
      </w:r>
    </w:p>
    <w:p w14:paraId="1F3797D7">
      <w:pPr>
        <w:rPr>
          <w:rFonts w:hint="eastAsia" w:ascii="宋体" w:hAnsi="宋体" w:eastAsia="宋体" w:cs="宋体"/>
        </w:rPr>
      </w:pPr>
      <w:r>
        <w:rPr>
          <w:rFonts w:hint="eastAsia" w:ascii="宋体" w:hAnsi="宋体" w:eastAsia="宋体" w:cs="宋体"/>
        </w:rPr>
        <mc:AlternateContent>
          <mc:Choice Requires="wpg">
            <w:drawing>
              <wp:anchor distT="0" distB="0" distL="114300" distR="114300" simplePos="0" relativeHeight="251728896" behindDoc="0" locked="0" layoutInCell="1" allowOverlap="1">
                <wp:simplePos x="0" y="0"/>
                <wp:positionH relativeFrom="column">
                  <wp:posOffset>911860</wp:posOffset>
                </wp:positionH>
                <wp:positionV relativeFrom="paragraph">
                  <wp:posOffset>203200</wp:posOffset>
                </wp:positionV>
                <wp:extent cx="4560570" cy="6411595"/>
                <wp:effectExtent l="4445" t="5080" r="6985" b="14605"/>
                <wp:wrapTopAndBottom/>
                <wp:docPr id="2266" name="组合 1128"/>
                <wp:cNvGraphicFramePr/>
                <a:graphic xmlns:a="http://schemas.openxmlformats.org/drawingml/2006/main">
                  <a:graphicData uri="http://schemas.microsoft.com/office/word/2010/wordprocessingGroup">
                    <wpg:wgp>
                      <wpg:cNvGrpSpPr/>
                      <wpg:grpSpPr>
                        <a:xfrm>
                          <a:off x="0" y="0"/>
                          <a:ext cx="4560570" cy="6411595"/>
                          <a:chOff x="2567" y="2052"/>
                          <a:chExt cx="7568" cy="11045"/>
                        </a:xfrm>
                      </wpg:grpSpPr>
                      <wps:wsp>
                        <wps:cNvPr id="559" name="直线 301"/>
                        <wps:cNvCnPr/>
                        <wps:spPr>
                          <a:xfrm>
                            <a:off x="6428" y="6619"/>
                            <a:ext cx="0" cy="403"/>
                          </a:xfrm>
                          <a:prstGeom prst="line">
                            <a:avLst/>
                          </a:prstGeom>
                          <a:ln w="3175" cap="flat" cmpd="sng">
                            <a:solidFill>
                              <a:srgbClr val="000000"/>
                            </a:solidFill>
                            <a:prstDash val="solid"/>
                            <a:headEnd type="none" w="med" len="med"/>
                            <a:tailEnd type="triangle" w="med" len="med"/>
                          </a:ln>
                        </wps:spPr>
                        <wps:bodyPr upright="1"/>
                      </wps:wsp>
                      <wpg:grpSp>
                        <wpg:cNvPr id="2267" name="组合 1130"/>
                        <wpg:cNvGrpSpPr/>
                        <wpg:grpSpPr>
                          <a:xfrm>
                            <a:off x="2567" y="2052"/>
                            <a:ext cx="7568" cy="11045"/>
                            <a:chOff x="2567" y="2052"/>
                            <a:chExt cx="7568" cy="11045"/>
                          </a:xfrm>
                        </wpg:grpSpPr>
                        <wps:wsp>
                          <wps:cNvPr id="560" name="直线 303"/>
                          <wps:cNvCnPr/>
                          <wps:spPr>
                            <a:xfrm>
                              <a:off x="6459" y="8231"/>
                              <a:ext cx="0" cy="403"/>
                            </a:xfrm>
                            <a:prstGeom prst="line">
                              <a:avLst/>
                            </a:prstGeom>
                            <a:ln w="3175" cap="flat" cmpd="sng">
                              <a:solidFill>
                                <a:srgbClr val="000000"/>
                              </a:solidFill>
                              <a:prstDash val="solid"/>
                              <a:headEnd type="none" w="med" len="med"/>
                              <a:tailEnd type="triangle" w="med" len="med"/>
                            </a:ln>
                          </wps:spPr>
                          <wps:bodyPr upright="1"/>
                        </wps:wsp>
                        <wps:wsp>
                          <wps:cNvPr id="561" name="直线 304"/>
                          <wps:cNvCnPr/>
                          <wps:spPr>
                            <a:xfrm>
                              <a:off x="4797" y="8768"/>
                              <a:ext cx="923" cy="0"/>
                            </a:xfrm>
                            <a:prstGeom prst="line">
                              <a:avLst/>
                            </a:prstGeom>
                            <a:ln w="3175" cap="flat" cmpd="sng">
                              <a:solidFill>
                                <a:srgbClr val="000000"/>
                              </a:solidFill>
                              <a:prstDash val="solid"/>
                              <a:headEnd type="none" w="med" len="med"/>
                              <a:tailEnd type="triangle" w="med" len="med"/>
                            </a:ln>
                          </wps:spPr>
                          <wps:bodyPr upright="1"/>
                        </wps:wsp>
                        <wpg:grpSp>
                          <wpg:cNvPr id="2268" name="组合 1133"/>
                          <wpg:cNvGrpSpPr/>
                          <wpg:grpSpPr>
                            <a:xfrm>
                              <a:off x="2567" y="2052"/>
                              <a:ext cx="7568" cy="11045"/>
                              <a:chOff x="2567" y="2052"/>
                              <a:chExt cx="7568" cy="11045"/>
                            </a:xfrm>
                          </wpg:grpSpPr>
                          <wps:wsp>
                            <wps:cNvPr id="562" name="文本框 306"/>
                            <wps:cNvSpPr txBox="1"/>
                            <wps:spPr>
                              <a:xfrm>
                                <a:off x="2567" y="2052"/>
                                <a:ext cx="1476"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5D84779">
                                  <w:pPr>
                                    <w:pStyle w:val="105"/>
                                  </w:pPr>
                                  <w:r>
                                    <w:rPr>
                                      <w:rFonts w:hint="eastAsia"/>
                                    </w:rPr>
                                    <w:t>水泥</w:t>
                                  </w:r>
                                </w:p>
                              </w:txbxContent>
                            </wps:txbx>
                            <wps:bodyPr upright="1"/>
                          </wps:wsp>
                          <wps:wsp>
                            <wps:cNvPr id="563" name="文本框 307"/>
                            <wps:cNvSpPr txBox="1"/>
                            <wps:spPr>
                              <a:xfrm>
                                <a:off x="8659" y="2052"/>
                                <a:ext cx="1476"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00AB745">
                                  <w:pPr>
                                    <w:pStyle w:val="105"/>
                                  </w:pPr>
                                  <w:r>
                                    <w:rPr>
                                      <w:rFonts w:hint="eastAsia"/>
                                    </w:rPr>
                                    <w:t>碎石</w:t>
                                  </w:r>
                                </w:p>
                              </w:txbxContent>
                            </wps:txbx>
                            <wps:bodyPr upright="1"/>
                          </wps:wsp>
                          <wps:wsp>
                            <wps:cNvPr id="564" name="文本框 308"/>
                            <wps:cNvSpPr txBox="1"/>
                            <wps:spPr>
                              <a:xfrm>
                                <a:off x="2567" y="3261"/>
                                <a:ext cx="1476"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364BF53">
                                  <w:pPr>
                                    <w:pStyle w:val="105"/>
                                  </w:pPr>
                                  <w:r>
                                    <w:rPr>
                                      <w:rFonts w:hint="eastAsia"/>
                                    </w:rPr>
                                    <w:t>备料</w:t>
                                  </w:r>
                                </w:p>
                              </w:txbxContent>
                            </wps:txbx>
                            <wps:bodyPr upright="1"/>
                          </wps:wsp>
                          <wps:wsp>
                            <wps:cNvPr id="565" name="文本框 309"/>
                            <wps:cNvSpPr txBox="1"/>
                            <wps:spPr>
                              <a:xfrm>
                                <a:off x="8659" y="3261"/>
                                <a:ext cx="1476"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00E227C">
                                  <w:pPr>
                                    <w:pStyle w:val="105"/>
                                  </w:pPr>
                                  <w:r>
                                    <w:rPr>
                                      <w:rFonts w:hint="eastAsia"/>
                                    </w:rPr>
                                    <w:t>备料</w:t>
                                  </w:r>
                                </w:p>
                              </w:txbxContent>
                            </wps:txbx>
                            <wps:bodyPr upright="1"/>
                          </wps:wsp>
                          <wps:wsp>
                            <wps:cNvPr id="566" name="文本框 310"/>
                            <wps:cNvSpPr txBox="1"/>
                            <wps:spPr>
                              <a:xfrm>
                                <a:off x="2567" y="4603"/>
                                <a:ext cx="1476"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CE610A0">
                                  <w:pPr>
                                    <w:pStyle w:val="105"/>
                                    <w:jc w:val="center"/>
                                  </w:pPr>
                                  <w:r>
                                    <w:rPr>
                                      <w:rFonts w:hint="eastAsia"/>
                                    </w:rPr>
                                    <w:t>下料斗</w:t>
                                  </w:r>
                                </w:p>
                              </w:txbxContent>
                            </wps:txbx>
                            <wps:bodyPr upright="1"/>
                          </wps:wsp>
                          <wps:wsp>
                            <wps:cNvPr id="567" name="文本框 311"/>
                            <wps:cNvSpPr txBox="1"/>
                            <wps:spPr>
                              <a:xfrm>
                                <a:off x="8659" y="4603"/>
                                <a:ext cx="1476"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3606C94">
                                  <w:pPr>
                                    <w:pStyle w:val="105"/>
                                  </w:pPr>
                                  <w:r>
                                    <w:rPr>
                                      <w:rFonts w:hint="eastAsia"/>
                                    </w:rPr>
                                    <w:t>下料斗</w:t>
                                  </w:r>
                                </w:p>
                              </w:txbxContent>
                            </wps:txbx>
                            <wps:bodyPr upright="1"/>
                          </wps:wsp>
                          <wps:wsp>
                            <wps:cNvPr id="568" name="文本框 312"/>
                            <wps:cNvSpPr txBox="1"/>
                            <wps:spPr>
                              <a:xfrm>
                                <a:off x="5441" y="6216"/>
                                <a:ext cx="1741"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4369D6A">
                                  <w:pPr>
                                    <w:pStyle w:val="105"/>
                                  </w:pPr>
                                  <w:r>
                                    <w:rPr>
                                      <w:rFonts w:hint="eastAsia"/>
                                    </w:rPr>
                                    <w:t>拌和站拌和</w:t>
                                  </w:r>
                                </w:p>
                                <w:p w14:paraId="5F0A87C5">
                                  <w:pPr>
                                    <w:ind w:firstLine="31680"/>
                                  </w:pPr>
                                </w:p>
                                <w:p w14:paraId="68085CB6">
                                  <w:pPr>
                                    <w:pStyle w:val="22"/>
                                    <w:ind w:firstLine="31680"/>
                                  </w:pPr>
                                </w:p>
                              </w:txbxContent>
                            </wps:txbx>
                            <wps:bodyPr upright="1"/>
                          </wps:wsp>
                          <wps:wsp>
                            <wps:cNvPr id="569" name="文本框 313"/>
                            <wps:cNvSpPr txBox="1"/>
                            <wps:spPr>
                              <a:xfrm>
                                <a:off x="5705" y="7022"/>
                                <a:ext cx="1712"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517CA68">
                                  <w:pPr>
                                    <w:pStyle w:val="105"/>
                                  </w:pPr>
                                  <w:r>
                                    <w:rPr>
                                      <w:rFonts w:hint="eastAsia"/>
                                    </w:rPr>
                                    <w:t>混合料运输</w:t>
                                  </w:r>
                                </w:p>
                              </w:txbxContent>
                            </wps:txbx>
                            <wps:bodyPr upright="1"/>
                          </wps:wsp>
                          <wps:wsp>
                            <wps:cNvPr id="570" name="文本框 314"/>
                            <wps:cNvSpPr txBox="1"/>
                            <wps:spPr>
                              <a:xfrm>
                                <a:off x="5705" y="7828"/>
                                <a:ext cx="1477" cy="4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683D42B">
                                  <w:pPr>
                                    <w:pStyle w:val="105"/>
                                  </w:pPr>
                                  <w:r>
                                    <w:rPr>
                                      <w:rFonts w:hint="eastAsia"/>
                                    </w:rPr>
                                    <w:t>施工放样</w:t>
                                  </w:r>
                                </w:p>
                              </w:txbxContent>
                            </wps:txbx>
                            <wps:bodyPr upright="1"/>
                          </wps:wsp>
                          <wps:wsp>
                            <wps:cNvPr id="571" name="文本框 315"/>
                            <wps:cNvSpPr txBox="1"/>
                            <wps:spPr>
                              <a:xfrm>
                                <a:off x="5705" y="9439"/>
                                <a:ext cx="1477"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7A590B7">
                                  <w:pPr>
                                    <w:pStyle w:val="105"/>
                                  </w:pPr>
                                  <w:r>
                                    <w:rPr>
                                      <w:rFonts w:hint="eastAsia"/>
                                    </w:rPr>
                                    <w:t>整型</w:t>
                                  </w:r>
                                  <w:r>
                                    <w:t xml:space="preserve">  </w:t>
                                  </w:r>
                                </w:p>
                                <w:p w14:paraId="167B0A2D">
                                  <w:pPr>
                                    <w:pStyle w:val="105"/>
                                    <w:rPr>
                                      <w:sz w:val="18"/>
                                      <w:szCs w:val="18"/>
                                    </w:rPr>
                                  </w:pPr>
                                </w:p>
                                <w:p w14:paraId="735B356A">
                                  <w:pPr>
                                    <w:pStyle w:val="105"/>
                                    <w:rPr>
                                      <w:sz w:val="18"/>
                                      <w:szCs w:val="18"/>
                                    </w:rPr>
                                  </w:pPr>
                                  <w:r>
                                    <w:rPr>
                                      <w:sz w:val="18"/>
                                      <w:szCs w:val="18"/>
                                    </w:rPr>
                                    <w:t xml:space="preserve">    </w:t>
                                  </w:r>
                                </w:p>
                              </w:txbxContent>
                            </wps:txbx>
                            <wps:bodyPr upright="1"/>
                          </wps:wsp>
                          <wps:wsp>
                            <wps:cNvPr id="572" name="文本框 316"/>
                            <wps:cNvSpPr txBox="1"/>
                            <wps:spPr>
                              <a:xfrm>
                                <a:off x="5705" y="8634"/>
                                <a:ext cx="1731" cy="4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C23E32D">
                                  <w:pPr>
                                    <w:pStyle w:val="105"/>
                                  </w:pPr>
                                  <w:r>
                                    <w:rPr>
                                      <w:rFonts w:hint="eastAsia"/>
                                    </w:rPr>
                                    <w:t>混合料摊铺</w:t>
                                  </w:r>
                                </w:p>
                              </w:txbxContent>
                            </wps:txbx>
                            <wps:bodyPr upright="1"/>
                          </wps:wsp>
                          <wps:wsp>
                            <wps:cNvPr id="573" name="直线 317"/>
                            <wps:cNvCnPr/>
                            <wps:spPr>
                              <a:xfrm>
                                <a:off x="3305" y="2455"/>
                                <a:ext cx="0" cy="806"/>
                              </a:xfrm>
                              <a:prstGeom prst="line">
                                <a:avLst/>
                              </a:prstGeom>
                              <a:ln w="3175" cap="flat" cmpd="sng">
                                <a:solidFill>
                                  <a:srgbClr val="000000"/>
                                </a:solidFill>
                                <a:prstDash val="solid"/>
                                <a:headEnd type="none" w="med" len="med"/>
                                <a:tailEnd type="triangle" w="med" len="med"/>
                              </a:ln>
                            </wps:spPr>
                            <wps:bodyPr upright="1"/>
                          </wps:wsp>
                          <wps:wsp>
                            <wps:cNvPr id="574" name="直线 318"/>
                            <wps:cNvCnPr/>
                            <wps:spPr>
                              <a:xfrm>
                                <a:off x="9397" y="2455"/>
                                <a:ext cx="0" cy="806"/>
                              </a:xfrm>
                              <a:prstGeom prst="line">
                                <a:avLst/>
                              </a:prstGeom>
                              <a:ln w="3175" cap="flat" cmpd="sng">
                                <a:solidFill>
                                  <a:srgbClr val="000000"/>
                                </a:solidFill>
                                <a:prstDash val="solid"/>
                                <a:headEnd type="none" w="med" len="med"/>
                                <a:tailEnd type="triangle" w="med" len="med"/>
                              </a:ln>
                            </wps:spPr>
                            <wps:bodyPr upright="1"/>
                          </wps:wsp>
                          <wps:wsp>
                            <wps:cNvPr id="575" name="文本框 319"/>
                            <wps:cNvSpPr txBox="1"/>
                            <wps:spPr>
                              <a:xfrm>
                                <a:off x="5705" y="10245"/>
                                <a:ext cx="1477"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5FE7D1D">
                                  <w:pPr>
                                    <w:pStyle w:val="105"/>
                                  </w:pPr>
                                  <w:r>
                                    <w:rPr>
                                      <w:rFonts w:hint="eastAsia"/>
                                    </w:rPr>
                                    <w:t>碾压</w:t>
                                  </w:r>
                                </w:p>
                                <w:p w14:paraId="005DFBEB">
                                  <w:pPr>
                                    <w:ind w:firstLine="31680"/>
                                  </w:pPr>
                                </w:p>
                              </w:txbxContent>
                            </wps:txbx>
                            <wps:bodyPr upright="1"/>
                          </wps:wsp>
                          <wps:wsp>
                            <wps:cNvPr id="576" name="文本框 320"/>
                            <wps:cNvSpPr txBox="1"/>
                            <wps:spPr>
                              <a:xfrm>
                                <a:off x="5520" y="11051"/>
                                <a:ext cx="2050" cy="4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5BCAEEA">
                                  <w:pPr>
                                    <w:pStyle w:val="105"/>
                                  </w:pPr>
                                  <w:r>
                                    <w:rPr>
                                      <w:rFonts w:hint="eastAsia"/>
                                    </w:rPr>
                                    <w:t>接缝及调头处理</w:t>
                                  </w:r>
                                </w:p>
                              </w:txbxContent>
                            </wps:txbx>
                            <wps:bodyPr upright="1"/>
                          </wps:wsp>
                          <wps:wsp>
                            <wps:cNvPr id="577" name="文本框 321"/>
                            <wps:cNvSpPr txBox="1"/>
                            <wps:spPr>
                              <a:xfrm>
                                <a:off x="5705" y="11857"/>
                                <a:ext cx="1477" cy="4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D6EFDB3">
                                  <w:pPr>
                                    <w:pStyle w:val="105"/>
                                  </w:pPr>
                                  <w:r>
                                    <w:rPr>
                                      <w:rFonts w:hint="eastAsia"/>
                                    </w:rPr>
                                    <w:t>保湿养护</w:t>
                                  </w:r>
                                </w:p>
                              </w:txbxContent>
                            </wps:txbx>
                            <wps:bodyPr upright="1"/>
                          </wps:wsp>
                          <wps:wsp>
                            <wps:cNvPr id="578" name="文本框 322"/>
                            <wps:cNvSpPr txBox="1"/>
                            <wps:spPr>
                              <a:xfrm>
                                <a:off x="5705" y="12663"/>
                                <a:ext cx="1477"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6DA307E">
                                  <w:pPr>
                                    <w:pStyle w:val="105"/>
                                  </w:pPr>
                                  <w:r>
                                    <w:rPr>
                                      <w:rFonts w:hint="eastAsia"/>
                                    </w:rPr>
                                    <w:t>检查验收</w:t>
                                  </w:r>
                                </w:p>
                              </w:txbxContent>
                            </wps:txbx>
                            <wps:bodyPr upright="1"/>
                          </wps:wsp>
                          <wps:wsp>
                            <wps:cNvPr id="579" name="文本框 323"/>
                            <wps:cNvSpPr txBox="1"/>
                            <wps:spPr>
                              <a:xfrm>
                                <a:off x="5705" y="2672"/>
                                <a:ext cx="1477" cy="40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8B44FF8">
                                  <w:pPr>
                                    <w:pStyle w:val="105"/>
                                  </w:pPr>
                                  <w:r>
                                    <w:rPr>
                                      <w:rFonts w:hint="eastAsia"/>
                                    </w:rPr>
                                    <w:t>原材料试验</w:t>
                                  </w:r>
                                </w:p>
                              </w:txbxContent>
                            </wps:txbx>
                            <wps:bodyPr lIns="91440" tIns="18000" rIns="91440" bIns="18000" upright="1"/>
                          </wps:wsp>
                          <wps:wsp>
                            <wps:cNvPr id="580" name="直线 324"/>
                            <wps:cNvCnPr/>
                            <wps:spPr>
                              <a:xfrm flipH="1">
                                <a:off x="3305" y="2858"/>
                                <a:ext cx="2400" cy="0"/>
                              </a:xfrm>
                              <a:prstGeom prst="line">
                                <a:avLst/>
                              </a:prstGeom>
                              <a:ln w="3175" cap="flat" cmpd="sng">
                                <a:solidFill>
                                  <a:srgbClr val="000000"/>
                                </a:solidFill>
                                <a:prstDash val="solid"/>
                                <a:headEnd type="none" w="med" len="med"/>
                                <a:tailEnd type="none" w="med" len="med"/>
                              </a:ln>
                            </wps:spPr>
                            <wps:bodyPr upright="1"/>
                          </wps:wsp>
                          <wps:wsp>
                            <wps:cNvPr id="581" name="直线 325"/>
                            <wps:cNvCnPr/>
                            <wps:spPr>
                              <a:xfrm>
                                <a:off x="7148" y="2851"/>
                                <a:ext cx="2249" cy="7"/>
                              </a:xfrm>
                              <a:prstGeom prst="line">
                                <a:avLst/>
                              </a:prstGeom>
                              <a:ln w="3175" cap="flat" cmpd="sng">
                                <a:solidFill>
                                  <a:srgbClr val="000000"/>
                                </a:solidFill>
                                <a:prstDash val="solid"/>
                                <a:headEnd type="none" w="med" len="med"/>
                                <a:tailEnd type="none" w="med" len="med"/>
                              </a:ln>
                            </wps:spPr>
                            <wps:bodyPr upright="1"/>
                          </wps:wsp>
                          <wps:wsp>
                            <wps:cNvPr id="582" name="文本框 326"/>
                            <wps:cNvSpPr txBox="1"/>
                            <wps:spPr>
                              <a:xfrm>
                                <a:off x="5510" y="3897"/>
                                <a:ext cx="1661" cy="40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7F92FF4">
                                  <w:pPr>
                                    <w:pStyle w:val="105"/>
                                  </w:pPr>
                                  <w:r>
                                    <w:rPr>
                                      <w:rFonts w:hint="eastAsia"/>
                                    </w:rPr>
                                    <w:t>按比例进料</w:t>
                                  </w:r>
                                </w:p>
                              </w:txbxContent>
                            </wps:txbx>
                            <wps:bodyPr lIns="91440" tIns="18000" rIns="91440" bIns="18000" upright="1"/>
                          </wps:wsp>
                          <wps:wsp>
                            <wps:cNvPr id="583" name="直线 327"/>
                            <wps:cNvCnPr/>
                            <wps:spPr>
                              <a:xfrm>
                                <a:off x="3305" y="3664"/>
                                <a:ext cx="0" cy="940"/>
                              </a:xfrm>
                              <a:prstGeom prst="line">
                                <a:avLst/>
                              </a:prstGeom>
                              <a:ln w="3175" cap="flat" cmpd="sng">
                                <a:solidFill>
                                  <a:srgbClr val="000000"/>
                                </a:solidFill>
                                <a:prstDash val="solid"/>
                                <a:headEnd type="none" w="med" len="med"/>
                                <a:tailEnd type="triangle" w="med" len="med"/>
                              </a:ln>
                            </wps:spPr>
                            <wps:bodyPr upright="1"/>
                          </wps:wsp>
                          <wps:wsp>
                            <wps:cNvPr id="584" name="直线 328"/>
                            <wps:cNvCnPr/>
                            <wps:spPr>
                              <a:xfrm>
                                <a:off x="9397" y="3664"/>
                                <a:ext cx="0" cy="940"/>
                              </a:xfrm>
                              <a:prstGeom prst="line">
                                <a:avLst/>
                              </a:prstGeom>
                              <a:ln w="3175" cap="flat" cmpd="sng">
                                <a:solidFill>
                                  <a:srgbClr val="000000"/>
                                </a:solidFill>
                                <a:prstDash val="solid"/>
                                <a:headEnd type="none" w="med" len="med"/>
                                <a:tailEnd type="triangle" w="med" len="med"/>
                              </a:ln>
                            </wps:spPr>
                            <wps:bodyPr upright="1"/>
                          </wps:wsp>
                          <wps:wsp>
                            <wps:cNvPr id="585" name="直线 329"/>
                            <wps:cNvCnPr/>
                            <wps:spPr>
                              <a:xfrm flipH="1" flipV="1">
                                <a:off x="3305" y="4067"/>
                                <a:ext cx="2194" cy="8"/>
                              </a:xfrm>
                              <a:prstGeom prst="line">
                                <a:avLst/>
                              </a:prstGeom>
                              <a:ln w="3175" cap="flat" cmpd="sng">
                                <a:solidFill>
                                  <a:srgbClr val="000000"/>
                                </a:solidFill>
                                <a:prstDash val="solid"/>
                                <a:headEnd type="none" w="med" len="med"/>
                                <a:tailEnd type="none" w="med" len="med"/>
                              </a:ln>
                            </wps:spPr>
                            <wps:bodyPr upright="1"/>
                          </wps:wsp>
                          <wps:wsp>
                            <wps:cNvPr id="586" name="直线 330"/>
                            <wps:cNvCnPr/>
                            <wps:spPr>
                              <a:xfrm>
                                <a:off x="7167" y="4058"/>
                                <a:ext cx="2230" cy="9"/>
                              </a:xfrm>
                              <a:prstGeom prst="line">
                                <a:avLst/>
                              </a:prstGeom>
                              <a:ln w="3175" cap="flat" cmpd="sng">
                                <a:solidFill>
                                  <a:srgbClr val="000000"/>
                                </a:solidFill>
                                <a:prstDash val="solid"/>
                                <a:headEnd type="none" w="med" len="med"/>
                                <a:tailEnd type="none" w="med" len="med"/>
                              </a:ln>
                            </wps:spPr>
                            <wps:bodyPr upright="1"/>
                          </wps:wsp>
                          <wps:wsp>
                            <wps:cNvPr id="587" name="直线 331"/>
                            <wps:cNvCnPr/>
                            <wps:spPr>
                              <a:xfrm>
                                <a:off x="3305" y="5679"/>
                                <a:ext cx="6092" cy="0"/>
                              </a:xfrm>
                              <a:prstGeom prst="line">
                                <a:avLst/>
                              </a:prstGeom>
                              <a:ln w="3175" cap="flat" cmpd="sng">
                                <a:solidFill>
                                  <a:srgbClr val="000000"/>
                                </a:solidFill>
                                <a:prstDash val="solid"/>
                                <a:headEnd type="none" w="med" len="med"/>
                                <a:tailEnd type="none" w="med" len="med"/>
                              </a:ln>
                            </wps:spPr>
                            <wps:bodyPr upright="1"/>
                          </wps:wsp>
                          <wps:wsp>
                            <wps:cNvPr id="588" name="直线 332"/>
                            <wps:cNvCnPr/>
                            <wps:spPr>
                              <a:xfrm>
                                <a:off x="3305" y="5007"/>
                                <a:ext cx="0" cy="672"/>
                              </a:xfrm>
                              <a:prstGeom prst="line">
                                <a:avLst/>
                              </a:prstGeom>
                              <a:ln w="3175" cap="flat" cmpd="sng">
                                <a:solidFill>
                                  <a:srgbClr val="000000"/>
                                </a:solidFill>
                                <a:prstDash val="solid"/>
                                <a:headEnd type="none" w="med" len="med"/>
                                <a:tailEnd type="none" w="med" len="med"/>
                              </a:ln>
                            </wps:spPr>
                            <wps:bodyPr upright="1"/>
                          </wps:wsp>
                          <wps:wsp>
                            <wps:cNvPr id="589" name="直线 333"/>
                            <wps:cNvCnPr/>
                            <wps:spPr>
                              <a:xfrm>
                                <a:off x="9397" y="5007"/>
                                <a:ext cx="0" cy="672"/>
                              </a:xfrm>
                              <a:prstGeom prst="line">
                                <a:avLst/>
                              </a:prstGeom>
                              <a:ln w="3175" cap="flat" cmpd="sng">
                                <a:solidFill>
                                  <a:srgbClr val="000000"/>
                                </a:solidFill>
                                <a:prstDash val="solid"/>
                                <a:headEnd type="none" w="med" len="med"/>
                                <a:tailEnd type="none" w="med" len="med"/>
                              </a:ln>
                            </wps:spPr>
                            <wps:bodyPr upright="1"/>
                          </wps:wsp>
                          <wps:wsp>
                            <wps:cNvPr id="590" name="直线 334"/>
                            <wps:cNvCnPr/>
                            <wps:spPr>
                              <a:xfrm>
                                <a:off x="6443" y="5679"/>
                                <a:ext cx="0" cy="537"/>
                              </a:xfrm>
                              <a:prstGeom prst="line">
                                <a:avLst/>
                              </a:prstGeom>
                              <a:ln w="3175" cap="flat" cmpd="sng">
                                <a:solidFill>
                                  <a:srgbClr val="000000"/>
                                </a:solidFill>
                                <a:prstDash val="solid"/>
                                <a:headEnd type="none" w="med" len="med"/>
                                <a:tailEnd type="triangle" w="med" len="med"/>
                              </a:ln>
                            </wps:spPr>
                            <wps:bodyPr upright="1"/>
                          </wps:wsp>
                          <wps:wsp>
                            <wps:cNvPr id="591" name="文本框 335"/>
                            <wps:cNvSpPr txBox="1"/>
                            <wps:spPr>
                              <a:xfrm>
                                <a:off x="8289" y="6216"/>
                                <a:ext cx="1685"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3556DBD">
                                  <w:pPr>
                                    <w:pStyle w:val="105"/>
                                  </w:pPr>
                                  <w:r>
                                    <w:rPr>
                                      <w:rFonts w:hint="eastAsia"/>
                                    </w:rPr>
                                    <w:t>混合料检查</w:t>
                                  </w:r>
                                </w:p>
                              </w:txbxContent>
                            </wps:txbx>
                            <wps:bodyPr upright="1"/>
                          </wps:wsp>
                          <wps:wsp>
                            <wps:cNvPr id="592" name="直线 336"/>
                            <wps:cNvCnPr/>
                            <wps:spPr>
                              <a:xfrm flipH="1">
                                <a:off x="4782" y="7156"/>
                                <a:ext cx="923" cy="0"/>
                              </a:xfrm>
                              <a:prstGeom prst="line">
                                <a:avLst/>
                              </a:prstGeom>
                              <a:ln w="3175" cap="flat" cmpd="sng">
                                <a:solidFill>
                                  <a:srgbClr val="000000"/>
                                </a:solidFill>
                                <a:prstDash val="solid"/>
                                <a:headEnd type="none" w="med" len="med"/>
                                <a:tailEnd type="none" w="med" len="med"/>
                              </a:ln>
                            </wps:spPr>
                            <wps:bodyPr upright="1"/>
                          </wps:wsp>
                          <wps:wsp>
                            <wps:cNvPr id="593" name="直线 337"/>
                            <wps:cNvCnPr/>
                            <wps:spPr>
                              <a:xfrm>
                                <a:off x="4782" y="7156"/>
                                <a:ext cx="0" cy="1612"/>
                              </a:xfrm>
                              <a:prstGeom prst="line">
                                <a:avLst/>
                              </a:prstGeom>
                              <a:ln w="3175" cap="flat" cmpd="sng">
                                <a:solidFill>
                                  <a:srgbClr val="000000"/>
                                </a:solidFill>
                                <a:prstDash val="solid"/>
                                <a:headEnd type="none" w="med" len="med"/>
                                <a:tailEnd type="none" w="med" len="med"/>
                              </a:ln>
                            </wps:spPr>
                            <wps:bodyPr upright="1"/>
                          </wps:wsp>
                          <wps:wsp>
                            <wps:cNvPr id="594" name="直线 338"/>
                            <wps:cNvCnPr/>
                            <wps:spPr>
                              <a:xfrm>
                                <a:off x="6443" y="9036"/>
                                <a:ext cx="0" cy="403"/>
                              </a:xfrm>
                              <a:prstGeom prst="line">
                                <a:avLst/>
                              </a:prstGeom>
                              <a:ln w="3175" cap="flat" cmpd="sng">
                                <a:solidFill>
                                  <a:srgbClr val="000000"/>
                                </a:solidFill>
                                <a:prstDash val="solid"/>
                                <a:headEnd type="none" w="med" len="med"/>
                                <a:tailEnd type="triangle" w="med" len="med"/>
                              </a:ln>
                            </wps:spPr>
                            <wps:bodyPr upright="1"/>
                          </wps:wsp>
                          <wps:wsp>
                            <wps:cNvPr id="595" name="直线 339"/>
                            <wps:cNvCnPr/>
                            <wps:spPr>
                              <a:xfrm>
                                <a:off x="6443" y="9842"/>
                                <a:ext cx="0" cy="403"/>
                              </a:xfrm>
                              <a:prstGeom prst="line">
                                <a:avLst/>
                              </a:prstGeom>
                              <a:ln w="3175" cap="flat" cmpd="sng">
                                <a:solidFill>
                                  <a:srgbClr val="000000"/>
                                </a:solidFill>
                                <a:prstDash val="solid"/>
                                <a:headEnd type="none" w="med" len="med"/>
                                <a:tailEnd type="triangle" w="med" len="med"/>
                              </a:ln>
                            </wps:spPr>
                            <wps:bodyPr upright="1"/>
                          </wps:wsp>
                          <wps:wsp>
                            <wps:cNvPr id="596" name="直线 340"/>
                            <wps:cNvCnPr/>
                            <wps:spPr>
                              <a:xfrm>
                                <a:off x="6443" y="10648"/>
                                <a:ext cx="0" cy="403"/>
                              </a:xfrm>
                              <a:prstGeom prst="line">
                                <a:avLst/>
                              </a:prstGeom>
                              <a:ln w="3175" cap="flat" cmpd="sng">
                                <a:solidFill>
                                  <a:srgbClr val="000000"/>
                                </a:solidFill>
                                <a:prstDash val="solid"/>
                                <a:headEnd type="none" w="med" len="med"/>
                                <a:tailEnd type="triangle" w="med" len="med"/>
                              </a:ln>
                            </wps:spPr>
                            <wps:bodyPr upright="1"/>
                          </wps:wsp>
                          <wps:wsp>
                            <wps:cNvPr id="597" name="直线 341"/>
                            <wps:cNvCnPr/>
                            <wps:spPr>
                              <a:xfrm>
                                <a:off x="6443" y="11454"/>
                                <a:ext cx="0" cy="403"/>
                              </a:xfrm>
                              <a:prstGeom prst="line">
                                <a:avLst/>
                              </a:prstGeom>
                              <a:ln w="3175" cap="flat" cmpd="sng">
                                <a:solidFill>
                                  <a:srgbClr val="000000"/>
                                </a:solidFill>
                                <a:prstDash val="solid"/>
                                <a:headEnd type="none" w="med" len="med"/>
                                <a:tailEnd type="triangle" w="med" len="med"/>
                              </a:ln>
                            </wps:spPr>
                            <wps:bodyPr upright="1"/>
                          </wps:wsp>
                          <wps:wsp>
                            <wps:cNvPr id="598" name="直线 342"/>
                            <wps:cNvCnPr/>
                            <wps:spPr>
                              <a:xfrm>
                                <a:off x="6443" y="12260"/>
                                <a:ext cx="0" cy="403"/>
                              </a:xfrm>
                              <a:prstGeom prst="line">
                                <a:avLst/>
                              </a:prstGeom>
                              <a:ln w="3175" cap="flat" cmpd="sng">
                                <a:solidFill>
                                  <a:srgbClr val="000000"/>
                                </a:solidFill>
                                <a:prstDash val="solid"/>
                                <a:headEnd type="none" w="med" len="med"/>
                                <a:tailEnd type="triangle" w="med" len="med"/>
                              </a:ln>
                            </wps:spPr>
                            <wps:bodyPr upright="1"/>
                          </wps:wsp>
                          <wps:wsp>
                            <wps:cNvPr id="599" name="直线 343"/>
                            <wps:cNvCnPr/>
                            <wps:spPr>
                              <a:xfrm>
                                <a:off x="7182" y="10514"/>
                                <a:ext cx="657" cy="2"/>
                              </a:xfrm>
                              <a:prstGeom prst="line">
                                <a:avLst/>
                              </a:prstGeom>
                              <a:ln w="3175" cap="flat" cmpd="sng">
                                <a:solidFill>
                                  <a:srgbClr val="000000"/>
                                </a:solidFill>
                                <a:prstDash val="solid"/>
                                <a:headEnd type="none" w="med" len="med"/>
                                <a:tailEnd type="none" w="med" len="med"/>
                              </a:ln>
                            </wps:spPr>
                            <wps:bodyPr upright="1"/>
                          </wps:wsp>
                          <wps:wsp>
                            <wps:cNvPr id="600" name="直线 344"/>
                            <wps:cNvCnPr/>
                            <wps:spPr>
                              <a:xfrm flipH="1">
                                <a:off x="7474" y="8768"/>
                                <a:ext cx="369" cy="0"/>
                              </a:xfrm>
                              <a:prstGeom prst="line">
                                <a:avLst/>
                              </a:prstGeom>
                              <a:ln w="3175" cap="flat" cmpd="sng">
                                <a:solidFill>
                                  <a:srgbClr val="000000"/>
                                </a:solidFill>
                                <a:prstDash val="solid"/>
                                <a:headEnd type="none" w="med" len="med"/>
                                <a:tailEnd type="triangle" w="med" len="med"/>
                              </a:ln>
                            </wps:spPr>
                            <wps:bodyPr upright="1"/>
                          </wps:wsp>
                          <wps:wsp>
                            <wps:cNvPr id="601" name="直线 345"/>
                            <wps:cNvCnPr/>
                            <wps:spPr>
                              <a:xfrm>
                                <a:off x="7843" y="8768"/>
                                <a:ext cx="0" cy="1746"/>
                              </a:xfrm>
                              <a:prstGeom prst="line">
                                <a:avLst/>
                              </a:prstGeom>
                              <a:ln w="3175" cap="flat" cmpd="sng">
                                <a:solidFill>
                                  <a:srgbClr val="000000"/>
                                </a:solidFill>
                                <a:prstDash val="solid"/>
                                <a:headEnd type="none" w="med" len="med"/>
                                <a:tailEnd type="none" w="med" len="med"/>
                              </a:ln>
                            </wps:spPr>
                            <wps:bodyPr upright="1"/>
                          </wps:wsp>
                          <wps:wsp>
                            <wps:cNvPr id="602" name="直线 346"/>
                            <wps:cNvCnPr/>
                            <wps:spPr>
                              <a:xfrm>
                                <a:off x="7182" y="6350"/>
                                <a:ext cx="1107" cy="0"/>
                              </a:xfrm>
                              <a:prstGeom prst="line">
                                <a:avLst/>
                              </a:prstGeom>
                              <a:ln w="3175" cap="flat" cmpd="sng">
                                <a:solidFill>
                                  <a:srgbClr val="000000"/>
                                </a:solidFill>
                                <a:prstDash val="solid"/>
                                <a:headEnd type="none" w="med" len="med"/>
                                <a:tailEnd type="triangle" w="med" len="med"/>
                              </a:ln>
                            </wps:spPr>
                            <wps:bodyPr upright="1"/>
                          </wps:wsp>
                          <wps:wsp>
                            <wps:cNvPr id="603" name="直线 347"/>
                            <wps:cNvCnPr/>
                            <wps:spPr>
                              <a:xfrm flipH="1" flipV="1">
                                <a:off x="9028" y="6619"/>
                                <a:ext cx="0" cy="537"/>
                              </a:xfrm>
                              <a:prstGeom prst="line">
                                <a:avLst/>
                              </a:prstGeom>
                              <a:ln w="3175" cap="flat" cmpd="sng">
                                <a:solidFill>
                                  <a:srgbClr val="000000"/>
                                </a:solidFill>
                                <a:prstDash val="solid"/>
                                <a:headEnd type="none" w="med" len="med"/>
                                <a:tailEnd type="none" w="med" len="med"/>
                              </a:ln>
                            </wps:spPr>
                            <wps:bodyPr upright="1"/>
                          </wps:wsp>
                          <wps:wsp>
                            <wps:cNvPr id="604" name="直线 348"/>
                            <wps:cNvCnPr/>
                            <wps:spPr>
                              <a:xfrm flipH="1" flipV="1">
                                <a:off x="7455" y="7150"/>
                                <a:ext cx="1573" cy="6"/>
                              </a:xfrm>
                              <a:prstGeom prst="line">
                                <a:avLst/>
                              </a:prstGeom>
                              <a:ln w="3175" cap="flat" cmpd="sng">
                                <a:solidFill>
                                  <a:srgbClr val="000000"/>
                                </a:solidFill>
                                <a:prstDash val="solid"/>
                                <a:headEnd type="none" w="med" len="med"/>
                                <a:tailEnd type="triangle" w="med" len="med"/>
                              </a:ln>
                            </wps:spPr>
                            <wps:bodyPr upright="1"/>
                          </wps:wsp>
                          <wps:wsp>
                            <wps:cNvPr id="605" name="直线 349"/>
                            <wps:cNvCnPr/>
                            <wps:spPr>
                              <a:xfrm>
                                <a:off x="6443" y="7425"/>
                                <a:ext cx="0" cy="403"/>
                              </a:xfrm>
                              <a:prstGeom prst="line">
                                <a:avLst/>
                              </a:prstGeom>
                              <a:ln w="3175" cap="flat" cmpd="sng">
                                <a:solidFill>
                                  <a:srgbClr val="000000"/>
                                </a:solidFill>
                                <a:prstDash val="solid"/>
                                <a:headEnd type="none" w="med" len="med"/>
                                <a:tailEnd type="triangle" w="med" len="med"/>
                              </a:ln>
                            </wps:spPr>
                            <wps:bodyPr upright="1"/>
                          </wps:wsp>
                        </wpg:grpSp>
                      </wpg:grpSp>
                    </wpg:wgp>
                  </a:graphicData>
                </a:graphic>
              </wp:anchor>
            </w:drawing>
          </mc:Choice>
          <mc:Fallback>
            <w:pict>
              <v:group id="组合 1128" o:spid="_x0000_s1026" o:spt="203" style="position:absolute;left:0pt;margin-left:71.8pt;margin-top:16pt;height:504.85pt;width:359.1pt;mso-wrap-distance-bottom:0pt;mso-wrap-distance-top:0pt;z-index:251728896;mso-width-relative:page;mso-height-relative:page;" coordorigin="2567,2052" coordsize="7568,11045" o:gfxdata="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">
                <o:lock v:ext="edit" aspectratio="f"/>
                <v:line id="直线 301" o:spid="_x0000_s1026" o:spt="20" style="position:absolute;left:6428;top:6619;height:403;width:0;" filled="f" stroked="t" coordsize="21600,21600" o:gfxdata="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4Kcr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group id="组合 1130" o:spid="_x0000_s1026" o:spt="203" style="position:absolute;left:2567;top:2052;height:11045;width:7568;" coordorigin="2567,2052" coordsize="7568,11045" o:gfxdata="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yYo01vwAAAN0AAAAPAAAAAAAAAAEAIAAAACIAAABkcnMvZG93bnJldi54&#10;bWxQSwECFAAUAAAACACHTuJAMy8FnjsAAAA5AAAAFQAAAAAAAAABACAAAAAOAQAAZHJzL2dyb3Vw&#10;c2hhcGV4bWwueG1sUEsFBgAAAAAGAAYAYAEAAMsDAAAAAA==&#10;">
                  <o:lock v:ext="edit" aspectratio="f"/>
                  <v:line id="直线 303" o:spid="_x0000_s1026" o:spt="20" style="position:absolute;left:6459;top:8231;height:403;width:0;" filled="f" stroked="t" coordsize="21600,21600" o:gfxdata="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0hpUrgAAADcAAAA&#10;DwAAAAAAAAABACAAAAAiAAAAZHJzL2Rvd25yZXYueG1sUEsBAhQAFAAAAAgAh07iQDMvBZ47AAAA&#10;OQAAABAAAAAAAAAAAQAgAAAABwEAAGRycy9zaGFwZXhtbC54bWxQSwUGAAAAAAYABgBbAQAAsQMA&#10;AAAA&#10;">
                    <v:fill on="f" focussize="0,0"/>
                    <v:stroke weight="0.25pt" color="#000000" joinstyle="round" endarrow="block"/>
                    <v:imagedata o:title=""/>
                    <o:lock v:ext="edit" aspectratio="f"/>
                  </v:line>
                  <v:line id="直线 304" o:spid="_x0000_s1026" o:spt="20" style="position:absolute;left:4797;top:8768;height:0;width:923;" filled="f" stroked="t" coordsize="21600,21600" o:gfxdata="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BMzJ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group id="组合 1133" o:spid="_x0000_s1026" o:spt="203" style="position:absolute;left:2567;top:2052;height:11045;width:7568;" coordorigin="2567,2052" coordsize="7568,11045" o:gfxdata="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0ZR70AAADdAAAADwAAAAAAAAABACAAAAAiAAAAZHJzL2Rvd25yZXYueG1s&#10;UEsBAhQAFAAAAAgAh07iQDMvBZ47AAAAOQAAABUAAAAAAAAAAQAgAAAADAEAAGRycy9ncm91cHNo&#10;YXBleG1sLnhtbFBLBQYAAAAABgAGAGABAADJAwAAAAA=&#10;">
                    <o:lock v:ext="edit" aspectratio="f"/>
                    <v:shape id="文本框 306" o:spid="_x0000_s1026" o:spt="202" type="#_x0000_t202" style="position:absolute;left:2567;top:2052;height:435;width:1476;" fillcolor="#C6D9F1" filled="t" stroked="t" coordsize="21600,21600" o:gfxdata="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UCO3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65D84779">
                            <w:pPr>
                              <w:pStyle w:val="105"/>
                            </w:pPr>
                            <w:r>
                              <w:rPr>
                                <w:rFonts w:hint="eastAsia"/>
                              </w:rPr>
                              <w:t>水泥</w:t>
                            </w:r>
                          </w:p>
                        </w:txbxContent>
                      </v:textbox>
                    </v:shape>
                    <v:shape id="文本框 307" o:spid="_x0000_s1026" o:spt="202" type="#_x0000_t202" style="position:absolute;left:8659;top:2052;height:435;width:1476;" fillcolor="#C6D9F1" filled="t" stroked="t" coordsize="21600,21600" o:gfxdata="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chiy/&#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000AB745">
                            <w:pPr>
                              <w:pStyle w:val="105"/>
                            </w:pPr>
                            <w:r>
                              <w:rPr>
                                <w:rFonts w:hint="eastAsia"/>
                              </w:rPr>
                              <w:t>碎石</w:t>
                            </w:r>
                          </w:p>
                        </w:txbxContent>
                      </v:textbox>
                    </v:shape>
                    <v:shape id="文本框 308" o:spid="_x0000_s1026" o:spt="202" type="#_x0000_t202" style="position:absolute;left:2567;top:3261;height:435;width:1476;" fillcolor="#C6D9F1" filled="t" stroked="t" coordsize="21600,21600" o:gfxdata="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1Hli/&#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0364BF53">
                            <w:pPr>
                              <w:pStyle w:val="105"/>
                            </w:pPr>
                            <w:r>
                              <w:rPr>
                                <w:rFonts w:hint="eastAsia"/>
                              </w:rPr>
                              <w:t>备料</w:t>
                            </w:r>
                          </w:p>
                        </w:txbxContent>
                      </v:textbox>
                    </v:shape>
                    <v:shape id="文本框 309" o:spid="_x0000_s1026" o:spt="202" type="#_x0000_t202" style="position:absolute;left:8659;top:3261;height:435;width:1476;" fillcolor="#C6D9F1" filled="t" stroked="t" coordsize="21600,21600" o:gfxdata="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ubvD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100E227C">
                            <w:pPr>
                              <w:pStyle w:val="105"/>
                            </w:pPr>
                            <w:r>
                              <w:rPr>
                                <w:rFonts w:hint="eastAsia"/>
                              </w:rPr>
                              <w:t>备料</w:t>
                            </w:r>
                          </w:p>
                        </w:txbxContent>
                      </v:textbox>
                    </v:shape>
                    <v:shape id="文本框 310" o:spid="_x0000_s1026" o:spt="202" type="#_x0000_t202" style="position:absolute;left:2567;top:4603;height:435;width:1476;" fillcolor="#C6D9F1" filled="t" stroked="t" coordsize="21600,21600" o:gfxdata="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Wslt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2CE610A0">
                            <w:pPr>
                              <w:pStyle w:val="105"/>
                              <w:jc w:val="center"/>
                            </w:pPr>
                            <w:r>
                              <w:rPr>
                                <w:rFonts w:hint="eastAsia"/>
                              </w:rPr>
                              <w:t>下料斗</w:t>
                            </w:r>
                          </w:p>
                        </w:txbxContent>
                      </v:textbox>
                    </v:shape>
                    <v:shape id="文本框 311" o:spid="_x0000_s1026" o:spt="202" type="#_x0000_t202" style="position:absolute;left:8659;top:4603;height:435;width:1476;" fillcolor="#C6D9F1" filled="t" stroked="t" coordsize="21600,21600" o:gfxdata="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J4Av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13606C94">
                            <w:pPr>
                              <w:pStyle w:val="105"/>
                            </w:pPr>
                            <w:r>
                              <w:rPr>
                                <w:rFonts w:hint="eastAsia"/>
                              </w:rPr>
                              <w:t>下料斗</w:t>
                            </w:r>
                          </w:p>
                        </w:txbxContent>
                      </v:textbox>
                    </v:shape>
                    <v:shape id="文本框 312" o:spid="_x0000_s1026" o:spt="202" type="#_x0000_t202" style="position:absolute;left:5441;top:6216;height:435;width:1741;" fillcolor="#C6D9F1" filled="t" stroked="t" coordsize="21600,21600" o:gfxdata="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uBRd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04369D6A">
                            <w:pPr>
                              <w:pStyle w:val="105"/>
                            </w:pPr>
                            <w:r>
                              <w:rPr>
                                <w:rFonts w:hint="eastAsia"/>
                              </w:rPr>
                              <w:t>拌和站拌和</w:t>
                            </w:r>
                          </w:p>
                          <w:p w14:paraId="5F0A87C5">
                            <w:pPr>
                              <w:ind w:firstLine="31680"/>
                            </w:pPr>
                          </w:p>
                          <w:p w14:paraId="68085CB6">
                            <w:pPr>
                              <w:pStyle w:val="22"/>
                              <w:ind w:firstLine="31680"/>
                            </w:pPr>
                          </w:p>
                        </w:txbxContent>
                      </v:textbox>
                    </v:shape>
                    <v:shape id="文本框 313" o:spid="_x0000_s1026" o:spt="202" type="#_x0000_t202" style="position:absolute;left:5705;top:7022;height:435;width:1712;" fillcolor="#C6D9F1" filled="t" stroked="t" coordsize="21600,21600" o:gfxdata="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9LHG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2517CA68">
                            <w:pPr>
                              <w:pStyle w:val="105"/>
                            </w:pPr>
                            <w:r>
                              <w:rPr>
                                <w:rFonts w:hint="eastAsia"/>
                              </w:rPr>
                              <w:t>混合料运输</w:t>
                            </w:r>
                          </w:p>
                        </w:txbxContent>
                      </v:textbox>
                    </v:shape>
                    <v:shape id="文本框 314" o:spid="_x0000_s1026" o:spt="202" type="#_x0000_t202" style="position:absolute;left:5705;top:7828;height:434;width:1477;" fillcolor="#C6D9F1" filled="t" stroked="t" coordsize="21600,21600" o:gfxdata="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Xjoa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2683D42B">
                            <w:pPr>
                              <w:pStyle w:val="105"/>
                            </w:pPr>
                            <w:r>
                              <w:rPr>
                                <w:rFonts w:hint="eastAsia"/>
                              </w:rPr>
                              <w:t>施工放样</w:t>
                            </w:r>
                          </w:p>
                        </w:txbxContent>
                      </v:textbox>
                    </v:shape>
                    <v:shape id="文本框 315" o:spid="_x0000_s1026" o:spt="202" type="#_x0000_t202" style="position:absolute;left:5705;top:9439;height:435;width:1477;" fillcolor="#C6D9F1" filled="t" stroked="t" coordsize="21600,21600" o:gfxdata="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srH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47A590B7">
                            <w:pPr>
                              <w:pStyle w:val="105"/>
                            </w:pPr>
                            <w:r>
                              <w:rPr>
                                <w:rFonts w:hint="eastAsia"/>
                              </w:rPr>
                              <w:t>整型</w:t>
                            </w:r>
                            <w:r>
                              <w:t xml:space="preserve">  </w:t>
                            </w:r>
                          </w:p>
                          <w:p w14:paraId="167B0A2D">
                            <w:pPr>
                              <w:pStyle w:val="105"/>
                              <w:rPr>
                                <w:sz w:val="18"/>
                                <w:szCs w:val="18"/>
                              </w:rPr>
                            </w:pPr>
                          </w:p>
                          <w:p w14:paraId="735B356A">
                            <w:pPr>
                              <w:pStyle w:val="105"/>
                              <w:rPr>
                                <w:sz w:val="18"/>
                                <w:szCs w:val="18"/>
                              </w:rPr>
                            </w:pPr>
                            <w:r>
                              <w:rPr>
                                <w:sz w:val="18"/>
                                <w:szCs w:val="18"/>
                              </w:rPr>
                              <w:t xml:space="preserve">    </w:t>
                            </w:r>
                          </w:p>
                        </w:txbxContent>
                      </v:textbox>
                    </v:shape>
                    <v:shape id="文本框 316" o:spid="_x0000_s1026" o:spt="202" type="#_x0000_t202" style="position:absolute;left:5705;top:8634;height:434;width:1731;" fillcolor="#C6D9F1" filled="t" stroked="t" coordsize="21600,21600" o:gfxdata="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ibVq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1C23E32D">
                            <w:pPr>
                              <w:pStyle w:val="105"/>
                            </w:pPr>
                            <w:r>
                              <w:rPr>
                                <w:rFonts w:hint="eastAsia"/>
                              </w:rPr>
                              <w:t>混合料摊铺</w:t>
                            </w:r>
                          </w:p>
                        </w:txbxContent>
                      </v:textbox>
                    </v:shape>
                    <v:line id="直线 317" o:spid="_x0000_s1026" o:spt="20" style="position:absolute;left:3305;top:2455;height:806;width:0;" filled="f" stroked="t" coordsize="21600,21600" o:gfxdata="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DYfi/&#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18" o:spid="_x0000_s1026" o:spt="20" style="position:absolute;left:9397;top:2455;height:806;width:0;" filled="f" stroked="t" coordsize="21600,21600" o:gfxdata="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q+Yy/&#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shape id="文本框 319" o:spid="_x0000_s1026" o:spt="202" type="#_x0000_t202" style="position:absolute;left:5705;top:10245;height:435;width:1477;" fillcolor="#C6D9F1" filled="t" stroked="t" coordsize="21600,21600" o:gfxdata="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YC0e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25FE7D1D">
                            <w:pPr>
                              <w:pStyle w:val="105"/>
                            </w:pPr>
                            <w:r>
                              <w:rPr>
                                <w:rFonts w:hint="eastAsia"/>
                              </w:rPr>
                              <w:t>碾压</w:t>
                            </w:r>
                          </w:p>
                          <w:p w14:paraId="005DFBEB">
                            <w:pPr>
                              <w:ind w:firstLine="31680"/>
                            </w:pPr>
                          </w:p>
                        </w:txbxContent>
                      </v:textbox>
                    </v:shape>
                    <v:shape id="文本框 320" o:spid="_x0000_s1026" o:spt="202" type="#_x0000_t202" style="position:absolute;left:5520;top:11051;height:434;width:2050;" fillcolor="#C6D9F1" filled="t" stroked="t" coordsize="21600,21600" o:gfxdata="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srNp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75BCAEEA">
                            <w:pPr>
                              <w:pStyle w:val="105"/>
                            </w:pPr>
                            <w:r>
                              <w:rPr>
                                <w:rFonts w:hint="eastAsia"/>
                              </w:rPr>
                              <w:t>接缝及调头处理</w:t>
                            </w:r>
                          </w:p>
                        </w:txbxContent>
                      </v:textbox>
                    </v:shape>
                    <v:shape id="文本框 321" o:spid="_x0000_s1026" o:spt="202" type="#_x0000_t202" style="position:absolute;left:5705;top:11857;height:434;width:1477;" fillcolor="#C6D9F1" filled="t" stroked="t" coordsize="21600,21600" o:gfxdata="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4W8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7D6EFDB3">
                            <w:pPr>
                              <w:pStyle w:val="105"/>
                            </w:pPr>
                            <w:r>
                              <w:rPr>
                                <w:rFonts w:hint="eastAsia"/>
                              </w:rPr>
                              <w:t>保湿养护</w:t>
                            </w:r>
                          </w:p>
                        </w:txbxContent>
                      </v:textbox>
                    </v:shape>
                    <v:shape id="文本框 322" o:spid="_x0000_s1026" o:spt="202" type="#_x0000_t202" style="position:absolute;left:5705;top:12663;height:435;width:1477;" fillcolor="#C6D9F1" filled="t" stroked="t" coordsize="21600,21600" o:gfxdata="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hgoC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26DA307E">
                            <w:pPr>
                              <w:pStyle w:val="105"/>
                            </w:pPr>
                            <w:r>
                              <w:rPr>
                                <w:rFonts w:hint="eastAsia"/>
                              </w:rPr>
                              <w:t>检查验收</w:t>
                            </w:r>
                          </w:p>
                        </w:txbxContent>
                      </v:textbox>
                    </v:shape>
                    <v:shape id="文本框 323" o:spid="_x0000_s1026" o:spt="202" type="#_x0000_t202" style="position:absolute;left:5705;top:2672;height:402;width:1477;" fillcolor="#C6D9F1" filled="t" stroked="t" coordsize="21600,21600" o:gfxdata="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NJq/&#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2.54mm,0.5mm,2.54mm,0.5mm">
                        <w:txbxContent>
                          <w:p w14:paraId="58B44FF8">
                            <w:pPr>
                              <w:pStyle w:val="105"/>
                            </w:pPr>
                            <w:r>
                              <w:rPr>
                                <w:rFonts w:hint="eastAsia"/>
                              </w:rPr>
                              <w:t>原材料试验</w:t>
                            </w:r>
                          </w:p>
                        </w:txbxContent>
                      </v:textbox>
                    </v:shape>
                    <v:line id="直线 324" o:spid="_x0000_s1026" o:spt="20" style="position:absolute;left:3305;top:2858;flip:x;height:0;width:2400;" filled="f" stroked="t" coordsize="21600,21600" o:gfxdata="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67+ua5AAAA3AAA&#10;AA8AAAAAAAAAAQAgAAAAIgAAAGRycy9kb3ducmV2LnhtbFBLAQIUABQAAAAIAIdO4kAzLwWeOwAA&#10;ADkAAAAQAAAAAAAAAAEAIAAAAAgBAABkcnMvc2hhcGV4bWwueG1sUEsFBgAAAAAGAAYAWwEAALID&#10;AAAAAA==&#10;">
                      <v:fill on="f" focussize="0,0"/>
                      <v:stroke weight="0.25pt" color="#000000" joinstyle="round"/>
                      <v:imagedata o:title=""/>
                      <o:lock v:ext="edit" aspectratio="f"/>
                    </v:line>
                    <v:line id="直线 325" o:spid="_x0000_s1026" o:spt="20" style="position:absolute;left:7148;top:2851;height:7;width:2249;" filled="f" stroked="t" coordsize="21600,21600" o:gfxdata="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J7+/&#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shape id="文本框 326" o:spid="_x0000_s1026" o:spt="202" type="#_x0000_t202" style="position:absolute;left:5510;top:3897;height:403;width:1661;" fillcolor="#C6D9F1" filled="t" stroked="t" coordsize="21600,21600" o:gfxdata="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Y7Wz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2.54mm,0.5mm,2.54mm,0.5mm">
                        <w:txbxContent>
                          <w:p w14:paraId="37F92FF4">
                            <w:pPr>
                              <w:pStyle w:val="105"/>
                            </w:pPr>
                            <w:r>
                              <w:rPr>
                                <w:rFonts w:hint="eastAsia"/>
                              </w:rPr>
                              <w:t>按比例进料</w:t>
                            </w:r>
                          </w:p>
                        </w:txbxContent>
                      </v:textbox>
                    </v:shape>
                    <v:line id="直线 327" o:spid="_x0000_s1026" o:spt="20" style="position:absolute;left:3305;top:3664;height:940;width:0;" filled="f" stroked="t" coordsize="21600,21600" o:gfxdata="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YR37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328" o:spid="_x0000_s1026" o:spt="20" style="position:absolute;left:9397;top:3664;height:940;width:0;" filled="f" stroked="t" coordsize="21600,21600" o:gfxdata="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H+Jq7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329" o:spid="_x0000_s1026" o:spt="20" style="position:absolute;left:3305;top:4067;flip:x y;height:8;width:2194;" filled="f" stroked="t" coordsize="21600,21600" o:gfxdata="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7O9ba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线 330" o:spid="_x0000_s1026" o:spt="20" style="position:absolute;left:7167;top:4058;height:9;width:2230;" filled="f" stroked="t" coordsize="21600,21600" o:gfxdata="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Xv8u/&#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331" o:spid="_x0000_s1026" o:spt="20" style="position:absolute;left:3305;top:5679;height:0;width:6092;" filled="f" stroked="t" coordsize="21600,21600" o:gfxdata="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WxpQ&#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332" o:spid="_x0000_s1026" o:spt="20" style="position:absolute;left:3305;top:5007;height:672;width:0;" filled="f" stroked="t" coordsize="21600,21600" o:gfxdata="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SOIr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线 333" o:spid="_x0000_s1026" o:spt="20" style="position:absolute;left:9397;top:5007;height:672;width:0;" filled="f" stroked="t" coordsize="21600,21600" o:gfxdata="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iCu5&#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334" o:spid="_x0000_s1026" o:spt="20" style="position:absolute;left:6443;top:5679;height:537;width:0;" filled="f" stroked="t" coordsize="21600,21600" o:gfxdata="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adGXW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shape id="文本框 335" o:spid="_x0000_s1026" o:spt="202" type="#_x0000_t202" style="position:absolute;left:8289;top:6216;height:435;width:1685;" fillcolor="#C6D9F1" filled="t" stroked="t" coordsize="21600,21600" o:gfxdata="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1fN5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13556DBD">
                            <w:pPr>
                              <w:pStyle w:val="105"/>
                            </w:pPr>
                            <w:r>
                              <w:rPr>
                                <w:rFonts w:hint="eastAsia"/>
                              </w:rPr>
                              <w:t>混合料检查</w:t>
                            </w:r>
                          </w:p>
                        </w:txbxContent>
                      </v:textbox>
                    </v:shape>
                    <v:line id="直线 336" o:spid="_x0000_s1026" o:spt="20" style="position:absolute;left:4782;top:7156;flip:x;height:0;width:923;" filled="f" stroked="t" coordsize="21600,21600" o:gfxdata="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8V9e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线 337" o:spid="_x0000_s1026" o:spt="20" style="position:absolute;left:4782;top:7156;height:1612;width:0;" filled="f" stroked="t" coordsize="21600,21600" o:gfxdata="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uYqO&#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338" o:spid="_x0000_s1026" o:spt="20" style="position:absolute;left:6443;top:9036;height:403;width:0;" filled="f" stroked="t" coordsize="21600,21600" o:gfxdata="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mH3a/&#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39" o:spid="_x0000_s1026" o:spt="20" style="position:absolute;left:6443;top:9842;height:403;width:0;" filled="f" stroked="t" coordsize="21600,21600" o:gfxdata="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uq67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340" o:spid="_x0000_s1026" o:spt="20" style="position:absolute;left:6443;top:10648;height:403;width:0;" filled="f" stroked="t" coordsize="21600,21600" o:gfxdata="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4JJq/&#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41" o:spid="_x0000_s1026" o:spt="20" style="position:absolute;left:6443;top:11454;height:403;width:0;" filled="f" stroked="t" coordsize="21600,21600" o:gfxdata="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SBA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342" o:spid="_x0000_s1026" o:spt="20" style="position:absolute;left:6443;top:12260;height:403;width:0;" filled="f" stroked="t" coordsize="21600,21600" o:gfxdata="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jrFXO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343" o:spid="_x0000_s1026" o:spt="20" style="position:absolute;left:7182;top:10514;height:2;width:657;" filled="f" stroked="t" coordsize="21600,21600" o:gfxdata="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Ub1k&#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344" o:spid="_x0000_s1026" o:spt="20" style="position:absolute;left:7474;top:8768;flip:x;height:0;width:369;" filled="f" stroked="t" coordsize="21600,21600" o:gfxdata="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8Cxn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line>
                    <v:line id="直线 345" o:spid="_x0000_s1026" o:spt="20" style="position:absolute;left:7843;top:8768;height:1746;width:0;" filled="f" stroked="t" coordsize="21600,21600" o:gfxdata="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IRZm/&#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346" o:spid="_x0000_s1026" o:spt="20" style="position:absolute;left:7182;top:6350;height:0;width:1107;" filled="f" stroked="t" coordsize="21600,21600" o:gfxdata="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LNZi&#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347" o:spid="_x0000_s1026" o:spt="20" style="position:absolute;left:9028;top:6619;flip:x y;height:537;width:0;" filled="f" stroked="t" coordsize="21600,21600" o:gfxdata="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2qf74A&#10;AADc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直线 348" o:spid="_x0000_s1026" o:spt="20" style="position:absolute;left:7455;top:7150;flip:x y;height:6;width:1573;" filled="f" stroked="t" coordsize="21600,21600" o:gfxdata="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3c7q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line>
                    <v:line id="直线 349" o:spid="_x0000_s1026" o:spt="20" style="position:absolute;left:6443;top:7425;height:403;width:0;" filled="f" stroked="t" coordsize="21600,21600" o:gfxdata="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xU4W&#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group>
                </v:group>
                <w10:wrap type="topAndBottom"/>
              </v:group>
            </w:pict>
          </mc:Fallback>
        </mc:AlternateContent>
      </w:r>
    </w:p>
    <w:p w14:paraId="7BEBA204">
      <w:pPr>
        <w:ind w:left="0" w:leftChars="0" w:firstLine="0" w:firstLineChars="0"/>
        <w:jc w:val="center"/>
        <w:rPr>
          <w:rFonts w:hint="eastAsia" w:ascii="宋体" w:hAnsi="宋体" w:eastAsia="宋体" w:cs="宋体"/>
          <w:highlight w:val="none"/>
          <w:u w:val="double"/>
        </w:rPr>
      </w:pPr>
      <w:r>
        <w:rPr>
          <w:rFonts w:hint="eastAsia" w:ascii="宋体" w:hAnsi="宋体" w:eastAsia="宋体" w:cs="宋体"/>
          <w:b/>
          <w:bCs/>
          <w:highlight w:val="none"/>
          <w:u w:val="double"/>
        </w:rPr>
        <w:t>水泥稳定碎石施工工艺流程图</w:t>
      </w:r>
    </w:p>
    <w:p w14:paraId="70D5F00A">
      <w:pPr>
        <w:ind w:firstLine="480"/>
        <w:rPr>
          <w:rFonts w:hint="eastAsia" w:ascii="宋体" w:hAnsi="宋体" w:eastAsia="宋体" w:cs="宋体"/>
        </w:rPr>
      </w:pPr>
      <w:r>
        <w:rPr>
          <w:rFonts w:hint="eastAsia" w:ascii="宋体" w:hAnsi="宋体" w:eastAsia="宋体" w:cs="宋体"/>
        </w:rPr>
        <w:t>（二）检查验收：</w:t>
      </w:r>
    </w:p>
    <w:p w14:paraId="0C43B3C0">
      <w:pPr>
        <w:ind w:firstLine="480"/>
        <w:rPr>
          <w:rFonts w:hint="eastAsia" w:ascii="宋体" w:hAnsi="宋体" w:eastAsia="宋体" w:cs="宋体"/>
        </w:rPr>
      </w:pPr>
      <w:r>
        <w:rPr>
          <w:rFonts w:hint="eastAsia" w:ascii="宋体" w:hAnsi="宋体" w:eastAsia="宋体" w:cs="宋体"/>
        </w:rPr>
        <w:t>水泥稳定碎石层施工前，对级配碎石层的压实度、平整度、纵断高程、宽度、厚度、横坡和弯沉值等各检查项目进行验收。各检查项目的原始数值不得超过施工规范所规定值或允许偏差，（超过则作清除，并返工处理直至合格），并交监理工程师认可。</w:t>
      </w:r>
    </w:p>
    <w:p w14:paraId="7936AA1B">
      <w:pPr>
        <w:ind w:firstLine="480"/>
        <w:rPr>
          <w:rFonts w:hint="eastAsia" w:ascii="宋体" w:hAnsi="宋体" w:eastAsia="宋体" w:cs="宋体"/>
        </w:rPr>
      </w:pPr>
      <w:r>
        <w:rPr>
          <w:rFonts w:hint="eastAsia" w:ascii="宋体" w:hAnsi="宋体" w:eastAsia="宋体" w:cs="宋体"/>
        </w:rPr>
        <w:t>（三）底基层清理及验收：</w:t>
      </w:r>
    </w:p>
    <w:p w14:paraId="23AAF231">
      <w:pPr>
        <w:ind w:firstLine="480"/>
        <w:rPr>
          <w:rFonts w:hint="eastAsia" w:ascii="宋体" w:hAnsi="宋体" w:eastAsia="宋体" w:cs="宋体"/>
        </w:rPr>
      </w:pPr>
      <w:r>
        <w:rPr>
          <w:rFonts w:hint="eastAsia" w:ascii="宋体" w:hAnsi="宋体" w:eastAsia="宋体" w:cs="宋体"/>
        </w:rPr>
        <w:t>水泥稳定碎石层施工前，人工将下承层表面的浮土、石碴、杂物清理干净，并报请监理工程师验收合格。以上工作完毕后，用洒水车均匀洒水湿润，并用压路机不开振动而静碾以平整。</w:t>
      </w:r>
    </w:p>
    <w:p w14:paraId="52AAFEAB">
      <w:pPr>
        <w:ind w:firstLine="480"/>
        <w:rPr>
          <w:rFonts w:hint="eastAsia" w:ascii="宋体" w:hAnsi="宋体" w:eastAsia="宋体" w:cs="宋体"/>
        </w:rPr>
      </w:pPr>
      <w:r>
        <w:rPr>
          <w:rFonts w:hint="eastAsia" w:ascii="宋体" w:hAnsi="宋体" w:eastAsia="宋体" w:cs="宋体"/>
        </w:rPr>
        <w:t>（四）测量放样：</w:t>
      </w:r>
    </w:p>
    <w:p w14:paraId="4C0F8203">
      <w:pPr>
        <w:ind w:firstLine="480"/>
        <w:rPr>
          <w:rFonts w:hint="eastAsia" w:ascii="宋体" w:hAnsi="宋体" w:eastAsia="宋体" w:cs="宋体"/>
        </w:rPr>
      </w:pPr>
      <w:r>
        <w:rPr>
          <w:rFonts w:hint="eastAsia" w:ascii="宋体" w:hAnsi="宋体" w:eastAsia="宋体" w:cs="宋体"/>
        </w:rPr>
        <w:t>施工放样，恢复中线。每10m设一控制桩，分别在路面中心线和四分之一路面宽度处设置加密控制桩。根据试验路段得出的混合料的松铺系数，在控制桩上标出混合料的松铺厚度控制基准点，用施工线将这些控制基准点连接而成控制面，以保证碾压密实后高程符合设计及施工规范要求。</w:t>
      </w:r>
    </w:p>
    <w:p w14:paraId="07F4ED54">
      <w:pPr>
        <w:ind w:firstLine="480"/>
        <w:rPr>
          <w:rFonts w:hint="eastAsia" w:ascii="宋体" w:hAnsi="宋体" w:eastAsia="宋体" w:cs="宋体"/>
        </w:rPr>
      </w:pPr>
      <w:r>
        <w:rPr>
          <w:rFonts w:hint="eastAsia" w:ascii="宋体" w:hAnsi="宋体" w:eastAsia="宋体" w:cs="宋体"/>
        </w:rPr>
        <w:t>（五）拌和：</w:t>
      </w:r>
    </w:p>
    <w:p w14:paraId="1F8D8385">
      <w:pPr>
        <w:ind w:firstLine="480"/>
        <w:rPr>
          <w:rFonts w:hint="eastAsia" w:ascii="宋体" w:hAnsi="宋体" w:eastAsia="宋体" w:cs="宋体"/>
        </w:rPr>
      </w:pPr>
      <w:r>
        <w:rPr>
          <w:rFonts w:hint="eastAsia" w:ascii="宋体" w:hAnsi="宋体" w:eastAsia="宋体" w:cs="宋体"/>
        </w:rPr>
        <w:t>经监理工程师批准同意后，水泥稳定碎石基层混合料在稳定土拌和站进行集中拌和。在稳定土拌和站，组织试验人员做EDTA滴定试验以严格控制拌和时水泥含量，做筛分以控制混合料的配合比。同时混合料的含水量应高于最佳含水量0.5%～1%，以补偿摊铺及碾压过程中的水分损失。</w:t>
      </w:r>
    </w:p>
    <w:p w14:paraId="183C3E2F">
      <w:pPr>
        <w:tabs>
          <w:tab w:val="left" w:pos="0"/>
        </w:tabs>
        <w:ind w:left="480" w:leftChars="200" w:firstLine="0" w:firstLineChars="0"/>
        <w:rPr>
          <w:rFonts w:hint="eastAsia" w:ascii="宋体" w:hAnsi="宋体" w:eastAsia="宋体" w:cs="宋体"/>
        </w:rPr>
      </w:pPr>
      <w:r>
        <w:rPr>
          <w:rFonts w:hint="eastAsia" w:ascii="宋体" w:hAnsi="宋体" w:eastAsia="宋体" w:cs="宋体"/>
        </w:rPr>
        <w:t>（六）运输：</w:t>
      </w:r>
    </w:p>
    <w:p w14:paraId="5FC636EA">
      <w:pPr>
        <w:ind w:firstLine="480"/>
        <w:rPr>
          <w:rFonts w:hint="eastAsia" w:ascii="宋体" w:hAnsi="宋体" w:eastAsia="宋体" w:cs="宋体"/>
        </w:rPr>
      </w:pPr>
      <w:r>
        <w:rPr>
          <w:rFonts w:hint="eastAsia" w:ascii="宋体" w:hAnsi="宋体" w:eastAsia="宋体" w:cs="宋体"/>
        </w:rPr>
        <w:t>水泥稳定砂砾（碎石）采用集中厂拌合，自卸车运输。拌和地混合料均匀，无离析现象，集料、水泥、水的用量偏差不超过招标文件的技术规范要求。运输车辆须配备覆盖棚布，以防雨淋或水分蒸发，拌和好的混合料应尽快摊铺，超过水泥终凝时间的混合料予以废弃。</w:t>
      </w:r>
    </w:p>
    <w:p w14:paraId="022F847A">
      <w:pPr>
        <w:ind w:firstLine="480"/>
        <w:rPr>
          <w:rFonts w:hint="eastAsia" w:ascii="宋体" w:hAnsi="宋体" w:eastAsia="宋体" w:cs="宋体"/>
        </w:rPr>
      </w:pPr>
      <w:r>
        <w:rPr>
          <w:rFonts w:hint="eastAsia" w:ascii="宋体" w:hAnsi="宋体" w:eastAsia="宋体" w:cs="宋体"/>
        </w:rPr>
        <w:t>（七）摊铺：</w:t>
      </w:r>
    </w:p>
    <w:p w14:paraId="3F08B0E6">
      <w:pPr>
        <w:ind w:firstLine="480"/>
        <w:rPr>
          <w:rFonts w:hint="eastAsia" w:ascii="宋体" w:hAnsi="宋体" w:eastAsia="宋体" w:cs="宋体"/>
        </w:rPr>
      </w:pPr>
      <w:r>
        <w:rPr>
          <w:rFonts w:hint="eastAsia" w:ascii="宋体" w:hAnsi="宋体" w:eastAsia="宋体" w:cs="宋体"/>
        </w:rPr>
        <w:t>摊铺机采用自动找平方式进行摊铺成型，局部人工整型。水泥稳定砂砾一次摊铺成型，水泥稳定碎石厚度大于20cm的需分两次摊铺。</w:t>
      </w:r>
    </w:p>
    <w:p w14:paraId="1E0ED2C2">
      <w:pPr>
        <w:ind w:firstLine="480"/>
        <w:rPr>
          <w:rFonts w:hint="eastAsia" w:ascii="宋体" w:hAnsi="宋体" w:eastAsia="宋体" w:cs="宋体"/>
        </w:rPr>
      </w:pPr>
      <w:r>
        <w:rPr>
          <w:rFonts w:hint="eastAsia" w:ascii="宋体" w:hAnsi="宋体" w:eastAsia="宋体" w:cs="宋体"/>
        </w:rPr>
        <w:t>（八）碾压：</w:t>
      </w:r>
    </w:p>
    <w:p w14:paraId="34F91546">
      <w:pPr>
        <w:ind w:firstLine="480"/>
        <w:rPr>
          <w:rFonts w:hint="eastAsia" w:ascii="宋体" w:hAnsi="宋体" w:eastAsia="宋体" w:cs="宋体"/>
        </w:rPr>
      </w:pPr>
      <w:r>
        <w:rPr>
          <w:rFonts w:hint="eastAsia" w:ascii="宋体" w:hAnsi="宋体" w:eastAsia="宋体" w:cs="宋体"/>
        </w:rPr>
        <w:t>混合料整型后立即用振动压路机进行碾压。先进行2～3遍静力碾压，继而用振动压路机复压成型。振动碾压过程中，直道路基上由路中心向两侧振动碾压，弯道路基上由一侧向一侧进行振动碾压，后轮重叠1/2轮宽，后轮必须超过两端的接缝处，总碾压遍数为6～10遍（具体由碾压遍数试验路段确定），直至表面无明显轮迹。在碾压过程中若出现松散推移现象，须立即停止碾压，待重新翻拌平整后再压。靠排水沟侧和桥头、涵洞附近处用小平板夯机具辅助压实。·严禁压路机在已完成或正在碾压的路段上掉头和急刹车。</w:t>
      </w:r>
    </w:p>
    <w:p w14:paraId="07FD5DFF">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九</w:t>
      </w:r>
      <w:r>
        <w:rPr>
          <w:rFonts w:hint="eastAsia" w:ascii="宋体" w:hAnsi="宋体" w:eastAsia="宋体" w:cs="宋体"/>
          <w:lang w:val="zh-CN"/>
        </w:rPr>
        <w:t>）横、纵向接缝处理</w:t>
      </w:r>
    </w:p>
    <w:p w14:paraId="1E855F45">
      <w:pPr>
        <w:ind w:firstLine="480"/>
        <w:rPr>
          <w:rFonts w:hint="eastAsia" w:ascii="宋体" w:hAnsi="宋体" w:eastAsia="宋体" w:cs="宋体"/>
          <w:lang w:val="zh-CN"/>
        </w:rPr>
      </w:pPr>
      <w:r>
        <w:rPr>
          <w:rFonts w:hint="eastAsia" w:ascii="宋体" w:hAnsi="宋体" w:eastAsia="宋体" w:cs="宋体"/>
          <w:lang w:val="zh-CN"/>
        </w:rPr>
        <w:t>1横向接缝处理</w:t>
      </w:r>
    </w:p>
    <w:p w14:paraId="300B5FD4">
      <w:pPr>
        <w:ind w:firstLine="480"/>
        <w:rPr>
          <w:rFonts w:hint="eastAsia" w:ascii="宋体" w:hAnsi="宋体" w:eastAsia="宋体" w:cs="宋体"/>
          <w:lang w:val="zh-CN"/>
        </w:rPr>
      </w:pPr>
      <w:r>
        <w:rPr>
          <w:rFonts w:hint="eastAsia" w:ascii="宋体" w:hAnsi="宋体" w:eastAsia="宋体" w:cs="宋体"/>
          <w:lang w:val="zh-CN"/>
        </w:rPr>
        <w:t>1）摊铺不宜中断，如因故中断时间超过2h或工作班结束，应设置横向接缝；</w:t>
      </w:r>
    </w:p>
    <w:p w14:paraId="06C9DD82">
      <w:pPr>
        <w:ind w:firstLine="480"/>
        <w:rPr>
          <w:rFonts w:hint="eastAsia" w:ascii="宋体" w:hAnsi="宋体" w:eastAsia="宋体" w:cs="宋体"/>
          <w:lang w:val="zh-CN"/>
        </w:rPr>
      </w:pPr>
      <w:r>
        <w:rPr>
          <w:rFonts w:hint="eastAsia" w:ascii="宋体" w:hAnsi="宋体" w:eastAsia="宋体" w:cs="宋体"/>
          <w:lang w:val="zh-CN"/>
        </w:rPr>
        <w:t>2）摊铺机应驶离混合料末端将，将含水率合适的混合料修齐；</w:t>
      </w:r>
    </w:p>
    <w:p w14:paraId="3DEFF286">
      <w:pPr>
        <w:ind w:firstLine="480"/>
        <w:rPr>
          <w:rFonts w:hint="eastAsia" w:ascii="宋体" w:hAnsi="宋体" w:eastAsia="宋体" w:cs="宋体"/>
          <w:lang w:val="zh-CN"/>
        </w:rPr>
      </w:pPr>
      <w:r>
        <w:rPr>
          <w:rFonts w:hint="eastAsia" w:ascii="宋体" w:hAnsi="宋体" w:eastAsia="宋体" w:cs="宋体"/>
          <w:lang w:val="zh-CN"/>
        </w:rPr>
        <w:t>3）接头处混合料碾压密实后，用3m直尺检测端部平整度，确定切割范围，将平整度不合格部分铲除；</w:t>
      </w:r>
    </w:p>
    <w:p w14:paraId="0197CC0C">
      <w:pPr>
        <w:ind w:firstLine="480"/>
        <w:rPr>
          <w:rFonts w:hint="eastAsia" w:ascii="宋体" w:hAnsi="宋体" w:eastAsia="宋体" w:cs="宋体"/>
          <w:lang w:val="zh-CN"/>
        </w:rPr>
      </w:pPr>
      <w:r>
        <w:rPr>
          <w:rFonts w:hint="eastAsia" w:ascii="宋体" w:hAnsi="宋体" w:eastAsia="宋体" w:cs="宋体"/>
          <w:lang w:val="zh-CN"/>
        </w:rPr>
        <w:t>4）重新开始摊铺混合料之前将下承层顶面清扫干净。</w:t>
      </w:r>
    </w:p>
    <w:p w14:paraId="21FC43B2">
      <w:pPr>
        <w:ind w:firstLine="480"/>
        <w:rPr>
          <w:rFonts w:hint="eastAsia" w:ascii="宋体" w:hAnsi="宋体" w:eastAsia="宋体" w:cs="宋体"/>
          <w:lang w:val="zh-CN"/>
        </w:rPr>
      </w:pPr>
      <w:r>
        <w:rPr>
          <w:rFonts w:hint="eastAsia" w:ascii="宋体" w:hAnsi="宋体" w:eastAsia="宋体" w:cs="宋体"/>
          <w:lang w:val="zh-CN"/>
        </w:rPr>
        <w:t>2纵向接缝处理</w:t>
      </w:r>
    </w:p>
    <w:p w14:paraId="2E352C56">
      <w:pPr>
        <w:ind w:firstLine="480"/>
        <w:rPr>
          <w:rFonts w:hint="eastAsia" w:ascii="宋体" w:hAnsi="宋体" w:eastAsia="宋体" w:cs="宋体"/>
        </w:rPr>
      </w:pPr>
      <w:r>
        <w:rPr>
          <w:rFonts w:hint="eastAsia" w:ascii="宋体" w:hAnsi="宋体" w:eastAsia="宋体" w:cs="宋体"/>
          <w:lang w:val="zh-CN"/>
        </w:rPr>
        <w:t>路面较宽时，应采用多机联合滩铺，避免纵向接缝。</w:t>
      </w:r>
    </w:p>
    <w:p w14:paraId="305CBE5D">
      <w:pPr>
        <w:ind w:firstLine="480"/>
        <w:rPr>
          <w:rFonts w:hint="eastAsia" w:ascii="宋体" w:hAnsi="宋体" w:eastAsia="宋体" w:cs="宋体"/>
        </w:rPr>
      </w:pPr>
      <w:r>
        <w:rPr>
          <w:rFonts w:hint="eastAsia" w:ascii="宋体" w:hAnsi="宋体" w:eastAsia="宋体" w:cs="宋体"/>
        </w:rPr>
        <w:t>（十）养生：</w:t>
      </w:r>
    </w:p>
    <w:p w14:paraId="35820220">
      <w:pPr>
        <w:ind w:firstLine="480"/>
        <w:rPr>
          <w:rFonts w:hint="eastAsia" w:ascii="宋体" w:hAnsi="宋体" w:eastAsia="宋体" w:cs="宋体"/>
        </w:rPr>
      </w:pPr>
      <w:r>
        <w:rPr>
          <w:rFonts w:hint="eastAsia" w:ascii="宋体" w:hAnsi="宋体" w:eastAsia="宋体" w:cs="宋体"/>
        </w:rPr>
        <w:t>碾压完成后立即进行养生。养生时间不少于7天。养生方法可视具体情况采用洒水、覆盖砂、洒透层油或封层等。养生期间除洒水车外封闭交通。不能封闭时，报请监理工程师批准，并将车速限制在30km/h以下，但禁止重型车辆通行。</w:t>
      </w:r>
    </w:p>
    <w:p w14:paraId="411F0012">
      <w:pPr>
        <w:ind w:firstLine="480"/>
        <w:rPr>
          <w:rFonts w:hint="eastAsia" w:ascii="宋体" w:hAnsi="宋体" w:eastAsia="宋体" w:cs="宋体"/>
        </w:rPr>
      </w:pPr>
      <w:r>
        <w:rPr>
          <w:rFonts w:hint="eastAsia" w:ascii="宋体" w:hAnsi="宋体" w:eastAsia="宋体" w:cs="宋体"/>
        </w:rPr>
        <w:t>（十一）水稳碎石基层质量控制措施</w:t>
      </w:r>
    </w:p>
    <w:p w14:paraId="2EFDE935">
      <w:pPr>
        <w:ind w:firstLine="480"/>
        <w:rPr>
          <w:rFonts w:hint="eastAsia" w:ascii="宋体" w:hAnsi="宋体" w:eastAsia="宋体" w:cs="宋体"/>
        </w:rPr>
      </w:pPr>
      <w:r>
        <w:rPr>
          <w:rFonts w:hint="eastAsia" w:ascii="宋体" w:hAnsi="宋体" w:eastAsia="宋体" w:cs="宋体"/>
        </w:rPr>
        <w:t>松铺厚度、碾压方式及碾压遍数，施工作业过程主要控制事项：</w:t>
      </w:r>
    </w:p>
    <w:p w14:paraId="0824CAB8">
      <w:pPr>
        <w:ind w:firstLine="480"/>
        <w:rPr>
          <w:rFonts w:hint="eastAsia" w:ascii="宋体" w:hAnsi="宋体" w:eastAsia="宋体" w:cs="宋体"/>
        </w:rPr>
      </w:pPr>
      <w:r>
        <w:rPr>
          <w:rFonts w:hint="eastAsia" w:ascii="宋体" w:hAnsi="宋体" w:eastAsia="宋体" w:cs="宋体"/>
        </w:rPr>
        <w:t>（1）按照松铺系数确定松铺标高，碾压后标高符合设计，厚度达到设计，横坡、平整度、宽度达到要求，碾压完成及时进行覆盖洒水养生，龄期达到后取芯检测，强度达到规范要求。</w:t>
      </w:r>
    </w:p>
    <w:p w14:paraId="5D4CBDB8">
      <w:pPr>
        <w:ind w:firstLine="480"/>
        <w:rPr>
          <w:rFonts w:hint="eastAsia" w:ascii="宋体" w:hAnsi="宋体" w:eastAsia="宋体" w:cs="宋体"/>
        </w:rPr>
      </w:pPr>
      <w:r>
        <w:rPr>
          <w:rFonts w:hint="eastAsia" w:ascii="宋体" w:hAnsi="宋体" w:eastAsia="宋体" w:cs="宋体"/>
        </w:rPr>
        <w:t>（2）试验人员严格控制摊铺料最佳含水量，超过配合比设计将造成现场无法碾压，达不到将造成松散压不实，严格控制离析、级配不合格的摊铺料一律退回禁止使用。</w:t>
      </w:r>
    </w:p>
    <w:p w14:paraId="26FD3CCF">
      <w:pPr>
        <w:ind w:firstLine="480"/>
        <w:rPr>
          <w:rFonts w:hint="eastAsia" w:ascii="宋体" w:hAnsi="宋体" w:eastAsia="宋体" w:cs="宋体"/>
        </w:rPr>
      </w:pPr>
      <w:r>
        <w:rPr>
          <w:rFonts w:hint="eastAsia" w:ascii="宋体" w:hAnsi="宋体" w:eastAsia="宋体" w:cs="宋体"/>
        </w:rPr>
        <w:t>（3）按照试验段总结控制碾压遍数及碾压方式，防止出现路面波浪、碾压轮迹、松散压实度不合格，边角部位一定碾压到位，确保路面宽度。</w:t>
      </w:r>
    </w:p>
    <w:p w14:paraId="0B513340">
      <w:pPr>
        <w:ind w:firstLine="480"/>
        <w:rPr>
          <w:rFonts w:hint="eastAsia" w:ascii="宋体" w:hAnsi="宋体" w:eastAsia="宋体" w:cs="宋体"/>
        </w:rPr>
      </w:pPr>
      <w:r>
        <w:rPr>
          <w:rFonts w:hint="eastAsia" w:ascii="宋体" w:hAnsi="宋体" w:eastAsia="宋体" w:cs="宋体"/>
        </w:rPr>
        <w:t>（4）施工缝一定将松散部分全部凿除，接缝部位待摊铺机摊铺后采用人工补料整平后，再进行碾压，防止出现断裂施工缝。</w:t>
      </w:r>
    </w:p>
    <w:p w14:paraId="521ED216">
      <w:pPr>
        <w:ind w:firstLine="480"/>
        <w:rPr>
          <w:rFonts w:hint="eastAsia" w:ascii="宋体" w:hAnsi="宋体" w:eastAsia="宋体" w:cs="宋体"/>
        </w:rPr>
      </w:pPr>
      <w:r>
        <w:rPr>
          <w:rFonts w:hint="eastAsia" w:ascii="宋体" w:hAnsi="宋体" w:eastAsia="宋体" w:cs="宋体"/>
        </w:rPr>
        <w:t>（5）摊铺作业前清理路面杂物、不平整部位、松散部位，最好在摊铺宽度两侧支立模板，确保边缘部位碾压密实。</w:t>
      </w:r>
    </w:p>
    <w:p w14:paraId="492ABC65">
      <w:pPr>
        <w:ind w:firstLine="480"/>
        <w:rPr>
          <w:rFonts w:hint="eastAsia" w:ascii="宋体" w:hAnsi="宋体" w:eastAsia="宋体" w:cs="宋体"/>
        </w:rPr>
      </w:pPr>
      <w:r>
        <w:rPr>
          <w:rFonts w:hint="eastAsia" w:ascii="宋体" w:hAnsi="宋体" w:eastAsia="宋体" w:cs="宋体"/>
        </w:rPr>
        <w:t>（6）按照计划逐段摊铺，摊铺一层后及时进行封闭覆盖洒水养生，待试验合格后，再进行下层摊铺作业，防止强度未达到要求时被重车压坏。</w:t>
      </w:r>
    </w:p>
    <w:p w14:paraId="32A00DAC">
      <w:pPr>
        <w:ind w:firstLine="480"/>
        <w:rPr>
          <w:rFonts w:hint="eastAsia" w:ascii="宋体" w:hAnsi="宋体" w:eastAsia="宋体" w:cs="宋体"/>
        </w:rPr>
      </w:pPr>
      <w:r>
        <w:rPr>
          <w:rFonts w:hint="eastAsia" w:ascii="宋体" w:hAnsi="宋体" w:eastAsia="宋体" w:cs="宋体"/>
        </w:rPr>
        <w:t>（十二）施工注意事项</w:t>
      </w:r>
    </w:p>
    <w:p w14:paraId="73C89743">
      <w:pPr>
        <w:ind w:firstLine="480"/>
        <w:rPr>
          <w:rFonts w:hint="eastAsia" w:ascii="宋体" w:hAnsi="宋体" w:eastAsia="宋体" w:cs="宋体"/>
        </w:rPr>
      </w:pPr>
      <w:r>
        <w:rPr>
          <w:rFonts w:hint="eastAsia" w:ascii="宋体" w:hAnsi="宋体" w:eastAsia="宋体" w:cs="宋体"/>
        </w:rPr>
        <w:t>施工过程中应严格控制混合料的灰剂量、含水量、级配范围。及时调整好摊铺设备，不得在工作中停车检修，以免混合料因长时间放置影响碾压密实度和强度。压路机手必须在混合料可塑状态下（即水泥的终凝时间之前）完成碾压成型。</w:t>
      </w:r>
    </w:p>
    <w:p w14:paraId="2D59C88D">
      <w:pPr>
        <w:ind w:firstLine="480"/>
        <w:rPr>
          <w:rFonts w:hint="eastAsia" w:ascii="宋体" w:hAnsi="宋体" w:eastAsia="宋体" w:cs="宋体"/>
        </w:rPr>
      </w:pPr>
      <w:r>
        <w:rPr>
          <w:rFonts w:hint="eastAsia" w:ascii="宋体" w:hAnsi="宋体" w:eastAsia="宋体" w:cs="宋体"/>
        </w:rPr>
        <w:t>碾压施工时要派专人跟机找平、处理基层平整度。水泥稳定碎石成型后，必须进行洒水养生。养生时间不少于7天。后期养生对水泥稳定碎石的强度提高、板体的形成至关重要，特别在炎热的夏天更应不间断洒水。由于公路有横坡，水不易存留，应在板体上覆盖麻袋、草垫、土工布等物，再在上面洒水，可延长水分存留时间，节约用水。在养生期间，要严格执行交通管制，严禁大型重载车辆通行。</w:t>
      </w:r>
    </w:p>
    <w:p w14:paraId="40EF2D57">
      <w:pPr>
        <w:ind w:firstLine="482"/>
        <w:rPr>
          <w:rFonts w:hint="eastAsia" w:ascii="宋体" w:hAnsi="宋体" w:eastAsia="宋体" w:cs="宋体"/>
          <w:b/>
          <w:bCs/>
        </w:rPr>
      </w:pPr>
      <w:bookmarkStart w:id="1279" w:name="_Toc18407"/>
      <w:bookmarkStart w:id="1280" w:name="_Toc14815"/>
      <w:bookmarkStart w:id="1281" w:name="_Toc7663"/>
      <w:bookmarkStart w:id="1282" w:name="_Toc13528"/>
      <w:bookmarkStart w:id="1283" w:name="_Toc439228119"/>
      <w:bookmarkStart w:id="1284" w:name="_Toc18283"/>
      <w:bookmarkStart w:id="1285" w:name="_Toc1326"/>
      <w:bookmarkStart w:id="1286" w:name="_Toc451157564"/>
      <w:bookmarkStart w:id="1287" w:name="_Toc438366701"/>
      <w:r>
        <w:rPr>
          <w:rFonts w:hint="eastAsia" w:ascii="宋体" w:hAnsi="宋体" w:eastAsia="宋体" w:cs="宋体"/>
          <w:b/>
          <w:bCs/>
        </w:rPr>
        <w:t>五、碎石封层+透层+粘层施工</w:t>
      </w:r>
      <w:bookmarkEnd w:id="1279"/>
      <w:bookmarkEnd w:id="1280"/>
      <w:bookmarkEnd w:id="1281"/>
      <w:bookmarkEnd w:id="1282"/>
    </w:p>
    <w:p w14:paraId="4BD6EB40">
      <w:pPr>
        <w:ind w:firstLine="482"/>
        <w:rPr>
          <w:rFonts w:hint="eastAsia" w:ascii="宋体" w:hAnsi="宋体" w:eastAsia="宋体" w:cs="宋体"/>
          <w:b/>
          <w:bCs/>
          <w:lang w:val="zh-CN"/>
        </w:rPr>
      </w:pPr>
      <w:r>
        <w:rPr>
          <w:rFonts w:hint="eastAsia" w:ascii="宋体" w:hAnsi="宋体" w:eastAsia="宋体" w:cs="宋体"/>
          <w:b/>
          <w:bCs/>
        </w:rPr>
        <w:t>一、透层</w:t>
      </w:r>
    </w:p>
    <w:p w14:paraId="14EF42D7">
      <w:pPr>
        <w:ind w:firstLine="480"/>
        <w:rPr>
          <w:rFonts w:hint="eastAsia" w:ascii="宋体" w:hAnsi="宋体" w:eastAsia="宋体" w:cs="宋体"/>
          <w:lang w:val="zh-CN"/>
        </w:rPr>
      </w:pPr>
      <w:r>
        <w:rPr>
          <w:rFonts w:hint="eastAsia" w:ascii="宋体" w:hAnsi="宋体" w:eastAsia="宋体" w:cs="宋体"/>
          <w:lang w:val="zh-CN"/>
        </w:rPr>
        <w:t>在透层、稀浆封层正式施工前，对试验段基层标高、横坡、平整度等作一次全面检测，基层各项指标满足规范要求后才能进行透层及稀浆封层的施工。</w:t>
      </w:r>
    </w:p>
    <w:p w14:paraId="3F685AD8">
      <w:pPr>
        <w:numPr>
          <w:ilvl w:val="0"/>
          <w:numId w:val="10"/>
        </w:numPr>
        <w:ind w:firstLine="480"/>
        <w:rPr>
          <w:rFonts w:hint="eastAsia" w:ascii="宋体" w:hAnsi="宋体" w:eastAsia="宋体" w:cs="宋体"/>
          <w:highlight w:val="none"/>
          <w:lang w:val="zh-CN"/>
        </w:rPr>
      </w:pPr>
      <w:r>
        <w:rPr>
          <w:rFonts w:hint="eastAsia" w:ascii="宋体" w:hAnsi="宋体" w:eastAsia="宋体" w:cs="宋体"/>
          <w:highlight w:val="none"/>
        </w:rPr>
        <w:t>施工工艺</w:t>
      </w:r>
      <w:r>
        <w:rPr>
          <w:rFonts w:hint="eastAsia" w:ascii="宋体" w:hAnsi="宋体" w:eastAsia="宋体" w:cs="宋体"/>
          <w:highlight w:val="none"/>
        </w:rPr>
        <mc:AlternateContent>
          <mc:Choice Requires="wpg">
            <w:drawing>
              <wp:anchor distT="0" distB="0" distL="114300" distR="114300" simplePos="0" relativeHeight="251726848" behindDoc="0" locked="0" layoutInCell="1" allowOverlap="1">
                <wp:simplePos x="0" y="0"/>
                <wp:positionH relativeFrom="column">
                  <wp:posOffset>-1590675</wp:posOffset>
                </wp:positionH>
                <wp:positionV relativeFrom="paragraph">
                  <wp:posOffset>-2147483640</wp:posOffset>
                </wp:positionV>
                <wp:extent cx="4600575" cy="2879725"/>
                <wp:effectExtent l="14605" t="52070" r="17780" b="0"/>
                <wp:wrapNone/>
                <wp:docPr id="2269" name="组合 1178"/>
                <wp:cNvGraphicFramePr/>
                <a:graphic xmlns:a="http://schemas.openxmlformats.org/drawingml/2006/main">
                  <a:graphicData uri="http://schemas.microsoft.com/office/word/2010/wordprocessingGroup">
                    <wpg:wgp>
                      <wpg:cNvGrpSpPr/>
                      <wpg:grpSpPr>
                        <a:xfrm>
                          <a:off x="0" y="0"/>
                          <a:ext cx="4600575" cy="2879725"/>
                          <a:chOff x="2151" y="5108"/>
                          <a:chExt cx="7245" cy="4535203"/>
                        </a:xfrm>
                      </wpg:grpSpPr>
                      <wpg:grpSp>
                        <wpg:cNvPr id="2270" name="组合 1179"/>
                        <wpg:cNvGrpSpPr/>
                        <wpg:grpSpPr>
                          <a:xfrm>
                            <a:off x="4845" y="7512"/>
                            <a:ext cx="2154" cy="2131"/>
                            <a:chOff x="4845" y="7512"/>
                            <a:chExt cx="2154" cy="2131"/>
                          </a:xfrm>
                        </wpg:grpSpPr>
                        <wps:wsp>
                          <wps:cNvPr id="329" name="文本框 2670"/>
                          <wps:cNvSpPr txBox="1"/>
                          <wps:spPr>
                            <a:xfrm>
                              <a:off x="4845" y="7512"/>
                              <a:ext cx="209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2994BB67">
                                <w:pPr>
                                  <w:pStyle w:val="19"/>
                                </w:pPr>
                                <w:r>
                                  <w:rPr>
                                    <w:rFonts w:hint="eastAsia"/>
                                  </w:rPr>
                                  <w:t>透层沥青洒布</w:t>
                                </w:r>
                              </w:p>
                            </w:txbxContent>
                          </wps:txbx>
                          <wps:bodyPr upright="1"/>
                        </wps:wsp>
                        <wps:wsp>
                          <wps:cNvPr id="330" name="自选图形 2671"/>
                          <wps:cNvCnPr/>
                          <wps:spPr>
                            <a:xfrm flipH="1">
                              <a:off x="5892" y="8006"/>
                              <a:ext cx="1" cy="340"/>
                            </a:xfrm>
                            <a:prstGeom prst="straightConnector1">
                              <a:avLst/>
                            </a:prstGeom>
                            <a:ln w="28575" cap="flat" cmpd="sng">
                              <a:solidFill>
                                <a:srgbClr val="2A33EC"/>
                              </a:solidFill>
                              <a:prstDash val="solid"/>
                              <a:headEnd type="none" w="med" len="med"/>
                              <a:tailEnd type="triangle" w="med" len="med"/>
                            </a:ln>
                          </wps:spPr>
                          <wps:bodyPr/>
                        </wps:wsp>
                        <wps:wsp>
                          <wps:cNvPr id="331" name="文本框 2672"/>
                          <wps:cNvSpPr txBox="1"/>
                          <wps:spPr>
                            <a:xfrm>
                              <a:off x="4882" y="8352"/>
                              <a:ext cx="209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6B31BF83">
                                <w:pPr>
                                  <w:pStyle w:val="19"/>
                                </w:pPr>
                                <w:r>
                                  <w:rPr>
                                    <w:rFonts w:hint="eastAsia"/>
                                  </w:rPr>
                                  <w:t>破乳水分蒸发</w:t>
                                </w:r>
                              </w:p>
                            </w:txbxContent>
                          </wps:txbx>
                          <wps:bodyPr upright="1"/>
                        </wps:wsp>
                        <wps:wsp>
                          <wps:cNvPr id="332" name="自选图形 2673"/>
                          <wps:cNvCnPr/>
                          <wps:spPr>
                            <a:xfrm flipH="1">
                              <a:off x="5929" y="8846"/>
                              <a:ext cx="1" cy="340"/>
                            </a:xfrm>
                            <a:prstGeom prst="straightConnector1">
                              <a:avLst/>
                            </a:prstGeom>
                            <a:ln w="28575" cap="flat" cmpd="sng">
                              <a:solidFill>
                                <a:srgbClr val="2A33EC"/>
                              </a:solidFill>
                              <a:prstDash val="solid"/>
                              <a:headEnd type="none" w="med" len="med"/>
                              <a:tailEnd type="triangle" w="med" len="med"/>
                            </a:ln>
                          </wps:spPr>
                          <wps:bodyPr/>
                        </wps:wsp>
                        <wps:wsp>
                          <wps:cNvPr id="333" name="文本框 2674"/>
                          <wps:cNvSpPr txBox="1"/>
                          <wps:spPr>
                            <a:xfrm>
                              <a:off x="4903" y="9149"/>
                              <a:ext cx="209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FED6848">
                                <w:pPr>
                                  <w:pStyle w:val="19"/>
                                </w:pPr>
                                <w:r>
                                  <w:rPr>
                                    <w:rFonts w:hint="eastAsia"/>
                                  </w:rPr>
                                  <w:t>进行封层施工</w:t>
                                </w:r>
                              </w:p>
                            </w:txbxContent>
                          </wps:txbx>
                          <wps:bodyPr upright="1"/>
                        </wps:wsp>
                      </wpg:grpSp>
                      <wpg:grpSp>
                        <wpg:cNvPr id="2271" name="组合 1185"/>
                        <wpg:cNvGrpSpPr/>
                        <wpg:grpSpPr>
                          <a:xfrm>
                            <a:off x="4798" y="5108"/>
                            <a:ext cx="2098" cy="2131"/>
                            <a:chOff x="4798" y="5108"/>
                            <a:chExt cx="2098" cy="2131"/>
                          </a:xfrm>
                        </wpg:grpSpPr>
                        <wps:wsp>
                          <wps:cNvPr id="335" name="文本框 2676"/>
                          <wps:cNvSpPr txBox="1"/>
                          <wps:spPr>
                            <a:xfrm>
                              <a:off x="4798" y="5108"/>
                              <a:ext cx="2041"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9FDD808">
                                <w:pPr>
                                  <w:pStyle w:val="19"/>
                                </w:pPr>
                                <w:r>
                                  <w:rPr>
                                    <w:rFonts w:hint="eastAsia"/>
                                  </w:rPr>
                                  <w:t>沥青洒布车准备</w:t>
                                </w:r>
                              </w:p>
                            </w:txbxContent>
                          </wps:txbx>
                          <wps:bodyPr upright="1"/>
                        </wps:wsp>
                        <wps:wsp>
                          <wps:cNvPr id="336" name="自选图形 2677"/>
                          <wps:cNvCnPr/>
                          <wps:spPr>
                            <a:xfrm flipH="1">
                              <a:off x="5818" y="5602"/>
                              <a:ext cx="1" cy="340"/>
                            </a:xfrm>
                            <a:prstGeom prst="straightConnector1">
                              <a:avLst/>
                            </a:prstGeom>
                            <a:ln w="28575" cap="flat" cmpd="sng">
                              <a:solidFill>
                                <a:srgbClr val="2A33EC"/>
                              </a:solidFill>
                              <a:prstDash val="solid"/>
                              <a:headEnd type="none" w="med" len="med"/>
                              <a:tailEnd type="triangle" w="med" len="med"/>
                            </a:ln>
                          </wps:spPr>
                          <wps:bodyPr/>
                        </wps:wsp>
                        <wps:wsp>
                          <wps:cNvPr id="337" name="文本框 2678"/>
                          <wps:cNvSpPr txBox="1"/>
                          <wps:spPr>
                            <a:xfrm>
                              <a:off x="4834" y="5948"/>
                              <a:ext cx="2042"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CB8BB9F">
                                <w:pPr>
                                  <w:pStyle w:val="19"/>
                                </w:pPr>
                                <w:r>
                                  <w:rPr>
                                    <w:rFonts w:hint="eastAsia"/>
                                  </w:rPr>
                                  <w:t>系统检测、调式</w:t>
                                </w:r>
                              </w:p>
                            </w:txbxContent>
                          </wps:txbx>
                          <wps:bodyPr upright="1"/>
                        </wps:wsp>
                        <wps:wsp>
                          <wps:cNvPr id="338" name="自选图形 2679"/>
                          <wps:cNvCnPr/>
                          <wps:spPr>
                            <a:xfrm flipH="1">
                              <a:off x="5854" y="6442"/>
                              <a:ext cx="1" cy="340"/>
                            </a:xfrm>
                            <a:prstGeom prst="straightConnector1">
                              <a:avLst/>
                            </a:prstGeom>
                            <a:ln w="28575" cap="flat" cmpd="sng">
                              <a:solidFill>
                                <a:srgbClr val="2A33EC"/>
                              </a:solidFill>
                              <a:prstDash val="solid"/>
                              <a:headEnd type="none" w="med" len="med"/>
                              <a:tailEnd type="triangle" w="med" len="med"/>
                            </a:ln>
                          </wps:spPr>
                          <wps:bodyPr/>
                        </wps:wsp>
                        <wps:wsp>
                          <wps:cNvPr id="339" name="文本框 2680"/>
                          <wps:cNvSpPr txBox="1"/>
                          <wps:spPr>
                            <a:xfrm>
                              <a:off x="4854" y="6745"/>
                              <a:ext cx="2042"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878B4D5">
                                <w:pPr>
                                  <w:pStyle w:val="19"/>
                                </w:pPr>
                                <w:r>
                                  <w:rPr>
                                    <w:rFonts w:hint="eastAsia"/>
                                  </w:rPr>
                                  <w:t>乳化沥青装车</w:t>
                                </w:r>
                              </w:p>
                            </w:txbxContent>
                          </wps:txbx>
                          <wps:bodyPr upright="1"/>
                        </wps:wsp>
                      </wpg:grpSp>
                      <wps:wsp>
                        <wps:cNvPr id="341" name="自选图形 2681"/>
                        <wps:cNvCnPr/>
                        <wps:spPr>
                          <a:xfrm>
                            <a:off x="4192" y="7025"/>
                            <a:ext cx="740" cy="2"/>
                          </a:xfrm>
                          <a:prstGeom prst="straightConnector1">
                            <a:avLst/>
                          </a:prstGeom>
                          <a:ln w="28575" cap="flat" cmpd="sng">
                            <a:solidFill>
                              <a:srgbClr val="2A33EC"/>
                            </a:solidFill>
                            <a:prstDash val="solid"/>
                            <a:headEnd type="none" w="med" len="med"/>
                            <a:tailEnd type="triangle" w="med" len="med"/>
                          </a:ln>
                        </wps:spPr>
                        <wps:bodyPr/>
                      </wps:wsp>
                      <wpg:grpSp>
                        <wpg:cNvPr id="2272" name="组合 1192"/>
                        <wpg:cNvGrpSpPr/>
                        <wpg:grpSpPr>
                          <a:xfrm>
                            <a:off x="2151" y="5141"/>
                            <a:ext cx="2041" cy="2131"/>
                            <a:chOff x="2151" y="5141"/>
                            <a:chExt cx="2041" cy="2131"/>
                          </a:xfrm>
                        </wpg:grpSpPr>
                        <wps:wsp>
                          <wps:cNvPr id="342" name="文本框 2683"/>
                          <wps:cNvSpPr txBox="1"/>
                          <wps:spPr>
                            <a:xfrm>
                              <a:off x="2151" y="5141"/>
                              <a:ext cx="198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6E2390E3">
                                <w:pPr>
                                  <w:pStyle w:val="19"/>
                                </w:pPr>
                                <w:r>
                                  <w:rPr>
                                    <w:rFonts w:hint="eastAsia"/>
                                  </w:rPr>
                                  <w:t>乳化沥青准备</w:t>
                                </w:r>
                              </w:p>
                            </w:txbxContent>
                          </wps:txbx>
                          <wps:bodyPr upright="1"/>
                        </wps:wsp>
                        <wps:wsp>
                          <wps:cNvPr id="343" name="自选图形 2684"/>
                          <wps:cNvCnPr/>
                          <wps:spPr>
                            <a:xfrm flipH="1">
                              <a:off x="3143" y="5635"/>
                              <a:ext cx="1" cy="340"/>
                            </a:xfrm>
                            <a:prstGeom prst="straightConnector1">
                              <a:avLst/>
                            </a:prstGeom>
                            <a:ln w="28575" cap="flat" cmpd="sng">
                              <a:solidFill>
                                <a:srgbClr val="2A33EC"/>
                              </a:solidFill>
                              <a:prstDash val="solid"/>
                              <a:headEnd type="none" w="med" len="med"/>
                              <a:tailEnd type="triangle" w="med" len="med"/>
                            </a:ln>
                          </wps:spPr>
                          <wps:bodyPr/>
                        </wps:wsp>
                        <wps:wsp>
                          <wps:cNvPr id="344" name="文本框 2685"/>
                          <wps:cNvSpPr txBox="1"/>
                          <wps:spPr>
                            <a:xfrm>
                              <a:off x="2186" y="5981"/>
                              <a:ext cx="198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5ECD7A8C">
                                <w:pPr>
                                  <w:pStyle w:val="19"/>
                                </w:pPr>
                                <w:r>
                                  <w:rPr>
                                    <w:rFonts w:hint="eastAsia"/>
                                  </w:rPr>
                                  <w:t>指标检测</w:t>
                                </w:r>
                              </w:p>
                            </w:txbxContent>
                          </wps:txbx>
                          <wps:bodyPr upright="1"/>
                        </wps:wsp>
                        <wps:wsp>
                          <wps:cNvPr id="345" name="自选图形 2686"/>
                          <wps:cNvCnPr/>
                          <wps:spPr>
                            <a:xfrm flipH="1">
                              <a:off x="3178" y="6475"/>
                              <a:ext cx="1" cy="340"/>
                            </a:xfrm>
                            <a:prstGeom prst="straightConnector1">
                              <a:avLst/>
                            </a:prstGeom>
                            <a:ln w="28575" cap="flat" cmpd="sng">
                              <a:solidFill>
                                <a:srgbClr val="2A33EC"/>
                              </a:solidFill>
                              <a:prstDash val="solid"/>
                              <a:headEnd type="none" w="med" len="med"/>
                              <a:tailEnd type="triangle" w="med" len="med"/>
                            </a:ln>
                          </wps:spPr>
                          <wps:bodyPr/>
                        </wps:wsp>
                        <wps:wsp>
                          <wps:cNvPr id="346" name="文本框 2687"/>
                          <wps:cNvSpPr txBox="1"/>
                          <wps:spPr>
                            <a:xfrm>
                              <a:off x="2206" y="6778"/>
                              <a:ext cx="198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F34C914">
                                <w:pPr>
                                  <w:pStyle w:val="19"/>
                                </w:pPr>
                                <w:r>
                                  <w:rPr>
                                    <w:rFonts w:hint="eastAsia"/>
                                  </w:rPr>
                                  <w:t>监理工程师审批</w:t>
                                </w:r>
                              </w:p>
                            </w:txbxContent>
                          </wps:txbx>
                          <wps:bodyPr upright="1"/>
                        </wps:wsp>
                      </wpg:grpSp>
                      <wps:wsp>
                        <wps:cNvPr id="348" name="自选图形 2688"/>
                        <wps:cNvCnPr/>
                        <wps:spPr>
                          <a:xfrm flipH="1">
                            <a:off x="5875" y="7239"/>
                            <a:ext cx="1" cy="340"/>
                          </a:xfrm>
                          <a:prstGeom prst="straightConnector1">
                            <a:avLst/>
                          </a:prstGeom>
                          <a:ln w="28575" cap="flat" cmpd="sng">
                            <a:solidFill>
                              <a:srgbClr val="2A33EC"/>
                            </a:solidFill>
                            <a:prstDash val="solid"/>
                            <a:headEnd type="none" w="med" len="med"/>
                            <a:tailEnd type="triangle" w="med" len="med"/>
                          </a:ln>
                        </wps:spPr>
                        <wps:bodyPr/>
                      </wps:wsp>
                      <wps:wsp>
                        <wps:cNvPr id="349" name="自选图形 2689"/>
                        <wps:cNvCnPr/>
                        <wps:spPr>
                          <a:xfrm flipH="1">
                            <a:off x="5887" y="7317"/>
                            <a:ext cx="2551" cy="1"/>
                          </a:xfrm>
                          <a:prstGeom prst="straightConnector1">
                            <a:avLst/>
                          </a:prstGeom>
                          <a:ln w="28575" cap="flat" cmpd="sng">
                            <a:solidFill>
                              <a:srgbClr val="2A33EC"/>
                            </a:solidFill>
                            <a:prstDash val="solid"/>
                            <a:headEnd type="none" w="med" len="med"/>
                            <a:tailEnd type="triangle" w="med" len="med"/>
                          </a:ln>
                        </wps:spPr>
                        <wps:bodyPr/>
                      </wps:wsp>
                      <wpg:grpSp>
                        <wpg:cNvPr id="2273" name="组合 1200"/>
                        <wpg:cNvGrpSpPr/>
                        <wpg:grpSpPr>
                          <a:xfrm>
                            <a:off x="7412" y="5481"/>
                            <a:ext cx="1984" cy="1334"/>
                            <a:chOff x="7412" y="5481"/>
                            <a:chExt cx="1984" cy="1334"/>
                          </a:xfrm>
                        </wpg:grpSpPr>
                        <wps:wsp>
                          <wps:cNvPr id="350" name="文本框 2691"/>
                          <wps:cNvSpPr txBox="1"/>
                          <wps:spPr>
                            <a:xfrm>
                              <a:off x="7412" y="5481"/>
                              <a:ext cx="1984"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73DFDA9">
                                <w:pPr>
                                  <w:pStyle w:val="19"/>
                                </w:pPr>
                                <w:r>
                                  <w:rPr>
                                    <w:rFonts w:hint="eastAsia"/>
                                  </w:rPr>
                                  <w:t>基层检测验收</w:t>
                                </w:r>
                              </w:p>
                            </w:txbxContent>
                          </wps:txbx>
                          <wps:bodyPr upright="1"/>
                        </wps:wsp>
                        <wps:wsp>
                          <wps:cNvPr id="351" name="自选图形 2692"/>
                          <wps:cNvCnPr/>
                          <wps:spPr>
                            <a:xfrm flipH="1">
                              <a:off x="8403" y="5975"/>
                              <a:ext cx="1" cy="340"/>
                            </a:xfrm>
                            <a:prstGeom prst="straightConnector1">
                              <a:avLst/>
                            </a:prstGeom>
                            <a:ln w="28575" cap="flat" cmpd="sng">
                              <a:solidFill>
                                <a:srgbClr val="2A33EC"/>
                              </a:solidFill>
                              <a:prstDash val="solid"/>
                              <a:headEnd type="none" w="med" len="med"/>
                              <a:tailEnd type="triangle" w="med" len="med"/>
                            </a:ln>
                          </wps:spPr>
                          <wps:bodyPr/>
                        </wps:wsp>
                        <wps:wsp>
                          <wps:cNvPr id="352" name="文本框 2693"/>
                          <wps:cNvSpPr txBox="1"/>
                          <wps:spPr>
                            <a:xfrm>
                              <a:off x="7412" y="6321"/>
                              <a:ext cx="1984"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E1ECF28">
                                <w:pPr>
                                  <w:pStyle w:val="19"/>
                                </w:pPr>
                                <w:r>
                                  <w:rPr>
                                    <w:rFonts w:hint="eastAsia"/>
                                  </w:rPr>
                                  <w:t>基层清扫吹灰</w:t>
                                </w:r>
                              </w:p>
                            </w:txbxContent>
                          </wps:txbx>
                          <wps:bodyPr upright="1"/>
                        </wps:wsp>
                      </wpg:grpSp>
                      <wps:wsp>
                        <wps:cNvPr id="354" name="直线 2694"/>
                        <wps:cNvCnPr/>
                        <wps:spPr>
                          <a:xfrm flipH="1" flipV="1">
                            <a:off x="8392" y="6882"/>
                            <a:ext cx="1" cy="397"/>
                          </a:xfrm>
                          <a:prstGeom prst="line">
                            <a:avLst/>
                          </a:prstGeom>
                          <a:ln w="28575" cap="flat" cmpd="sng">
                            <a:solidFill>
                              <a:srgbClr val="2A33EC"/>
                            </a:solidFill>
                            <a:prstDash val="solid"/>
                            <a:headEnd type="none" w="med" len="med"/>
                            <a:tailEnd type="none" w="med" len="med"/>
                          </a:ln>
                        </wps:spPr>
                        <wps:bodyPr upright="1"/>
                      </wps:wsp>
                    </wpg:wgp>
                  </a:graphicData>
                </a:graphic>
              </wp:anchor>
            </w:drawing>
          </mc:Choice>
          <mc:Fallback>
            <w:pict>
              <v:group id="组合 1178" o:spid="_x0000_s1026" o:spt="203" style="position:absolute;left:0pt;margin-left:-125.25pt;margin-top:-169093.2pt;height:226.75pt;width:362.25pt;z-index:251726848;mso-width-relative:page;mso-height-relative:page;" coordorigin="2151,5108" coordsize="7245,4535203" o:gfxdata="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">
                <o:lock v:ext="edit" aspectratio="f"/>
                <v:group id="组合 1179" o:spid="_x0000_s1026" o:spt="203" style="position:absolute;left:4845;top:7512;height:2131;width:2154;" coordorigin="4845,7512" coordsize="2154,2131" o:gfxdata="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4UoOcvAAAAN0AAAAPAAAAAAAAAAEAIAAAACIAAABkcnMvZG93bnJldi54bWxQ&#10;SwECFAAUAAAACACHTuJAMy8FnjsAAAA5AAAAFQAAAAAAAAABACAAAAALAQAAZHJzL2dyb3Vwc2hh&#10;cGV4bWwueG1sUEsFBgAAAAAGAAYAYAEAAMgDAAAAAA==&#10;">
                  <o:lock v:ext="edit" aspectratio="f"/>
                  <v:shape id="文本框 2670" o:spid="_x0000_s1026" o:spt="202" type="#_x0000_t202" style="position:absolute;left:4845;top:7512;height:494;width:2096;" fillcolor="#FFFFFF" filled="t" stroked="t" coordsize="21600,21600" o:gfxdata="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VqPP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2994BB67">
                          <w:pPr>
                            <w:pStyle w:val="19"/>
                          </w:pPr>
                          <w:r>
                            <w:rPr>
                              <w:rFonts w:hint="eastAsia"/>
                            </w:rPr>
                            <w:t>透层沥青洒布</w:t>
                          </w:r>
                        </w:p>
                      </w:txbxContent>
                    </v:textbox>
                  </v:shape>
                  <v:shape id="自选图形 2671" o:spid="_x0000_s1026" o:spt="32" type="#_x0000_t32" style="position:absolute;left:5892;top:8006;flip:x;height:340;width:1;" filled="f" stroked="t" coordsize="21600,21600" o:gfxdata="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Iomm7sAAADc&#10;AAAADwAAAAAAAAABACAAAAAiAAAAZHJzL2Rvd25yZXYueG1sUEsBAhQAFAAAAAgAh07iQDMvBZ47&#10;AAAAOQAAABAAAAAAAAAAAQAgAAAACgEAAGRycy9zaGFwZXhtbC54bWxQSwUGAAAAAAYABgBbAQAA&#10;tAMAAAAA&#10;">
                    <v:fill on="f" focussize="0,0"/>
                    <v:stroke weight="2.25pt" color="#2A33EC" joinstyle="round" endarrow="block"/>
                    <v:imagedata o:title=""/>
                    <o:lock v:ext="edit" aspectratio="f"/>
                  </v:shape>
                  <v:shape id="文本框 2672" o:spid="_x0000_s1026" o:spt="202" type="#_x0000_t202" style="position:absolute;left:4882;top:8352;height:494;width:2097;" fillcolor="#FFFFFF" filled="t" stroked="t" coordsize="21600,21600" o:gfxdata="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5ORS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6B31BF83">
                          <w:pPr>
                            <w:pStyle w:val="19"/>
                          </w:pPr>
                          <w:r>
                            <w:rPr>
                              <w:rFonts w:hint="eastAsia"/>
                            </w:rPr>
                            <w:t>破乳水分蒸发</w:t>
                          </w:r>
                        </w:p>
                      </w:txbxContent>
                    </v:textbox>
                  </v:shape>
                  <v:shape id="自选图形 2673" o:spid="_x0000_s1026" o:spt="32" type="#_x0000_t32" style="position:absolute;left:5929;top:8846;flip:x;height:340;width:1;" filled="f" stroked="t" coordsize="21600,21600" o:gfxdata="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FB13vQAA&#10;ANwAAAAPAAAAAAAAAAEAIAAAACIAAABkcnMvZG93bnJldi54bWxQSwECFAAUAAAACACHTuJAMy8F&#10;njsAAAA5AAAAEAAAAAAAAAABACAAAAAMAQAAZHJzL3NoYXBleG1sLnhtbFBLBQYAAAAABgAGAFsB&#10;AAC2AwAAAAA=&#10;">
                    <v:fill on="f" focussize="0,0"/>
                    <v:stroke weight="2.25pt" color="#2A33EC" joinstyle="round" endarrow="block"/>
                    <v:imagedata o:title=""/>
                    <o:lock v:ext="edit" aspectratio="f"/>
                  </v:shape>
                  <v:shape id="文本框 2674" o:spid="_x0000_s1026" o:spt="202" type="#_x0000_t202" style="position:absolute;left:4903;top:9149;height:494;width:2096;" fillcolor="#FFFFFF" filled="t" stroked="t" coordsize="21600,21600" o:gfxdata="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nAvi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0FED6848">
                          <w:pPr>
                            <w:pStyle w:val="19"/>
                          </w:pPr>
                          <w:r>
                            <w:rPr>
                              <w:rFonts w:hint="eastAsia"/>
                            </w:rPr>
                            <w:t>进行封层施工</w:t>
                          </w:r>
                        </w:p>
                      </w:txbxContent>
                    </v:textbox>
                  </v:shape>
                </v:group>
                <v:group id="组合 1185" o:spid="_x0000_s1026" o:spt="203" style="position:absolute;left:4798;top:5108;height:2131;width:2098;" coordorigin="4798,5108" coordsize="2098,2131" o:gfxdata="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XHiYHvwAAAN0AAAAPAAAAAAAAAAEAIAAAACIAAABkcnMvZG93bnJldi54&#10;bWxQSwECFAAUAAAACACHTuJAMy8FnjsAAAA5AAAAFQAAAAAAAAABACAAAAAOAQAAZHJzL2dyb3Vw&#10;c2hhcGV4bWwueG1sUEsFBgAAAAAGAAYAYAEAAMsDAAAAAA==&#10;">
                  <o:lock v:ext="edit" aspectratio="f"/>
                  <v:shape id="文本框 2676" o:spid="_x0000_s1026" o:spt="202" type="#_x0000_t202" style="position:absolute;left:4798;top:5108;height:494;width:2041;" fillcolor="#FFFFFF" filled="t" stroked="t" coordsize="21600,21600" o:gfxdata="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wj8X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19FDD808">
                          <w:pPr>
                            <w:pStyle w:val="19"/>
                          </w:pPr>
                          <w:r>
                            <w:rPr>
                              <w:rFonts w:hint="eastAsia"/>
                            </w:rPr>
                            <w:t>沥青洒布车准备</w:t>
                          </w:r>
                        </w:p>
                      </w:txbxContent>
                    </v:textbox>
                  </v:shape>
                  <v:shape id="自选图形 2677" o:spid="_x0000_s1026" o:spt="32" type="#_x0000_t32" style="position:absolute;left:5818;top:5602;flip:x;height:340;width:1;" filled="f" stroked="t" coordsize="21600,21600" o:gfxdata="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Lxt0vQAA&#10;ANwAAAAPAAAAAAAAAAEAIAAAACIAAABkcnMvZG93bnJldi54bWxQSwECFAAUAAAACACHTuJAMy8F&#10;njsAAAA5AAAAEAAAAAAAAAABACAAAAAMAQAAZHJzL3NoYXBleG1sLnhtbFBLBQYAAAAABgAGAFsB&#10;AAC2AwAAAAA=&#10;">
                    <v:fill on="f" focussize="0,0"/>
                    <v:stroke weight="2.25pt" color="#2A33EC" joinstyle="round" endarrow="block"/>
                    <v:imagedata o:title=""/>
                    <o:lock v:ext="edit" aspectratio="f"/>
                  </v:shape>
                  <v:shape id="文本框 2678" o:spid="_x0000_s1026" o:spt="202" type="#_x0000_t202" style="position:absolute;left:4834;top:5948;height:494;width:2042;" fillcolor="#FFFFFF" filled="t" stroked="t" coordsize="21600,21600" o:gfxdata="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XAT7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1CB8BB9F">
                          <w:pPr>
                            <w:pStyle w:val="19"/>
                          </w:pPr>
                          <w:r>
                            <w:rPr>
                              <w:rFonts w:hint="eastAsia"/>
                            </w:rPr>
                            <w:t>系统检测、调式</w:t>
                          </w:r>
                        </w:p>
                      </w:txbxContent>
                    </v:textbox>
                  </v:shape>
                  <v:shape id="自选图形 2679" o:spid="_x0000_s1026" o:spt="32" type="#_x0000_t32" style="position:absolute;left:5854;top:6442;flip:x;height:340;width:1;" filled="f" stroked="t" coordsize="21600,21600" o:gfxdata="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vwqnbsAAADc&#10;AAAADwAAAAAAAAABACAAAAAiAAAAZHJzL2Rvd25yZXYueG1sUEsBAhQAFAAAAAgAh07iQDMvBZ47&#10;AAAAOQAAABAAAAAAAAAAAQAgAAAACgEAAGRycy9zaGFwZXhtbC54bWxQSwUGAAAAAAYABgBbAQAA&#10;tAMAAAAA&#10;">
                    <v:fill on="f" focussize="0,0"/>
                    <v:stroke weight="2.25pt" color="#2A33EC" joinstyle="round" endarrow="block"/>
                    <v:imagedata o:title=""/>
                    <o:lock v:ext="edit" aspectratio="f"/>
                  </v:shape>
                  <v:shape id="文本框 2680" o:spid="_x0000_s1026" o:spt="202" type="#_x0000_t202" style="position:absolute;left:4854;top:6745;height:494;width:2042;" fillcolor="#FFFFFF" filled="t" stroked="t" coordsize="21600,21600" o:gfxdata="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481ErsAAADc&#10;AAAADwAAAAAAAAABACAAAAAiAAAAZHJzL2Rvd25yZXYueG1sUEsBAhQAFAAAAAgAh07iQDMvBZ47&#10;AAAAOQAAABAAAAAAAAAAAQAgAAAACgEAAGRycy9zaGFwZXhtbC54bWxQSwUGAAAAAAYABgBbAQAA&#10;tAMAAAAA&#10;">
                    <v:fill on="t" focussize="0,0"/>
                    <v:stroke weight="2.25pt" color="#2A33EC" joinstyle="miter"/>
                    <v:imagedata o:title=""/>
                    <o:lock v:ext="edit" aspectratio="f"/>
                    <v:textbox>
                      <w:txbxContent>
                        <w:p w14:paraId="1878B4D5">
                          <w:pPr>
                            <w:pStyle w:val="19"/>
                          </w:pPr>
                          <w:r>
                            <w:rPr>
                              <w:rFonts w:hint="eastAsia"/>
                            </w:rPr>
                            <w:t>乳化沥青装车</w:t>
                          </w:r>
                        </w:p>
                      </w:txbxContent>
                    </v:textbox>
                  </v:shape>
                </v:group>
                <v:shape id="自选图形 2681" o:spid="_x0000_s1026" o:spt="32" type="#_x0000_t32" style="position:absolute;left:4192;top:7025;height:2;width:740;" filled="f" stroked="t" coordsize="21600,21600" o:gfxdata="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QncL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group id="组合 1192" o:spid="_x0000_s1026" o:spt="203" style="position:absolute;left:2151;top:5141;height:2131;width:2041;" coordorigin="2151,5141" coordsize="2041,2131" o:gfxdata="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nzLhwvwAAAN0AAAAPAAAAAAAAAAEAIAAAACIAAABkcnMvZG93bnJldi54&#10;bWxQSwECFAAUAAAACACHTuJAMy8FnjsAAAA5AAAAFQAAAAAAAAABACAAAAAOAQAAZHJzL2dyb3Vw&#10;c2hhcGV4bWwueG1sUEsFBgAAAAAGAAYAYAEAAMsDAAAAAA==&#10;">
                  <o:lock v:ext="edit" aspectratio="f"/>
                  <v:shape id="文本框 2683" o:spid="_x0000_s1026" o:spt="202" type="#_x0000_t202" style="position:absolute;left:2151;top:5141;height:494;width:1986;" fillcolor="#FFFFFF" filled="t" stroked="t" coordsize="21600,21600" o:gfxdata="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LdQe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6E2390E3">
                          <w:pPr>
                            <w:pStyle w:val="19"/>
                          </w:pPr>
                          <w:r>
                            <w:rPr>
                              <w:rFonts w:hint="eastAsia"/>
                            </w:rPr>
                            <w:t>乳化沥青准备</w:t>
                          </w:r>
                        </w:p>
                      </w:txbxContent>
                    </v:textbox>
                  </v:shape>
                  <v:shape id="自选图形 2684" o:spid="_x0000_s1026" o:spt="32" type="#_x0000_t32" style="position:absolute;left:3143;top:5635;flip:x;height:340;width:1;" filled="f" stroked="t" coordsize="21600,21600" o:gfxdata="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F7Lkb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shape id="文本框 2685" o:spid="_x0000_s1026" o:spt="202" type="#_x0000_t202" style="position:absolute;left:2186;top:5981;height:494;width:1987;" fillcolor="#FFFFFF" filled="t" stroked="t" coordsize="21600,21600" o:gfxdata="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iOnx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5ECD7A8C">
                          <w:pPr>
                            <w:pStyle w:val="19"/>
                          </w:pPr>
                          <w:r>
                            <w:rPr>
                              <w:rFonts w:hint="eastAsia"/>
                            </w:rPr>
                            <w:t>指标检测</w:t>
                          </w:r>
                        </w:p>
                      </w:txbxContent>
                    </v:textbox>
                  </v:shape>
                  <v:shape id="自选图形 2686" o:spid="_x0000_s1026" o:spt="32" type="#_x0000_t32" style="position:absolute;left:3178;top:6475;flip:x;height:340;width:1;" filled="f" stroked="t" coordsize="21600,21600" o:gfxdata="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D79n6/&#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shape id="文本框 2687" o:spid="_x0000_s1026" o:spt="202" type="#_x0000_t202" style="position:absolute;left:2206;top:6778;height:494;width:1986;" fillcolor="#FFFFFF" filled="t" stroked="t" coordsize="21600,21600" o:gfxdata="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FtId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4F34C914">
                          <w:pPr>
                            <w:pStyle w:val="19"/>
                          </w:pPr>
                          <w:r>
                            <w:rPr>
                              <w:rFonts w:hint="eastAsia"/>
                            </w:rPr>
                            <w:t>监理工程师审批</w:t>
                          </w:r>
                        </w:p>
                      </w:txbxContent>
                    </v:textbox>
                  </v:shape>
                </v:group>
                <v:shape id="自选图形 2688" o:spid="_x0000_s1026" o:spt="32" type="#_x0000_t32" style="position:absolute;left:5875;top:7239;flip:x;height:340;width:1;" filled="f" stroked="t" coordsize="21600,21600" o:gfxdata="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76WeC8AAAA&#10;3AAAAA8AAAAAAAAAAQAgAAAAIgAAAGRycy9kb3ducmV2LnhtbFBLAQIUABQAAAAIAIdO4kAzLwWe&#10;OwAAADkAAAAQAAAAAAAAAAEAIAAAAAsBAABkcnMvc2hhcGV4bWwueG1sUEsFBgAAAAAGAAYAWwEA&#10;ALUDAAAAAA==&#10;">
                  <v:fill on="f" focussize="0,0"/>
                  <v:stroke weight="2.25pt" color="#2A33EC" joinstyle="round" endarrow="block"/>
                  <v:imagedata o:title=""/>
                  <o:lock v:ext="edit" aspectratio="f"/>
                </v:shape>
                <v:shape id="自选图形 2689" o:spid="_x0000_s1026" o:spt="32" type="#_x0000_t32" style="position:absolute;left:5887;top:7317;flip:x;height:1;width:2551;" filled="f" stroked="t" coordsize="21600,21600" o:gfxdata="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bb8e7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group id="组合 1200" o:spid="_x0000_s1026" o:spt="203" style="position:absolute;left:7412;top:5481;height:1334;width:1984;" coordorigin="7412,5481" coordsize="1984,1334" o:gfxdata="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IgB3rvwAAAN0AAAAPAAAAAAAAAAEAIAAAACIAAABkcnMvZG93bnJldi54&#10;bWxQSwECFAAUAAAACACHTuJAMy8FnjsAAAA5AAAAFQAAAAAAAAABACAAAAAOAQAAZHJzL2dyb3Vw&#10;c2hhcGV4bWwueG1sUEsFBgAAAAAGAAYAYAEAAMsDAAAAAA==&#10;">
                  <o:lock v:ext="edit" aspectratio="f"/>
                  <v:shape id="文本框 2691" o:spid="_x0000_s1026" o:spt="202" type="#_x0000_t202" style="position:absolute;left:7412;top:5481;height:494;width:1984;" fillcolor="#FFFFFF" filled="t" stroked="t" coordsize="21600,21600" o:gfxdata="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tqeS+2AAAA3AAAAA8A&#10;AAAAAAAAAQAgAAAAIgAAAGRycy9kb3ducmV2LnhtbFBLAQIUABQAAAAIAIdO4kAzLwWeOwAAADkA&#10;AAAQAAAAAAAAAAEAIAAAAAUBAABkcnMvc2hhcGV4bWwueG1sUEsFBgAAAAAGAAYAWwEAAK8DAAAA&#10;AA==&#10;">
                    <v:fill on="t" focussize="0,0"/>
                    <v:stroke weight="2.25pt" color="#2A33EC" joinstyle="miter"/>
                    <v:imagedata o:title=""/>
                    <o:lock v:ext="edit" aspectratio="f"/>
                    <v:textbox>
                      <w:txbxContent>
                        <w:p w14:paraId="473DFDA9">
                          <w:pPr>
                            <w:pStyle w:val="19"/>
                          </w:pPr>
                          <w:r>
                            <w:rPr>
                              <w:rFonts w:hint="eastAsia"/>
                            </w:rPr>
                            <w:t>基层检测验收</w:t>
                          </w:r>
                        </w:p>
                      </w:txbxContent>
                    </v:textbox>
                  </v:shape>
                  <v:shape id="自选图形 2692" o:spid="_x0000_s1026" o:spt="32" type="#_x0000_t32" style="position:absolute;left:8403;top:5975;flip:x;height:340;width:1;" filled="f" stroked="t" coordsize="21600,21600" o:gfxdata="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lmoL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shape id="文本框 2693" o:spid="_x0000_s1026" o:spt="202" type="#_x0000_t202" style="position:absolute;left:7412;top:6321;height:494;width:1984;" fillcolor="#FFFFFF" filled="t" stroked="t" coordsize="21600,21600" o:gfxdata="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9ELD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1E1ECF28">
                          <w:pPr>
                            <w:pStyle w:val="19"/>
                          </w:pPr>
                          <w:r>
                            <w:rPr>
                              <w:rFonts w:hint="eastAsia"/>
                            </w:rPr>
                            <w:t>基层清扫吹灰</w:t>
                          </w:r>
                        </w:p>
                      </w:txbxContent>
                    </v:textbox>
                  </v:shape>
                </v:group>
                <v:line id="直线 2694" o:spid="_x0000_s1026" o:spt="20" style="position:absolute;left:8392;top:6882;flip:x y;height:397;width:1;" filled="f" stroked="t" coordsize="21600,21600" o:gfxdata="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OgwaS/&#10;AAAA3AAAAA8AAAAAAAAAAQAgAAAAIgAAAGRycy9kb3ducmV2LnhtbFBLAQIUABQAAAAIAIdO4kAz&#10;LwWeOwAAADkAAAAQAAAAAAAAAAEAIAAAAA4BAABkcnMvc2hhcGV4bWwueG1sUEsFBgAAAAAGAAYA&#10;WwEAALgDAAAAAA==&#10;">
                  <v:fill on="f" focussize="0,0"/>
                  <v:stroke weight="2.25pt" color="#2A33EC" joinstyle="round"/>
                  <v:imagedata o:title=""/>
                  <o:lock v:ext="edit" aspectratio="f"/>
                </v:line>
              </v:group>
            </w:pict>
          </mc:Fallback>
        </mc:AlternateContent>
      </w:r>
    </w:p>
    <w:p w14:paraId="7D689EFC">
      <w:pPr>
        <w:ind w:firstLine="0" w:firstLineChars="0"/>
        <w:rPr>
          <w:rFonts w:hint="eastAsia" w:ascii="宋体" w:hAnsi="宋体" w:eastAsia="宋体" w:cs="宋体"/>
          <w:highlight w:val="none"/>
          <w:lang w:val="zh-CN"/>
        </w:rPr>
      </w:pPr>
    </w:p>
    <w:p w14:paraId="35F1506B">
      <w:pPr>
        <w:ind w:firstLine="0" w:firstLineChars="0"/>
        <w:rPr>
          <w:rFonts w:hint="eastAsia" w:ascii="宋体" w:hAnsi="宋体" w:eastAsia="宋体" w:cs="宋体"/>
          <w:highlight w:val="none"/>
          <w:lang w:val="zh-CN"/>
        </w:rPr>
      </w:pPr>
      <w:r>
        <w:rPr>
          <w:rFonts w:hint="eastAsia" w:ascii="宋体" w:hAnsi="宋体" w:eastAsia="宋体" w:cs="宋体"/>
          <w:highlight w:val="none"/>
        </w:rPr>
        <mc:AlternateContent>
          <mc:Choice Requires="wpg">
            <w:drawing>
              <wp:anchor distT="0" distB="0" distL="114300" distR="114300" simplePos="0" relativeHeight="251729920" behindDoc="0" locked="0" layoutInCell="1" allowOverlap="1">
                <wp:simplePos x="0" y="0"/>
                <wp:positionH relativeFrom="column">
                  <wp:posOffset>875665</wp:posOffset>
                </wp:positionH>
                <wp:positionV relativeFrom="paragraph">
                  <wp:posOffset>45720</wp:posOffset>
                </wp:positionV>
                <wp:extent cx="4600575" cy="3748405"/>
                <wp:effectExtent l="4445" t="4445" r="12700" b="11430"/>
                <wp:wrapNone/>
                <wp:docPr id="2274" name="组合 569"/>
                <wp:cNvGraphicFramePr/>
                <a:graphic xmlns:a="http://schemas.openxmlformats.org/drawingml/2006/main">
                  <a:graphicData uri="http://schemas.microsoft.com/office/word/2010/wordprocessingGroup">
                    <wpg:wgp>
                      <wpg:cNvGrpSpPr/>
                      <wpg:grpSpPr>
                        <a:xfrm>
                          <a:off x="0" y="0"/>
                          <a:ext cx="4600575" cy="3748405"/>
                          <a:chOff x="2151" y="5108"/>
                          <a:chExt cx="7245" cy="4535"/>
                        </a:xfrm>
                      </wpg:grpSpPr>
                      <wpg:grpSp>
                        <wpg:cNvPr id="2275" name="组合 1179"/>
                        <wpg:cNvGrpSpPr/>
                        <wpg:grpSpPr>
                          <a:xfrm>
                            <a:off x="4845" y="7512"/>
                            <a:ext cx="2154" cy="2131"/>
                            <a:chOff x="4845" y="7512"/>
                            <a:chExt cx="2154" cy="2131"/>
                          </a:xfrm>
                        </wpg:grpSpPr>
                        <wps:wsp>
                          <wps:cNvPr id="609" name="文本框 2670"/>
                          <wps:cNvSpPr txBox="1"/>
                          <wps:spPr>
                            <a:xfrm>
                              <a:off x="4845" y="7512"/>
                              <a:ext cx="209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8B3C2F4">
                                <w:pPr>
                                  <w:pStyle w:val="19"/>
                                </w:pPr>
                                <w:r>
                                  <w:rPr>
                                    <w:rFonts w:hint="eastAsia"/>
                                  </w:rPr>
                                  <w:t>透层沥青洒布</w:t>
                                </w:r>
                              </w:p>
                            </w:txbxContent>
                          </wps:txbx>
                          <wps:bodyPr upright="1"/>
                        </wps:wsp>
                        <wps:wsp>
                          <wps:cNvPr id="610" name="自选图形 2671"/>
                          <wps:cNvCnPr/>
                          <wps:spPr>
                            <a:xfrm flipH="1">
                              <a:off x="5892" y="8006"/>
                              <a:ext cx="1" cy="340"/>
                            </a:xfrm>
                            <a:prstGeom prst="straightConnector1">
                              <a:avLst/>
                            </a:prstGeom>
                            <a:ln w="3175" cap="flat" cmpd="sng">
                              <a:solidFill>
                                <a:srgbClr val="000000"/>
                              </a:solidFill>
                              <a:prstDash val="solid"/>
                              <a:headEnd type="none" w="med" len="med"/>
                              <a:tailEnd type="triangle" w="med" len="med"/>
                            </a:ln>
                          </wps:spPr>
                          <wps:bodyPr/>
                        </wps:wsp>
                        <wps:wsp>
                          <wps:cNvPr id="611" name="文本框 2672"/>
                          <wps:cNvSpPr txBox="1"/>
                          <wps:spPr>
                            <a:xfrm>
                              <a:off x="4882" y="8352"/>
                              <a:ext cx="209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809357F">
                                <w:pPr>
                                  <w:pStyle w:val="19"/>
                                </w:pPr>
                                <w:r>
                                  <w:rPr>
                                    <w:rFonts w:hint="eastAsia"/>
                                  </w:rPr>
                                  <w:t>破乳水分蒸发</w:t>
                                </w:r>
                              </w:p>
                            </w:txbxContent>
                          </wps:txbx>
                          <wps:bodyPr upright="1"/>
                        </wps:wsp>
                        <wps:wsp>
                          <wps:cNvPr id="612" name="自选图形 2673"/>
                          <wps:cNvCnPr/>
                          <wps:spPr>
                            <a:xfrm flipH="1">
                              <a:off x="5929" y="8846"/>
                              <a:ext cx="1" cy="340"/>
                            </a:xfrm>
                            <a:prstGeom prst="straightConnector1">
                              <a:avLst/>
                            </a:prstGeom>
                            <a:ln w="3175" cap="flat" cmpd="sng">
                              <a:solidFill>
                                <a:srgbClr val="000000"/>
                              </a:solidFill>
                              <a:prstDash val="solid"/>
                              <a:headEnd type="none" w="med" len="med"/>
                              <a:tailEnd type="triangle" w="med" len="med"/>
                            </a:ln>
                          </wps:spPr>
                          <wps:bodyPr/>
                        </wps:wsp>
                        <wps:wsp>
                          <wps:cNvPr id="613" name="文本框 2674"/>
                          <wps:cNvSpPr txBox="1"/>
                          <wps:spPr>
                            <a:xfrm>
                              <a:off x="4903" y="9149"/>
                              <a:ext cx="209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8F5B216">
                                <w:pPr>
                                  <w:pStyle w:val="19"/>
                                </w:pPr>
                                <w:r>
                                  <w:rPr>
                                    <w:rFonts w:hint="eastAsia"/>
                                  </w:rPr>
                                  <w:t>进行封层施工</w:t>
                                </w:r>
                              </w:p>
                            </w:txbxContent>
                          </wps:txbx>
                          <wps:bodyPr upright="1"/>
                        </wps:wsp>
                      </wpg:grpSp>
                      <wpg:grpSp>
                        <wpg:cNvPr id="2276" name="组合 1185"/>
                        <wpg:cNvGrpSpPr/>
                        <wpg:grpSpPr>
                          <a:xfrm>
                            <a:off x="4798" y="5108"/>
                            <a:ext cx="2098" cy="2131"/>
                            <a:chOff x="4798" y="5108"/>
                            <a:chExt cx="2098" cy="2131"/>
                          </a:xfrm>
                        </wpg:grpSpPr>
                        <wps:wsp>
                          <wps:cNvPr id="615" name="文本框 2676"/>
                          <wps:cNvSpPr txBox="1"/>
                          <wps:spPr>
                            <a:xfrm>
                              <a:off x="4798" y="5108"/>
                              <a:ext cx="2041"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4E266B5">
                                <w:pPr>
                                  <w:pStyle w:val="19"/>
                                </w:pPr>
                                <w:r>
                                  <w:rPr>
                                    <w:rFonts w:hint="eastAsia"/>
                                  </w:rPr>
                                  <w:t>沥青洒布车准备</w:t>
                                </w:r>
                              </w:p>
                            </w:txbxContent>
                          </wps:txbx>
                          <wps:bodyPr upright="1"/>
                        </wps:wsp>
                        <wps:wsp>
                          <wps:cNvPr id="616" name="自选图形 2677"/>
                          <wps:cNvCnPr/>
                          <wps:spPr>
                            <a:xfrm flipH="1">
                              <a:off x="5818" y="5602"/>
                              <a:ext cx="1" cy="340"/>
                            </a:xfrm>
                            <a:prstGeom prst="straightConnector1">
                              <a:avLst/>
                            </a:prstGeom>
                            <a:ln w="3175" cap="flat" cmpd="sng">
                              <a:solidFill>
                                <a:srgbClr val="000000"/>
                              </a:solidFill>
                              <a:prstDash val="solid"/>
                              <a:headEnd type="none" w="med" len="med"/>
                              <a:tailEnd type="triangle" w="med" len="med"/>
                            </a:ln>
                          </wps:spPr>
                          <wps:bodyPr/>
                        </wps:wsp>
                        <wps:wsp>
                          <wps:cNvPr id="617" name="文本框 2678"/>
                          <wps:cNvSpPr txBox="1"/>
                          <wps:spPr>
                            <a:xfrm>
                              <a:off x="4834" y="5948"/>
                              <a:ext cx="2042"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963DDF2">
                                <w:pPr>
                                  <w:pStyle w:val="19"/>
                                </w:pPr>
                                <w:r>
                                  <w:rPr>
                                    <w:rFonts w:hint="eastAsia"/>
                                  </w:rPr>
                                  <w:t>系统检测、调式</w:t>
                                </w:r>
                              </w:p>
                            </w:txbxContent>
                          </wps:txbx>
                          <wps:bodyPr upright="1"/>
                        </wps:wsp>
                        <wps:wsp>
                          <wps:cNvPr id="618" name="自选图形 2679"/>
                          <wps:cNvCnPr/>
                          <wps:spPr>
                            <a:xfrm flipH="1">
                              <a:off x="5854" y="6442"/>
                              <a:ext cx="1" cy="340"/>
                            </a:xfrm>
                            <a:prstGeom prst="straightConnector1">
                              <a:avLst/>
                            </a:prstGeom>
                            <a:ln w="3175" cap="flat" cmpd="sng">
                              <a:solidFill>
                                <a:srgbClr val="000000"/>
                              </a:solidFill>
                              <a:prstDash val="solid"/>
                              <a:headEnd type="none" w="med" len="med"/>
                              <a:tailEnd type="triangle" w="med" len="med"/>
                            </a:ln>
                          </wps:spPr>
                          <wps:bodyPr/>
                        </wps:wsp>
                        <wps:wsp>
                          <wps:cNvPr id="619" name="文本框 2680"/>
                          <wps:cNvSpPr txBox="1"/>
                          <wps:spPr>
                            <a:xfrm>
                              <a:off x="4854" y="6745"/>
                              <a:ext cx="2042"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A990620">
                                <w:pPr>
                                  <w:pStyle w:val="19"/>
                                </w:pPr>
                                <w:r>
                                  <w:rPr>
                                    <w:rFonts w:hint="eastAsia"/>
                                  </w:rPr>
                                  <w:t>乳化沥青装车</w:t>
                                </w:r>
                              </w:p>
                            </w:txbxContent>
                          </wps:txbx>
                          <wps:bodyPr upright="1"/>
                        </wps:wsp>
                      </wpg:grpSp>
                      <wps:wsp>
                        <wps:cNvPr id="621" name="自选图形 2681"/>
                        <wps:cNvCnPr/>
                        <wps:spPr>
                          <a:xfrm>
                            <a:off x="4192" y="7025"/>
                            <a:ext cx="740" cy="2"/>
                          </a:xfrm>
                          <a:prstGeom prst="straightConnector1">
                            <a:avLst/>
                          </a:prstGeom>
                          <a:ln w="3175" cap="flat" cmpd="sng">
                            <a:solidFill>
                              <a:srgbClr val="000000"/>
                            </a:solidFill>
                            <a:prstDash val="solid"/>
                            <a:headEnd type="none" w="med" len="med"/>
                            <a:tailEnd type="triangle" w="med" len="med"/>
                          </a:ln>
                        </wps:spPr>
                        <wps:bodyPr/>
                      </wps:wsp>
                      <wpg:grpSp>
                        <wpg:cNvPr id="2277" name="组合 1192"/>
                        <wpg:cNvGrpSpPr/>
                        <wpg:grpSpPr>
                          <a:xfrm>
                            <a:off x="2151" y="5141"/>
                            <a:ext cx="2041" cy="2131"/>
                            <a:chOff x="2151" y="5141"/>
                            <a:chExt cx="2041" cy="2131"/>
                          </a:xfrm>
                        </wpg:grpSpPr>
                        <wps:wsp>
                          <wps:cNvPr id="622" name="文本框 2683"/>
                          <wps:cNvSpPr txBox="1"/>
                          <wps:spPr>
                            <a:xfrm>
                              <a:off x="2151" y="5141"/>
                              <a:ext cx="198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E8780D3">
                                <w:pPr>
                                  <w:pStyle w:val="19"/>
                                </w:pPr>
                                <w:r>
                                  <w:rPr>
                                    <w:rFonts w:hint="eastAsia"/>
                                  </w:rPr>
                                  <w:t>乳化沥青准备</w:t>
                                </w:r>
                              </w:p>
                            </w:txbxContent>
                          </wps:txbx>
                          <wps:bodyPr upright="1"/>
                        </wps:wsp>
                        <wps:wsp>
                          <wps:cNvPr id="623" name="自选图形 2684"/>
                          <wps:cNvCnPr/>
                          <wps:spPr>
                            <a:xfrm flipH="1">
                              <a:off x="3143" y="5635"/>
                              <a:ext cx="1" cy="340"/>
                            </a:xfrm>
                            <a:prstGeom prst="straightConnector1">
                              <a:avLst/>
                            </a:prstGeom>
                            <a:ln w="3175" cap="flat" cmpd="sng">
                              <a:solidFill>
                                <a:srgbClr val="000000"/>
                              </a:solidFill>
                              <a:prstDash val="solid"/>
                              <a:headEnd type="none" w="med" len="med"/>
                              <a:tailEnd type="triangle" w="med" len="med"/>
                            </a:ln>
                          </wps:spPr>
                          <wps:bodyPr/>
                        </wps:wsp>
                        <wps:wsp>
                          <wps:cNvPr id="624" name="文本框 2685"/>
                          <wps:cNvSpPr txBox="1"/>
                          <wps:spPr>
                            <a:xfrm>
                              <a:off x="2186" y="5981"/>
                              <a:ext cx="198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0282E6C">
                                <w:pPr>
                                  <w:pStyle w:val="19"/>
                                </w:pPr>
                                <w:r>
                                  <w:rPr>
                                    <w:rFonts w:hint="eastAsia"/>
                                  </w:rPr>
                                  <w:t>指标检测</w:t>
                                </w:r>
                              </w:p>
                            </w:txbxContent>
                          </wps:txbx>
                          <wps:bodyPr upright="1"/>
                        </wps:wsp>
                        <wps:wsp>
                          <wps:cNvPr id="625" name="自选图形 2686"/>
                          <wps:cNvCnPr/>
                          <wps:spPr>
                            <a:xfrm flipH="1">
                              <a:off x="3178" y="6475"/>
                              <a:ext cx="1" cy="340"/>
                            </a:xfrm>
                            <a:prstGeom prst="straightConnector1">
                              <a:avLst/>
                            </a:prstGeom>
                            <a:ln w="3175" cap="flat" cmpd="sng">
                              <a:solidFill>
                                <a:srgbClr val="000000"/>
                              </a:solidFill>
                              <a:prstDash val="solid"/>
                              <a:headEnd type="none" w="med" len="med"/>
                              <a:tailEnd type="triangle" w="med" len="med"/>
                            </a:ln>
                          </wps:spPr>
                          <wps:bodyPr/>
                        </wps:wsp>
                        <wps:wsp>
                          <wps:cNvPr id="626" name="文本框 2687"/>
                          <wps:cNvSpPr txBox="1"/>
                          <wps:spPr>
                            <a:xfrm>
                              <a:off x="2206" y="6778"/>
                              <a:ext cx="198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9B77B27">
                                <w:pPr>
                                  <w:pStyle w:val="19"/>
                                </w:pPr>
                                <w:r>
                                  <w:rPr>
                                    <w:rFonts w:hint="eastAsia"/>
                                  </w:rPr>
                                  <w:t>监理工程师审批</w:t>
                                </w:r>
                              </w:p>
                            </w:txbxContent>
                          </wps:txbx>
                          <wps:bodyPr upright="1"/>
                        </wps:wsp>
                      </wpg:grpSp>
                      <wps:wsp>
                        <wps:cNvPr id="628" name="自选图形 2688"/>
                        <wps:cNvCnPr/>
                        <wps:spPr>
                          <a:xfrm flipH="1">
                            <a:off x="5875" y="7239"/>
                            <a:ext cx="1" cy="340"/>
                          </a:xfrm>
                          <a:prstGeom prst="straightConnector1">
                            <a:avLst/>
                          </a:prstGeom>
                          <a:ln w="3175" cap="flat" cmpd="sng">
                            <a:solidFill>
                              <a:srgbClr val="000000"/>
                            </a:solidFill>
                            <a:prstDash val="solid"/>
                            <a:headEnd type="none" w="med" len="med"/>
                            <a:tailEnd type="triangle" w="med" len="med"/>
                          </a:ln>
                        </wps:spPr>
                        <wps:bodyPr/>
                      </wps:wsp>
                      <wps:wsp>
                        <wps:cNvPr id="629" name="自选图形 2689"/>
                        <wps:cNvCnPr/>
                        <wps:spPr>
                          <a:xfrm flipH="1">
                            <a:off x="5887" y="7317"/>
                            <a:ext cx="2551" cy="1"/>
                          </a:xfrm>
                          <a:prstGeom prst="straightConnector1">
                            <a:avLst/>
                          </a:prstGeom>
                          <a:ln w="3175" cap="flat" cmpd="sng">
                            <a:solidFill>
                              <a:srgbClr val="000000"/>
                            </a:solidFill>
                            <a:prstDash val="solid"/>
                            <a:headEnd type="none" w="med" len="med"/>
                            <a:tailEnd type="triangle" w="med" len="med"/>
                          </a:ln>
                        </wps:spPr>
                        <wps:bodyPr/>
                      </wps:wsp>
                      <wpg:grpSp>
                        <wpg:cNvPr id="2278" name="组合 1200"/>
                        <wpg:cNvGrpSpPr/>
                        <wpg:grpSpPr>
                          <a:xfrm>
                            <a:off x="7412" y="5481"/>
                            <a:ext cx="1984" cy="1334"/>
                            <a:chOff x="7412" y="5481"/>
                            <a:chExt cx="1984" cy="1334"/>
                          </a:xfrm>
                        </wpg:grpSpPr>
                        <wps:wsp>
                          <wps:cNvPr id="630" name="文本框 2691"/>
                          <wps:cNvSpPr txBox="1"/>
                          <wps:spPr>
                            <a:xfrm>
                              <a:off x="7412" y="5481"/>
                              <a:ext cx="1984"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3362015">
                                <w:pPr>
                                  <w:pStyle w:val="19"/>
                                </w:pPr>
                                <w:r>
                                  <w:rPr>
                                    <w:rFonts w:hint="eastAsia"/>
                                  </w:rPr>
                                  <w:t>基层检测验收</w:t>
                                </w:r>
                              </w:p>
                            </w:txbxContent>
                          </wps:txbx>
                          <wps:bodyPr upright="1"/>
                        </wps:wsp>
                        <wps:wsp>
                          <wps:cNvPr id="631" name="自选图形 2692"/>
                          <wps:cNvCnPr/>
                          <wps:spPr>
                            <a:xfrm flipH="1">
                              <a:off x="8403" y="5975"/>
                              <a:ext cx="1" cy="340"/>
                            </a:xfrm>
                            <a:prstGeom prst="straightConnector1">
                              <a:avLst/>
                            </a:prstGeom>
                            <a:ln w="3175" cap="flat" cmpd="sng">
                              <a:solidFill>
                                <a:srgbClr val="000000"/>
                              </a:solidFill>
                              <a:prstDash val="solid"/>
                              <a:headEnd type="none" w="med" len="med"/>
                              <a:tailEnd type="triangle" w="med" len="med"/>
                            </a:ln>
                          </wps:spPr>
                          <wps:bodyPr/>
                        </wps:wsp>
                        <wps:wsp>
                          <wps:cNvPr id="632" name="文本框 2693"/>
                          <wps:cNvSpPr txBox="1"/>
                          <wps:spPr>
                            <a:xfrm>
                              <a:off x="7412" y="6321"/>
                              <a:ext cx="1984"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EFCCEF7">
                                <w:pPr>
                                  <w:pStyle w:val="19"/>
                                </w:pPr>
                                <w:r>
                                  <w:rPr>
                                    <w:rFonts w:hint="eastAsia"/>
                                  </w:rPr>
                                  <w:t>基层清扫吹灰</w:t>
                                </w:r>
                              </w:p>
                            </w:txbxContent>
                          </wps:txbx>
                          <wps:bodyPr upright="1"/>
                        </wps:wsp>
                      </wpg:grpSp>
                      <wps:wsp>
                        <wps:cNvPr id="634" name="直线 2694"/>
                        <wps:cNvCnPr/>
                        <wps:spPr>
                          <a:xfrm flipH="1" flipV="1">
                            <a:off x="8392" y="6882"/>
                            <a:ext cx="1" cy="397"/>
                          </a:xfrm>
                          <a:prstGeom prst="line">
                            <a:avLst/>
                          </a:prstGeom>
                          <a:ln w="3175" cap="flat" cmpd="sng">
                            <a:solidFill>
                              <a:srgbClr val="000000"/>
                            </a:solidFill>
                            <a:prstDash val="solid"/>
                            <a:headEnd type="none" w="med" len="med"/>
                            <a:tailEnd type="none" w="med" len="med"/>
                          </a:ln>
                        </wps:spPr>
                        <wps:bodyPr upright="1"/>
                      </wps:wsp>
                    </wpg:wgp>
                  </a:graphicData>
                </a:graphic>
              </wp:anchor>
            </w:drawing>
          </mc:Choice>
          <mc:Fallback>
            <w:pict>
              <v:group id="组合 569" o:spid="_x0000_s1026" o:spt="203" style="position:absolute;left:0pt;margin-left:68.95pt;margin-top:3.6pt;height:295.15pt;width:362.25pt;z-index:251729920;mso-width-relative:page;mso-height-relative:page;" coordorigin="2151,5108" coordsize="7245,4535" o:gfxdata="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">
                <o:lock v:ext="edit" aspectratio="f"/>
                <v:group id="组合 1179" o:spid="_x0000_s1026" o:spt="203" style="position:absolute;left:4845;top:7512;height:2131;width:2154;" coordorigin="4845,7512" coordsize="2154,2131" o:gfxdata="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oJSAEvwAAAN0AAAAPAAAAAAAAAAEAIAAAACIAAABkcnMvZG93bnJldi54&#10;bWxQSwECFAAUAAAACACHTuJAMy8FnjsAAAA5AAAAFQAAAAAAAAABACAAAAAOAQAAZHJzL2dyb3Vw&#10;c2hhcGV4bWwueG1sUEsFBgAAAAAGAAYAYAEAAMsDAAAAAA==&#10;">
                  <o:lock v:ext="edit" aspectratio="f"/>
                  <v:shape id="文本框 2670" o:spid="_x0000_s1026" o:spt="202" type="#_x0000_t202" style="position:absolute;left:4845;top:7512;height:494;width:2096;" fillcolor="#C6D9F1" filled="t" stroked="t" coordsize="21600,21600" o:gfxdata="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DjUa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8B3C2F4">
                          <w:pPr>
                            <w:pStyle w:val="19"/>
                          </w:pPr>
                          <w:r>
                            <w:rPr>
                              <w:rFonts w:hint="eastAsia"/>
                            </w:rPr>
                            <w:t>透层沥青洒布</w:t>
                          </w:r>
                        </w:p>
                      </w:txbxContent>
                    </v:textbox>
                  </v:shape>
                  <v:shape id="自选图形 2671" o:spid="_x0000_s1026" o:spt="32" type="#_x0000_t32" style="position:absolute;left:5892;top:8006;flip:x;height:340;width:1;" filled="f" stroked="t" coordsize="21600,21600" o:gfxdata="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hWF67sAAADc&#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文本框 2672" o:spid="_x0000_s1026" o:spt="202" type="#_x0000_t202" style="position:absolute;left:4882;top:8352;height:494;width:2097;" fillcolor="#C6D9F1" filled="t" stroked="t" coordsize="21600,21600" o:gfxdata="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oa/B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809357F">
                          <w:pPr>
                            <w:pStyle w:val="19"/>
                          </w:pPr>
                          <w:r>
                            <w:rPr>
                              <w:rFonts w:hint="eastAsia"/>
                            </w:rPr>
                            <w:t>破乳水分蒸发</w:t>
                          </w:r>
                        </w:p>
                      </w:txbxContent>
                    </v:textbox>
                  </v:shape>
                  <v:shape id="自选图形 2673" o:spid="_x0000_s1026" o:spt="32" type="#_x0000_t32" style="position:absolute;left:5929;top:8846;flip:x;height:340;width:1;" filled="f" stroked="t" coordsize="21600,21600" o:gfxdata="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u+B7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文本框 2674" o:spid="_x0000_s1026" o:spt="202" type="#_x0000_t202" style="position:absolute;left:4903;top:9149;height:494;width:2096;" fillcolor="#C6D9F1" filled="t" stroked="t" coordsize="21600,21600" o:gfxdata="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UL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48F5B216">
                          <w:pPr>
                            <w:pStyle w:val="19"/>
                          </w:pPr>
                          <w:r>
                            <w:rPr>
                              <w:rFonts w:hint="eastAsia"/>
                            </w:rPr>
                            <w:t>进行封层施工</w:t>
                          </w:r>
                        </w:p>
                      </w:txbxContent>
                    </v:textbox>
                  </v:shape>
                </v:group>
                <v:group id="组合 1185" o:spid="_x0000_s1026" o:spt="203" style="position:absolute;left:4798;top:5108;height:2131;width:2098;" coordorigin="4798,5108" coordsize="2098,2131" o:gfxdata="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Y975zvwAAAN0AAAAPAAAAAAAAAAEAIAAAACIAAABkcnMvZG93bnJldi54&#10;bWxQSwECFAAUAAAACACHTuJAMy8FnjsAAAA5AAAAFQAAAAAAAAABACAAAAAOAQAAZHJzL2dyb3Vw&#10;c2hhcGV4bWwueG1sUEsFBgAAAAAGAAYAYAEAAMsDAAAAAA==&#10;">
                  <o:lock v:ext="edit" aspectratio="f"/>
                  <v:shape id="文本框 2676" o:spid="_x0000_s1026" o:spt="202" type="#_x0000_t202" style="position:absolute;left:4798;top:5108;height:494;width:2041;" fillcolor="#C6D9F1" filled="t" stroked="t" coordsize="21600,21600" o:gfxdata="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pqpw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54E266B5">
                          <w:pPr>
                            <w:pStyle w:val="19"/>
                          </w:pPr>
                          <w:r>
                            <w:rPr>
                              <w:rFonts w:hint="eastAsia"/>
                            </w:rPr>
                            <w:t>沥青洒布车准备</w:t>
                          </w:r>
                        </w:p>
                      </w:txbxContent>
                    </v:textbox>
                  </v:shape>
                  <v:shape id="自选图形 2677" o:spid="_x0000_s1026" o:spt="32" type="#_x0000_t32" style="position:absolute;left:5818;top:5602;flip:x;height:340;width:1;" filled="f" stroked="t" coordsize="21600,21600" o:gfxdata="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wuAS/&#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shape>
                  <v:shape id="文本框 2678" o:spid="_x0000_s1026" o:spt="202" type="#_x0000_t202" style="position:absolute;left:4834;top:5948;height:494;width:2042;" fillcolor="#C6D9F1" filled="t" stroked="t" coordsize="21600,21600" o:gfxdata="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BJIu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4963DDF2">
                          <w:pPr>
                            <w:pStyle w:val="19"/>
                          </w:pPr>
                          <w:r>
                            <w:rPr>
                              <w:rFonts w:hint="eastAsia"/>
                            </w:rPr>
                            <w:t>系统检测、调式</w:t>
                          </w:r>
                        </w:p>
                      </w:txbxContent>
                    </v:textbox>
                  </v:shape>
                  <v:shape id="自选图形 2679" o:spid="_x0000_s1026" o:spt="32" type="#_x0000_t32" style="position:absolute;left:5854;top:6442;flip:x;height:340;width:1;" filled="f" stroked="t" coordsize="21600,21600" o:gfxdata="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OJ7bsAAADc&#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文本框 2680" o:spid="_x0000_s1026" o:spt="202" type="#_x0000_t202" style="position:absolute;left:4854;top:6745;height:494;width:2042;" fillcolor="#C6D9F1" filled="t" stroked="t" coordsize="21600,21600" o:gfxdata="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16PH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7A990620">
                          <w:pPr>
                            <w:pStyle w:val="19"/>
                          </w:pPr>
                          <w:r>
                            <w:rPr>
                              <w:rFonts w:hint="eastAsia"/>
                            </w:rPr>
                            <w:t>乳化沥青装车</w:t>
                          </w:r>
                        </w:p>
                      </w:txbxContent>
                    </v:textbox>
                  </v:shape>
                </v:group>
                <v:shape id="自选图形 2681" o:spid="_x0000_s1026" o:spt="32" type="#_x0000_t32" style="position:absolute;left:4192;top:7025;height:2;width:740;" filled="f" stroked="t" coordsize="21600,21600" o:gfxdata="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FWoO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group id="组合 1192" o:spid="_x0000_s1026" o:spt="203" style="position:absolute;left:2151;top:5141;height:2131;width:2041;" coordorigin="2151,5141" coordsize="2041,2131" o:gfxdata="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3uxvovwAAAN0AAAAPAAAAAAAAAAEAIAAAACIAAABkcnMvZG93bnJldi54&#10;bWxQSwECFAAUAAAACACHTuJAMy8FnjsAAAA5AAAAFQAAAAAAAAABACAAAAAOAQAAZHJzL2dyb3Vw&#10;c2hhcGV4bWwueG1sUEsFBgAAAAAGAAYAYAEAAMsDAAAAAA==&#10;">
                  <o:lock v:ext="edit" aspectratio="f"/>
                  <v:shape id="文本框 2683" o:spid="_x0000_s1026" o:spt="202" type="#_x0000_t202" style="position:absolute;left:2151;top:5141;height:494;width:1986;" fillcolor="#C6D9F1" filled="t" stroked="t" coordsize="21600,21600" o:gfxdata="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H/sL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5E8780D3">
                          <w:pPr>
                            <w:pStyle w:val="19"/>
                          </w:pPr>
                          <w:r>
                            <w:rPr>
                              <w:rFonts w:hint="eastAsia"/>
                            </w:rPr>
                            <w:t>乳化沥青准备</w:t>
                          </w:r>
                        </w:p>
                      </w:txbxContent>
                    </v:textbox>
                  </v:shape>
                  <v:shape id="自选图形 2684" o:spid="_x0000_s1026" o:spt="32" type="#_x0000_t32" style="position:absolute;left:3143;top:5635;flip:x;height:340;width:1;" filled="f" stroked="t" coordsize="21600,21600" o:gfxdata="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r0SG/&#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shape>
                  <v:shape id="文本框 2685" o:spid="_x0000_s1026" o:spt="202" type="#_x0000_t202" style="position:absolute;left:2186;top:5981;height:494;width:1987;" fillcolor="#C6D9F1" filled="t" stroked="t" coordsize="21600,21600" o:gfxdata="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usbk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70282E6C">
                          <w:pPr>
                            <w:pStyle w:val="19"/>
                          </w:pPr>
                          <w:r>
                            <w:rPr>
                              <w:rFonts w:hint="eastAsia"/>
                            </w:rPr>
                            <w:t>指标检测</w:t>
                          </w:r>
                        </w:p>
                      </w:txbxContent>
                    </v:textbox>
                  </v:shape>
                  <v:shape id="自选图形 2686" o:spid="_x0000_s1026" o:spt="32" type="#_x0000_t32" style="position:absolute;left:3178;top:6475;flip:x;height:340;width:1;" filled="f" stroked="t" coordsize="21600,21600" o:gfxdata="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A7szr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文本框 2687" o:spid="_x0000_s1026" o:spt="202" type="#_x0000_t202" style="position:absolute;left:2206;top:6778;height:494;width:1986;" fillcolor="#C6D9F1" filled="t" stroked="t" coordsize="21600,21600" o:gfxdata="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JP0I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9B77B27">
                          <w:pPr>
                            <w:pStyle w:val="19"/>
                          </w:pPr>
                          <w:r>
                            <w:rPr>
                              <w:rFonts w:hint="eastAsia"/>
                            </w:rPr>
                            <w:t>监理工程师审批</w:t>
                          </w:r>
                        </w:p>
                      </w:txbxContent>
                    </v:textbox>
                  </v:shape>
                </v:group>
                <v:shape id="自选图形 2688" o:spid="_x0000_s1026" o:spt="32" type="#_x0000_t32" style="position:absolute;left:5875;top:7239;flip:x;height:340;width:1;" filled="f" stroked="t" coordsize="21600,21600" o:gfxdata="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PQ1C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自选图形 2689" o:spid="_x0000_s1026" o:spt="32" type="#_x0000_t32" style="position:absolute;left:5887;top:7317;flip:x;height:1;width:2551;" filled="f" stroked="t" coordsize="21600,21600" o:gfxdata="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Q+bL&#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shape>
                <v:group id="组合 1200" o:spid="_x0000_s1026" o:spt="203" style="position:absolute;left:7412;top:5481;height:1334;width:1984;" coordorigin="7412,5481" coordsize="1984,1334" o:gfxdata="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GJI+avAAAAN0AAAAPAAAAAAAAAAEAIAAAACIAAABkcnMvZG93bnJldi54bWxQ&#10;SwECFAAUAAAACACHTuJAMy8FnjsAAAA5AAAAFQAAAAAAAAABACAAAAALAQAAZHJzL2dyb3Vwc2hh&#10;cGV4bWwueG1sUEsFBgAAAAAGAAYAYAEAAMgDAAAAAA==&#10;">
                  <o:lock v:ext="edit" aspectratio="f"/>
                  <v:shape id="文本框 2691" o:spid="_x0000_s1026" o:spt="202" type="#_x0000_t202" style="position:absolute;left:7412;top:5481;height:494;width:1984;" fillcolor="#C6D9F1" filled="t" stroked="t" coordsize="21600,21600" o:gfxdata="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WFY6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53362015">
                          <w:pPr>
                            <w:pStyle w:val="19"/>
                          </w:pPr>
                          <w:r>
                            <w:rPr>
                              <w:rFonts w:hint="eastAsia"/>
                            </w:rPr>
                            <w:t>基层检测验收</w:t>
                          </w:r>
                        </w:p>
                      </w:txbxContent>
                    </v:textbox>
                  </v:shape>
                  <v:shape id="自选图形 2692" o:spid="_x0000_s1026" o:spt="32" type="#_x0000_t32" style="position:absolute;left:8403;top:5975;flip:x;height:340;width:1;" filled="f" stroked="t" coordsize="21600,21600" o:gfxdata="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sfBC/&#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shape>
                  <v:shape id="文本框 2693" o:spid="_x0000_s1026" o:spt="202" type="#_x0000_t202" style="position:absolute;left:7412;top:6321;height:494;width:1984;" fillcolor="#C6D9F1" filled="t" stroked="t" coordsize="21600,21600" o:gfxdata="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xm3W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4EFCCEF7">
                          <w:pPr>
                            <w:pStyle w:val="19"/>
                          </w:pPr>
                          <w:r>
                            <w:rPr>
                              <w:rFonts w:hint="eastAsia"/>
                            </w:rPr>
                            <w:t>基层清扫吹灰</w:t>
                          </w:r>
                        </w:p>
                      </w:txbxContent>
                    </v:textbox>
                  </v:shape>
                </v:group>
                <v:line id="直线 2694" o:spid="_x0000_s1026" o:spt="20" style="position:absolute;left:8392;top:6882;flip:x y;height:397;width:1;" filled="f" stroked="t" coordsize="21600,21600" o:gfxdata="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kY+La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group>
            </w:pict>
          </mc:Fallback>
        </mc:AlternateContent>
      </w:r>
    </w:p>
    <w:p w14:paraId="2D8725F4">
      <w:pPr>
        <w:ind w:firstLine="0" w:firstLineChars="0"/>
        <w:rPr>
          <w:rFonts w:hint="eastAsia" w:ascii="宋体" w:hAnsi="宋体" w:eastAsia="宋体" w:cs="宋体"/>
          <w:highlight w:val="none"/>
          <w:lang w:val="zh-CN"/>
        </w:rPr>
      </w:pPr>
    </w:p>
    <w:p w14:paraId="2454C583">
      <w:pPr>
        <w:ind w:firstLine="0" w:firstLineChars="0"/>
        <w:rPr>
          <w:rFonts w:hint="eastAsia" w:ascii="宋体" w:hAnsi="宋体" w:eastAsia="宋体" w:cs="宋体"/>
          <w:highlight w:val="none"/>
          <w:lang w:val="zh-CN"/>
        </w:rPr>
      </w:pPr>
    </w:p>
    <w:p w14:paraId="25AF0CC9">
      <w:pPr>
        <w:ind w:firstLine="0" w:firstLineChars="0"/>
        <w:rPr>
          <w:rFonts w:hint="eastAsia" w:ascii="宋体" w:hAnsi="宋体" w:eastAsia="宋体" w:cs="宋体"/>
          <w:highlight w:val="none"/>
          <w:lang w:val="zh-CN"/>
        </w:rPr>
      </w:pPr>
    </w:p>
    <w:p w14:paraId="3574ABF9">
      <w:pPr>
        <w:ind w:firstLine="0" w:firstLineChars="0"/>
        <w:rPr>
          <w:rFonts w:hint="eastAsia" w:ascii="宋体" w:hAnsi="宋体" w:eastAsia="宋体" w:cs="宋体"/>
          <w:highlight w:val="none"/>
          <w:lang w:val="zh-CN"/>
        </w:rPr>
      </w:pPr>
    </w:p>
    <w:p w14:paraId="45EA455D">
      <w:pPr>
        <w:ind w:firstLine="0" w:firstLineChars="0"/>
        <w:rPr>
          <w:rFonts w:hint="eastAsia" w:ascii="宋体" w:hAnsi="宋体" w:eastAsia="宋体" w:cs="宋体"/>
          <w:highlight w:val="none"/>
          <w:lang w:val="zh-CN"/>
        </w:rPr>
      </w:pPr>
    </w:p>
    <w:p w14:paraId="1C935489">
      <w:pPr>
        <w:ind w:firstLine="0" w:firstLineChars="0"/>
        <w:rPr>
          <w:rFonts w:hint="eastAsia" w:ascii="宋体" w:hAnsi="宋体" w:eastAsia="宋体" w:cs="宋体"/>
          <w:highlight w:val="none"/>
          <w:lang w:val="zh-CN"/>
        </w:rPr>
      </w:pPr>
    </w:p>
    <w:p w14:paraId="2DCD375D">
      <w:pPr>
        <w:pStyle w:val="22"/>
        <w:rPr>
          <w:rFonts w:hint="eastAsia" w:ascii="宋体" w:hAnsi="宋体" w:eastAsia="宋体" w:cs="宋体"/>
          <w:highlight w:val="none"/>
          <w:lang w:val="zh-CN"/>
        </w:rPr>
      </w:pPr>
    </w:p>
    <w:p w14:paraId="6367D147">
      <w:pPr>
        <w:rPr>
          <w:rFonts w:hint="eastAsia" w:ascii="宋体" w:hAnsi="宋体" w:eastAsia="宋体" w:cs="宋体"/>
          <w:highlight w:val="none"/>
          <w:lang w:val="zh-CN"/>
        </w:rPr>
      </w:pPr>
    </w:p>
    <w:p w14:paraId="1739BC0F">
      <w:pPr>
        <w:pStyle w:val="103"/>
        <w:rPr>
          <w:rFonts w:hint="eastAsia" w:ascii="宋体" w:hAnsi="宋体" w:eastAsia="宋体" w:cs="宋体"/>
          <w:color w:val="auto"/>
          <w:highlight w:val="none"/>
        </w:rPr>
      </w:pPr>
    </w:p>
    <w:p w14:paraId="264C3BBC">
      <w:pPr>
        <w:pStyle w:val="103"/>
        <w:rPr>
          <w:rFonts w:hint="eastAsia" w:ascii="宋体" w:hAnsi="宋体" w:eastAsia="宋体" w:cs="宋体"/>
          <w:color w:val="auto"/>
          <w:highlight w:val="none"/>
        </w:rPr>
      </w:pPr>
    </w:p>
    <w:p w14:paraId="245B7637">
      <w:pPr>
        <w:pStyle w:val="103"/>
        <w:rPr>
          <w:rFonts w:hint="eastAsia" w:ascii="宋体" w:hAnsi="宋体" w:eastAsia="宋体" w:cs="宋体"/>
          <w:color w:val="auto"/>
          <w:highlight w:val="none"/>
        </w:rPr>
      </w:pPr>
    </w:p>
    <w:p w14:paraId="0CD37B90">
      <w:pPr>
        <w:pStyle w:val="103"/>
        <w:rPr>
          <w:rFonts w:hint="eastAsia" w:ascii="宋体" w:hAnsi="宋体" w:eastAsia="宋体" w:cs="宋体"/>
          <w:color w:val="auto"/>
          <w:highlight w:val="none"/>
        </w:rPr>
      </w:pPr>
    </w:p>
    <w:p w14:paraId="0D2A07A6">
      <w:pPr>
        <w:pStyle w:val="103"/>
        <w:rPr>
          <w:rFonts w:hint="eastAsia" w:ascii="宋体" w:hAnsi="宋体" w:eastAsia="宋体" w:cs="宋体"/>
          <w:color w:val="auto"/>
          <w:highlight w:val="none"/>
        </w:rPr>
      </w:pPr>
    </w:p>
    <w:p w14:paraId="2E0C744E">
      <w:pPr>
        <w:pStyle w:val="103"/>
        <w:rPr>
          <w:rFonts w:hint="eastAsia" w:ascii="宋体" w:hAnsi="宋体" w:eastAsia="宋体" w:cs="宋体"/>
          <w:color w:val="auto"/>
          <w:highlight w:val="none"/>
          <w:lang w:val="zh-CN"/>
        </w:rPr>
      </w:pPr>
      <w:r>
        <w:rPr>
          <w:rFonts w:hint="eastAsia" w:ascii="宋体" w:hAnsi="宋体" w:eastAsia="宋体" w:cs="宋体"/>
          <w:color w:val="auto"/>
          <w:highlight w:val="none"/>
        </w:rPr>
        <w:t>透层施工工艺流程图</w:t>
      </w:r>
    </w:p>
    <w:p w14:paraId="04C2FDE5">
      <w:pPr>
        <w:ind w:firstLine="480"/>
        <w:rPr>
          <w:rFonts w:hint="eastAsia" w:ascii="宋体" w:hAnsi="宋体" w:eastAsia="宋体" w:cs="宋体"/>
          <w:highlight w:val="none"/>
          <w:lang w:val="zh-CN"/>
        </w:rPr>
      </w:pPr>
      <w:r>
        <w:rPr>
          <w:rFonts w:hint="eastAsia" w:ascii="宋体" w:hAnsi="宋体" w:eastAsia="宋体" w:cs="宋体"/>
          <w:highlight w:val="none"/>
          <w:lang w:val="zh-CN"/>
        </w:rPr>
        <w:t>（二）透层施工：</w:t>
      </w:r>
    </w:p>
    <w:p w14:paraId="6705BD78">
      <w:pPr>
        <w:ind w:firstLine="480"/>
        <w:rPr>
          <w:rFonts w:hint="eastAsia" w:ascii="宋体" w:hAnsi="宋体" w:eastAsia="宋体" w:cs="宋体"/>
          <w:lang w:val="zh-CN"/>
        </w:rPr>
      </w:pPr>
      <w:r>
        <w:rPr>
          <w:rFonts w:hint="eastAsia" w:ascii="宋体" w:hAnsi="宋体" w:eastAsia="宋体" w:cs="宋体"/>
          <w:lang w:val="zh-CN"/>
        </w:rPr>
        <w:t>a.清扫路面：</w:t>
      </w:r>
    </w:p>
    <w:p w14:paraId="34782D8D">
      <w:pPr>
        <w:ind w:firstLine="480"/>
        <w:rPr>
          <w:rFonts w:hint="eastAsia" w:ascii="宋体" w:hAnsi="宋体" w:eastAsia="宋体" w:cs="宋体"/>
          <w:lang w:val="zh-CN"/>
        </w:rPr>
      </w:pPr>
      <w:r>
        <w:rPr>
          <w:rFonts w:hint="eastAsia" w:ascii="宋体" w:hAnsi="宋体" w:eastAsia="宋体" w:cs="宋体"/>
          <w:lang w:val="zh-CN"/>
        </w:rPr>
        <w:t>透层油施工前，必须封闭交通，对施工路段进行清扫，彻底清除基层表面的泥浆和浮灰及杂物，用空压机将路面吹干净，尽量使基层表面骨料外露。</w:t>
      </w:r>
    </w:p>
    <w:p w14:paraId="341B6081">
      <w:pPr>
        <w:ind w:firstLine="480"/>
        <w:rPr>
          <w:rFonts w:hint="eastAsia" w:ascii="宋体" w:hAnsi="宋体" w:eastAsia="宋体" w:cs="宋体"/>
          <w:lang w:val="zh-CN"/>
        </w:rPr>
      </w:pPr>
      <w:r>
        <w:rPr>
          <w:rFonts w:hint="eastAsia" w:ascii="宋体" w:hAnsi="宋体" w:eastAsia="宋体" w:cs="宋体"/>
          <w:lang w:val="zh-CN"/>
        </w:rPr>
        <w:t>b.透层沥青使用40%~50%的慢裂阴离子（PA-2）乳化沥青，液体沥青必须满足规范的要求，用沥青洒布车一次洒布均匀，使用的喷嘴应根据沥青黏度稠度选择，保证均匀喷洒。沥青洒布车喷洒沥青时应保持稳定速度和喷洒量，并确保成雾状，喷嘴与油管成15</w:t>
      </w:r>
      <w:r>
        <w:rPr>
          <w:rFonts w:hint="eastAsia" w:ascii="宋体" w:hAnsi="宋体" w:eastAsia="宋体" w:cs="宋体"/>
        </w:rPr>
        <w:t>°~</w:t>
      </w:r>
      <w:r>
        <w:rPr>
          <w:rFonts w:hint="eastAsia" w:ascii="宋体" w:hAnsi="宋体" w:eastAsia="宋体" w:cs="宋体"/>
          <w:lang w:val="zh-CN"/>
        </w:rPr>
        <w:t>25</w:t>
      </w:r>
      <w:r>
        <w:rPr>
          <w:rFonts w:hint="eastAsia" w:ascii="宋体" w:hAnsi="宋体" w:eastAsia="宋体" w:cs="宋体"/>
        </w:rPr>
        <w:t>°</w:t>
      </w:r>
      <w:r>
        <w:rPr>
          <w:rFonts w:hint="eastAsia" w:ascii="宋体" w:hAnsi="宋体" w:eastAsia="宋体" w:cs="宋体"/>
          <w:lang w:val="zh-CN"/>
        </w:rPr>
        <w:t>的夹角，洒油管高度应使同一地点接受2~3个喷油嘴喷洒的沥青，不得出现花白带，边部死角地段人工喷油。</w:t>
      </w:r>
    </w:p>
    <w:p w14:paraId="1831C58D">
      <w:pPr>
        <w:ind w:firstLine="480"/>
        <w:rPr>
          <w:rFonts w:hint="eastAsia" w:ascii="宋体" w:hAnsi="宋体" w:eastAsia="宋体" w:cs="宋体"/>
          <w:lang w:val="zh-CN"/>
        </w:rPr>
      </w:pPr>
      <w:r>
        <w:rPr>
          <w:rFonts w:hint="eastAsia" w:ascii="宋体" w:hAnsi="宋体" w:eastAsia="宋体" w:cs="宋体"/>
          <w:lang w:val="zh-CN"/>
        </w:rPr>
        <w:t>c.注意事项：</w:t>
      </w:r>
    </w:p>
    <w:p w14:paraId="210182A3">
      <w:pPr>
        <w:ind w:firstLine="480"/>
        <w:rPr>
          <w:rFonts w:hint="eastAsia" w:ascii="宋体" w:hAnsi="宋体" w:eastAsia="宋体" w:cs="宋体"/>
          <w:lang w:val="zh-CN"/>
        </w:rPr>
      </w:pPr>
      <w:r>
        <w:rPr>
          <w:rFonts w:hint="eastAsia" w:ascii="宋体" w:hAnsi="宋体" w:eastAsia="宋体" w:cs="宋体"/>
          <w:lang w:val="zh-CN"/>
        </w:rPr>
        <w:t>①、</w:t>
      </w:r>
      <w:r>
        <w:rPr>
          <w:rFonts w:hint="eastAsia" w:ascii="宋体" w:hAnsi="宋体" w:eastAsia="宋体" w:cs="宋体"/>
        </w:rPr>
        <w:t>下卧层表面污染物清除干净，必要时可用水冲洗，待表面干燥后施工粘层。</w:t>
      </w:r>
    </w:p>
    <w:p w14:paraId="7029886C">
      <w:pPr>
        <w:ind w:firstLine="480"/>
        <w:rPr>
          <w:rFonts w:hint="eastAsia" w:ascii="宋体" w:hAnsi="宋体" w:eastAsia="宋体" w:cs="宋体"/>
          <w:lang w:val="zh-CN"/>
        </w:rPr>
      </w:pPr>
      <w:r>
        <w:rPr>
          <w:rFonts w:hint="eastAsia" w:ascii="宋体" w:hAnsi="宋体" w:eastAsia="宋体" w:cs="宋体"/>
          <w:lang w:val="zh-CN"/>
        </w:rPr>
        <w:t>②、对路缘石及人工构筑物应适当防护，以防污染，自高程底的一侧开始顺路线方向逐步向高程高的一侧洒布，每车搭接宽度不超过5cm，要求洒布均匀，喷洒不漏白，不过多重叠，漏白部分用人工补酒。</w:t>
      </w:r>
    </w:p>
    <w:p w14:paraId="204F641F">
      <w:pPr>
        <w:pStyle w:val="14"/>
        <w:ind w:right="240" w:firstLine="480"/>
        <w:rPr>
          <w:rFonts w:hint="eastAsia" w:ascii="宋体" w:hAnsi="宋体" w:eastAsia="宋体" w:cs="宋体"/>
        </w:rPr>
      </w:pPr>
      <w:r>
        <w:rPr>
          <w:rFonts w:hint="eastAsia" w:ascii="宋体" w:hAnsi="宋体" w:eastAsia="宋体" w:cs="宋体"/>
          <w:lang w:val="zh-CN"/>
        </w:rPr>
        <w:t>③、喷洒要均匀，不得流淌和形成油膜，</w:t>
      </w:r>
      <w:r>
        <w:rPr>
          <w:rFonts w:hint="eastAsia" w:ascii="宋体" w:hAnsi="宋体" w:eastAsia="宋体" w:cs="宋体"/>
        </w:rPr>
        <w:t>洒布数量通过试验确定，一般为</w:t>
      </w:r>
      <w:r>
        <w:rPr>
          <w:rFonts w:hint="eastAsia" w:ascii="宋体" w:hAnsi="宋体" w:eastAsia="宋体" w:cs="宋体"/>
          <w:lang w:val="en-US" w:eastAsia="zh-CN"/>
        </w:rPr>
        <w:t>1.0</w:t>
      </w:r>
      <w:r>
        <w:rPr>
          <w:rFonts w:hint="eastAsia" w:ascii="宋体" w:hAnsi="宋体" w:eastAsia="宋体" w:cs="宋体"/>
        </w:rPr>
        <w:t>L/m2～</w:t>
      </w:r>
      <w:r>
        <w:rPr>
          <w:rFonts w:hint="eastAsia" w:ascii="宋体" w:hAnsi="宋体" w:eastAsia="宋体" w:cs="宋体"/>
          <w:lang w:val="en-US" w:eastAsia="zh-CN"/>
        </w:rPr>
        <w:t>2.0</w:t>
      </w:r>
      <w:r>
        <w:rPr>
          <w:rFonts w:hint="eastAsia" w:ascii="宋体" w:hAnsi="宋体" w:eastAsia="宋体" w:cs="宋体"/>
        </w:rPr>
        <w:t>L/m2。喷洒均匀，注意起步或终止和接缝的洒布量。</w:t>
      </w:r>
    </w:p>
    <w:p w14:paraId="0EF9474C">
      <w:pPr>
        <w:ind w:firstLine="480"/>
        <w:rPr>
          <w:rFonts w:hint="eastAsia" w:ascii="宋体" w:hAnsi="宋体" w:eastAsia="宋体" w:cs="宋体"/>
          <w:lang w:val="zh-CN"/>
        </w:rPr>
      </w:pPr>
      <w:r>
        <w:rPr>
          <w:rFonts w:hint="eastAsia" w:ascii="宋体" w:hAnsi="宋体" w:eastAsia="宋体" w:cs="宋体"/>
          <w:lang w:val="zh-CN"/>
        </w:rPr>
        <w:t>④、气温低于10℃，或如遇大风、有雾、天气、正在下雨或即将降雨时，不得浇洒透层沥青。</w:t>
      </w:r>
    </w:p>
    <w:p w14:paraId="00F7893E">
      <w:pPr>
        <w:pStyle w:val="14"/>
        <w:ind w:right="240" w:firstLine="480"/>
        <w:rPr>
          <w:rFonts w:hint="eastAsia" w:ascii="宋体" w:hAnsi="宋体" w:eastAsia="宋体" w:cs="宋体"/>
        </w:rPr>
      </w:pPr>
      <w:r>
        <w:rPr>
          <w:rFonts w:hint="eastAsia" w:ascii="宋体" w:hAnsi="宋体" w:eastAsia="宋体" w:cs="宋体"/>
          <w:lang w:val="zh-CN"/>
        </w:rPr>
        <w:t>⑤、</w:t>
      </w:r>
      <w:r>
        <w:rPr>
          <w:rFonts w:hint="eastAsia" w:ascii="宋体" w:hAnsi="宋体" w:eastAsia="宋体" w:cs="宋体"/>
        </w:rPr>
        <w:t>洒布数量通过试验确定，一般为</w:t>
      </w:r>
      <w:r>
        <w:rPr>
          <w:rFonts w:hint="eastAsia" w:ascii="宋体" w:hAnsi="宋体" w:eastAsia="宋体" w:cs="宋体"/>
          <w:lang w:val="en-US" w:eastAsia="zh-CN"/>
        </w:rPr>
        <w:t>1.0</w:t>
      </w:r>
      <w:r>
        <w:rPr>
          <w:rFonts w:hint="eastAsia" w:ascii="宋体" w:hAnsi="宋体" w:eastAsia="宋体" w:cs="宋体"/>
        </w:rPr>
        <w:t>L/m2～</w:t>
      </w:r>
      <w:r>
        <w:rPr>
          <w:rFonts w:hint="eastAsia" w:ascii="宋体" w:hAnsi="宋体" w:eastAsia="宋体" w:cs="宋体"/>
          <w:lang w:val="en-US" w:eastAsia="zh-CN"/>
        </w:rPr>
        <w:t>2.0</w:t>
      </w:r>
      <w:r>
        <w:rPr>
          <w:rFonts w:hint="eastAsia" w:ascii="宋体" w:hAnsi="宋体" w:eastAsia="宋体" w:cs="宋体"/>
        </w:rPr>
        <w:t>L/m2。喷洒均匀，注意起步或终止和接缝的洒布量。</w:t>
      </w:r>
    </w:p>
    <w:p w14:paraId="574A37ED">
      <w:pPr>
        <w:ind w:firstLine="480"/>
        <w:rPr>
          <w:rFonts w:hint="eastAsia" w:ascii="宋体" w:hAnsi="宋体" w:eastAsia="宋体" w:cs="宋体"/>
          <w:lang w:val="zh-CN"/>
        </w:rPr>
      </w:pPr>
      <w:r>
        <w:rPr>
          <w:rFonts w:hint="eastAsia" w:ascii="宋体" w:hAnsi="宋体" w:eastAsia="宋体" w:cs="宋体"/>
          <w:lang w:val="zh-CN"/>
        </w:rPr>
        <w:t>⑥、洒布透层沥青后严禁车辆、行人通过。若需开放交通，则应在酒布沥青后及时撒布3~4m3/1000m的石屑，用轻型压路机碾压一遍，并清除表面多余的浮砂或石屑。</w:t>
      </w:r>
    </w:p>
    <w:p w14:paraId="669DA4B7">
      <w:pPr>
        <w:ind w:firstLine="480"/>
        <w:rPr>
          <w:rFonts w:hint="eastAsia" w:ascii="宋体" w:hAnsi="宋体" w:eastAsia="宋体" w:cs="宋体"/>
          <w:highlight w:val="none"/>
          <w:lang w:val="zh-CN"/>
        </w:rPr>
      </w:pPr>
      <w:r>
        <w:rPr>
          <w:rFonts w:hint="eastAsia" w:ascii="宋体" w:hAnsi="宋体" w:eastAsia="宋体" w:cs="宋体"/>
          <w:highlight w:val="none"/>
          <w:lang w:val="zh-CN"/>
        </w:rPr>
        <w:t>⑦、透层沥青洒布后应尽早（但必须待其完全渗透，水分蒸发后）进行下一道工序。</w:t>
      </w:r>
    </w:p>
    <w:p w14:paraId="59CC37A2">
      <w:pPr>
        <w:ind w:firstLine="482"/>
        <w:rPr>
          <w:rFonts w:hint="eastAsia" w:ascii="宋体" w:hAnsi="宋体" w:eastAsia="宋体" w:cs="宋体"/>
          <w:b/>
          <w:bCs/>
          <w:highlight w:val="none"/>
        </w:rPr>
      </w:pPr>
      <w:r>
        <w:rPr>
          <w:rFonts w:hint="eastAsia" w:ascii="宋体" w:hAnsi="宋体" w:eastAsia="宋体" w:cs="宋体"/>
          <w:b/>
          <w:bCs/>
          <w:highlight w:val="none"/>
        </w:rPr>
        <w:t>二、</w:t>
      </w:r>
      <w:r>
        <w:rPr>
          <w:rFonts w:hint="eastAsia" w:ascii="宋体" w:hAnsi="宋体" w:cs="宋体"/>
          <w:b/>
          <w:bCs/>
          <w:highlight w:val="none"/>
          <w:lang w:val="en-US" w:eastAsia="zh-CN"/>
        </w:rPr>
        <w:t>下</w:t>
      </w:r>
      <w:r>
        <w:rPr>
          <w:rFonts w:hint="eastAsia" w:ascii="宋体" w:hAnsi="宋体" w:eastAsia="宋体" w:cs="宋体"/>
          <w:b/>
          <w:bCs/>
          <w:highlight w:val="none"/>
        </w:rPr>
        <w:t>封层</w:t>
      </w:r>
    </w:p>
    <w:p w14:paraId="0E188CD7">
      <w:pPr>
        <w:numPr>
          <w:ilvl w:val="0"/>
          <w:numId w:val="11"/>
        </w:numPr>
        <w:ind w:firstLine="480"/>
        <w:rPr>
          <w:rFonts w:hint="eastAsia" w:ascii="宋体" w:hAnsi="宋体" w:eastAsia="宋体" w:cs="宋体"/>
          <w:highlight w:val="none"/>
        </w:rPr>
      </w:pPr>
      <w:r>
        <w:rPr>
          <w:rFonts w:hint="default" w:ascii="宋体" w:hAnsi="宋体" w:eastAsia="宋体" w:cs="宋体"/>
          <w:highlight w:val="none"/>
          <w:lang w:val="en-US"/>
        </w:rPr>
        <mc:AlternateContent>
          <mc:Choice Requires="wpg">
            <w:drawing>
              <wp:anchor distT="0" distB="0" distL="114300" distR="114300" simplePos="0" relativeHeight="251726848" behindDoc="0" locked="0" layoutInCell="1" allowOverlap="1">
                <wp:simplePos x="0" y="0"/>
                <wp:positionH relativeFrom="column">
                  <wp:posOffset>521970</wp:posOffset>
                </wp:positionH>
                <wp:positionV relativeFrom="paragraph">
                  <wp:posOffset>-2147483640</wp:posOffset>
                </wp:positionV>
                <wp:extent cx="3960495" cy="635000"/>
                <wp:effectExtent l="13970" t="0" r="18415" b="10337800"/>
                <wp:wrapNone/>
                <wp:docPr id="2279" name="组合 596"/>
                <wp:cNvGraphicFramePr/>
                <a:graphic xmlns:a="http://schemas.openxmlformats.org/drawingml/2006/main">
                  <a:graphicData uri="http://schemas.microsoft.com/office/word/2010/wordprocessingGroup">
                    <wpg:wgp>
                      <wpg:cNvGrpSpPr/>
                      <wpg:grpSpPr>
                        <a:xfrm>
                          <a:off x="0" y="0"/>
                          <a:ext cx="3960495" cy="635000"/>
                          <a:chOff x="2211" y="-11668013"/>
                          <a:chExt cx="6237" cy="705203"/>
                        </a:xfrm>
                      </wpg:grpSpPr>
                      <wpg:grpSp>
                        <wpg:cNvPr id="2280" name="组合 1206"/>
                        <wpg:cNvGrpSpPr/>
                        <wpg:grpSpPr>
                          <a:xfrm>
                            <a:off x="5670" y="-147520"/>
                            <a:ext cx="2731" cy="606618"/>
                            <a:chOff x="5670" y="-147520"/>
                            <a:chExt cx="2731" cy="606618"/>
                          </a:xfrm>
                        </wpg:grpSpPr>
                        <wps:wsp>
                          <wps:cNvPr id="299" name="文本框 2623"/>
                          <wps:cNvSpPr txBox="1"/>
                          <wps:spPr>
                            <a:xfrm>
                              <a:off x="5670" y="10507"/>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32691BC">
                                <w:pPr>
                                  <w:pStyle w:val="19"/>
                                </w:pPr>
                                <w:r>
                                  <w:rPr>
                                    <w:rFonts w:hint="eastAsia"/>
                                  </w:rPr>
                                  <w:t>摊铺稀浆封层</w:t>
                                </w:r>
                              </w:p>
                            </w:txbxContent>
                          </wps:txbx>
                          <wps:bodyPr upright="1"/>
                        </wps:wsp>
                        <wps:wsp>
                          <wps:cNvPr id="300" name="自选图形 2624"/>
                          <wps:cNvCnPr/>
                          <wps:spPr>
                            <a:xfrm>
                              <a:off x="6998" y="459098"/>
                              <a:ext cx="261" cy="0"/>
                            </a:xfrm>
                            <a:prstGeom prst="straightConnector1">
                              <a:avLst/>
                            </a:prstGeom>
                            <a:ln w="28575" cap="flat" cmpd="sng">
                              <a:solidFill>
                                <a:srgbClr val="2A33EC"/>
                              </a:solidFill>
                              <a:prstDash val="solid"/>
                              <a:headEnd type="none" w="med" len="med"/>
                              <a:tailEnd type="triangle" w="med" len="med"/>
                            </a:ln>
                          </wps:spPr>
                          <wps:bodyPr/>
                        </wps:wsp>
                        <wps:wsp>
                          <wps:cNvPr id="301" name="文本框 2625"/>
                          <wps:cNvSpPr txBox="1"/>
                          <wps:spPr>
                            <a:xfrm>
                              <a:off x="5718" y="11347"/>
                              <a:ext cx="2656" cy="493"/>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E84D46D">
                                <w:pPr>
                                  <w:pStyle w:val="19"/>
                                </w:pPr>
                                <w:r>
                                  <w:rPr>
                                    <w:rFonts w:hint="eastAsia"/>
                                  </w:rPr>
                                  <w:t>碾压</w:t>
                                </w:r>
                              </w:p>
                            </w:txbxContent>
                          </wps:txbx>
                          <wps:bodyPr upright="1"/>
                        </wps:wsp>
                        <wps:wsp>
                          <wps:cNvPr id="302" name="自选图形 2626"/>
                          <wps:cNvCnPr/>
                          <wps:spPr>
                            <a:xfrm flipV="1">
                              <a:off x="6998" y="-147520"/>
                              <a:ext cx="186" cy="158521"/>
                            </a:xfrm>
                            <a:prstGeom prst="straightConnector1">
                              <a:avLst/>
                            </a:prstGeom>
                            <a:ln w="28575" cap="flat" cmpd="sng">
                              <a:solidFill>
                                <a:srgbClr val="2A33EC"/>
                              </a:solidFill>
                              <a:prstDash val="solid"/>
                              <a:headEnd type="none" w="med" len="med"/>
                              <a:tailEnd type="triangle" w="med" len="med"/>
                            </a:ln>
                          </wps:spPr>
                          <wps:bodyPr/>
                        </wps:wsp>
                        <wps:wsp>
                          <wps:cNvPr id="303" name="文本框 2627"/>
                          <wps:cNvSpPr txBox="1"/>
                          <wps:spPr>
                            <a:xfrm>
                              <a:off x="5744" y="12144"/>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A98A95C">
                                <w:pPr>
                                  <w:pStyle w:val="19"/>
                                </w:pPr>
                                <w:r>
                                  <w:rPr>
                                    <w:rFonts w:hint="eastAsia"/>
                                  </w:rPr>
                                  <w:t>缺陷修整</w:t>
                                </w:r>
                              </w:p>
                            </w:txbxContent>
                          </wps:txbx>
                          <wps:bodyPr upright="1"/>
                        </wps:wsp>
                      </wpg:grpSp>
                      <wpg:grpSp>
                        <wpg:cNvPr id="2281" name="组合 1212"/>
                        <wpg:cNvGrpSpPr/>
                        <wpg:grpSpPr>
                          <a:xfrm>
                            <a:off x="5623" y="-11668013"/>
                            <a:ext cx="2730" cy="11678248"/>
                            <a:chOff x="5623" y="-11668014"/>
                            <a:chExt cx="2730" cy="11678248"/>
                          </a:xfrm>
                        </wpg:grpSpPr>
                        <wps:wsp>
                          <wps:cNvPr id="305" name="文本框 2616"/>
                          <wps:cNvSpPr txBox="1"/>
                          <wps:spPr>
                            <a:xfrm>
                              <a:off x="5623" y="8103"/>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25141400">
                                <w:pPr>
                                  <w:pStyle w:val="19"/>
                                </w:pPr>
                                <w:r>
                                  <w:rPr>
                                    <w:rFonts w:hint="eastAsia"/>
                                  </w:rPr>
                                  <w:t>稀浆封层车准备</w:t>
                                </w:r>
                              </w:p>
                            </w:txbxContent>
                          </wps:txbx>
                          <wps:bodyPr upright="1"/>
                        </wps:wsp>
                        <wps:wsp>
                          <wps:cNvPr id="306" name="自选图形 2617"/>
                          <wps:cNvCnPr/>
                          <wps:spPr>
                            <a:xfrm flipV="1">
                              <a:off x="6952" y="-147520"/>
                              <a:ext cx="232" cy="156117"/>
                            </a:xfrm>
                            <a:prstGeom prst="straightConnector1">
                              <a:avLst/>
                            </a:prstGeom>
                            <a:ln w="28575" cap="flat" cmpd="sng">
                              <a:solidFill>
                                <a:srgbClr val="2A33EC"/>
                              </a:solidFill>
                              <a:prstDash val="solid"/>
                              <a:headEnd type="none" w="med" len="med"/>
                              <a:tailEnd type="triangle" w="med" len="med"/>
                            </a:ln>
                          </wps:spPr>
                          <wps:bodyPr/>
                        </wps:wsp>
                        <wps:wsp>
                          <wps:cNvPr id="307" name="文本框 2618"/>
                          <wps:cNvSpPr txBox="1"/>
                          <wps:spPr>
                            <a:xfrm>
                              <a:off x="5671" y="8943"/>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6CFA84D6">
                                <w:pPr>
                                  <w:pStyle w:val="19"/>
                                </w:pPr>
                                <w:r>
                                  <w:rPr>
                                    <w:rFonts w:hint="eastAsia"/>
                                  </w:rPr>
                                  <w:t>系统检测、调式</w:t>
                                </w:r>
                              </w:p>
                            </w:txbxContent>
                          </wps:txbx>
                          <wps:bodyPr upright="1"/>
                        </wps:wsp>
                        <wps:wsp>
                          <wps:cNvPr id="308" name="自选图形 2619"/>
                          <wps:cNvCnPr/>
                          <wps:spPr>
                            <a:xfrm flipV="1">
                              <a:off x="6952" y="-11668014"/>
                              <a:ext cx="232" cy="11557075"/>
                            </a:xfrm>
                            <a:prstGeom prst="straightConnector1">
                              <a:avLst/>
                            </a:prstGeom>
                            <a:ln w="28575" cap="flat" cmpd="sng">
                              <a:solidFill>
                                <a:srgbClr val="2A33EC"/>
                              </a:solidFill>
                              <a:prstDash val="solid"/>
                              <a:headEnd type="none" w="med" len="med"/>
                              <a:tailEnd type="triangle" w="med" len="med"/>
                            </a:ln>
                          </wps:spPr>
                          <wps:bodyPr/>
                        </wps:wsp>
                        <wps:wsp>
                          <wps:cNvPr id="309" name="文本框 2620"/>
                          <wps:cNvSpPr txBox="1"/>
                          <wps:spPr>
                            <a:xfrm>
                              <a:off x="5697" y="9740"/>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78047D7">
                                <w:pPr>
                                  <w:pStyle w:val="19"/>
                                </w:pPr>
                                <w:r>
                                  <w:rPr>
                                    <w:rFonts w:hint="eastAsia"/>
                                  </w:rPr>
                                  <w:t>乳化沥青、集料装车</w:t>
                                </w:r>
                              </w:p>
                            </w:txbxContent>
                          </wps:txbx>
                          <wps:bodyPr upright="1"/>
                        </wps:wsp>
                      </wpg:grpSp>
                      <wps:wsp>
                        <wps:cNvPr id="311" name="自选图形 2613"/>
                        <wps:cNvCnPr/>
                        <wps:spPr>
                          <a:xfrm flipV="1">
                            <a:off x="4941" y="-8226658"/>
                            <a:ext cx="2243" cy="8236663"/>
                          </a:xfrm>
                          <a:prstGeom prst="straightConnector1">
                            <a:avLst/>
                          </a:prstGeom>
                          <a:ln w="28575" cap="flat" cmpd="sng">
                            <a:solidFill>
                              <a:srgbClr val="2A33EC"/>
                            </a:solidFill>
                            <a:prstDash val="solid"/>
                            <a:headEnd type="none" w="med" len="med"/>
                            <a:tailEnd type="triangle" w="med" len="med"/>
                          </a:ln>
                        </wps:spPr>
                        <wps:bodyPr/>
                      </wps:wsp>
                      <wpg:grpSp>
                        <wpg:cNvPr id="2282" name="组合 1219"/>
                        <wpg:cNvGrpSpPr/>
                        <wpg:grpSpPr>
                          <a:xfrm>
                            <a:off x="2211" y="-11364649"/>
                            <a:ext cx="4973" cy="11374901"/>
                            <a:chOff x="2211" y="-11364649"/>
                            <a:chExt cx="4973" cy="11374901"/>
                          </a:xfrm>
                        </wpg:grpSpPr>
                        <wps:wsp>
                          <wps:cNvPr id="312" name="文本框 2608"/>
                          <wps:cNvSpPr txBox="1"/>
                          <wps:spPr>
                            <a:xfrm>
                              <a:off x="2211" y="8121"/>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7411CA0">
                                <w:pPr>
                                  <w:pStyle w:val="19"/>
                                </w:pPr>
                                <w:r>
                                  <w:rPr>
                                    <w:rFonts w:hint="eastAsia"/>
                                  </w:rPr>
                                  <w:t>乳化沥青、集料准备</w:t>
                                </w:r>
                              </w:p>
                            </w:txbxContent>
                          </wps:txbx>
                          <wps:bodyPr upright="1"/>
                        </wps:wsp>
                        <wps:wsp>
                          <wps:cNvPr id="313" name="自选图形 2609"/>
                          <wps:cNvCnPr/>
                          <wps:spPr>
                            <a:xfrm flipV="1">
                              <a:off x="3539" y="-11364649"/>
                              <a:ext cx="3645" cy="11373264"/>
                            </a:xfrm>
                            <a:prstGeom prst="straightConnector1">
                              <a:avLst/>
                            </a:prstGeom>
                            <a:ln w="28575" cap="flat" cmpd="sng">
                              <a:solidFill>
                                <a:srgbClr val="2A33EC"/>
                              </a:solidFill>
                              <a:prstDash val="solid"/>
                              <a:headEnd type="none" w="med" len="med"/>
                              <a:tailEnd type="triangle" w="med" len="med"/>
                            </a:ln>
                          </wps:spPr>
                          <wps:bodyPr/>
                        </wps:wsp>
                        <wps:wsp>
                          <wps:cNvPr id="314" name="文本框 2610"/>
                          <wps:cNvSpPr txBox="1"/>
                          <wps:spPr>
                            <a:xfrm>
                              <a:off x="2259" y="8961"/>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3EB549BA">
                                <w:pPr>
                                  <w:pStyle w:val="19"/>
                                </w:pPr>
                                <w:r>
                                  <w:rPr>
                                    <w:rFonts w:hint="eastAsia"/>
                                  </w:rPr>
                                  <w:t>指标检测、配合比设计</w:t>
                                </w:r>
                              </w:p>
                            </w:txbxContent>
                          </wps:txbx>
                          <wps:bodyPr upright="1"/>
                        </wps:wsp>
                        <wps:wsp>
                          <wps:cNvPr id="315" name="自选图形 2611"/>
                          <wps:cNvCnPr/>
                          <wps:spPr>
                            <a:xfrm flipH="1">
                              <a:off x="3585" y="9455"/>
                              <a:ext cx="1" cy="340"/>
                            </a:xfrm>
                            <a:prstGeom prst="straightConnector1">
                              <a:avLst/>
                            </a:prstGeom>
                            <a:ln w="28575" cap="flat" cmpd="sng">
                              <a:solidFill>
                                <a:srgbClr val="2A33EC"/>
                              </a:solidFill>
                              <a:prstDash val="solid"/>
                              <a:headEnd type="none" w="med" len="med"/>
                              <a:tailEnd type="triangle" w="med" len="med"/>
                            </a:ln>
                          </wps:spPr>
                          <wps:bodyPr/>
                        </wps:wsp>
                        <wps:wsp>
                          <wps:cNvPr id="316" name="文本框 2612"/>
                          <wps:cNvSpPr txBox="1"/>
                          <wps:spPr>
                            <a:xfrm>
                              <a:off x="2285" y="9758"/>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B51CBAC">
                                <w:pPr>
                                  <w:pStyle w:val="19"/>
                                </w:pPr>
                                <w:r>
                                  <w:rPr>
                                    <w:rFonts w:hint="eastAsia"/>
                                  </w:rPr>
                                  <w:t>监理工程师审批</w:t>
                                </w:r>
                              </w:p>
                            </w:txbxContent>
                          </wps:txbx>
                          <wps:bodyPr upright="1"/>
                        </wps:wsp>
                      </wpg:grpSp>
                      <wps:wsp>
                        <wps:cNvPr id="318" name="自选图形 2621"/>
                        <wps:cNvCnPr/>
                        <wps:spPr>
                          <a:xfrm flipH="1">
                            <a:off x="7010" y="10234"/>
                            <a:ext cx="2" cy="340"/>
                          </a:xfrm>
                          <a:prstGeom prst="straightConnector1">
                            <a:avLst/>
                          </a:prstGeom>
                          <a:ln w="28575" cap="flat" cmpd="sng">
                            <a:solidFill>
                              <a:srgbClr val="2A33EC"/>
                            </a:solidFill>
                            <a:prstDash val="solid"/>
                            <a:headEnd type="none" w="med" len="med"/>
                            <a:tailEnd type="triangle" w="med" len="med"/>
                          </a:ln>
                        </wps:spPr>
                        <wps:bodyPr/>
                      </wps:wsp>
                      <wps:wsp>
                        <wps:cNvPr id="319" name="自选图形 2634"/>
                        <wps:cNvCnPr/>
                        <wps:spPr>
                          <a:xfrm flipH="1">
                            <a:off x="7057" y="12660"/>
                            <a:ext cx="2" cy="340"/>
                          </a:xfrm>
                          <a:prstGeom prst="straightConnector1">
                            <a:avLst/>
                          </a:prstGeom>
                          <a:ln w="28575" cap="flat" cmpd="sng">
                            <a:solidFill>
                              <a:srgbClr val="2A33EC"/>
                            </a:solidFill>
                            <a:prstDash val="solid"/>
                            <a:headEnd type="none" w="med" len="med"/>
                            <a:tailEnd type="triangle" w="med" len="med"/>
                          </a:ln>
                        </wps:spPr>
                        <wps:bodyPr/>
                      </wps:wsp>
                      <wpg:grpSp>
                        <wpg:cNvPr id="2283" name="组合 1227"/>
                        <wpg:cNvGrpSpPr/>
                        <wpg:grpSpPr>
                          <a:xfrm>
                            <a:off x="5717" y="12976"/>
                            <a:ext cx="2731" cy="2131"/>
                            <a:chOff x="5717" y="12976"/>
                            <a:chExt cx="2731" cy="2131"/>
                          </a:xfrm>
                        </wpg:grpSpPr>
                        <wps:wsp>
                          <wps:cNvPr id="320" name="文本框 2629"/>
                          <wps:cNvSpPr txBox="1"/>
                          <wps:spPr>
                            <a:xfrm>
                              <a:off x="5717" y="12976"/>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6F0C63E3">
                                <w:pPr>
                                  <w:pStyle w:val="19"/>
                                </w:pPr>
                                <w:r>
                                  <w:rPr>
                                    <w:rFonts w:hint="eastAsia"/>
                                  </w:rPr>
                                  <w:t>稀浆封层养护</w:t>
                                </w:r>
                              </w:p>
                            </w:txbxContent>
                          </wps:txbx>
                          <wps:bodyPr upright="1"/>
                        </wps:wsp>
                        <wps:wsp>
                          <wps:cNvPr id="321" name="自选图形 2630"/>
                          <wps:cNvCnPr/>
                          <wps:spPr>
                            <a:xfrm>
                              <a:off x="7045" y="13470"/>
                              <a:ext cx="139" cy="0"/>
                            </a:xfrm>
                            <a:prstGeom prst="straightConnector1">
                              <a:avLst/>
                            </a:prstGeom>
                            <a:ln w="28575" cap="flat" cmpd="sng">
                              <a:solidFill>
                                <a:srgbClr val="2A33EC"/>
                              </a:solidFill>
                              <a:prstDash val="solid"/>
                              <a:headEnd type="none" w="med" len="med"/>
                              <a:tailEnd type="triangle" w="med" len="med"/>
                            </a:ln>
                          </wps:spPr>
                          <wps:bodyPr/>
                        </wps:wsp>
                        <wps:wsp>
                          <wps:cNvPr id="322" name="文本框 2631"/>
                          <wps:cNvSpPr txBox="1"/>
                          <wps:spPr>
                            <a:xfrm>
                              <a:off x="5765" y="13816"/>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1F9DB30E">
                                <w:pPr>
                                  <w:pStyle w:val="19"/>
                                </w:pPr>
                                <w:r>
                                  <w:rPr>
                                    <w:rFonts w:hint="eastAsia"/>
                                  </w:rPr>
                                  <w:t>稀浆封层检测</w:t>
                                </w:r>
                              </w:p>
                            </w:txbxContent>
                          </wps:txbx>
                          <wps:bodyPr upright="1"/>
                        </wps:wsp>
                        <wps:wsp>
                          <wps:cNvPr id="323" name="自选图形 2632"/>
                          <wps:cNvCnPr/>
                          <wps:spPr>
                            <a:xfrm>
                              <a:off x="7045" y="14310"/>
                              <a:ext cx="139" cy="0"/>
                            </a:xfrm>
                            <a:prstGeom prst="straightConnector1">
                              <a:avLst/>
                            </a:prstGeom>
                            <a:ln w="28575" cap="flat" cmpd="sng">
                              <a:solidFill>
                                <a:srgbClr val="2A33EC"/>
                              </a:solidFill>
                              <a:prstDash val="solid"/>
                              <a:headEnd type="none" w="med" len="med"/>
                              <a:tailEnd type="triangle" w="med" len="med"/>
                            </a:ln>
                          </wps:spPr>
                          <wps:bodyPr/>
                        </wps:wsp>
                        <wps:wsp>
                          <wps:cNvPr id="324" name="文本框 2633"/>
                          <wps:cNvSpPr txBox="1"/>
                          <wps:spPr>
                            <a:xfrm>
                              <a:off x="5791" y="14613"/>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D0B77DE">
                                <w:pPr>
                                  <w:pStyle w:val="19"/>
                                </w:pPr>
                                <w:r>
                                  <w:rPr>
                                    <w:rFonts w:hint="eastAsia"/>
                                  </w:rPr>
                                  <w:t>下道工序施工</w:t>
                                </w:r>
                              </w:p>
                            </w:txbxContent>
                          </wps:txbx>
                          <wps:bodyPr upright="1"/>
                        </wps:wsp>
                      </wpg:grpSp>
                    </wpg:wgp>
                  </a:graphicData>
                </a:graphic>
              </wp:anchor>
            </w:drawing>
          </mc:Choice>
          <mc:Fallback>
            <w:pict>
              <v:group id="组合 596" o:spid="_x0000_s1026" o:spt="203" style="position:absolute;left:0pt;margin-left:41.1pt;margin-top:-169093.2pt;height:50pt;width:311.85pt;z-index:251726848;mso-width-relative:page;mso-height-relative:page;" coordorigin="2211,-11668013" coordsize="6237,705203" o:gfxdata="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">
                <o:lock v:ext="edit" aspectratio="f"/>
                <v:group id="组合 1206" o:spid="_x0000_s1026" o:spt="203" style="position:absolute;left:5670;top:-147520;height:606618;width:2731;" coordorigin="5670,-147520" coordsize="2731,606618" o:gfxdata="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Yfzu70AAADdAAAADwAAAAAAAAABACAAAAAiAAAAZHJzL2Rvd25yZXYueG1s&#10;UEsBAhQAFAAAAAgAh07iQDMvBZ47AAAAOQAAABUAAAAAAAAAAQAgAAAADAEAAGRycy9ncm91cHNo&#10;YXBleG1sLnhtbFBLBQYAAAAABgAGAGABAADJAwAAAAA=&#10;">
                  <o:lock v:ext="edit" aspectratio="f"/>
                  <v:shape id="文本框 2623" o:spid="_x0000_s1026" o:spt="202" type="#_x0000_t202" style="position:absolute;left:5670;top:10507;height:494;width:2656;" fillcolor="#FFFFFF" filled="t" stroked="t" coordsize="21600,21600" o:gfxdata="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CGW1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132691BC">
                          <w:pPr>
                            <w:pStyle w:val="19"/>
                          </w:pPr>
                          <w:r>
                            <w:rPr>
                              <w:rFonts w:hint="eastAsia"/>
                            </w:rPr>
                            <w:t>摊铺稀浆封层</w:t>
                          </w:r>
                        </w:p>
                      </w:txbxContent>
                    </v:textbox>
                  </v:shape>
                  <v:shape id="自选图形 2624" o:spid="_x0000_s1026" o:spt="32" type="#_x0000_t32" style="position:absolute;left:6998;top:459098;height:0;width:261;" filled="f" stroked="t" coordsize="21600,21600" o:gfxdata="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RI7K7sAAADc&#10;AAAADwAAAAAAAAABACAAAAAiAAAAZHJzL2Rvd25yZXYueG1sUEsBAhQAFAAAAAgAh07iQDMvBZ47&#10;AAAAOQAAABAAAAAAAAAAAQAgAAAACgEAAGRycy9zaGFwZXhtbC54bWxQSwUGAAAAAAYABgBbAQAA&#10;tAMAAAAA&#10;">
                    <v:fill on="f" focussize="0,0"/>
                    <v:stroke weight="2.25pt" color="#2A33EC" joinstyle="round" endarrow="block"/>
                    <v:imagedata o:title=""/>
                    <o:lock v:ext="edit" aspectratio="f"/>
                  </v:shape>
                  <v:shape id="文本框 2625" o:spid="_x0000_s1026" o:spt="202" type="#_x0000_t202" style="position:absolute;left:5718;top:11347;height:493;width:2656;" fillcolor="#FFFFFF" filled="t" stroked="t" coordsize="21600,21600" o:gfxdata="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lfOp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0E84D46D">
                          <w:pPr>
                            <w:pStyle w:val="19"/>
                          </w:pPr>
                          <w:r>
                            <w:rPr>
                              <w:rFonts w:hint="eastAsia"/>
                            </w:rPr>
                            <w:t>碾压</w:t>
                          </w:r>
                        </w:p>
                      </w:txbxContent>
                    </v:textbox>
                  </v:shape>
                  <v:shape id="自选图形 2626" o:spid="_x0000_s1026" o:spt="32" type="#_x0000_t32" style="position:absolute;left:6998;top:-147520;flip:y;height:158521;width:186;" filled="f" stroked="t" coordsize="21600,21600" o:gfxdata="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l418q/&#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shape id="文本框 2627" o:spid="_x0000_s1026" o:spt="202" type="#_x0000_t202" style="position:absolute;left:5744;top:12144;height:494;width:2657;" fillcolor="#FFFFFF" filled="t" stroked="t" coordsize="21600,21600" o:gfxdata="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C8hF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0A98A95C">
                          <w:pPr>
                            <w:pStyle w:val="19"/>
                          </w:pPr>
                          <w:r>
                            <w:rPr>
                              <w:rFonts w:hint="eastAsia"/>
                            </w:rPr>
                            <w:t>缺陷修整</w:t>
                          </w:r>
                        </w:p>
                      </w:txbxContent>
                    </v:textbox>
                  </v:shape>
                </v:group>
                <v:group id="组合 1212" o:spid="_x0000_s1026" o:spt="203" style="position:absolute;left:5623;top:-11668013;height:11678248;width:2730;" coordorigin="5623,-11668014" coordsize="2730,11678248" o:gfxdata="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iy1YgvwAAAN0AAAAPAAAAAAAAAAEAIAAAACIAAABkcnMvZG93bnJldi54&#10;bWxQSwECFAAUAAAACACHTuJAMy8FnjsAAAA5AAAAFQAAAAAAAAABACAAAAAOAQAAZHJzL2dyb3Vw&#10;c2hhcGV4bWwueG1sUEsFBgAAAAAGAAYAYAEAAMsDAAAAAA==&#10;">
                  <o:lock v:ext="edit" aspectratio="f"/>
                  <v:shape id="文本框 2616" o:spid="_x0000_s1026" o:spt="202" type="#_x0000_t202" style="position:absolute;left:5623;top:8103;height:494;width:2657;" fillcolor="#FFFFFF" filled="t" stroked="t" coordsize="21600,21600" o:gfxdata="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u9aq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25141400">
                          <w:pPr>
                            <w:pStyle w:val="19"/>
                          </w:pPr>
                          <w:r>
                            <w:rPr>
                              <w:rFonts w:hint="eastAsia"/>
                            </w:rPr>
                            <w:t>稀浆封层车准备</w:t>
                          </w:r>
                        </w:p>
                      </w:txbxContent>
                    </v:textbox>
                  </v:shape>
                  <v:shape id="自选图形 2617" o:spid="_x0000_s1026" o:spt="32" type="#_x0000_t32" style="position:absolute;left:6952;top:-147520;flip:y;height:156117;width:232;" filled="f" stroked="t" coordsize="21600,21600" o:gfxdata="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kPRyb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shape id="文本框 2618" o:spid="_x0000_s1026" o:spt="202" type="#_x0000_t202" style="position:absolute;left:5671;top:8943;height:494;width:2657;" fillcolor="#FFFFFF" filled="t" stroked="t" coordsize="21600,21600" o:gfxdata="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wzka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6CFA84D6">
                          <w:pPr>
                            <w:pStyle w:val="19"/>
                          </w:pPr>
                          <w:r>
                            <w:rPr>
                              <w:rFonts w:hint="eastAsia"/>
                            </w:rPr>
                            <w:t>系统检测、调式</w:t>
                          </w:r>
                        </w:p>
                      </w:txbxContent>
                    </v:textbox>
                  </v:shape>
                  <v:shape id="自选图形 2619" o:spid="_x0000_s1026" o:spt="32" type="#_x0000_t32" style="position:absolute;left:6952;top:-11668014;flip:y;height:11557075;width:232;" filled="f" stroked="t" coordsize="21600,21600" o:gfxdata="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kOAgugAAANwA&#10;AAAPAAAAAAAAAAEAIAAAACIAAABkcnMvZG93bnJldi54bWxQSwECFAAUAAAACACHTuJAMy8FnjsA&#10;AAA5AAAAEAAAAAAAAAABACAAAAAJAQAAZHJzL3NoYXBleG1sLnhtbFBLBQYAAAAABgAGAFsBAACz&#10;AwAAAAA=&#10;">
                    <v:fill on="f" focussize="0,0"/>
                    <v:stroke weight="2.25pt" color="#2A33EC" joinstyle="round" endarrow="block"/>
                    <v:imagedata o:title=""/>
                    <o:lock v:ext="edit" aspectratio="f"/>
                  </v:shape>
                  <v:shape id="文本框 2620" o:spid="_x0000_s1026" o:spt="202" type="#_x0000_t202" style="position:absolute;left:5697;top:9740;height:494;width:2656;" fillcolor="#FFFFFF" filled="t" stroked="t" coordsize="21600,21600" o:gfxdata="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4/+v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078047D7">
                          <w:pPr>
                            <w:pStyle w:val="19"/>
                          </w:pPr>
                          <w:r>
                            <w:rPr>
                              <w:rFonts w:hint="eastAsia"/>
                            </w:rPr>
                            <w:t>乳化沥青、集料装车</w:t>
                          </w:r>
                        </w:p>
                      </w:txbxContent>
                    </v:textbox>
                  </v:shape>
                </v:group>
                <v:shape id="自选图形 2613" o:spid="_x0000_s1026" o:spt="32" type="#_x0000_t32" style="position:absolute;left:4941;top:-8226658;flip:y;height:8236663;width:2243;" filled="f" stroked="t" coordsize="21600,21600" o:gfxdata="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c99gvQAA&#10;ANwAAAAPAAAAAAAAAAEAIAAAACIAAABkcnMvZG93bnJldi54bWxQSwECFAAUAAAACACHTuJAMy8F&#10;njsAAAA5AAAAEAAAAAAAAAABACAAAAAMAQAAZHJzL3NoYXBleG1sLnhtbFBLBQYAAAAABgAGAFsB&#10;AAC2AwAAAAA=&#10;">
                  <v:fill on="f" focussize="0,0"/>
                  <v:stroke weight="2.25pt" color="#2A33EC" joinstyle="round" endarrow="block"/>
                  <v:imagedata o:title=""/>
                  <o:lock v:ext="edit" aspectratio="f"/>
                </v:shape>
                <v:group id="组合 1219" o:spid="_x0000_s1026" o:spt="203" style="position:absolute;left:2211;top:-11364649;height:11374901;width:4973;" coordorigin="2211,-11364649" coordsize="4973,11374901" o:gfxdata="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hnIV8AAAADdAAAADwAAAAAAAAABACAAAAAiAAAAZHJzL2Rvd25yZXYu&#10;eG1sUEsBAhQAFAAAAAgAh07iQDMvBZ47AAAAOQAAABUAAAAAAAAAAQAgAAAADwEAAGRycy9ncm91&#10;cHNoYXBleG1sLnhtbFBLBQYAAAAABgAGAGABAADMAwAAAAA=&#10;">
                  <o:lock v:ext="edit" aspectratio="f"/>
                  <v:shape id="文本框 2608" o:spid="_x0000_s1026" o:spt="202" type="#_x0000_t202" style="position:absolute;left:2211;top:8121;height:494;width:2656;" fillcolor="#FFFFFF" filled="t" stroked="t" coordsize="21600,21600" o:gfxdata="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e+wO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17411CA0">
                          <w:pPr>
                            <w:pStyle w:val="19"/>
                          </w:pPr>
                          <w:r>
                            <w:rPr>
                              <w:rFonts w:hint="eastAsia"/>
                            </w:rPr>
                            <w:t>乳化沥青、集料准备</w:t>
                          </w:r>
                        </w:p>
                      </w:txbxContent>
                    </v:textbox>
                  </v:shape>
                  <v:shape id="自选图形 2609" o:spid="_x0000_s1026" o:spt="32" type="#_x0000_t32" style="position:absolute;left:3539;top:-11364649;flip:y;height:11373264;width:3645;" filled="f" stroked="t" coordsize="21600,21600" o:gfxdata="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7eSMvQAA&#10;ANwAAAAPAAAAAAAAAAEAIAAAACIAAABkcnMvZG93bnJldi54bWxQSwECFAAUAAAACACHTuJAMy8F&#10;njsAAAA5AAAAEAAAAAAAAAABACAAAAAMAQAAZHJzL3NoYXBleG1sLnhtbFBLBQYAAAAABgAGAFsB&#10;AAC2AwAAAAA=&#10;">
                    <v:fill on="f" focussize="0,0"/>
                    <v:stroke weight="2.25pt" color="#2A33EC" joinstyle="round" endarrow="block"/>
                    <v:imagedata o:title=""/>
                    <o:lock v:ext="edit" aspectratio="f"/>
                  </v:shape>
                  <v:shape id="文本框 2610" o:spid="_x0000_s1026" o:spt="202" type="#_x0000_t202" style="position:absolute;left:2259;top:8961;height:494;width:2656;" fillcolor="#FFFFFF" filled="t" stroked="t" coordsize="21600,21600" o:gfxdata="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O8bs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3EB549BA">
                          <w:pPr>
                            <w:pStyle w:val="19"/>
                          </w:pPr>
                          <w:r>
                            <w:rPr>
                              <w:rFonts w:hint="eastAsia"/>
                            </w:rPr>
                            <w:t>指标检测、配合比设计</w:t>
                          </w:r>
                        </w:p>
                      </w:txbxContent>
                    </v:textbox>
                  </v:shape>
                  <v:shape id="自选图形 2611" o:spid="_x0000_s1026" o:spt="32" type="#_x0000_t32" style="position:absolute;left:3585;top:9455;flip:x;height:340;width:1;" filled="f" stroked="t" coordsize="21600,21600" o:gfxdata="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0jZY7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shape id="文本框 2612" o:spid="_x0000_s1026" o:spt="202" type="#_x0000_t202" style="position:absolute;left:2285;top:9758;height:494;width:2656;" fillcolor="#FFFFFF" filled="t" stroked="t" coordsize="21600,21600" o:gfxdata="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2l/QC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0B51CBAC">
                          <w:pPr>
                            <w:pStyle w:val="19"/>
                          </w:pPr>
                          <w:r>
                            <w:rPr>
                              <w:rFonts w:hint="eastAsia"/>
                            </w:rPr>
                            <w:t>监理工程师审批</w:t>
                          </w:r>
                        </w:p>
                      </w:txbxContent>
                    </v:textbox>
                  </v:shape>
                </v:group>
                <v:shape id="自选图形 2621" o:spid="_x0000_s1026" o:spt="32" type="#_x0000_t32" style="position:absolute;left:7010;top:10234;flip:x;height:340;width:2;" filled="f" stroked="t" coordsize="21600,21600" o:gfxdata="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1Jdv28AAAA&#10;3AAAAA8AAAAAAAAAAQAgAAAAIgAAAGRycy9kb3ducmV2LnhtbFBLAQIUABQAAAAIAIdO4kAzLwWe&#10;OwAAADkAAAAQAAAAAAAAAAEAIAAAAAsBAABkcnMvc2hhcGV4bWwueG1sUEsFBgAAAAAGAAYAWwEA&#10;ALUDAAAAAA==&#10;">
                  <v:fill on="f" focussize="0,0"/>
                  <v:stroke weight="2.25pt" color="#2A33EC" joinstyle="round" endarrow="block"/>
                  <v:imagedata o:title=""/>
                  <o:lock v:ext="edit" aspectratio="f"/>
                </v:shape>
                <v:shape id="自选图形 2634" o:spid="_x0000_s1026" o:spt="32" type="#_x0000_t32" style="position:absolute;left:7057;top:12660;flip:x;height:340;width:2;" filled="f" stroked="t" coordsize="21600,21600" o:gfxdata="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gXTZr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group id="组合 1227" o:spid="_x0000_s1026" o:spt="203" style="position:absolute;left:5717;top:12976;height:2131;width:2731;" coordorigin="5717,12976" coordsize="2731,2131" o:gfxdata="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9VW3MvwAAAN0AAAAPAAAAAAAAAAEAIAAAACIAAABkcnMvZG93bnJldi54&#10;bWxQSwECFAAUAAAACACHTuJAMy8FnjsAAAA5AAAAFQAAAAAAAAABACAAAAAOAQAAZHJzL2dyb3Vw&#10;c2hhcGV4bWwueG1sUEsFBgAAAAAGAAYAYAEAAMsDAAAAAA==&#10;">
                  <o:lock v:ext="edit" aspectratio="f"/>
                  <v:shape id="文本框 2629" o:spid="_x0000_s1026" o:spt="202" type="#_x0000_t202" style="position:absolute;left:5717;top:12976;height:494;width:2656;" fillcolor="#FFFFFF" filled="t" stroked="t" coordsize="21600,21600" o:gfxdata="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NsClK2AAAA3AAAAA8A&#10;AAAAAAAAAQAgAAAAIgAAAGRycy9kb3ducmV2LnhtbFBLAQIUABQAAAAIAIdO4kAzLwWeOwAAADkA&#10;AAAQAAAAAAAAAAEAIAAAAAUBAABkcnMvc2hhcGV4bWwueG1sUEsFBgAAAAAGAAYAWwEAAK8DAAAA&#10;AA==&#10;">
                    <v:fill on="t" focussize="0,0"/>
                    <v:stroke weight="2.25pt" color="#2A33EC" joinstyle="miter"/>
                    <v:imagedata o:title=""/>
                    <o:lock v:ext="edit" aspectratio="f"/>
                    <v:textbox>
                      <w:txbxContent>
                        <w:p w14:paraId="6F0C63E3">
                          <w:pPr>
                            <w:pStyle w:val="19"/>
                          </w:pPr>
                          <w:r>
                            <w:rPr>
                              <w:rFonts w:hint="eastAsia"/>
                            </w:rPr>
                            <w:t>稀浆封层养护</w:t>
                          </w:r>
                        </w:p>
                      </w:txbxContent>
                    </v:textbox>
                  </v:shape>
                  <v:shape id="自选图形 2630" o:spid="_x0000_s1026" o:spt="32" type="#_x0000_t32" style="position:absolute;left:7045;top:13470;height:0;width:139;" filled="f" stroked="t" coordsize="21600,21600" o:gfxdata="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68LQvQAA&#10;ANwAAAAPAAAAAAAAAAEAIAAAACIAAABkcnMvZG93bnJldi54bWxQSwECFAAUAAAACACHTuJAMy8F&#10;njsAAAA5AAAAEAAAAAAAAAABACAAAAAMAQAAZHJzL3NoYXBleG1sLnhtbFBLBQYAAAAABgAGAFsB&#10;AAC2AwAAAAA=&#10;">
                    <v:fill on="f" focussize="0,0"/>
                    <v:stroke weight="2.25pt" color="#2A33EC" joinstyle="round" endarrow="block"/>
                    <v:imagedata o:title=""/>
                    <o:lock v:ext="edit" aspectratio="f"/>
                  </v:shape>
                  <v:shape id="文本框 2631" o:spid="_x0000_s1026" o:spt="202" type="#_x0000_t202" style="position:absolute;left:5765;top:13816;height:494;width:2657;" fillcolor="#FFFFFF" filled="t" stroked="t" coordsize="21600,21600" o:gfxdata="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yMb6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1F9DB30E">
                          <w:pPr>
                            <w:pStyle w:val="19"/>
                          </w:pPr>
                          <w:r>
                            <w:rPr>
                              <w:rFonts w:hint="eastAsia"/>
                            </w:rPr>
                            <w:t>稀浆封层检测</w:t>
                          </w:r>
                        </w:p>
                      </w:txbxContent>
                    </v:textbox>
                  </v:shape>
                  <v:shape id="自选图形 2632" o:spid="_x0000_s1026" o:spt="32" type="#_x0000_t32" style="position:absolute;left:7045;top:14310;height:0;width:139;" filled="f" stroked="t" coordsize="21600,21600" o:gfxdata="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1+Ty/&#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shape id="文本框 2633" o:spid="_x0000_s1026" o:spt="202" type="#_x0000_t202" style="position:absolute;left:5791;top:14613;height:494;width:2657;" fillcolor="#FFFFFF" filled="t" stroked="t" coordsize="21600,21600" o:gfxdata="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VwxR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4D0B77DE">
                          <w:pPr>
                            <w:pStyle w:val="19"/>
                          </w:pPr>
                          <w:r>
                            <w:rPr>
                              <w:rFonts w:hint="eastAsia"/>
                            </w:rPr>
                            <w:t>下道工序施工</w:t>
                          </w:r>
                        </w:p>
                      </w:txbxContent>
                    </v:textbox>
                  </v:shape>
                </v:group>
              </v:group>
            </w:pict>
          </mc:Fallback>
        </mc:AlternateContent>
      </w:r>
      <w:r>
        <w:rPr>
          <w:rFonts w:hint="eastAsia" w:ascii="宋体" w:hAnsi="宋体" w:cs="宋体"/>
          <w:highlight w:val="none"/>
          <w:lang w:val="en-US" w:eastAsia="zh-CN"/>
        </w:rPr>
        <w:t>下封层</w:t>
      </w:r>
      <w:r>
        <w:rPr>
          <w:rFonts w:hint="eastAsia" w:ascii="宋体" w:hAnsi="宋体" w:eastAsia="宋体" w:cs="宋体"/>
          <w:highlight w:val="none"/>
        </w:rPr>
        <w:t>施工工艺</w:t>
      </w:r>
    </w:p>
    <w:p w14:paraId="025545CB">
      <w:pPr>
        <w:ind w:firstLine="480"/>
        <w:rPr>
          <w:rFonts w:hint="eastAsia" w:ascii="宋体" w:hAnsi="宋体" w:eastAsia="宋体" w:cs="宋体"/>
          <w:highlight w:val="none"/>
          <w:lang w:val="zh-CN"/>
        </w:rPr>
      </w:pPr>
    </w:p>
    <w:p w14:paraId="1C1C4BC5">
      <w:pPr>
        <w:ind w:firstLine="480"/>
        <w:rPr>
          <w:rFonts w:hint="eastAsia" w:ascii="宋体" w:hAnsi="宋体" w:eastAsia="宋体" w:cs="宋体"/>
          <w:highlight w:val="none"/>
          <w:lang w:val="zh-CN"/>
        </w:rPr>
      </w:pPr>
    </w:p>
    <w:p w14:paraId="1C5A3268">
      <w:pPr>
        <w:ind w:firstLine="480"/>
        <w:rPr>
          <w:rFonts w:hint="eastAsia" w:ascii="宋体" w:hAnsi="宋体" w:eastAsia="宋体" w:cs="宋体"/>
          <w:highlight w:val="yellow"/>
          <w:lang w:val="zh-CN"/>
        </w:rPr>
      </w:pPr>
    </w:p>
    <w:p w14:paraId="7C37D0DA">
      <w:pPr>
        <w:ind w:firstLine="480"/>
        <w:rPr>
          <w:rFonts w:hint="eastAsia" w:ascii="宋体" w:hAnsi="宋体" w:eastAsia="宋体" w:cs="宋体"/>
          <w:highlight w:val="yellow"/>
          <w:lang w:val="zh-CN"/>
        </w:rPr>
      </w:pPr>
    </w:p>
    <w:p w14:paraId="4E2AA0E6">
      <w:pPr>
        <w:ind w:firstLine="480"/>
        <w:rPr>
          <w:rFonts w:hint="eastAsia" w:ascii="宋体" w:hAnsi="宋体" w:eastAsia="宋体" w:cs="宋体"/>
          <w:highlight w:val="yellow"/>
          <w:lang w:val="zh-CN"/>
        </w:rPr>
      </w:pPr>
    </w:p>
    <w:p w14:paraId="638EBA02">
      <w:pPr>
        <w:ind w:firstLine="480"/>
        <w:rPr>
          <w:rFonts w:hint="eastAsia" w:ascii="宋体" w:hAnsi="宋体" w:eastAsia="宋体" w:cs="宋体"/>
          <w:highlight w:val="yellow"/>
          <w:lang w:val="zh-CN"/>
        </w:rPr>
      </w:pPr>
    </w:p>
    <w:p w14:paraId="39C41521">
      <w:pPr>
        <w:ind w:firstLine="480"/>
        <w:rPr>
          <w:rFonts w:hint="eastAsia" w:ascii="宋体" w:hAnsi="宋体" w:eastAsia="宋体" w:cs="宋体"/>
          <w:highlight w:val="yellow"/>
          <w:lang w:val="zh-CN"/>
        </w:rPr>
      </w:pPr>
    </w:p>
    <w:p w14:paraId="23172009">
      <w:pPr>
        <w:ind w:firstLine="480"/>
        <w:rPr>
          <w:rFonts w:hint="eastAsia" w:ascii="宋体" w:hAnsi="宋体" w:eastAsia="宋体" w:cs="宋体"/>
          <w:highlight w:val="yellow"/>
          <w:lang w:val="zh-CN"/>
        </w:rPr>
      </w:pPr>
    </w:p>
    <w:p w14:paraId="0C516A86">
      <w:pPr>
        <w:ind w:firstLine="480"/>
        <w:rPr>
          <w:rFonts w:hint="eastAsia" w:ascii="宋体" w:hAnsi="宋体" w:eastAsia="宋体" w:cs="宋体"/>
          <w:highlight w:val="yellow"/>
          <w:lang w:val="zh-CN"/>
        </w:rPr>
      </w:pPr>
      <w:r>
        <w:rPr>
          <w:rFonts w:hint="eastAsia" w:ascii="宋体" w:hAnsi="宋体" w:eastAsia="宋体" w:cs="宋体"/>
          <w:highlight w:val="yellow"/>
          <w:lang w:val="zh-CN"/>
        </w:rPr>
        <mc:AlternateContent>
          <mc:Choice Requires="wpg">
            <w:drawing>
              <wp:anchor distT="0" distB="0" distL="114300" distR="114300" simplePos="0" relativeHeight="251726848" behindDoc="0" locked="0" layoutInCell="1" allowOverlap="1">
                <wp:simplePos x="0" y="0"/>
                <wp:positionH relativeFrom="column">
                  <wp:posOffset>-2763520</wp:posOffset>
                </wp:positionH>
                <wp:positionV relativeFrom="paragraph">
                  <wp:posOffset>-2147483640</wp:posOffset>
                </wp:positionV>
                <wp:extent cx="3960495" cy="4335145"/>
                <wp:effectExtent l="13970" t="50800" r="18415" b="0"/>
                <wp:wrapNone/>
                <wp:docPr id="2284" name="组合 1205"/>
                <wp:cNvGraphicFramePr/>
                <a:graphic xmlns:a="http://schemas.openxmlformats.org/drawingml/2006/main">
                  <a:graphicData uri="http://schemas.microsoft.com/office/word/2010/wordprocessingGroup">
                    <wpg:wgp>
                      <wpg:cNvGrpSpPr/>
                      <wpg:grpSpPr>
                        <a:xfrm>
                          <a:off x="0" y="0"/>
                          <a:ext cx="3960495" cy="4335145"/>
                          <a:chOff x="2211" y="8103"/>
                          <a:chExt cx="6237" cy="7004203"/>
                        </a:xfrm>
                      </wpg:grpSpPr>
                      <wpg:grpSp>
                        <wpg:cNvPr id="2285" name="组合 1206"/>
                        <wpg:cNvGrpSpPr/>
                        <wpg:grpSpPr>
                          <a:xfrm>
                            <a:off x="5670" y="10507"/>
                            <a:ext cx="2731" cy="2131"/>
                            <a:chOff x="5670" y="10507"/>
                            <a:chExt cx="2731" cy="2131"/>
                          </a:xfrm>
                        </wpg:grpSpPr>
                        <wps:wsp>
                          <wps:cNvPr id="356" name="文本框 2623"/>
                          <wps:cNvSpPr txBox="1"/>
                          <wps:spPr>
                            <a:xfrm>
                              <a:off x="5670" y="10507"/>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50EC2BEE">
                                <w:pPr>
                                  <w:pStyle w:val="19"/>
                                </w:pPr>
                                <w:r>
                                  <w:rPr>
                                    <w:rFonts w:hint="eastAsia"/>
                                  </w:rPr>
                                  <w:t>摊铺稀浆封层</w:t>
                                </w:r>
                              </w:p>
                            </w:txbxContent>
                          </wps:txbx>
                          <wps:bodyPr upright="1"/>
                        </wps:wsp>
                        <wps:wsp>
                          <wps:cNvPr id="357" name="自选图形 2624"/>
                          <wps:cNvCnPr/>
                          <wps:spPr>
                            <a:xfrm flipH="1">
                              <a:off x="6997" y="11001"/>
                              <a:ext cx="2" cy="340"/>
                            </a:xfrm>
                            <a:prstGeom prst="straightConnector1">
                              <a:avLst/>
                            </a:prstGeom>
                            <a:ln w="28575" cap="flat" cmpd="sng">
                              <a:solidFill>
                                <a:srgbClr val="2A33EC"/>
                              </a:solidFill>
                              <a:prstDash val="solid"/>
                              <a:headEnd type="none" w="med" len="med"/>
                              <a:tailEnd type="triangle" w="med" len="med"/>
                            </a:ln>
                          </wps:spPr>
                          <wps:bodyPr/>
                        </wps:wsp>
                        <wps:wsp>
                          <wps:cNvPr id="358" name="文本框 2625"/>
                          <wps:cNvSpPr txBox="1"/>
                          <wps:spPr>
                            <a:xfrm>
                              <a:off x="5718" y="11347"/>
                              <a:ext cx="2656" cy="493"/>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2914A359">
                                <w:pPr>
                                  <w:pStyle w:val="19"/>
                                </w:pPr>
                                <w:r>
                                  <w:rPr>
                                    <w:rFonts w:hint="eastAsia"/>
                                  </w:rPr>
                                  <w:t>碾压</w:t>
                                </w:r>
                              </w:p>
                            </w:txbxContent>
                          </wps:txbx>
                          <wps:bodyPr upright="1"/>
                        </wps:wsp>
                        <wps:wsp>
                          <wps:cNvPr id="359" name="自选图形 2626"/>
                          <wps:cNvCnPr/>
                          <wps:spPr>
                            <a:xfrm flipH="1">
                              <a:off x="7044" y="11840"/>
                              <a:ext cx="1" cy="341"/>
                            </a:xfrm>
                            <a:prstGeom prst="straightConnector1">
                              <a:avLst/>
                            </a:prstGeom>
                            <a:ln w="28575" cap="flat" cmpd="sng">
                              <a:solidFill>
                                <a:srgbClr val="2A33EC"/>
                              </a:solidFill>
                              <a:prstDash val="solid"/>
                              <a:headEnd type="none" w="med" len="med"/>
                              <a:tailEnd type="triangle" w="med" len="med"/>
                            </a:ln>
                          </wps:spPr>
                          <wps:bodyPr/>
                        </wps:wsp>
                        <wps:wsp>
                          <wps:cNvPr id="360" name="文本框 2627"/>
                          <wps:cNvSpPr txBox="1"/>
                          <wps:spPr>
                            <a:xfrm>
                              <a:off x="5744" y="12144"/>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2780FF65">
                                <w:pPr>
                                  <w:pStyle w:val="19"/>
                                </w:pPr>
                                <w:r>
                                  <w:rPr>
                                    <w:rFonts w:hint="eastAsia"/>
                                  </w:rPr>
                                  <w:t>缺陷修整</w:t>
                                </w:r>
                              </w:p>
                            </w:txbxContent>
                          </wps:txbx>
                          <wps:bodyPr upright="1"/>
                        </wps:wsp>
                      </wpg:grpSp>
                      <wpg:grpSp>
                        <wpg:cNvPr id="2286" name="组合 1212"/>
                        <wpg:cNvGrpSpPr/>
                        <wpg:grpSpPr>
                          <a:xfrm>
                            <a:off x="5623" y="8103"/>
                            <a:ext cx="2730" cy="2131"/>
                            <a:chOff x="5623" y="8103"/>
                            <a:chExt cx="2730" cy="2131"/>
                          </a:xfrm>
                        </wpg:grpSpPr>
                        <wps:wsp>
                          <wps:cNvPr id="362" name="文本框 2616"/>
                          <wps:cNvSpPr txBox="1"/>
                          <wps:spPr>
                            <a:xfrm>
                              <a:off x="5623" y="8103"/>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114A8DD">
                                <w:pPr>
                                  <w:pStyle w:val="19"/>
                                </w:pPr>
                                <w:r>
                                  <w:rPr>
                                    <w:rFonts w:hint="eastAsia"/>
                                  </w:rPr>
                                  <w:t>稀浆封层车准备</w:t>
                                </w:r>
                              </w:p>
                            </w:txbxContent>
                          </wps:txbx>
                          <wps:bodyPr upright="1"/>
                        </wps:wsp>
                        <wps:wsp>
                          <wps:cNvPr id="363" name="自选图形 2617"/>
                          <wps:cNvCnPr/>
                          <wps:spPr>
                            <a:xfrm flipH="1">
                              <a:off x="6950" y="8597"/>
                              <a:ext cx="2" cy="340"/>
                            </a:xfrm>
                            <a:prstGeom prst="straightConnector1">
                              <a:avLst/>
                            </a:prstGeom>
                            <a:ln w="28575" cap="flat" cmpd="sng">
                              <a:solidFill>
                                <a:srgbClr val="2A33EC"/>
                              </a:solidFill>
                              <a:prstDash val="solid"/>
                              <a:headEnd type="none" w="med" len="med"/>
                              <a:tailEnd type="triangle" w="med" len="med"/>
                            </a:ln>
                          </wps:spPr>
                          <wps:bodyPr/>
                        </wps:wsp>
                        <wps:wsp>
                          <wps:cNvPr id="364" name="文本框 2618"/>
                          <wps:cNvSpPr txBox="1"/>
                          <wps:spPr>
                            <a:xfrm>
                              <a:off x="5671" y="8943"/>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FDFBEB4">
                                <w:pPr>
                                  <w:pStyle w:val="19"/>
                                </w:pPr>
                                <w:r>
                                  <w:rPr>
                                    <w:rFonts w:hint="eastAsia"/>
                                  </w:rPr>
                                  <w:t>系统检测、调式</w:t>
                                </w:r>
                              </w:p>
                            </w:txbxContent>
                          </wps:txbx>
                          <wps:bodyPr upright="1"/>
                        </wps:wsp>
                        <wps:wsp>
                          <wps:cNvPr id="365" name="自选图形 2619"/>
                          <wps:cNvCnPr/>
                          <wps:spPr>
                            <a:xfrm flipH="1">
                              <a:off x="6997" y="9437"/>
                              <a:ext cx="2" cy="340"/>
                            </a:xfrm>
                            <a:prstGeom prst="straightConnector1">
                              <a:avLst/>
                            </a:prstGeom>
                            <a:ln w="28575" cap="flat" cmpd="sng">
                              <a:solidFill>
                                <a:srgbClr val="2A33EC"/>
                              </a:solidFill>
                              <a:prstDash val="solid"/>
                              <a:headEnd type="none" w="med" len="med"/>
                              <a:tailEnd type="triangle" w="med" len="med"/>
                            </a:ln>
                          </wps:spPr>
                          <wps:bodyPr/>
                        </wps:wsp>
                        <wps:wsp>
                          <wps:cNvPr id="366" name="文本框 2620"/>
                          <wps:cNvSpPr txBox="1"/>
                          <wps:spPr>
                            <a:xfrm>
                              <a:off x="5697" y="9740"/>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903DF4A">
                                <w:pPr>
                                  <w:pStyle w:val="19"/>
                                </w:pPr>
                                <w:r>
                                  <w:rPr>
                                    <w:rFonts w:hint="eastAsia"/>
                                  </w:rPr>
                                  <w:t>乳化沥青、集料装车</w:t>
                                </w:r>
                              </w:p>
                            </w:txbxContent>
                          </wps:txbx>
                          <wps:bodyPr upright="1"/>
                        </wps:wsp>
                      </wpg:grpSp>
                      <wps:wsp>
                        <wps:cNvPr id="368" name="自选图形 2613"/>
                        <wps:cNvCnPr/>
                        <wps:spPr>
                          <a:xfrm>
                            <a:off x="4942" y="10005"/>
                            <a:ext cx="739" cy="2"/>
                          </a:xfrm>
                          <a:prstGeom prst="straightConnector1">
                            <a:avLst/>
                          </a:prstGeom>
                          <a:ln w="28575" cap="flat" cmpd="sng">
                            <a:solidFill>
                              <a:srgbClr val="2A33EC"/>
                            </a:solidFill>
                            <a:prstDash val="solid"/>
                            <a:headEnd type="none" w="med" len="med"/>
                            <a:tailEnd type="triangle" w="med" len="med"/>
                          </a:ln>
                        </wps:spPr>
                        <wps:bodyPr/>
                      </wps:wsp>
                      <wpg:grpSp>
                        <wpg:cNvPr id="2287" name="组合 1219"/>
                        <wpg:cNvGrpSpPr/>
                        <wpg:grpSpPr>
                          <a:xfrm>
                            <a:off x="2211" y="8121"/>
                            <a:ext cx="2730" cy="2131"/>
                            <a:chOff x="2211" y="8121"/>
                            <a:chExt cx="2730" cy="2131"/>
                          </a:xfrm>
                        </wpg:grpSpPr>
                        <wps:wsp>
                          <wps:cNvPr id="369" name="文本框 2608"/>
                          <wps:cNvSpPr txBox="1"/>
                          <wps:spPr>
                            <a:xfrm>
                              <a:off x="2211" y="8121"/>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061A18BC">
                                <w:pPr>
                                  <w:pStyle w:val="19"/>
                                </w:pPr>
                                <w:r>
                                  <w:rPr>
                                    <w:rFonts w:hint="eastAsia"/>
                                  </w:rPr>
                                  <w:t>乳化沥青、集料准备</w:t>
                                </w:r>
                              </w:p>
                            </w:txbxContent>
                          </wps:txbx>
                          <wps:bodyPr upright="1"/>
                        </wps:wsp>
                        <wps:wsp>
                          <wps:cNvPr id="370" name="自选图形 2609"/>
                          <wps:cNvCnPr/>
                          <wps:spPr>
                            <a:xfrm flipH="1">
                              <a:off x="3538" y="8615"/>
                              <a:ext cx="2" cy="340"/>
                            </a:xfrm>
                            <a:prstGeom prst="straightConnector1">
                              <a:avLst/>
                            </a:prstGeom>
                            <a:ln w="28575" cap="flat" cmpd="sng">
                              <a:solidFill>
                                <a:srgbClr val="2A33EC"/>
                              </a:solidFill>
                              <a:prstDash val="solid"/>
                              <a:headEnd type="none" w="med" len="med"/>
                              <a:tailEnd type="triangle" w="med" len="med"/>
                            </a:ln>
                          </wps:spPr>
                          <wps:bodyPr/>
                        </wps:wsp>
                        <wps:wsp>
                          <wps:cNvPr id="371" name="文本框 2610"/>
                          <wps:cNvSpPr txBox="1"/>
                          <wps:spPr>
                            <a:xfrm>
                              <a:off x="2259" y="8961"/>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09B7350">
                                <w:pPr>
                                  <w:pStyle w:val="19"/>
                                </w:pPr>
                                <w:r>
                                  <w:rPr>
                                    <w:rFonts w:hint="eastAsia"/>
                                  </w:rPr>
                                  <w:t>指标检测、配合比设计</w:t>
                                </w:r>
                              </w:p>
                            </w:txbxContent>
                          </wps:txbx>
                          <wps:bodyPr upright="1"/>
                        </wps:wsp>
                        <wps:wsp>
                          <wps:cNvPr id="372" name="自选图形 2611"/>
                          <wps:cNvCnPr/>
                          <wps:spPr>
                            <a:xfrm flipH="1">
                              <a:off x="3585" y="9455"/>
                              <a:ext cx="1" cy="340"/>
                            </a:xfrm>
                            <a:prstGeom prst="straightConnector1">
                              <a:avLst/>
                            </a:prstGeom>
                            <a:ln w="28575" cap="flat" cmpd="sng">
                              <a:solidFill>
                                <a:srgbClr val="2A33EC"/>
                              </a:solidFill>
                              <a:prstDash val="solid"/>
                              <a:headEnd type="none" w="med" len="med"/>
                              <a:tailEnd type="triangle" w="med" len="med"/>
                            </a:ln>
                          </wps:spPr>
                          <wps:bodyPr/>
                        </wps:wsp>
                        <wps:wsp>
                          <wps:cNvPr id="373" name="文本框 2612"/>
                          <wps:cNvSpPr txBox="1"/>
                          <wps:spPr>
                            <a:xfrm>
                              <a:off x="2285" y="9758"/>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2A35CF90">
                                <w:pPr>
                                  <w:pStyle w:val="19"/>
                                </w:pPr>
                                <w:r>
                                  <w:rPr>
                                    <w:rFonts w:hint="eastAsia"/>
                                  </w:rPr>
                                  <w:t>监理工程师审批</w:t>
                                </w:r>
                              </w:p>
                            </w:txbxContent>
                          </wps:txbx>
                          <wps:bodyPr upright="1"/>
                        </wps:wsp>
                      </wpg:grpSp>
                      <wps:wsp>
                        <wps:cNvPr id="375" name="自选图形 2621"/>
                        <wps:cNvCnPr/>
                        <wps:spPr>
                          <a:xfrm flipH="1">
                            <a:off x="7010" y="10234"/>
                            <a:ext cx="2" cy="340"/>
                          </a:xfrm>
                          <a:prstGeom prst="straightConnector1">
                            <a:avLst/>
                          </a:prstGeom>
                          <a:ln w="28575" cap="flat" cmpd="sng">
                            <a:solidFill>
                              <a:srgbClr val="2A33EC"/>
                            </a:solidFill>
                            <a:prstDash val="solid"/>
                            <a:headEnd type="none" w="med" len="med"/>
                            <a:tailEnd type="triangle" w="med" len="med"/>
                          </a:ln>
                        </wps:spPr>
                        <wps:bodyPr/>
                      </wps:wsp>
                      <wps:wsp>
                        <wps:cNvPr id="376" name="自选图形 2634"/>
                        <wps:cNvCnPr/>
                        <wps:spPr>
                          <a:xfrm flipH="1">
                            <a:off x="7057" y="12660"/>
                            <a:ext cx="2" cy="340"/>
                          </a:xfrm>
                          <a:prstGeom prst="straightConnector1">
                            <a:avLst/>
                          </a:prstGeom>
                          <a:ln w="28575" cap="flat" cmpd="sng">
                            <a:solidFill>
                              <a:srgbClr val="2A33EC"/>
                            </a:solidFill>
                            <a:prstDash val="solid"/>
                            <a:headEnd type="none" w="med" len="med"/>
                            <a:tailEnd type="triangle" w="med" len="med"/>
                          </a:ln>
                        </wps:spPr>
                        <wps:bodyPr/>
                      </wps:wsp>
                      <wpg:grpSp>
                        <wpg:cNvPr id="2288" name="组合 1227"/>
                        <wpg:cNvGrpSpPr/>
                        <wpg:grpSpPr>
                          <a:xfrm>
                            <a:off x="5717" y="12976"/>
                            <a:ext cx="2731" cy="2131"/>
                            <a:chOff x="5717" y="12976"/>
                            <a:chExt cx="2731" cy="2131"/>
                          </a:xfrm>
                        </wpg:grpSpPr>
                        <wps:wsp>
                          <wps:cNvPr id="377" name="文本框 2629"/>
                          <wps:cNvSpPr txBox="1"/>
                          <wps:spPr>
                            <a:xfrm>
                              <a:off x="5717" y="12976"/>
                              <a:ext cx="2656"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6535D9AF">
                                <w:pPr>
                                  <w:pStyle w:val="19"/>
                                </w:pPr>
                                <w:r>
                                  <w:rPr>
                                    <w:rFonts w:hint="eastAsia"/>
                                  </w:rPr>
                                  <w:t>稀浆封层养护</w:t>
                                </w:r>
                              </w:p>
                            </w:txbxContent>
                          </wps:txbx>
                          <wps:bodyPr upright="1"/>
                        </wps:wsp>
                        <wps:wsp>
                          <wps:cNvPr id="378" name="自选图形 2630"/>
                          <wps:cNvCnPr/>
                          <wps:spPr>
                            <a:xfrm flipH="1">
                              <a:off x="7045" y="13470"/>
                              <a:ext cx="1" cy="340"/>
                            </a:xfrm>
                            <a:prstGeom prst="straightConnector1">
                              <a:avLst/>
                            </a:prstGeom>
                            <a:ln w="28575" cap="flat" cmpd="sng">
                              <a:solidFill>
                                <a:srgbClr val="2A33EC"/>
                              </a:solidFill>
                              <a:prstDash val="solid"/>
                              <a:headEnd type="none" w="med" len="med"/>
                              <a:tailEnd type="triangle" w="med" len="med"/>
                            </a:ln>
                          </wps:spPr>
                          <wps:bodyPr/>
                        </wps:wsp>
                        <wps:wsp>
                          <wps:cNvPr id="379" name="文本框 2631"/>
                          <wps:cNvSpPr txBox="1"/>
                          <wps:spPr>
                            <a:xfrm>
                              <a:off x="5765" y="13816"/>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67D56AB3">
                                <w:pPr>
                                  <w:pStyle w:val="19"/>
                                </w:pPr>
                                <w:r>
                                  <w:rPr>
                                    <w:rFonts w:hint="eastAsia"/>
                                  </w:rPr>
                                  <w:t>稀浆封层检测</w:t>
                                </w:r>
                              </w:p>
                            </w:txbxContent>
                          </wps:txbx>
                          <wps:bodyPr upright="1"/>
                        </wps:wsp>
                        <wps:wsp>
                          <wps:cNvPr id="380" name="自选图形 2632"/>
                          <wps:cNvCnPr/>
                          <wps:spPr>
                            <a:xfrm flipH="1">
                              <a:off x="7092" y="14310"/>
                              <a:ext cx="1" cy="340"/>
                            </a:xfrm>
                            <a:prstGeom prst="straightConnector1">
                              <a:avLst/>
                            </a:prstGeom>
                            <a:ln w="28575" cap="flat" cmpd="sng">
                              <a:solidFill>
                                <a:srgbClr val="2A33EC"/>
                              </a:solidFill>
                              <a:prstDash val="solid"/>
                              <a:headEnd type="none" w="med" len="med"/>
                              <a:tailEnd type="triangle" w="med" len="med"/>
                            </a:ln>
                          </wps:spPr>
                          <wps:bodyPr/>
                        </wps:wsp>
                        <wps:wsp>
                          <wps:cNvPr id="381" name="文本框 2633"/>
                          <wps:cNvSpPr txBox="1"/>
                          <wps:spPr>
                            <a:xfrm>
                              <a:off x="5791" y="14613"/>
                              <a:ext cx="2657" cy="494"/>
                            </a:xfrm>
                            <a:prstGeom prst="rect">
                              <a:avLst/>
                            </a:prstGeom>
                            <a:solidFill>
                              <a:srgbClr val="FFFFFF"/>
                            </a:solidFill>
                            <a:ln w="28575" cap="flat" cmpd="sng">
                              <a:solidFill>
                                <a:srgbClr val="2A33EC"/>
                              </a:solidFill>
                              <a:prstDash val="solid"/>
                              <a:miter/>
                              <a:headEnd type="none" w="med" len="med"/>
                              <a:tailEnd type="none" w="med" len="med"/>
                            </a:ln>
                          </wps:spPr>
                          <wps:txbx>
                            <w:txbxContent>
                              <w:p w14:paraId="4DCD7512">
                                <w:pPr>
                                  <w:pStyle w:val="19"/>
                                </w:pPr>
                                <w:r>
                                  <w:rPr>
                                    <w:rFonts w:hint="eastAsia"/>
                                  </w:rPr>
                                  <w:t>下道工序施工</w:t>
                                </w:r>
                              </w:p>
                            </w:txbxContent>
                          </wps:txbx>
                          <wps:bodyPr upright="1"/>
                        </wps:wsp>
                      </wpg:grpSp>
                    </wpg:wgp>
                  </a:graphicData>
                </a:graphic>
              </wp:anchor>
            </w:drawing>
          </mc:Choice>
          <mc:Fallback>
            <w:pict>
              <v:group id="组合 1205" o:spid="_x0000_s1026" o:spt="203" style="position:absolute;left:0pt;margin-left:-217.6pt;margin-top:-169093.2pt;height:341.35pt;width:311.85pt;z-index:251726848;mso-width-relative:page;mso-height-relative:page;" coordorigin="2211,8103" coordsize="6237,7004203" o:gfxdata="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">
                <o:lock v:ext="edit" aspectratio="f"/>
                <v:group id="组合 1206" o:spid="_x0000_s1026" o:spt="203" style="position:absolute;left:5670;top:10507;height:2131;width:2731;" coordorigin="5670,10507" coordsize="2731,2131" o:gfxdata="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d8FAjvwAAAN0AAAAPAAAAAAAAAAEAIAAAACIAAABkcnMvZG93bnJldi54&#10;bWxQSwECFAAUAAAACACHTuJAMy8FnjsAAAA5AAAAFQAAAAAAAAABACAAAAAOAQAAZHJzL2dyb3Vw&#10;c2hhcGV4bWwueG1sUEsFBgAAAAAGAAYAYAEAAMsDAAAAAA==&#10;">
                  <o:lock v:ext="edit" aspectratio="f"/>
                  <v:shape id="文本框 2623" o:spid="_x0000_s1026" o:spt="202" type="#_x0000_t202" style="position:absolute;left:5670;top:10507;height:494;width:2656;" fillcolor="#FFFFFF" filled="t" stroked="t" coordsize="21600,21600" o:gfxdata="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PRMC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50EC2BEE">
                          <w:pPr>
                            <w:pStyle w:val="19"/>
                          </w:pPr>
                          <w:r>
                            <w:rPr>
                              <w:rFonts w:hint="eastAsia"/>
                            </w:rPr>
                            <w:t>摊铺稀浆封层</w:t>
                          </w:r>
                        </w:p>
                      </w:txbxContent>
                    </v:textbox>
                  </v:shape>
                  <v:shape id="自选图形 2624" o:spid="_x0000_s1026" o:spt="32" type="#_x0000_t32" style="position:absolute;left:6997;top:11001;flip:x;height:340;width:2;" filled="f" stroked="t" coordsize="21600,21600" o:gfxdata="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q8W0+/&#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shape id="文本框 2625" o:spid="_x0000_s1026" o:spt="202" type="#_x0000_t202" style="position:absolute;left:5718;top:11347;height:493;width:2656;" fillcolor="#FFFFFF" filled="t" stroked="t" coordsize="21600,21600" o:gfxdata="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UcdSm2AAAA3AAAAA8A&#10;AAAAAAAAAQAgAAAAIgAAAGRycy9kb3ducmV2LnhtbFBLAQIUABQAAAAIAIdO4kAzLwWeOwAAADkA&#10;AAAQAAAAAAAAAAEAIAAAAAUBAABkcnMvc2hhcGV4bWwueG1sUEsFBgAAAAAGAAYAWwEAAK8DAAAA&#10;AA==&#10;">
                    <v:fill on="t" focussize="0,0"/>
                    <v:stroke weight="2.25pt" color="#2A33EC" joinstyle="miter"/>
                    <v:imagedata o:title=""/>
                    <o:lock v:ext="edit" aspectratio="f"/>
                    <v:textbox>
                      <w:txbxContent>
                        <w:p w14:paraId="2914A359">
                          <w:pPr>
                            <w:pStyle w:val="19"/>
                          </w:pPr>
                          <w:r>
                            <w:rPr>
                              <w:rFonts w:hint="eastAsia"/>
                            </w:rPr>
                            <w:t>碾压</w:t>
                          </w:r>
                        </w:p>
                      </w:txbxContent>
                    </v:textbox>
                  </v:shape>
                  <v:shape id="自选图形 2626" o:spid="_x0000_s1026" o:spt="32" type="#_x0000_t32" style="position:absolute;left:7044;top:11840;flip:x;height:341;width:1;" filled="f" stroked="t" coordsize="21600,21600" o:gfxdata="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G9qpr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shape id="文本框 2627" o:spid="_x0000_s1026" o:spt="202" type="#_x0000_t202" style="position:absolute;left:5744;top:12144;height:494;width:2657;" fillcolor="#FFFFFF" filled="t" stroked="t" coordsize="21600,21600" o:gfxdata="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UGs5K2AAAA3AAAAA8A&#10;AAAAAAAAAQAgAAAAIgAAAGRycy9kb3ducmV2LnhtbFBLAQIUABQAAAAIAIdO4kAzLwWeOwAAADkA&#10;AAAQAAAAAAAAAAEAIAAAAAUBAABkcnMvc2hhcGV4bWwueG1sUEsFBgAAAAAGAAYAWwEAAK8DAAAA&#10;AA==&#10;">
                    <v:fill on="t" focussize="0,0"/>
                    <v:stroke weight="2.25pt" color="#2A33EC" joinstyle="miter"/>
                    <v:imagedata o:title=""/>
                    <o:lock v:ext="edit" aspectratio="f"/>
                    <v:textbox>
                      <w:txbxContent>
                        <w:p w14:paraId="2780FF65">
                          <w:pPr>
                            <w:pStyle w:val="19"/>
                          </w:pPr>
                          <w:r>
                            <w:rPr>
                              <w:rFonts w:hint="eastAsia"/>
                            </w:rPr>
                            <w:t>缺陷修整</w:t>
                          </w:r>
                        </w:p>
                      </w:txbxContent>
                    </v:textbox>
                  </v:shape>
                </v:group>
                <v:group id="组合 1212" o:spid="_x0000_s1026" o:spt="203" style="position:absolute;left:5623;top:8103;height:2131;width:2730;" coordorigin="5623,8103" coordsize="2730,2131" o:gfxdata="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tIs5UvwAAAN0AAAAPAAAAAAAAAAEAIAAAACIAAABkcnMvZG93bnJldi54&#10;bWxQSwECFAAUAAAACACHTuJAMy8FnjsAAAA5AAAAFQAAAAAAAAABACAAAAAOAQAAZHJzL2dyb3Vw&#10;c2hhcGV4bWwueG1sUEsFBgAAAAAGAAYAYAEAAMsDAAAAAA==&#10;">
                  <o:lock v:ext="edit" aspectratio="f"/>
                  <v:shape id="文本框 2616" o:spid="_x0000_s1026" o:spt="202" type="#_x0000_t202" style="position:absolute;left:5623;top:8103;height:494;width:2657;" fillcolor="#FFFFFF" filled="t" stroked="t" coordsize="21600,21600" o:gfxdata="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qYiH65AAAA3AAA&#10;AA8AAAAAAAAAAQAgAAAAIgAAAGRycy9kb3ducmV2LnhtbFBLAQIUABQAAAAIAIdO4kAzLwWeOwAA&#10;ADkAAAAQAAAAAAAAAAEAIAAAAAgBAABkcnMvc2hhcGV4bWwueG1sUEsFBgAAAAAGAAYAWwEAALID&#10;AAAAAA==&#10;">
                    <v:fill on="t" focussize="0,0"/>
                    <v:stroke weight="2.25pt" color="#2A33EC" joinstyle="miter"/>
                    <v:imagedata o:title=""/>
                    <o:lock v:ext="edit" aspectratio="f"/>
                    <v:textbox>
                      <w:txbxContent>
                        <w:p w14:paraId="4114A8DD">
                          <w:pPr>
                            <w:pStyle w:val="19"/>
                          </w:pPr>
                          <w:r>
                            <w:rPr>
                              <w:rFonts w:hint="eastAsia"/>
                            </w:rPr>
                            <w:t>稀浆封层车准备</w:t>
                          </w:r>
                        </w:p>
                      </w:txbxContent>
                    </v:textbox>
                  </v:shape>
                  <v:shape id="自选图形 2617" o:spid="_x0000_s1026" o:spt="32" type="#_x0000_t32" style="position:absolute;left:6950;top:8597;flip:x;height:340;width:2;" filled="f" stroked="t" coordsize="21600,21600" o:gfxdata="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65fxvQAA&#10;ANwAAAAPAAAAAAAAAAEAIAAAACIAAABkcnMvZG93bnJldi54bWxQSwECFAAUAAAACACHTuJAMy8F&#10;njsAAAA5AAAAEAAAAAAAAAABACAAAAAMAQAAZHJzL3NoYXBleG1sLnhtbFBLBQYAAAAABgAGAFsB&#10;AAC2AwAAAAA=&#10;">
                    <v:fill on="f" focussize="0,0"/>
                    <v:stroke weight="2.25pt" color="#2A33EC" joinstyle="round" endarrow="block"/>
                    <v:imagedata o:title=""/>
                    <o:lock v:ext="edit" aspectratio="f"/>
                  </v:shape>
                  <v:shape id="文本框 2618" o:spid="_x0000_s1026" o:spt="202" type="#_x0000_t202" style="position:absolute;left:5671;top:8943;height:494;width:2657;" fillcolor="#FFFFFF" filled="t" stroked="t" coordsize="21600,21600" o:gfxdata="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PbWR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4FDFBEB4">
                          <w:pPr>
                            <w:pStyle w:val="19"/>
                          </w:pPr>
                          <w:r>
                            <w:rPr>
                              <w:rFonts w:hint="eastAsia"/>
                            </w:rPr>
                            <w:t>系统检测、调式</w:t>
                          </w:r>
                        </w:p>
                      </w:txbxContent>
                    </v:textbox>
                  </v:shape>
                  <v:shape id="自选图形 2619" o:spid="_x0000_s1026" o:spt="32" type="#_x0000_t32" style="position:absolute;left:6997;top:9437;flip:x;height:340;width:2;" filled="f" stroked="t" coordsize="21600,21600" o:gfxdata="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06qHr4A&#10;AADcAAAADwAAAAAAAAABACAAAAAiAAAAZHJzL2Rvd25yZXYueG1sUEsBAhQAFAAAAAgAh07iQDMv&#10;BZ47AAAAOQAAABAAAAAAAAAAAQAgAAAADQEAAGRycy9zaGFwZXhtbC54bWxQSwUGAAAAAAYABgBb&#10;AQAAtwMAAAAA&#10;">
                    <v:fill on="f" focussize="0,0"/>
                    <v:stroke weight="2.25pt" color="#2A33EC" joinstyle="round" endarrow="block"/>
                    <v:imagedata o:title=""/>
                    <o:lock v:ext="edit" aspectratio="f"/>
                  </v:shape>
                  <v:shape id="文本框 2620" o:spid="_x0000_s1026" o:spt="202" type="#_x0000_t202" style="position:absolute;left:5697;top:9740;height:494;width:2656;" fillcolor="#FFFFFF" filled="t" stroked="t" coordsize="21600,21600" o:gfxdata="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o459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0903DF4A">
                          <w:pPr>
                            <w:pStyle w:val="19"/>
                          </w:pPr>
                          <w:r>
                            <w:rPr>
                              <w:rFonts w:hint="eastAsia"/>
                            </w:rPr>
                            <w:t>乳化沥青、集料装车</w:t>
                          </w:r>
                        </w:p>
                      </w:txbxContent>
                    </v:textbox>
                  </v:shape>
                </v:group>
                <v:shape id="自选图形 2613" o:spid="_x0000_s1026" o:spt="32" type="#_x0000_t32" style="position:absolute;left:4942;top:10005;height:2;width:739;" filled="f" stroked="t" coordsize="21600,21600" o:gfxdata="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K70o25AAAA3AAA&#10;AA8AAAAAAAAAAQAgAAAAIgAAAGRycy9kb3ducmV2LnhtbFBLAQIUABQAAAAIAIdO4kAzLwWeOwAA&#10;ADkAAAAQAAAAAAAAAAEAIAAAAAgBAABkcnMvc2hhcGV4bWwueG1sUEsFBgAAAAAGAAYAWwEAALID&#10;AAAAAA==&#10;">
                  <v:fill on="f" focussize="0,0"/>
                  <v:stroke weight="2.25pt" color="#2A33EC" joinstyle="round" endarrow="block"/>
                  <v:imagedata o:title=""/>
                  <o:lock v:ext="edit" aspectratio="f"/>
                </v:shape>
                <v:group id="组合 1219" o:spid="_x0000_s1026" o:spt="203" style="position:absolute;left:2211;top:8121;height:2131;width:2730;" coordorigin="2211,8121" coordsize="2730,2131" o:gfxdata="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IJua8/BAAAA3QAAAA8AAAAAAAAAAQAgAAAAIgAAAGRycy9kb3ducmV2&#10;LnhtbFBLAQIUABQAAAAIAIdO4kAzLwWeOwAAADkAAAAVAAAAAAAAAAEAIAAAABABAABkcnMvZ3Jv&#10;dXBzaGFwZXhtbC54bWxQSwUGAAAAAAYABgBgAQAAzQMAAAAA&#10;">
                  <o:lock v:ext="edit" aspectratio="f"/>
                  <v:shape id="文本框 2608" o:spid="_x0000_s1026" o:spt="202" type="#_x0000_t202" style="position:absolute;left:2211;top:8121;height:494;width:2656;" fillcolor="#FFFFFF" filled="t" stroked="t" coordsize="21600,21600" o:gfxdata="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PBoP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061A18BC">
                          <w:pPr>
                            <w:pStyle w:val="19"/>
                          </w:pPr>
                          <w:r>
                            <w:rPr>
                              <w:rFonts w:hint="eastAsia"/>
                            </w:rPr>
                            <w:t>乳化沥青、集料准备</w:t>
                          </w:r>
                        </w:p>
                      </w:txbxContent>
                    </v:textbox>
                  </v:shape>
                  <v:shape id="自选图形 2609" o:spid="_x0000_s1026" o:spt="32" type="#_x0000_t32" style="position:absolute;left:3538;top:8615;flip:x;height:340;width:2;" filled="f" stroked="t" coordsize="21600,21600" o:gfxdata="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CfW7sAAADc&#10;AAAADwAAAAAAAAABACAAAAAiAAAAZHJzL2Rvd25yZXYueG1sUEsBAhQAFAAAAAgAh07iQDMvBZ47&#10;AAAAOQAAABAAAAAAAAAAAQAgAAAACgEAAGRycy9zaGFwZXhtbC54bWxQSwUGAAAAAAYABgBbAQAA&#10;tAMAAAAA&#10;">
                    <v:fill on="f" focussize="0,0"/>
                    <v:stroke weight="2.25pt" color="#2A33EC" joinstyle="round" endarrow="block"/>
                    <v:imagedata o:title=""/>
                    <o:lock v:ext="edit" aspectratio="f"/>
                  </v:shape>
                  <v:shape id="文本框 2610" o:spid="_x0000_s1026" o:spt="202" type="#_x0000_t202" style="position:absolute;left:2259;top:8961;height:494;width:2656;" fillcolor="#FFFFFF" filled="t" stroked="t" coordsize="21600,21600" o:gfxdata="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k4DU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409B7350">
                          <w:pPr>
                            <w:pStyle w:val="19"/>
                          </w:pPr>
                          <w:r>
                            <w:rPr>
                              <w:rFonts w:hint="eastAsia"/>
                            </w:rPr>
                            <w:t>指标检测、配合比设计</w:t>
                          </w:r>
                        </w:p>
                      </w:txbxContent>
                    </v:textbox>
                  </v:shape>
                  <v:shape id="自选图形 2611" o:spid="_x0000_s1026" o:spt="32" type="#_x0000_t32" style="position:absolute;left:3585;top:9455;flip:x;height:340;width:1;" filled="f" stroked="t" coordsize="21600,21600" o:gfxdata="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pLe/&#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shape id="文本框 2612" o:spid="_x0000_s1026" o:spt="202" type="#_x0000_t202" style="position:absolute;left:2285;top:9758;height:494;width:2656;" fillcolor="#FFFFFF" filled="t" stroked="t" coordsize="21600,21600" o:gfxdata="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Dbs4vQAA&#10;ANwAAAAPAAAAAAAAAAEAIAAAACIAAABkcnMvZG93bnJldi54bWxQSwECFAAUAAAACACHTuJAMy8F&#10;njsAAAA5AAAAEAAAAAAAAAABACAAAAAMAQAAZHJzL3NoYXBleG1sLnhtbFBLBQYAAAAABgAGAFsB&#10;AAC2AwAAAAA=&#10;">
                    <v:fill on="t" focussize="0,0"/>
                    <v:stroke weight="2.25pt" color="#2A33EC" joinstyle="miter"/>
                    <v:imagedata o:title=""/>
                    <o:lock v:ext="edit" aspectratio="f"/>
                    <v:textbox>
                      <w:txbxContent>
                        <w:p w14:paraId="2A35CF90">
                          <w:pPr>
                            <w:pStyle w:val="19"/>
                          </w:pPr>
                          <w:r>
                            <w:rPr>
                              <w:rFonts w:hint="eastAsia"/>
                            </w:rPr>
                            <w:t>监理工程师审批</w:t>
                          </w:r>
                        </w:p>
                      </w:txbxContent>
                    </v:textbox>
                  </v:shape>
                </v:group>
                <v:shape id="自选图形 2621" o:spid="_x0000_s1026" o:spt="32" type="#_x0000_t32" style="position:absolute;left:7010;top:10234;flip:x;height:340;width:2;" filled="f" stroked="t" coordsize="21600,21600" o:gfxdata="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XPMO/&#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shape id="自选图形 2634" o:spid="_x0000_s1026" o:spt="32" type="#_x0000_t32" style="position:absolute;left:7057;top:12660;flip:x;height:340;width:2;" filled="f" stroked="t" coordsize="21600,21600" o:gfxdata="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5ForS/&#10;AAAA3AAAAA8AAAAAAAAAAQAgAAAAIgAAAGRycy9kb3ducmV2LnhtbFBLAQIUABQAAAAIAIdO4kAz&#10;LwWeOwAAADkAAAAQAAAAAAAAAAEAIAAAAA4BAABkcnMvc2hhcGV4bWwueG1sUEsFBgAAAAAGAAYA&#10;WwEAALgDAAAAAA==&#10;">
                  <v:fill on="f" focussize="0,0"/>
                  <v:stroke weight="2.25pt" color="#2A33EC" joinstyle="round" endarrow="block"/>
                  <v:imagedata o:title=""/>
                  <o:lock v:ext="edit" aspectratio="f"/>
                </v:shape>
                <v:group id="组合 1227" o:spid="_x0000_s1026" o:spt="203" style="position:absolute;left:5717;top:12976;height:2131;width:2731;" coordorigin="5717,12976" coordsize="2731,2131" o:gfxdata="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8/H/vb0AAADdAAAADwAAAAAAAAABACAAAAAiAAAAZHJzL2Rvd25yZXYueG1s&#10;UEsBAhQAFAAAAAgAh07iQDMvBZ47AAAAOQAAABUAAAAAAAAAAQAgAAAADAEAAGRycy9ncm91cHNo&#10;YXBleG1sLnhtbFBLBQYAAAAABgAGAGABAADJAwAAAAA=&#10;">
                  <o:lock v:ext="edit" aspectratio="f"/>
                  <v:shape id="文本框 2629" o:spid="_x0000_s1026" o:spt="202" type="#_x0000_t202" style="position:absolute;left:5717;top:12976;height:494;width:2656;" fillcolor="#FFFFFF" filled="t" stroked="t" coordsize="21600,21600" o:gfxdata="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82vTu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6535D9AF">
                          <w:pPr>
                            <w:pStyle w:val="19"/>
                          </w:pPr>
                          <w:r>
                            <w:rPr>
                              <w:rFonts w:hint="eastAsia"/>
                            </w:rPr>
                            <w:t>稀浆封层养护</w:t>
                          </w:r>
                        </w:p>
                      </w:txbxContent>
                    </v:textbox>
                  </v:shape>
                  <v:shape id="自选图形 2630" o:spid="_x0000_s1026" o:spt="32" type="#_x0000_t32" style="position:absolute;left:7045;top:13470;flip:x;height:340;width:1;" filled="f" stroked="t" coordsize="21600,21600" o:gfxdata="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JaTXbsAAADc&#10;AAAADwAAAAAAAAABACAAAAAiAAAAZHJzL2Rvd25yZXYueG1sUEsBAhQAFAAAAAgAh07iQDMvBZ47&#10;AAAAOQAAABAAAAAAAAAAAQAgAAAACgEAAGRycy9zaGFwZXhtbC54bWxQSwUGAAAAAAYABgBbAQAA&#10;tAMAAAAA&#10;">
                    <v:fill on="f" focussize="0,0"/>
                    <v:stroke weight="2.25pt" color="#2A33EC" joinstyle="round" endarrow="block"/>
                    <v:imagedata o:title=""/>
                    <o:lock v:ext="edit" aspectratio="f"/>
                  </v:shape>
                  <v:shape id="文本框 2631" o:spid="_x0000_s1026" o:spt="202" type="#_x0000_t202" style="position:absolute;left:5765;top:13816;height:494;width:2657;" fillcolor="#FFFFFF" filled="t" stroked="t" coordsize="21600,21600" o:gfxdata="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eWM0rsAAADc&#10;AAAADwAAAAAAAAABACAAAAAiAAAAZHJzL2Rvd25yZXYueG1sUEsBAhQAFAAAAAgAh07iQDMvBZ47&#10;AAAAOQAAABAAAAAAAAAAAQAgAAAACgEAAGRycy9zaGFwZXhtbC54bWxQSwUGAAAAAAYABgBbAQAA&#10;tAMAAAAA&#10;">
                    <v:fill on="t" focussize="0,0"/>
                    <v:stroke weight="2.25pt" color="#2A33EC" joinstyle="miter"/>
                    <v:imagedata o:title=""/>
                    <o:lock v:ext="edit" aspectratio="f"/>
                    <v:textbox>
                      <w:txbxContent>
                        <w:p w14:paraId="67D56AB3">
                          <w:pPr>
                            <w:pStyle w:val="19"/>
                          </w:pPr>
                          <w:r>
                            <w:rPr>
                              <w:rFonts w:hint="eastAsia"/>
                            </w:rPr>
                            <w:t>稀浆封层检测</w:t>
                          </w:r>
                        </w:p>
                      </w:txbxContent>
                    </v:textbox>
                  </v:shape>
                  <v:shape id="自选图形 2632" o:spid="_x0000_s1026" o:spt="32" type="#_x0000_t32" style="position:absolute;left:7092;top:14310;flip:x;height:340;width:1;" filled="f" stroked="t" coordsize="21600,21600" o:gfxdata="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zXvfLsAAADc&#10;AAAADwAAAAAAAAABACAAAAAiAAAAZHJzL2Rvd25yZXYueG1sUEsBAhQAFAAAAAgAh07iQDMvBZ47&#10;AAAAOQAAABAAAAAAAAAAAQAgAAAACgEAAGRycy9zaGFwZXhtbC54bWxQSwUGAAAAAAYABgBbAQAA&#10;tAMAAAAA&#10;">
                    <v:fill on="f" focussize="0,0"/>
                    <v:stroke weight="2.25pt" color="#2A33EC" joinstyle="round" endarrow="block"/>
                    <v:imagedata o:title=""/>
                    <o:lock v:ext="edit" aspectratio="f"/>
                  </v:shape>
                  <v:shape id="文本框 2633" o:spid="_x0000_s1026" o:spt="202" type="#_x0000_t202" style="position:absolute;left:5791;top:14613;height:494;width:2657;" fillcolor="#FFFFFF" filled="t" stroked="t" coordsize="21600,21600" o:gfxdata="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G8PO8AAAA&#10;3AAAAA8AAAAAAAAAAQAgAAAAIgAAAGRycy9kb3ducmV2LnhtbFBLAQIUABQAAAAIAIdO4kAzLwWe&#10;OwAAADkAAAAQAAAAAAAAAAEAIAAAAAsBAABkcnMvc2hhcGV4bWwueG1sUEsFBgAAAAAGAAYAWwEA&#10;ALUDAAAAAA==&#10;">
                    <v:fill on="t" focussize="0,0"/>
                    <v:stroke weight="2.25pt" color="#2A33EC" joinstyle="miter"/>
                    <v:imagedata o:title=""/>
                    <o:lock v:ext="edit" aspectratio="f"/>
                    <v:textbox>
                      <w:txbxContent>
                        <w:p w14:paraId="4DCD7512">
                          <w:pPr>
                            <w:pStyle w:val="19"/>
                          </w:pPr>
                          <w:r>
                            <w:rPr>
                              <w:rFonts w:hint="eastAsia"/>
                            </w:rPr>
                            <w:t>下道工序施工</w:t>
                          </w:r>
                        </w:p>
                      </w:txbxContent>
                    </v:textbox>
                  </v:shape>
                </v:group>
              </v:group>
            </w:pict>
          </mc:Fallback>
        </mc:AlternateContent>
      </w:r>
    </w:p>
    <w:p w14:paraId="2475FF77">
      <w:pPr>
        <w:pStyle w:val="57"/>
        <w:rPr>
          <w:rFonts w:hint="eastAsia" w:ascii="宋体" w:hAnsi="宋体" w:eastAsia="宋体" w:cs="宋体"/>
          <w:highlight w:val="yellow"/>
        </w:rPr>
      </w:pPr>
      <w:r>
        <w:rPr>
          <w:rFonts w:hint="eastAsia" w:ascii="宋体" w:hAnsi="宋体" w:eastAsia="宋体" w:cs="宋体"/>
          <w:highlight w:val="yellow"/>
        </w:rPr>
        <mc:AlternateContent>
          <mc:Choice Requires="wpg">
            <w:drawing>
              <wp:anchor distT="0" distB="0" distL="114300" distR="114300" simplePos="0" relativeHeight="251730944" behindDoc="0" locked="0" layoutInCell="1" allowOverlap="1">
                <wp:simplePos x="0" y="0"/>
                <wp:positionH relativeFrom="column">
                  <wp:posOffset>1022985</wp:posOffset>
                </wp:positionH>
                <wp:positionV relativeFrom="paragraph">
                  <wp:posOffset>-11430</wp:posOffset>
                </wp:positionV>
                <wp:extent cx="3599815" cy="3583940"/>
                <wp:effectExtent l="5080" t="4445" r="6985" b="8255"/>
                <wp:wrapNone/>
                <wp:docPr id="2289" name="组合 652"/>
                <wp:cNvGraphicFramePr/>
                <a:graphic xmlns:a="http://schemas.openxmlformats.org/drawingml/2006/main">
                  <a:graphicData uri="http://schemas.microsoft.com/office/word/2010/wordprocessingGroup">
                    <wpg:wgp>
                      <wpg:cNvGrpSpPr/>
                      <wpg:grpSpPr>
                        <a:xfrm>
                          <a:off x="0" y="0"/>
                          <a:ext cx="3599815" cy="3583940"/>
                          <a:chOff x="2211" y="8103"/>
                          <a:chExt cx="6237" cy="7004"/>
                        </a:xfrm>
                      </wpg:grpSpPr>
                      <wpg:grpSp>
                        <wpg:cNvPr id="2290" name="组合 1206"/>
                        <wpg:cNvGrpSpPr/>
                        <wpg:grpSpPr>
                          <a:xfrm>
                            <a:off x="5670" y="10507"/>
                            <a:ext cx="2731" cy="2131"/>
                            <a:chOff x="5670" y="10507"/>
                            <a:chExt cx="2731" cy="2131"/>
                          </a:xfrm>
                        </wpg:grpSpPr>
                        <wps:wsp>
                          <wps:cNvPr id="636" name="文本框 2623"/>
                          <wps:cNvSpPr txBox="1"/>
                          <wps:spPr>
                            <a:xfrm>
                              <a:off x="5670" y="10507"/>
                              <a:ext cx="265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DF0C20B">
                                <w:pPr>
                                  <w:pStyle w:val="19"/>
                                </w:pPr>
                                <w:r>
                                  <w:rPr>
                                    <w:rFonts w:hint="eastAsia"/>
                                  </w:rPr>
                                  <w:t>摊铺稀浆封层</w:t>
                                </w:r>
                              </w:p>
                            </w:txbxContent>
                          </wps:txbx>
                          <wps:bodyPr upright="1"/>
                        </wps:wsp>
                        <wps:wsp>
                          <wps:cNvPr id="637" name="自选图形 2624"/>
                          <wps:cNvCnPr/>
                          <wps:spPr>
                            <a:xfrm flipH="1">
                              <a:off x="6997" y="11001"/>
                              <a:ext cx="2" cy="340"/>
                            </a:xfrm>
                            <a:prstGeom prst="straightConnector1">
                              <a:avLst/>
                            </a:prstGeom>
                            <a:ln w="3175" cap="flat" cmpd="sng">
                              <a:solidFill>
                                <a:srgbClr val="000000"/>
                              </a:solidFill>
                              <a:prstDash val="solid"/>
                              <a:headEnd type="none" w="med" len="med"/>
                              <a:tailEnd type="triangle" w="med" len="med"/>
                            </a:ln>
                          </wps:spPr>
                          <wps:bodyPr/>
                        </wps:wsp>
                        <wps:wsp>
                          <wps:cNvPr id="638" name="文本框 2625"/>
                          <wps:cNvSpPr txBox="1"/>
                          <wps:spPr>
                            <a:xfrm>
                              <a:off x="5718" y="11347"/>
                              <a:ext cx="2656" cy="49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3B0F69E">
                                <w:pPr>
                                  <w:pStyle w:val="19"/>
                                </w:pPr>
                                <w:r>
                                  <w:rPr>
                                    <w:rFonts w:hint="eastAsia"/>
                                  </w:rPr>
                                  <w:t>碾压</w:t>
                                </w:r>
                              </w:p>
                            </w:txbxContent>
                          </wps:txbx>
                          <wps:bodyPr upright="1"/>
                        </wps:wsp>
                        <wps:wsp>
                          <wps:cNvPr id="639" name="自选图形 2626"/>
                          <wps:cNvCnPr/>
                          <wps:spPr>
                            <a:xfrm flipH="1">
                              <a:off x="7044" y="11840"/>
                              <a:ext cx="1" cy="341"/>
                            </a:xfrm>
                            <a:prstGeom prst="straightConnector1">
                              <a:avLst/>
                            </a:prstGeom>
                            <a:ln w="3175" cap="flat" cmpd="sng">
                              <a:solidFill>
                                <a:srgbClr val="000000"/>
                              </a:solidFill>
                              <a:prstDash val="solid"/>
                              <a:headEnd type="none" w="med" len="med"/>
                              <a:tailEnd type="triangle" w="med" len="med"/>
                            </a:ln>
                          </wps:spPr>
                          <wps:bodyPr/>
                        </wps:wsp>
                        <wps:wsp>
                          <wps:cNvPr id="640" name="文本框 2627"/>
                          <wps:cNvSpPr txBox="1"/>
                          <wps:spPr>
                            <a:xfrm>
                              <a:off x="5744" y="12144"/>
                              <a:ext cx="265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B5C4514">
                                <w:pPr>
                                  <w:pStyle w:val="19"/>
                                </w:pPr>
                                <w:r>
                                  <w:rPr>
                                    <w:rFonts w:hint="eastAsia"/>
                                  </w:rPr>
                                  <w:t>缺陷修整</w:t>
                                </w:r>
                              </w:p>
                            </w:txbxContent>
                          </wps:txbx>
                          <wps:bodyPr upright="1"/>
                        </wps:wsp>
                      </wpg:grpSp>
                      <wpg:grpSp>
                        <wpg:cNvPr id="2291" name="组合 1212"/>
                        <wpg:cNvGrpSpPr/>
                        <wpg:grpSpPr>
                          <a:xfrm>
                            <a:off x="5623" y="8103"/>
                            <a:ext cx="2730" cy="2131"/>
                            <a:chOff x="5623" y="8103"/>
                            <a:chExt cx="2730" cy="2131"/>
                          </a:xfrm>
                        </wpg:grpSpPr>
                        <wps:wsp>
                          <wps:cNvPr id="642" name="文本框 2616"/>
                          <wps:cNvSpPr txBox="1"/>
                          <wps:spPr>
                            <a:xfrm>
                              <a:off x="5623" y="8103"/>
                              <a:ext cx="265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40FAD39">
                                <w:pPr>
                                  <w:pStyle w:val="19"/>
                                </w:pPr>
                                <w:r>
                                  <w:rPr>
                                    <w:rFonts w:hint="eastAsia"/>
                                  </w:rPr>
                                  <w:t>稀浆封层车准备</w:t>
                                </w:r>
                              </w:p>
                            </w:txbxContent>
                          </wps:txbx>
                          <wps:bodyPr upright="1"/>
                        </wps:wsp>
                        <wps:wsp>
                          <wps:cNvPr id="643" name="自选图形 2617"/>
                          <wps:cNvCnPr/>
                          <wps:spPr>
                            <a:xfrm flipH="1">
                              <a:off x="6950" y="8597"/>
                              <a:ext cx="2" cy="340"/>
                            </a:xfrm>
                            <a:prstGeom prst="straightConnector1">
                              <a:avLst/>
                            </a:prstGeom>
                            <a:ln w="3175" cap="flat" cmpd="sng">
                              <a:solidFill>
                                <a:srgbClr val="000000"/>
                              </a:solidFill>
                              <a:prstDash val="solid"/>
                              <a:headEnd type="none" w="med" len="med"/>
                              <a:tailEnd type="triangle" w="med" len="med"/>
                            </a:ln>
                          </wps:spPr>
                          <wps:bodyPr/>
                        </wps:wsp>
                        <wps:wsp>
                          <wps:cNvPr id="644" name="文本框 2618"/>
                          <wps:cNvSpPr txBox="1"/>
                          <wps:spPr>
                            <a:xfrm>
                              <a:off x="5671" y="8943"/>
                              <a:ext cx="265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9B7FD5F">
                                <w:pPr>
                                  <w:pStyle w:val="19"/>
                                </w:pPr>
                                <w:r>
                                  <w:rPr>
                                    <w:rFonts w:hint="eastAsia"/>
                                  </w:rPr>
                                  <w:t>系统检测、调式</w:t>
                                </w:r>
                              </w:p>
                            </w:txbxContent>
                          </wps:txbx>
                          <wps:bodyPr upright="1"/>
                        </wps:wsp>
                        <wps:wsp>
                          <wps:cNvPr id="645" name="自选图形 2619"/>
                          <wps:cNvCnPr/>
                          <wps:spPr>
                            <a:xfrm flipH="1">
                              <a:off x="6997" y="9437"/>
                              <a:ext cx="2" cy="340"/>
                            </a:xfrm>
                            <a:prstGeom prst="straightConnector1">
                              <a:avLst/>
                            </a:prstGeom>
                            <a:ln w="3175" cap="flat" cmpd="sng">
                              <a:solidFill>
                                <a:srgbClr val="000000"/>
                              </a:solidFill>
                              <a:prstDash val="solid"/>
                              <a:headEnd type="none" w="med" len="med"/>
                              <a:tailEnd type="triangle" w="med" len="med"/>
                            </a:ln>
                          </wps:spPr>
                          <wps:bodyPr/>
                        </wps:wsp>
                        <wps:wsp>
                          <wps:cNvPr id="646" name="文本框 2620"/>
                          <wps:cNvSpPr txBox="1"/>
                          <wps:spPr>
                            <a:xfrm>
                              <a:off x="5697" y="9740"/>
                              <a:ext cx="265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6C2A2BC">
                                <w:pPr>
                                  <w:pStyle w:val="19"/>
                                </w:pPr>
                                <w:r>
                                  <w:rPr>
                                    <w:rFonts w:hint="eastAsia"/>
                                  </w:rPr>
                                  <w:t>乳化沥青、集料装车</w:t>
                                </w:r>
                              </w:p>
                            </w:txbxContent>
                          </wps:txbx>
                          <wps:bodyPr upright="1"/>
                        </wps:wsp>
                      </wpg:grpSp>
                      <wps:wsp>
                        <wps:cNvPr id="648" name="自选图形 2613"/>
                        <wps:cNvCnPr/>
                        <wps:spPr>
                          <a:xfrm>
                            <a:off x="4942" y="10005"/>
                            <a:ext cx="739" cy="2"/>
                          </a:xfrm>
                          <a:prstGeom prst="straightConnector1">
                            <a:avLst/>
                          </a:prstGeom>
                          <a:ln w="3175" cap="flat" cmpd="sng">
                            <a:solidFill>
                              <a:srgbClr val="000000"/>
                            </a:solidFill>
                            <a:prstDash val="solid"/>
                            <a:headEnd type="none" w="med" len="med"/>
                            <a:tailEnd type="triangle" w="med" len="med"/>
                          </a:ln>
                        </wps:spPr>
                        <wps:bodyPr/>
                      </wps:wsp>
                      <wpg:grpSp>
                        <wpg:cNvPr id="2292" name="组合 1219"/>
                        <wpg:cNvGrpSpPr/>
                        <wpg:grpSpPr>
                          <a:xfrm>
                            <a:off x="2211" y="8121"/>
                            <a:ext cx="2730" cy="2131"/>
                            <a:chOff x="2211" y="8121"/>
                            <a:chExt cx="2730" cy="2131"/>
                          </a:xfrm>
                        </wpg:grpSpPr>
                        <wps:wsp>
                          <wps:cNvPr id="649" name="文本框 2608"/>
                          <wps:cNvSpPr txBox="1"/>
                          <wps:spPr>
                            <a:xfrm>
                              <a:off x="2211" y="8121"/>
                              <a:ext cx="265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D2551C9">
                                <w:pPr>
                                  <w:pStyle w:val="19"/>
                                </w:pPr>
                                <w:r>
                                  <w:rPr>
                                    <w:rFonts w:hint="eastAsia"/>
                                  </w:rPr>
                                  <w:t>乳化沥青、集料准备</w:t>
                                </w:r>
                              </w:p>
                            </w:txbxContent>
                          </wps:txbx>
                          <wps:bodyPr upright="1"/>
                        </wps:wsp>
                        <wps:wsp>
                          <wps:cNvPr id="650" name="自选图形 2609"/>
                          <wps:cNvCnPr/>
                          <wps:spPr>
                            <a:xfrm flipH="1">
                              <a:off x="3538" y="8615"/>
                              <a:ext cx="2" cy="340"/>
                            </a:xfrm>
                            <a:prstGeom prst="straightConnector1">
                              <a:avLst/>
                            </a:prstGeom>
                            <a:ln w="3175" cap="flat" cmpd="sng">
                              <a:solidFill>
                                <a:srgbClr val="000000"/>
                              </a:solidFill>
                              <a:prstDash val="solid"/>
                              <a:headEnd type="none" w="med" len="med"/>
                              <a:tailEnd type="triangle" w="med" len="med"/>
                            </a:ln>
                          </wps:spPr>
                          <wps:bodyPr/>
                        </wps:wsp>
                        <wps:wsp>
                          <wps:cNvPr id="651" name="文本框 2610"/>
                          <wps:cNvSpPr txBox="1"/>
                          <wps:spPr>
                            <a:xfrm>
                              <a:off x="2259" y="8961"/>
                              <a:ext cx="265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1285B6D">
                                <w:pPr>
                                  <w:pStyle w:val="19"/>
                                </w:pPr>
                                <w:r>
                                  <w:rPr>
                                    <w:rFonts w:hint="eastAsia"/>
                                  </w:rPr>
                                  <w:t>指标检测、配合比设计</w:t>
                                </w:r>
                              </w:p>
                            </w:txbxContent>
                          </wps:txbx>
                          <wps:bodyPr upright="1"/>
                        </wps:wsp>
                        <wps:wsp>
                          <wps:cNvPr id="652" name="自选图形 2611"/>
                          <wps:cNvCnPr/>
                          <wps:spPr>
                            <a:xfrm flipH="1">
                              <a:off x="3585" y="9455"/>
                              <a:ext cx="1" cy="340"/>
                            </a:xfrm>
                            <a:prstGeom prst="straightConnector1">
                              <a:avLst/>
                            </a:prstGeom>
                            <a:ln w="3175" cap="flat" cmpd="sng">
                              <a:solidFill>
                                <a:srgbClr val="000000"/>
                              </a:solidFill>
                              <a:prstDash val="solid"/>
                              <a:headEnd type="none" w="med" len="med"/>
                              <a:tailEnd type="triangle" w="med" len="med"/>
                            </a:ln>
                          </wps:spPr>
                          <wps:bodyPr/>
                        </wps:wsp>
                        <wps:wsp>
                          <wps:cNvPr id="653" name="文本框 2612"/>
                          <wps:cNvSpPr txBox="1"/>
                          <wps:spPr>
                            <a:xfrm>
                              <a:off x="2285" y="9758"/>
                              <a:ext cx="265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EF6D477">
                                <w:pPr>
                                  <w:pStyle w:val="19"/>
                                </w:pPr>
                                <w:r>
                                  <w:rPr>
                                    <w:rFonts w:hint="eastAsia"/>
                                  </w:rPr>
                                  <w:t>监理工程师审批</w:t>
                                </w:r>
                              </w:p>
                            </w:txbxContent>
                          </wps:txbx>
                          <wps:bodyPr upright="1"/>
                        </wps:wsp>
                      </wpg:grpSp>
                      <wps:wsp>
                        <wps:cNvPr id="655" name="自选图形 2621"/>
                        <wps:cNvCnPr/>
                        <wps:spPr>
                          <a:xfrm flipH="1">
                            <a:off x="7010" y="10234"/>
                            <a:ext cx="2" cy="340"/>
                          </a:xfrm>
                          <a:prstGeom prst="straightConnector1">
                            <a:avLst/>
                          </a:prstGeom>
                          <a:ln w="3175" cap="flat" cmpd="sng">
                            <a:solidFill>
                              <a:srgbClr val="000000"/>
                            </a:solidFill>
                            <a:prstDash val="solid"/>
                            <a:headEnd type="none" w="med" len="med"/>
                            <a:tailEnd type="triangle" w="med" len="med"/>
                          </a:ln>
                        </wps:spPr>
                        <wps:bodyPr/>
                      </wps:wsp>
                      <wps:wsp>
                        <wps:cNvPr id="656" name="自选图形 2634"/>
                        <wps:cNvCnPr/>
                        <wps:spPr>
                          <a:xfrm flipH="1">
                            <a:off x="7057" y="12660"/>
                            <a:ext cx="2" cy="340"/>
                          </a:xfrm>
                          <a:prstGeom prst="straightConnector1">
                            <a:avLst/>
                          </a:prstGeom>
                          <a:ln w="3175" cap="flat" cmpd="sng">
                            <a:solidFill>
                              <a:srgbClr val="000000"/>
                            </a:solidFill>
                            <a:prstDash val="solid"/>
                            <a:headEnd type="none" w="med" len="med"/>
                            <a:tailEnd type="triangle" w="med" len="med"/>
                          </a:ln>
                        </wps:spPr>
                        <wps:bodyPr/>
                      </wps:wsp>
                      <wpg:grpSp>
                        <wpg:cNvPr id="2293" name="组合 1227"/>
                        <wpg:cNvGrpSpPr/>
                        <wpg:grpSpPr>
                          <a:xfrm>
                            <a:off x="5717" y="12976"/>
                            <a:ext cx="2731" cy="2131"/>
                            <a:chOff x="5717" y="12976"/>
                            <a:chExt cx="2731" cy="2131"/>
                          </a:xfrm>
                        </wpg:grpSpPr>
                        <wps:wsp>
                          <wps:cNvPr id="657" name="文本框 2629"/>
                          <wps:cNvSpPr txBox="1"/>
                          <wps:spPr>
                            <a:xfrm>
                              <a:off x="5717" y="12976"/>
                              <a:ext cx="2656"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23A65F3">
                                <w:pPr>
                                  <w:pStyle w:val="19"/>
                                </w:pPr>
                                <w:r>
                                  <w:rPr>
                                    <w:rFonts w:hint="eastAsia"/>
                                  </w:rPr>
                                  <w:t>稀浆封层养护</w:t>
                                </w:r>
                              </w:p>
                            </w:txbxContent>
                          </wps:txbx>
                          <wps:bodyPr upright="1"/>
                        </wps:wsp>
                        <wps:wsp>
                          <wps:cNvPr id="658" name="自选图形 2630"/>
                          <wps:cNvCnPr/>
                          <wps:spPr>
                            <a:xfrm flipH="1">
                              <a:off x="7045" y="13470"/>
                              <a:ext cx="1" cy="340"/>
                            </a:xfrm>
                            <a:prstGeom prst="straightConnector1">
                              <a:avLst/>
                            </a:prstGeom>
                            <a:ln w="3175" cap="flat" cmpd="sng">
                              <a:solidFill>
                                <a:srgbClr val="000000"/>
                              </a:solidFill>
                              <a:prstDash val="solid"/>
                              <a:headEnd type="none" w="med" len="med"/>
                              <a:tailEnd type="triangle" w="med" len="med"/>
                            </a:ln>
                          </wps:spPr>
                          <wps:bodyPr/>
                        </wps:wsp>
                        <wps:wsp>
                          <wps:cNvPr id="659" name="文本框 2631"/>
                          <wps:cNvSpPr txBox="1"/>
                          <wps:spPr>
                            <a:xfrm>
                              <a:off x="5765" y="13816"/>
                              <a:ext cx="265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55E8798">
                                <w:pPr>
                                  <w:pStyle w:val="19"/>
                                </w:pPr>
                                <w:r>
                                  <w:rPr>
                                    <w:rFonts w:hint="eastAsia"/>
                                  </w:rPr>
                                  <w:t>稀浆封层检测</w:t>
                                </w:r>
                              </w:p>
                            </w:txbxContent>
                          </wps:txbx>
                          <wps:bodyPr upright="1"/>
                        </wps:wsp>
                        <wps:wsp>
                          <wps:cNvPr id="660" name="自选图形 2632"/>
                          <wps:cNvCnPr/>
                          <wps:spPr>
                            <a:xfrm flipH="1">
                              <a:off x="7092" y="14310"/>
                              <a:ext cx="1" cy="340"/>
                            </a:xfrm>
                            <a:prstGeom prst="straightConnector1">
                              <a:avLst/>
                            </a:prstGeom>
                            <a:ln w="3175" cap="flat" cmpd="sng">
                              <a:solidFill>
                                <a:srgbClr val="000000"/>
                              </a:solidFill>
                              <a:prstDash val="solid"/>
                              <a:headEnd type="none" w="med" len="med"/>
                              <a:tailEnd type="triangle" w="med" len="med"/>
                            </a:ln>
                          </wps:spPr>
                          <wps:bodyPr/>
                        </wps:wsp>
                        <wps:wsp>
                          <wps:cNvPr id="661" name="文本框 2633"/>
                          <wps:cNvSpPr txBox="1"/>
                          <wps:spPr>
                            <a:xfrm>
                              <a:off x="5791" y="14613"/>
                              <a:ext cx="2657" cy="49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0462249">
                                <w:pPr>
                                  <w:pStyle w:val="19"/>
                                </w:pPr>
                                <w:r>
                                  <w:rPr>
                                    <w:rFonts w:hint="eastAsia"/>
                                  </w:rPr>
                                  <w:t>下道工序施工</w:t>
                                </w:r>
                              </w:p>
                            </w:txbxContent>
                          </wps:txbx>
                          <wps:bodyPr upright="1"/>
                        </wps:wsp>
                      </wpg:grpSp>
                    </wpg:wgp>
                  </a:graphicData>
                </a:graphic>
              </wp:anchor>
            </w:drawing>
          </mc:Choice>
          <mc:Fallback>
            <w:pict>
              <v:group id="组合 652" o:spid="_x0000_s1026" o:spt="203" style="position:absolute;left:0pt;margin-left:80.55pt;margin-top:-0.9pt;height:282.2pt;width:283.45pt;z-index:251730944;mso-width-relative:page;mso-height-relative:page;" coordorigin="2211,8103" coordsize="6237,7004" o:gfxdata="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">
                <o:lock v:ext="edit" aspectratio="f"/>
                <v:group id="组合 1206" o:spid="_x0000_s1026" o:spt="203" style="position:absolute;left:5670;top:10507;height:2131;width:2731;" coordorigin="5670,10507" coordsize="2731,2131" o:gfxdata="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IXmVmvAAAAN0AAAAPAAAAAAAAAAEAIAAAACIAAABkcnMvZG93bnJldi54bWxQ&#10;SwECFAAUAAAACACHTuJAMy8FnjsAAAA5AAAAFQAAAAAAAAABACAAAAALAQAAZHJzL2dyb3Vwc2hh&#10;cGV4bWwueG1sUEsFBgAAAAAGAAYAYAEAAMgDAAAAAA==&#10;">
                  <o:lock v:ext="edit" aspectratio="f"/>
                  <v:shape id="文本框 2623" o:spid="_x0000_s1026" o:spt="202" type="#_x0000_t202" style="position:absolute;left:5670;top:10507;height:494;width:2656;" fillcolor="#C6D9F1" filled="t" stroked="t" coordsize="21600,21600" o:gfxdata="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f1r1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6DF0C20B">
                          <w:pPr>
                            <w:pStyle w:val="19"/>
                          </w:pPr>
                          <w:r>
                            <w:rPr>
                              <w:rFonts w:hint="eastAsia"/>
                            </w:rPr>
                            <w:t>摊铺稀浆封层</w:t>
                          </w:r>
                        </w:p>
                      </w:txbxContent>
                    </v:textbox>
                  </v:shape>
                  <v:shape id="自选图形 2624" o:spid="_x0000_s1026" o:spt="32" type="#_x0000_t32" style="position:absolute;left:6997;top:11001;flip:x;height:340;width:2;" filled="f" stroked="t" coordsize="21600,21600" o:gfxdata="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JQf+/&#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shape>
                  <v:shape id="文本框 2625" o:spid="_x0000_s1026" o:spt="202" type="#_x0000_t202" style="position:absolute;left:5718;top:11347;height:493;width:2656;" fillcolor="#C6D9F1" filled="t" stroked="t" coordsize="21600,21600" o:gfxdata="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Llo8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53B0F69E">
                          <w:pPr>
                            <w:pStyle w:val="19"/>
                          </w:pPr>
                          <w:r>
                            <w:rPr>
                              <w:rFonts w:hint="eastAsia"/>
                            </w:rPr>
                            <w:t>碾压</w:t>
                          </w:r>
                        </w:p>
                      </w:txbxContent>
                    </v:textbox>
                  </v:shape>
                  <v:shape id="自选图形 2626" o:spid="_x0000_s1026" o:spt="32" type="#_x0000_t32" style="position:absolute;left:7044;top:11840;flip:x;height:341;width:1;" filled="f" stroked="t" coordsize="21600,21600" o:gfxdata="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mnAW&#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shape>
                  <v:shape id="文本框 2627" o:spid="_x0000_s1026" o:spt="202" type="#_x0000_t202" style="position:absolute;left:5744;top:12144;height:494;width:2657;" fillcolor="#C6D9F1" filled="t" stroked="t" coordsize="21600,21600" o:gfxdata="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XiVH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1B5C4514">
                          <w:pPr>
                            <w:pStyle w:val="19"/>
                          </w:pPr>
                          <w:r>
                            <w:rPr>
                              <w:rFonts w:hint="eastAsia"/>
                            </w:rPr>
                            <w:t>缺陷修整</w:t>
                          </w:r>
                        </w:p>
                      </w:txbxContent>
                    </v:textbox>
                  </v:shape>
                </v:group>
                <v:group id="组合 1212" o:spid="_x0000_s1026" o:spt="203" style="position:absolute;left:5623;top:8103;height:2131;width:2730;" coordorigin="5623,8103" coordsize="2730,2131" o:gfxdata="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nEsD9vwAAAN0AAAAPAAAAAAAAAAEAIAAAACIAAABkcnMvZG93bnJldi54&#10;bWxQSwECFAAUAAAACACHTuJAMy8FnjsAAAA5AAAAFQAAAAAAAAABACAAAAAOAQAAZHJzL2dyb3Vw&#10;c2hhcGV4bWwueG1sUEsFBgAAAAAGAAYAYAEAAMsDAAAAAA==&#10;">
                  <o:lock v:ext="edit" aspectratio="f"/>
                  <v:shape id="文本框 2616" o:spid="_x0000_s1026" o:spt="202" type="#_x0000_t202" style="position:absolute;left:5623;top:8103;height:494;width:2657;" fillcolor="#C6D9F1" filled="t" stroked="t" coordsize="21600,21600" o:gfxdata="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wB6r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340FAD39">
                          <w:pPr>
                            <w:pStyle w:val="19"/>
                          </w:pPr>
                          <w:r>
                            <w:rPr>
                              <w:rFonts w:hint="eastAsia"/>
                            </w:rPr>
                            <w:t>稀浆封层车准备</w:t>
                          </w:r>
                        </w:p>
                      </w:txbxContent>
                    </v:textbox>
                  </v:shape>
                  <v:shape id="自选图形 2617" o:spid="_x0000_s1026" o:spt="32" type="#_x0000_t32" style="position:absolute;left:6950;top:8597;flip:x;height:340;width:2;" filled="f" stroked="t" coordsize="21600,21600" o:gfxdata="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dDSB&#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shape>
                  <v:shape id="文本框 2618" o:spid="_x0000_s1026" o:spt="202" type="#_x0000_t202" style="position:absolute;left:5671;top:8943;height:494;width:2657;" fillcolor="#C6D9F1" filled="t" stroked="t" coordsize="21600,21600" o:gfxdata="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ZSNE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19B7FD5F">
                          <w:pPr>
                            <w:pStyle w:val="19"/>
                          </w:pPr>
                          <w:r>
                            <w:rPr>
                              <w:rFonts w:hint="eastAsia"/>
                            </w:rPr>
                            <w:t>系统检测、调式</w:t>
                          </w:r>
                        </w:p>
                      </w:txbxContent>
                    </v:textbox>
                  </v:shape>
                  <v:shape id="自选图形 2619" o:spid="_x0000_s1026" o:spt="32" type="#_x0000_t32" style="position:absolute;left:6997;top:9437;flip:x;height:340;width:2;" filled="f" stroked="t" coordsize="21600,21600" o:gfxdata="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0Qlu&#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shape>
                  <v:shape id="文本框 2620" o:spid="_x0000_s1026" o:spt="202" type="#_x0000_t202" style="position:absolute;left:5697;top:9740;height:494;width:2656;" fillcolor="#C6D9F1" filled="t" stroked="t" coordsize="21600,21600" o:gfxdata="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sYq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06C2A2BC">
                          <w:pPr>
                            <w:pStyle w:val="19"/>
                          </w:pPr>
                          <w:r>
                            <w:rPr>
                              <w:rFonts w:hint="eastAsia"/>
                            </w:rPr>
                            <w:t>乳化沥青、集料装车</w:t>
                          </w:r>
                        </w:p>
                      </w:txbxContent>
                    </v:textbox>
                  </v:shape>
                </v:group>
                <v:shape id="自选图形 2613" o:spid="_x0000_s1026" o:spt="32" type="#_x0000_t32" style="position:absolute;left:4942;top:10005;height:2;width:739;" filled="f" stroked="t" coordsize="21600,21600" o:gfxdata="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XKAWvrgAAADcAAAA&#10;DwAAAAAAAAABACAAAAAiAAAAZHJzL2Rvd25yZXYueG1sUEsBAhQAFAAAAAgAh07iQDMvBZ47AAAA&#10;OQAAABAAAAAAAAAAAQAgAAAABwEAAGRycy9zaGFwZXhtbC54bWxQSwUGAAAAAAYABgBbAQAAsQMA&#10;AAAA&#10;">
                  <v:fill on="f" focussize="0,0"/>
                  <v:stroke weight="0.25pt" color="#000000" joinstyle="round" endarrow="block"/>
                  <v:imagedata o:title=""/>
                  <o:lock v:ext="edit" aspectratio="f"/>
                </v:shape>
                <v:group id="组合 1219" o:spid="_x0000_s1026" o:spt="203" style="position:absolute;left:2211;top:8121;height:2131;width:2730;" coordorigin="2211,8121" coordsize="2730,2131" o:gfxdata="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XwF6KvwAAAN0AAAAPAAAAAAAAAAEAIAAAACIAAABkcnMvZG93bnJldi54&#10;bWxQSwECFAAUAAAACACHTuJAMy8FnjsAAAA5AAAAFQAAAAAAAAABACAAAAAOAQAAZHJzL2dyb3Vw&#10;c2hhcGV4bWwueG1sUEsFBgAAAAAGAAYAYAEAAMsDAAAAAA==&#10;">
                  <o:lock v:ext="edit" aspectratio="f"/>
                  <v:shape id="文本框 2608" o:spid="_x0000_s1026" o:spt="202" type="#_x0000_t202" style="position:absolute;left:2211;top:8121;height:494;width:2656;" fillcolor="#C6D9F1" filled="t" stroked="t" coordsize="21600,21600" o:gfxdata="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Iza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D2551C9">
                          <w:pPr>
                            <w:pStyle w:val="19"/>
                          </w:pPr>
                          <w:r>
                            <w:rPr>
                              <w:rFonts w:hint="eastAsia"/>
                            </w:rPr>
                            <w:t>乳化沥青、集料准备</w:t>
                          </w:r>
                        </w:p>
                      </w:txbxContent>
                    </v:textbox>
                  </v:shape>
                  <v:shape id="自选图形 2609" o:spid="_x0000_s1026" o:spt="32" type="#_x0000_t32" style="position:absolute;left:3538;top:8615;flip:x;height:340;width:2;" filled="f" stroked="t" coordsize="21600,21600" o:gfxdata="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B/PCu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文本框 2610" o:spid="_x0000_s1026" o:spt="202" type="#_x0000_t202" style="position:absolute;left:2259;top:8961;height:494;width:2656;" fillcolor="#C6D9F1" filled="t" stroked="t" coordsize="21600,21600" o:gfxdata="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8sWA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21285B6D">
                          <w:pPr>
                            <w:pStyle w:val="19"/>
                          </w:pPr>
                          <w:r>
                            <w:rPr>
                              <w:rFonts w:hint="eastAsia"/>
                            </w:rPr>
                            <w:t>指标检测、配合比设计</w:t>
                          </w:r>
                        </w:p>
                      </w:txbxContent>
                    </v:textbox>
                  </v:shape>
                  <v:shape id="自选图形 2611" o:spid="_x0000_s1026" o:spt="32" type="#_x0000_t32" style="position:absolute;left:3585;top:9455;flip:x;height:340;width:1;" filled="f" stroked="t" coordsize="21600,21600" o:gfxdata="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EHx7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文本框 2612" o:spid="_x0000_s1026" o:spt="202" type="#_x0000_t202" style="position:absolute;left:2285;top:9758;height:494;width:2656;" fillcolor="#C6D9F1" filled="t" stroked="t" coordsize="21600,21600" o:gfxdata="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VLe2/&#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4EF6D477">
                          <w:pPr>
                            <w:pStyle w:val="19"/>
                          </w:pPr>
                          <w:r>
                            <w:rPr>
                              <w:rFonts w:hint="eastAsia"/>
                            </w:rPr>
                            <w:t>监理工程师审批</w:t>
                          </w:r>
                        </w:p>
                      </w:txbxContent>
                    </v:textbox>
                  </v:shape>
                </v:group>
                <v:shape id="自选图形 2621" o:spid="_x0000_s1026" o:spt="32" type="#_x0000_t32" style="position:absolute;left:7010;top:10234;flip:x;height:340;width:2;" filled="f" stroked="t" coordsize="21600,21600" o:gfxdata="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CJ+z&#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shape>
                <v:shape id="自选图形 2634" o:spid="_x0000_s1026" o:spt="32" type="#_x0000_t32" style="position:absolute;left:7057;top:12660;flip:x;height:340;width:2;" filled="f" stroked="t" coordsize="21600,21600" o:gfxdata="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aAcS/&#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shape>
                <v:group id="组合 1227" o:spid="_x0000_s1026" o:spt="203" style="position:absolute;left:5717;top:12976;height:2131;width:2731;" coordorigin="5717,12976" coordsize="2731,2131" o:gfxdata="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4jPsRvwAAAN0AAAAPAAAAAAAAAAEAIAAAACIAAABkcnMvZG93bnJldi54&#10;bWxQSwECFAAUAAAACACHTuJAMy8FnjsAAAA5AAAAFQAAAAAAAAABACAAAAAOAQAAZHJzL2dyb3Vw&#10;c2hhcGV4bWwueG1sUEsFBgAAAAAGAAYAYAEAAMsDAAAAAA==&#10;">
                  <o:lock v:ext="edit" aspectratio="f"/>
                  <v:shape id="文本框 2629" o:spid="_x0000_s1026" o:spt="202" type="#_x0000_t202" style="position:absolute;left:5717;top:12976;height:494;width:2656;" fillcolor="#C6D9F1" filled="t" stroked="t" coordsize="21600,21600" o:gfxdata="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bivu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23A65F3">
                          <w:pPr>
                            <w:pStyle w:val="19"/>
                          </w:pPr>
                          <w:r>
                            <w:rPr>
                              <w:rFonts w:hint="eastAsia"/>
                            </w:rPr>
                            <w:t>稀浆封层养护</w:t>
                          </w:r>
                        </w:p>
                      </w:txbxContent>
                    </v:textbox>
                  </v:shape>
                  <v:shape id="自选图形 2630" o:spid="_x0000_s1026" o:spt="32" type="#_x0000_t32" style="position:absolute;left:7045;top:13470;flip:x;height:340;width:1;" filled="f" stroked="t" coordsize="21600,21600" o:gfxdata="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4JMC2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文本框 2631" o:spid="_x0000_s1026" o:spt="202" type="#_x0000_t202" style="position:absolute;left:5765;top:13816;height:494;width:2657;" fillcolor="#C6D9F1" filled="t" stroked="t" coordsize="21600,21600" o:gfxdata="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vRoH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655E8798">
                          <w:pPr>
                            <w:pStyle w:val="19"/>
                          </w:pPr>
                          <w:r>
                            <w:rPr>
                              <w:rFonts w:hint="eastAsia"/>
                            </w:rPr>
                            <w:t>稀浆封层检测</w:t>
                          </w:r>
                        </w:p>
                      </w:txbxContent>
                    </v:textbox>
                  </v:shape>
                  <v:shape id="自选图形 2632" o:spid="_x0000_s1026" o:spt="32" type="#_x0000_t32" style="position:absolute;left:7092;top:14310;flip:x;height:340;width:1;" filled="f" stroked="t" coordsize="21600,21600" o:gfxdata="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4T9pa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文本框 2633" o:spid="_x0000_s1026" o:spt="202" type="#_x0000_t202" style="position:absolute;left:5791;top:14613;height:494;width:2657;" fillcolor="#C6D9F1" filled="t" stroked="t" coordsize="21600,21600" o:gfxdata="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afcv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70462249">
                          <w:pPr>
                            <w:pStyle w:val="19"/>
                          </w:pPr>
                          <w:r>
                            <w:rPr>
                              <w:rFonts w:hint="eastAsia"/>
                            </w:rPr>
                            <w:t>下道工序施工</w:t>
                          </w:r>
                        </w:p>
                      </w:txbxContent>
                    </v:textbox>
                  </v:shape>
                </v:group>
              </v:group>
            </w:pict>
          </mc:Fallback>
        </mc:AlternateContent>
      </w:r>
    </w:p>
    <w:p w14:paraId="117F132C">
      <w:pPr>
        <w:rPr>
          <w:rFonts w:hint="eastAsia" w:ascii="宋体" w:hAnsi="宋体" w:eastAsia="宋体" w:cs="宋体"/>
          <w:highlight w:val="yellow"/>
        </w:rPr>
      </w:pPr>
    </w:p>
    <w:p w14:paraId="0E11AC5C">
      <w:pPr>
        <w:pStyle w:val="22"/>
        <w:rPr>
          <w:rFonts w:hint="eastAsia" w:ascii="宋体" w:hAnsi="宋体" w:eastAsia="宋体" w:cs="宋体"/>
          <w:highlight w:val="yellow"/>
        </w:rPr>
      </w:pPr>
    </w:p>
    <w:p w14:paraId="3A29276C">
      <w:pPr>
        <w:rPr>
          <w:rFonts w:hint="eastAsia" w:ascii="宋体" w:hAnsi="宋体" w:eastAsia="宋体" w:cs="宋体"/>
          <w:highlight w:val="yellow"/>
        </w:rPr>
      </w:pPr>
    </w:p>
    <w:p w14:paraId="5915F6A4">
      <w:pPr>
        <w:pStyle w:val="22"/>
        <w:rPr>
          <w:rFonts w:hint="eastAsia" w:ascii="宋体" w:hAnsi="宋体" w:eastAsia="宋体" w:cs="宋体"/>
          <w:highlight w:val="yellow"/>
        </w:rPr>
      </w:pPr>
    </w:p>
    <w:p w14:paraId="47F959CF">
      <w:pPr>
        <w:rPr>
          <w:rFonts w:hint="eastAsia" w:ascii="宋体" w:hAnsi="宋体" w:eastAsia="宋体" w:cs="宋体"/>
          <w:highlight w:val="yellow"/>
        </w:rPr>
      </w:pPr>
    </w:p>
    <w:p w14:paraId="6B151E25">
      <w:pPr>
        <w:pStyle w:val="22"/>
        <w:rPr>
          <w:rFonts w:hint="eastAsia" w:ascii="宋体" w:hAnsi="宋体" w:eastAsia="宋体" w:cs="宋体"/>
          <w:highlight w:val="yellow"/>
        </w:rPr>
      </w:pPr>
    </w:p>
    <w:p w14:paraId="13C45F4B">
      <w:pPr>
        <w:rPr>
          <w:rFonts w:hint="eastAsia" w:ascii="宋体" w:hAnsi="宋体" w:eastAsia="宋体" w:cs="宋体"/>
          <w:highlight w:val="yellow"/>
        </w:rPr>
      </w:pPr>
    </w:p>
    <w:p w14:paraId="326794F2">
      <w:pPr>
        <w:pStyle w:val="22"/>
        <w:rPr>
          <w:rFonts w:hint="eastAsia" w:ascii="宋体" w:hAnsi="宋体" w:eastAsia="宋体" w:cs="宋体"/>
          <w:highlight w:val="yellow"/>
        </w:rPr>
      </w:pPr>
    </w:p>
    <w:p w14:paraId="243C429E">
      <w:pPr>
        <w:rPr>
          <w:rFonts w:hint="eastAsia" w:ascii="宋体" w:hAnsi="宋体" w:eastAsia="宋体" w:cs="宋体"/>
          <w:highlight w:val="yellow"/>
        </w:rPr>
      </w:pPr>
    </w:p>
    <w:p w14:paraId="38915073">
      <w:pPr>
        <w:pStyle w:val="22"/>
        <w:rPr>
          <w:rFonts w:hint="eastAsia" w:ascii="宋体" w:hAnsi="宋体" w:eastAsia="宋体" w:cs="宋体"/>
          <w:highlight w:val="yellow"/>
        </w:rPr>
      </w:pPr>
    </w:p>
    <w:p w14:paraId="15C690A4">
      <w:pPr>
        <w:ind w:left="0" w:leftChars="0" w:firstLine="0" w:firstLineChars="0"/>
        <w:rPr>
          <w:rFonts w:hint="eastAsia" w:ascii="宋体" w:hAnsi="宋体" w:eastAsia="宋体" w:cs="宋体"/>
          <w:highlight w:val="yellow"/>
        </w:rPr>
      </w:pPr>
    </w:p>
    <w:p w14:paraId="4E09B00A">
      <w:pPr>
        <w:numPr>
          <w:ilvl w:val="0"/>
          <w:numId w:val="11"/>
        </w:numPr>
        <w:ind w:firstLine="480"/>
        <w:rPr>
          <w:rFonts w:hint="eastAsia" w:ascii="宋体" w:hAnsi="宋体" w:eastAsia="宋体" w:cs="宋体"/>
          <w:highlight w:val="none"/>
          <w:lang w:val="zh-CN"/>
        </w:rPr>
      </w:pPr>
      <w:r>
        <w:rPr>
          <w:rFonts w:hint="eastAsia" w:ascii="宋体" w:hAnsi="宋体" w:cs="宋体"/>
          <w:highlight w:val="none"/>
          <w:lang w:val="en-US" w:eastAsia="zh-CN"/>
        </w:rPr>
        <w:t>下封</w:t>
      </w:r>
      <w:r>
        <w:rPr>
          <w:rFonts w:hint="eastAsia" w:ascii="宋体" w:hAnsi="宋体" w:eastAsia="宋体" w:cs="宋体"/>
          <w:highlight w:val="none"/>
          <w:lang w:val="zh-CN"/>
        </w:rPr>
        <w:t>层施工：</w:t>
      </w:r>
    </w:p>
    <w:p w14:paraId="64361169">
      <w:pPr>
        <w:ind w:firstLine="480"/>
        <w:rPr>
          <w:rFonts w:hint="eastAsia" w:ascii="宋体" w:hAnsi="宋体" w:eastAsia="宋体" w:cs="宋体"/>
          <w:highlight w:val="none"/>
          <w:lang w:val="zh-CN"/>
        </w:rPr>
      </w:pPr>
      <w:r>
        <w:rPr>
          <w:rFonts w:hint="eastAsia" w:ascii="宋体" w:hAnsi="宋体" w:eastAsia="宋体" w:cs="宋体"/>
          <w:highlight w:val="none"/>
          <w:lang w:val="zh-CN"/>
        </w:rPr>
        <w:t>1、准备下承层：</w:t>
      </w:r>
    </w:p>
    <w:p w14:paraId="77CEC662">
      <w:pPr>
        <w:ind w:firstLine="480"/>
        <w:rPr>
          <w:rFonts w:hint="eastAsia" w:ascii="宋体" w:hAnsi="宋体" w:eastAsia="宋体" w:cs="宋体"/>
          <w:highlight w:val="none"/>
          <w:lang w:val="zh-CN"/>
        </w:rPr>
      </w:pPr>
      <w:r>
        <w:rPr>
          <w:rFonts w:hint="eastAsia" w:ascii="宋体" w:hAnsi="宋体" w:eastAsia="宋体" w:cs="宋体"/>
          <w:highlight w:val="none"/>
          <w:lang w:val="zh-CN"/>
        </w:rPr>
        <w:t>a.检测透层沥青洒布质量，进行验收，并打扫干净。</w:t>
      </w:r>
    </w:p>
    <w:p w14:paraId="2C514E5D">
      <w:pPr>
        <w:ind w:firstLine="480"/>
        <w:rPr>
          <w:rFonts w:hint="eastAsia" w:ascii="宋体" w:hAnsi="宋体" w:eastAsia="宋体" w:cs="宋体"/>
          <w:highlight w:val="none"/>
          <w:lang w:val="zh-CN"/>
        </w:rPr>
      </w:pPr>
      <w:r>
        <w:rPr>
          <w:rFonts w:hint="eastAsia" w:ascii="宋体" w:hAnsi="宋体" w:eastAsia="宋体" w:cs="宋体"/>
          <w:highlight w:val="none"/>
          <w:lang w:val="zh-CN"/>
        </w:rPr>
        <w:t>b.放样画线：</w:t>
      </w:r>
    </w:p>
    <w:p w14:paraId="2B93320C">
      <w:pPr>
        <w:ind w:firstLine="480"/>
        <w:rPr>
          <w:rFonts w:hint="eastAsia" w:ascii="宋体" w:hAnsi="宋体" w:eastAsia="宋体" w:cs="宋体"/>
          <w:highlight w:val="none"/>
          <w:lang w:val="zh-CN"/>
        </w:rPr>
      </w:pPr>
      <w:r>
        <w:rPr>
          <w:rFonts w:hint="eastAsia" w:ascii="宋体" w:hAnsi="宋体" w:eastAsia="宋体" w:cs="宋体"/>
          <w:highlight w:val="none"/>
          <w:lang w:val="zh-CN"/>
        </w:rPr>
        <w:t>根据单幅宽度和</w:t>
      </w:r>
      <w:r>
        <w:rPr>
          <w:rFonts w:hint="eastAsia" w:ascii="宋体" w:hAnsi="宋体" w:cs="宋体"/>
          <w:highlight w:val="none"/>
          <w:lang w:val="zh-CN"/>
        </w:rPr>
        <w:t>下封层</w:t>
      </w:r>
      <w:r>
        <w:rPr>
          <w:rFonts w:hint="eastAsia" w:ascii="宋体" w:hAnsi="宋体" w:eastAsia="宋体" w:cs="宋体"/>
          <w:highlight w:val="none"/>
          <w:lang w:val="zh-CN"/>
        </w:rPr>
        <w:t>摊铺机的摊铺箱宽度划分车道数，划出用于引导摊铺机走向的控制线。</w:t>
      </w:r>
    </w:p>
    <w:p w14:paraId="1D5835BB">
      <w:pPr>
        <w:ind w:firstLine="480"/>
        <w:rPr>
          <w:rFonts w:hint="eastAsia" w:ascii="宋体" w:hAnsi="宋体" w:eastAsia="宋体" w:cs="宋体"/>
          <w:highlight w:val="none"/>
          <w:lang w:val="zh-CN"/>
        </w:rPr>
      </w:pPr>
      <w:r>
        <w:rPr>
          <w:rFonts w:hint="eastAsia" w:ascii="宋体" w:hAnsi="宋体" w:eastAsia="宋体" w:cs="宋体"/>
          <w:highlight w:val="none"/>
          <w:lang w:val="zh-CN"/>
        </w:rPr>
        <w:t>2、准备施工机械：</w:t>
      </w:r>
    </w:p>
    <w:p w14:paraId="19C6398F">
      <w:pPr>
        <w:ind w:firstLine="480"/>
        <w:rPr>
          <w:rFonts w:hint="eastAsia" w:ascii="宋体" w:hAnsi="宋体" w:eastAsia="宋体" w:cs="宋体"/>
          <w:lang w:val="zh-CN"/>
        </w:rPr>
      </w:pPr>
      <w:r>
        <w:rPr>
          <w:rFonts w:hint="eastAsia" w:ascii="宋体" w:hAnsi="宋体" w:eastAsia="宋体" w:cs="宋体"/>
          <w:lang w:val="zh-CN"/>
        </w:rPr>
        <w:t>对参加施工的机械设备：</w:t>
      </w:r>
      <w:r>
        <w:rPr>
          <w:rFonts w:hint="eastAsia" w:ascii="宋体" w:hAnsi="宋体" w:cs="宋体"/>
          <w:lang w:val="zh-CN"/>
        </w:rPr>
        <w:t>下封层</w:t>
      </w:r>
      <w:r>
        <w:rPr>
          <w:rFonts w:hint="eastAsia" w:ascii="宋体" w:hAnsi="宋体" w:eastAsia="宋体" w:cs="宋体"/>
          <w:lang w:val="zh-CN"/>
        </w:rPr>
        <w:t>摊铺机、油罐车、水车、装载机、压路机、试验设备调试好，使各种机械都能正常运转，确保处于良好的工作状态。</w:t>
      </w:r>
    </w:p>
    <w:p w14:paraId="6686095F">
      <w:pPr>
        <w:ind w:firstLine="480"/>
        <w:rPr>
          <w:rFonts w:hint="eastAsia" w:ascii="宋体" w:hAnsi="宋体" w:eastAsia="宋体" w:cs="宋体"/>
          <w:lang w:val="zh-CN"/>
        </w:rPr>
      </w:pPr>
      <w:r>
        <w:rPr>
          <w:rFonts w:hint="eastAsia" w:ascii="宋体" w:hAnsi="宋体" w:eastAsia="宋体" w:cs="宋体"/>
          <w:lang w:val="zh-CN"/>
        </w:rPr>
        <w:t>3、拌合</w:t>
      </w:r>
    </w:p>
    <w:p w14:paraId="0CF9882A">
      <w:pPr>
        <w:ind w:firstLine="480"/>
        <w:rPr>
          <w:rFonts w:hint="eastAsia" w:ascii="宋体" w:hAnsi="宋体" w:eastAsia="宋体" w:cs="宋体"/>
          <w:lang w:val="zh-CN"/>
        </w:rPr>
      </w:pPr>
      <w:r>
        <w:rPr>
          <w:rFonts w:hint="eastAsia" w:ascii="宋体" w:hAnsi="宋体" w:eastAsia="宋体" w:cs="宋体"/>
          <w:lang w:val="zh-CN"/>
        </w:rPr>
        <w:t>混合料的拌和必须均匀，不得有结团、成块或花白现象。出现此类情况时，应停止铺筑，从矿料级配、油石比及拌和速度、时间等方面检查原因、及时进行调整。</w:t>
      </w:r>
    </w:p>
    <w:p w14:paraId="5BE15744">
      <w:pPr>
        <w:ind w:firstLine="480"/>
        <w:rPr>
          <w:rFonts w:hint="eastAsia" w:ascii="宋体" w:hAnsi="宋体" w:eastAsia="宋体" w:cs="宋体"/>
          <w:lang w:val="zh-CN"/>
        </w:rPr>
      </w:pPr>
      <w:r>
        <w:rPr>
          <w:rFonts w:hint="eastAsia" w:ascii="宋体" w:hAnsi="宋体" w:eastAsia="宋体" w:cs="宋体"/>
          <w:lang w:val="zh-CN"/>
        </w:rPr>
        <w:t>4、摊铺施工：</w:t>
      </w:r>
    </w:p>
    <w:p w14:paraId="3A51DF01">
      <w:pPr>
        <w:ind w:firstLine="480"/>
        <w:rPr>
          <w:rFonts w:hint="eastAsia" w:ascii="宋体" w:hAnsi="宋体" w:eastAsia="宋体" w:cs="宋体"/>
          <w:lang w:val="zh-CN"/>
        </w:rPr>
      </w:pPr>
      <w:r>
        <w:rPr>
          <w:rFonts w:hint="eastAsia" w:ascii="宋体" w:hAnsi="宋体" w:eastAsia="宋体" w:cs="宋体"/>
          <w:lang w:val="zh-CN"/>
        </w:rPr>
        <w:t>a.摊铺前应控制好集料、填料、水乳液的配合比例。摊铺时，当铺筑时发现一种材料用完时，必须立即停止铺筑，重新装料后再继续进行。搅拌形成的稀浆混合料符合设计的沥青用量和级配要求，并有良好的和易性。</w:t>
      </w:r>
    </w:p>
    <w:p w14:paraId="6EA8495C">
      <w:pPr>
        <w:ind w:firstLine="480"/>
        <w:rPr>
          <w:rFonts w:hint="eastAsia" w:ascii="宋体" w:hAnsi="宋体" w:eastAsia="宋体" w:cs="宋体"/>
          <w:lang w:val="zh-CN"/>
        </w:rPr>
      </w:pPr>
      <w:r>
        <w:rPr>
          <w:rFonts w:hint="eastAsia" w:ascii="宋体" w:hAnsi="宋体" w:eastAsia="宋体" w:cs="宋体"/>
          <w:lang w:val="zh-CN"/>
        </w:rPr>
        <w:t>b.摊铺时，将装好材料的稀浆封层车开至摊铺起点，调整摊铺槽，打开控制开关，使调整好的稀浆流入摊铺槽内，当流至2/3槽时，启动底盘，匀速前进，并始终保持摊铺槽内有一定量的稀浆，当第一车料摊铺完后，下一车摊铺时应重又叠上一车摊铺层的5-10cm。</w:t>
      </w:r>
    </w:p>
    <w:p w14:paraId="46977B15">
      <w:pPr>
        <w:ind w:firstLine="480"/>
        <w:rPr>
          <w:rFonts w:hint="eastAsia" w:ascii="宋体" w:hAnsi="宋体" w:eastAsia="宋体" w:cs="宋体"/>
          <w:lang w:val="zh-CN"/>
        </w:rPr>
      </w:pPr>
      <w:r>
        <w:rPr>
          <w:rFonts w:hint="eastAsia" w:ascii="宋体" w:hAnsi="宋体" w:eastAsia="宋体" w:cs="宋体"/>
          <w:lang w:val="zh-CN"/>
        </w:rPr>
        <w:t>4、摊铺的技术要求：</w:t>
      </w:r>
    </w:p>
    <w:p w14:paraId="1A004112">
      <w:pPr>
        <w:ind w:firstLine="480"/>
        <w:rPr>
          <w:rFonts w:hint="eastAsia" w:ascii="宋体" w:hAnsi="宋体" w:eastAsia="宋体" w:cs="宋体"/>
          <w:lang w:val="zh-CN"/>
        </w:rPr>
      </w:pPr>
      <w:r>
        <w:rPr>
          <w:rFonts w:hint="eastAsia" w:ascii="宋体" w:hAnsi="宋体" w:eastAsia="宋体" w:cs="宋体"/>
          <w:lang w:val="zh-CN"/>
        </w:rPr>
        <w:t>a）摊铺厚度均匀（0</w:t>
      </w:r>
      <w:r>
        <w:rPr>
          <w:rFonts w:hint="eastAsia" w:ascii="宋体" w:hAnsi="宋体" w:eastAsia="宋体" w:cs="宋体"/>
        </w:rPr>
        <w:t>.</w:t>
      </w:r>
      <w:r>
        <w:rPr>
          <w:rFonts w:hint="eastAsia" w:ascii="宋体" w:hAnsi="宋体" w:eastAsia="宋体" w:cs="宋体"/>
          <w:lang w:val="zh-CN"/>
        </w:rPr>
        <w:t>6cm）；b）纵横接缝衔接平顺；c）摊铺成型的表面平顺无坑洞沟痕；d）稀浆混合料达到一定的稠度，不能偏稀和偏干。</w:t>
      </w:r>
    </w:p>
    <w:p w14:paraId="1204F0DE">
      <w:pPr>
        <w:ind w:firstLine="480"/>
        <w:rPr>
          <w:rFonts w:hint="eastAsia" w:ascii="宋体" w:hAnsi="宋体" w:eastAsia="宋体" w:cs="宋体"/>
          <w:lang w:val="zh-CN"/>
        </w:rPr>
      </w:pPr>
      <w:r>
        <w:rPr>
          <w:rFonts w:hint="eastAsia" w:ascii="宋体" w:hAnsi="宋体" w:eastAsia="宋体" w:cs="宋体"/>
          <w:lang w:val="zh-CN"/>
        </w:rPr>
        <w:t>5、成型养护：</w:t>
      </w:r>
    </w:p>
    <w:p w14:paraId="4510C878">
      <w:pPr>
        <w:ind w:firstLine="480"/>
        <w:rPr>
          <w:rFonts w:hint="eastAsia" w:ascii="宋体" w:hAnsi="宋体" w:eastAsia="宋体" w:cs="宋体"/>
          <w:lang w:val="zh-CN"/>
        </w:rPr>
      </w:pPr>
      <w:r>
        <w:rPr>
          <w:rFonts w:hint="eastAsia" w:ascii="宋体" w:hAnsi="宋体" w:eastAsia="宋体" w:cs="宋体"/>
          <w:lang w:val="zh-CN"/>
        </w:rPr>
        <w:t>a.</w:t>
      </w:r>
      <w:r>
        <w:rPr>
          <w:rFonts w:hint="eastAsia" w:ascii="宋体" w:hAnsi="宋体" w:cs="宋体"/>
          <w:lang w:val="zh-CN"/>
        </w:rPr>
        <w:t>下封层</w:t>
      </w:r>
      <w:r>
        <w:rPr>
          <w:rFonts w:hint="eastAsia" w:ascii="宋体" w:hAnsi="宋体" w:eastAsia="宋体" w:cs="宋体"/>
          <w:lang w:val="zh-CN"/>
        </w:rPr>
        <w:t>成型后，养护时间视稀浆混合料中水的去除力和粘结力的大小而定，通常当粘结力达到1</w:t>
      </w:r>
      <w:r>
        <w:rPr>
          <w:rFonts w:hint="eastAsia" w:ascii="宋体" w:hAnsi="宋体" w:eastAsia="宋体" w:cs="宋体"/>
        </w:rPr>
        <w:t>.</w:t>
      </w:r>
      <w:r>
        <w:rPr>
          <w:rFonts w:hint="eastAsia" w:ascii="宋体" w:hAnsi="宋体" w:eastAsia="宋体" w:cs="宋体"/>
          <w:lang w:val="zh-CN"/>
        </w:rPr>
        <w:t>2N时，稀浆混合料已初凝；当粘结力达到2</w:t>
      </w:r>
      <w:r>
        <w:rPr>
          <w:rFonts w:hint="eastAsia" w:ascii="宋体" w:hAnsi="宋体" w:eastAsia="宋体" w:cs="宋体"/>
        </w:rPr>
        <w:t>.</w:t>
      </w:r>
      <w:r>
        <w:rPr>
          <w:rFonts w:hint="eastAsia" w:ascii="宋体" w:hAnsi="宋体" w:eastAsia="宋体" w:cs="宋体"/>
          <w:lang w:val="zh-CN"/>
        </w:rPr>
        <w:t>0N时，稀浆混合料已凝固达到可以开放交通的状态。</w:t>
      </w:r>
    </w:p>
    <w:p w14:paraId="5A641BCF">
      <w:pPr>
        <w:ind w:firstLine="480"/>
        <w:rPr>
          <w:rFonts w:hint="eastAsia" w:ascii="宋体" w:hAnsi="宋体" w:eastAsia="宋体" w:cs="宋体"/>
          <w:lang w:val="zh-CN"/>
        </w:rPr>
      </w:pPr>
      <w:r>
        <w:rPr>
          <w:rFonts w:hint="eastAsia" w:ascii="宋体" w:hAnsi="宋体" w:eastAsia="宋体" w:cs="宋体"/>
          <w:lang w:val="zh-CN"/>
        </w:rPr>
        <w:t>b.</w:t>
      </w:r>
      <w:r>
        <w:rPr>
          <w:rFonts w:hint="eastAsia" w:ascii="宋体" w:hAnsi="宋体" w:cs="宋体"/>
          <w:lang w:val="zh-CN"/>
        </w:rPr>
        <w:t>下封层</w:t>
      </w:r>
      <w:r>
        <w:rPr>
          <w:rFonts w:hint="eastAsia" w:ascii="宋体" w:hAnsi="宋体" w:eastAsia="宋体" w:cs="宋体"/>
          <w:lang w:val="zh-CN"/>
        </w:rPr>
        <w:t>铺筑后应进行交通管制，待干燥成型后才能开放交通。</w:t>
      </w:r>
    </w:p>
    <w:p w14:paraId="519EFFAA">
      <w:pPr>
        <w:ind w:firstLine="480"/>
        <w:rPr>
          <w:rFonts w:hint="eastAsia" w:ascii="宋体" w:hAnsi="宋体" w:eastAsia="宋体" w:cs="宋体"/>
          <w:lang w:val="zh-CN"/>
        </w:rPr>
      </w:pPr>
      <w:r>
        <w:rPr>
          <w:rFonts w:hint="eastAsia" w:ascii="宋体" w:hAnsi="宋体" w:eastAsia="宋体" w:cs="宋体"/>
          <w:lang w:val="zh-CN"/>
        </w:rPr>
        <w:t>6、取样及试验</w:t>
      </w:r>
    </w:p>
    <w:p w14:paraId="62F9CEF6">
      <w:pPr>
        <w:ind w:firstLine="480"/>
        <w:rPr>
          <w:rFonts w:hint="eastAsia" w:ascii="宋体" w:hAnsi="宋体" w:eastAsia="宋体" w:cs="宋体"/>
          <w:lang w:val="zh-CN"/>
        </w:rPr>
      </w:pPr>
      <w:r>
        <w:rPr>
          <w:rFonts w:hint="eastAsia" w:ascii="宋体" w:hAnsi="宋体" w:eastAsia="宋体" w:cs="宋体"/>
          <w:lang w:val="zh-CN"/>
        </w:rPr>
        <w:t>透层、</w:t>
      </w:r>
      <w:r>
        <w:rPr>
          <w:rFonts w:hint="eastAsia" w:ascii="宋体" w:hAnsi="宋体" w:cs="宋体"/>
          <w:lang w:val="zh-CN"/>
        </w:rPr>
        <w:t>下封层</w:t>
      </w:r>
      <w:r>
        <w:rPr>
          <w:rFonts w:hint="eastAsia" w:ascii="宋体" w:hAnsi="宋体" w:eastAsia="宋体" w:cs="宋体"/>
          <w:lang w:val="zh-CN"/>
        </w:rPr>
        <w:t>应在施工现场每天进行一次取样一次，检查油石比、厚度、矿料的级配是否在规定的范围内。</w:t>
      </w:r>
    </w:p>
    <w:p w14:paraId="1A0B33C7">
      <w:pPr>
        <w:ind w:firstLine="482"/>
        <w:rPr>
          <w:rFonts w:hint="eastAsia" w:ascii="宋体" w:hAnsi="宋体" w:eastAsia="宋体" w:cs="宋体"/>
          <w:b/>
          <w:bCs/>
          <w:highlight w:val="none"/>
          <w:lang w:val="zh-CN"/>
        </w:rPr>
      </w:pPr>
      <w:r>
        <w:rPr>
          <w:rFonts w:hint="eastAsia" w:ascii="宋体" w:hAnsi="宋体" w:eastAsia="宋体" w:cs="宋体"/>
          <w:b/>
          <w:bCs/>
          <w:highlight w:val="none"/>
        </w:rPr>
        <w:t>三、</w:t>
      </w:r>
      <w:r>
        <w:rPr>
          <w:rFonts w:hint="eastAsia" w:ascii="宋体" w:hAnsi="宋体" w:eastAsia="宋体" w:cs="宋体"/>
          <w:b/>
          <w:bCs/>
          <w:highlight w:val="none"/>
          <w:lang w:val="zh-CN"/>
        </w:rPr>
        <w:t>粘层</w:t>
      </w:r>
    </w:p>
    <w:p w14:paraId="2DC93B95">
      <w:pPr>
        <w:numPr>
          <w:ilvl w:val="0"/>
          <w:numId w:val="12"/>
        </w:numPr>
        <w:ind w:firstLine="480"/>
        <w:rPr>
          <w:rFonts w:hint="eastAsia" w:ascii="宋体" w:hAnsi="宋体" w:eastAsia="宋体" w:cs="宋体"/>
          <w:highlight w:val="none"/>
          <w:lang w:val="zh-CN"/>
        </w:rPr>
      </w:pPr>
      <w:r>
        <w:rPr>
          <w:rFonts w:hint="eastAsia" w:ascii="宋体" w:hAnsi="宋体" w:eastAsia="宋体" w:cs="宋体"/>
          <w:highlight w:val="none"/>
          <w:lang w:val="zh-CN"/>
        </w:rPr>
        <w:t>粘层施工工艺流程</w:t>
      </w:r>
    </w:p>
    <w:p w14:paraId="4AB31F08">
      <w:pPr>
        <w:pStyle w:val="22"/>
        <w:jc w:val="both"/>
        <w:rPr>
          <w:rFonts w:hint="eastAsia" w:ascii="宋体" w:hAnsi="宋体" w:eastAsia="宋体" w:cs="宋体"/>
          <w:highlight w:val="none"/>
          <w:lang w:val="zh-CN"/>
        </w:rPr>
      </w:pPr>
      <w:r>
        <w:rPr>
          <w:rFonts w:hint="eastAsia" w:ascii="宋体" w:hAnsi="宋体" w:eastAsia="宋体" w:cs="宋体"/>
          <w:highlight w:val="none"/>
        </w:rPr>
        <mc:AlternateContent>
          <mc:Choice Requires="wpg">
            <w:drawing>
              <wp:anchor distT="0" distB="0" distL="114300" distR="114300" simplePos="0" relativeHeight="251731968" behindDoc="0" locked="0" layoutInCell="1" allowOverlap="1">
                <wp:simplePos x="0" y="0"/>
                <wp:positionH relativeFrom="column">
                  <wp:posOffset>382270</wp:posOffset>
                </wp:positionH>
                <wp:positionV relativeFrom="paragraph">
                  <wp:posOffset>152400</wp:posOffset>
                </wp:positionV>
                <wp:extent cx="4314825" cy="288290"/>
                <wp:effectExtent l="5080" t="4445" r="8255" b="12065"/>
                <wp:wrapTopAndBottom/>
                <wp:docPr id="2294" name="组合 1233"/>
                <wp:cNvGraphicFramePr/>
                <a:graphic xmlns:a="http://schemas.openxmlformats.org/drawingml/2006/main">
                  <a:graphicData uri="http://schemas.microsoft.com/office/word/2010/wordprocessingGroup">
                    <wpg:wgp>
                      <wpg:cNvGrpSpPr/>
                      <wpg:grpSpPr>
                        <a:xfrm>
                          <a:off x="0" y="0"/>
                          <a:ext cx="4314825" cy="288290"/>
                          <a:chOff x="2616" y="8546"/>
                          <a:chExt cx="6795" cy="524"/>
                        </a:xfrm>
                      </wpg:grpSpPr>
                      <wps:wsp>
                        <wps:cNvPr id="664" name="文本框 6"/>
                        <wps:cNvSpPr txBox="1"/>
                        <wps:spPr>
                          <a:xfrm>
                            <a:off x="2616" y="8546"/>
                            <a:ext cx="1436" cy="47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4BC42EE">
                              <w:pPr>
                                <w:pStyle w:val="19"/>
                              </w:pPr>
                              <w:r>
                                <w:rPr>
                                  <w:rFonts w:hint="eastAsia"/>
                                  <w:lang w:val="zh-CN"/>
                                </w:rPr>
                                <w:t>施工准备</w:t>
                              </w:r>
                            </w:p>
                          </w:txbxContent>
                        </wps:txbx>
                        <wps:bodyPr upright="1"/>
                      </wps:wsp>
                      <wps:wsp>
                        <wps:cNvPr id="665" name="自选图形 7"/>
                        <wps:cNvCnPr/>
                        <wps:spPr>
                          <a:xfrm flipV="1">
                            <a:off x="4052" y="8773"/>
                            <a:ext cx="288" cy="1"/>
                          </a:xfrm>
                          <a:prstGeom prst="straightConnector1">
                            <a:avLst/>
                          </a:prstGeom>
                          <a:ln w="3175" cap="flat" cmpd="sng">
                            <a:solidFill>
                              <a:srgbClr val="000000"/>
                            </a:solidFill>
                            <a:prstDash val="solid"/>
                            <a:headEnd type="none" w="med" len="med"/>
                            <a:tailEnd type="triangle" w="med" len="med"/>
                          </a:ln>
                        </wps:spPr>
                        <wps:bodyPr/>
                      </wps:wsp>
                      <wps:wsp>
                        <wps:cNvPr id="666" name="文本框 9"/>
                        <wps:cNvSpPr txBox="1"/>
                        <wps:spPr>
                          <a:xfrm>
                            <a:off x="6129" y="8580"/>
                            <a:ext cx="1435" cy="47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FDBBFAB">
                              <w:pPr>
                                <w:pStyle w:val="19"/>
                              </w:pPr>
                              <w:r>
                                <w:rPr>
                                  <w:rFonts w:hint="eastAsia"/>
                                  <w:lang w:val="zh-CN"/>
                                </w:rPr>
                                <w:t>粘层油洒布</w:t>
                              </w:r>
                            </w:p>
                          </w:txbxContent>
                        </wps:txbx>
                        <wps:bodyPr upright="1"/>
                      </wps:wsp>
                      <wps:wsp>
                        <wps:cNvPr id="667" name="文本框 10"/>
                        <wps:cNvSpPr txBox="1"/>
                        <wps:spPr>
                          <a:xfrm>
                            <a:off x="7976" y="8598"/>
                            <a:ext cx="1435" cy="47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06ED27E">
                              <w:pPr>
                                <w:pStyle w:val="19"/>
                              </w:pPr>
                              <w:r>
                                <w:rPr>
                                  <w:rFonts w:hint="eastAsia"/>
                                  <w:lang w:val="zh-CN"/>
                                </w:rPr>
                                <w:t>交通管制</w:t>
                              </w:r>
                            </w:p>
                          </w:txbxContent>
                        </wps:txbx>
                        <wps:bodyPr upright="1"/>
                      </wps:wsp>
                      <wps:wsp>
                        <wps:cNvPr id="668" name="文本框 8"/>
                        <wps:cNvSpPr txBox="1"/>
                        <wps:spPr>
                          <a:xfrm>
                            <a:off x="4373" y="8580"/>
                            <a:ext cx="1435" cy="47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B4F4642">
                              <w:pPr>
                                <w:pStyle w:val="19"/>
                              </w:pPr>
                              <w:r>
                                <w:rPr>
                                  <w:rFonts w:hint="eastAsia"/>
                                  <w:lang w:val="zh-CN"/>
                                </w:rPr>
                                <w:t>粘层油加工</w:t>
                              </w:r>
                            </w:p>
                          </w:txbxContent>
                        </wps:txbx>
                        <wps:bodyPr upright="1"/>
                      </wps:wsp>
                      <wps:wsp>
                        <wps:cNvPr id="669" name="自选图形 11"/>
                        <wps:cNvCnPr/>
                        <wps:spPr>
                          <a:xfrm>
                            <a:off x="5808" y="8817"/>
                            <a:ext cx="321" cy="1"/>
                          </a:xfrm>
                          <a:prstGeom prst="straightConnector1">
                            <a:avLst/>
                          </a:prstGeom>
                          <a:ln w="3175" cap="flat" cmpd="sng">
                            <a:solidFill>
                              <a:srgbClr val="000000"/>
                            </a:solidFill>
                            <a:prstDash val="solid"/>
                            <a:headEnd type="none" w="med" len="med"/>
                            <a:tailEnd type="triangle" w="med" len="med"/>
                          </a:ln>
                        </wps:spPr>
                        <wps:bodyPr/>
                      </wps:wsp>
                      <wps:wsp>
                        <wps:cNvPr id="670" name="自选图形 12"/>
                        <wps:cNvCnPr/>
                        <wps:spPr>
                          <a:xfrm>
                            <a:off x="7564" y="8817"/>
                            <a:ext cx="412" cy="18"/>
                          </a:xfrm>
                          <a:prstGeom prst="straightConnector1">
                            <a:avLst/>
                          </a:prstGeom>
                          <a:ln w="3175" cap="flat" cmpd="sng">
                            <a:solidFill>
                              <a:srgbClr val="000000"/>
                            </a:solidFill>
                            <a:prstDash val="solid"/>
                            <a:headEnd type="none" w="med" len="med"/>
                            <a:tailEnd type="triangle" w="med" len="med"/>
                          </a:ln>
                        </wps:spPr>
                        <wps:bodyPr/>
                      </wps:wsp>
                    </wpg:wgp>
                  </a:graphicData>
                </a:graphic>
              </wp:anchor>
            </w:drawing>
          </mc:Choice>
          <mc:Fallback>
            <w:pict>
              <v:group id="组合 1233" o:spid="_x0000_s1026" o:spt="203" style="position:absolute;left:0pt;margin-left:30.1pt;margin-top:12pt;height:22.7pt;width:339.75pt;mso-wrap-distance-bottom:0pt;mso-wrap-distance-top:0pt;z-index:251731968;mso-width-relative:page;mso-height-relative:page;" coordorigin="2616,8546" coordsize="6795,524" o:gfxdata="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pi6tftkAAAAIAQAADwAAAAAAAAABACAAAAAiAAAAZHJzL2Rvd25yZXYueG1sUEsBAhQAFAAAAAgA&#10;h07iQJdg+tyzAwAAsBIAAA4AAAAAAAAAAQAgAAAAKAEAAGRycy9lMm9Eb2MueG1sUEsFBgAAAAAG&#10;AAYAWQEAAE0HAAAAAA==&#10;">
                <o:lock v:ext="edit" aspectratio="f"/>
                <v:shape id="文本框 6" o:spid="_x0000_s1026" o:spt="202" type="#_x0000_t202" style="position:absolute;left:2616;top:8546;height:471;width:1436;" fillcolor="#C6D9F1" filled="t" stroked="t" coordsize="21600,21600" o:gfxdata="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dB/J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14BC42EE">
                        <w:pPr>
                          <w:pStyle w:val="19"/>
                        </w:pPr>
                        <w:r>
                          <w:rPr>
                            <w:rFonts w:hint="eastAsia"/>
                            <w:lang w:val="zh-CN"/>
                          </w:rPr>
                          <w:t>施工准备</w:t>
                        </w:r>
                      </w:p>
                    </w:txbxContent>
                  </v:textbox>
                </v:shape>
                <v:shape id="自选图形 7" o:spid="_x0000_s1026" o:spt="32" type="#_x0000_t32" style="position:absolute;left:4052;top:8773;flip:y;height:1;width:288;" filled="f" stroked="t" coordsize="21600,21600" o:gfxdata="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kVQ6/&#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shape>
                <v:shape id="文本框 9" o:spid="_x0000_s1026" o:spt="202" type="#_x0000_t202" style="position:absolute;left:6129;top:8580;height:472;width:1435;" fillcolor="#C6D9F1" filled="t" stroked="t" coordsize="21600,21600" o:gfxdata="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TkTI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4FDBBFAB">
                        <w:pPr>
                          <w:pStyle w:val="19"/>
                        </w:pPr>
                        <w:r>
                          <w:rPr>
                            <w:rFonts w:hint="eastAsia"/>
                            <w:lang w:val="zh-CN"/>
                          </w:rPr>
                          <w:t>粘层油洒布</w:t>
                        </w:r>
                      </w:p>
                    </w:txbxContent>
                  </v:textbox>
                </v:shape>
                <v:shape id="文本框 10" o:spid="_x0000_s1026" o:spt="202" type="#_x0000_t202" style="position:absolute;left:7976;top:8598;height:472;width:1435;" fillcolor="#C6D9F1" filled="t" stroked="t" coordsize="21600,21600" o:gfxdata="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AuFT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706ED27E">
                        <w:pPr>
                          <w:pStyle w:val="19"/>
                        </w:pPr>
                        <w:r>
                          <w:rPr>
                            <w:rFonts w:hint="eastAsia"/>
                            <w:lang w:val="zh-CN"/>
                          </w:rPr>
                          <w:t>交通管制</w:t>
                        </w:r>
                      </w:p>
                    </w:txbxContent>
                  </v:textbox>
                </v:shape>
                <v:shape id="文本框 8" o:spid="_x0000_s1026" o:spt="202" type="#_x0000_t202" style="position:absolute;left:4373;top:8580;height:472;width:1435;" fillcolor="#C6D9F1" filled="t" stroked="t" coordsize="21600,21600" o:gfxdata="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J11Ib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6B4F4642">
                        <w:pPr>
                          <w:pStyle w:val="19"/>
                        </w:pPr>
                        <w:r>
                          <w:rPr>
                            <w:rFonts w:hint="eastAsia"/>
                            <w:lang w:val="zh-CN"/>
                          </w:rPr>
                          <w:t>粘层油加工</w:t>
                        </w:r>
                      </w:p>
                    </w:txbxContent>
                  </v:textbox>
                </v:shape>
                <v:shape id="自选图形 11" o:spid="_x0000_s1026" o:spt="32" type="#_x0000_t32" style="position:absolute;left:5808;top:8817;height:1;width:321;" filled="f" stroked="t" coordsize="21600,21600" o:gfxdata="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Z70W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自选图形 12" o:spid="_x0000_s1026" o:spt="32" type="#_x0000_t32" style="position:absolute;left:7564;top:8817;height:18;width:412;" filled="f" stroked="t" coordsize="21600,21600" o:gfxdata="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utAF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shape>
                <w10:wrap type="topAndBottom"/>
              </v:group>
            </w:pict>
          </mc:Fallback>
        </mc:AlternateContent>
      </w:r>
    </w:p>
    <w:p w14:paraId="7D334F9F">
      <w:pPr>
        <w:ind w:firstLine="480"/>
        <w:rPr>
          <w:rFonts w:hint="eastAsia" w:ascii="宋体" w:hAnsi="宋体" w:eastAsia="宋体" w:cs="宋体"/>
          <w:highlight w:val="none"/>
          <w:lang w:val="zh-CN"/>
        </w:rPr>
      </w:pPr>
      <w:r>
        <w:rPr>
          <w:rFonts w:hint="eastAsia" w:ascii="宋体" w:hAnsi="宋体" w:eastAsia="宋体" w:cs="宋体"/>
          <w:highlight w:val="none"/>
          <w:lang w:val="zh-CN"/>
        </w:rPr>
        <w:t>（二）粘层施工</w:t>
      </w:r>
    </w:p>
    <w:p w14:paraId="2CC7DDB7">
      <w:pPr>
        <w:ind w:firstLine="480"/>
        <w:rPr>
          <w:rFonts w:hint="eastAsia" w:ascii="宋体" w:hAnsi="宋体" w:eastAsia="宋体" w:cs="宋体"/>
          <w:highlight w:val="none"/>
          <w:lang w:val="zh-CN"/>
        </w:rPr>
      </w:pPr>
      <w:r>
        <w:rPr>
          <w:rFonts w:hint="eastAsia" w:ascii="宋体" w:hAnsi="宋体" w:eastAsia="宋体" w:cs="宋体"/>
          <w:highlight w:val="none"/>
        </w:rPr>
        <w:t>1、</w:t>
      </w:r>
      <w:r>
        <w:rPr>
          <w:rFonts w:hint="eastAsia" w:ascii="宋体" w:hAnsi="宋体" w:eastAsia="宋体" w:cs="宋体"/>
          <w:highlight w:val="none"/>
          <w:lang w:val="zh-CN"/>
        </w:rPr>
        <w:t>施工准备</w:t>
      </w:r>
    </w:p>
    <w:p w14:paraId="02F4BD6D">
      <w:pPr>
        <w:ind w:firstLine="480"/>
        <w:rPr>
          <w:rFonts w:hint="eastAsia" w:ascii="宋体" w:hAnsi="宋体" w:eastAsia="宋体" w:cs="宋体"/>
          <w:lang w:val="zh-CN"/>
        </w:rPr>
      </w:pPr>
      <w:r>
        <w:rPr>
          <w:rFonts w:hint="eastAsia" w:ascii="宋体" w:hAnsi="宋体" w:eastAsia="宋体" w:cs="宋体"/>
          <w:lang w:val="zh-CN"/>
        </w:rPr>
        <w:t>A.先人工用扫帚清扫，最后用森林吹风机彻底清除下面层表面杂物及灰尘，保证表面无杂物，无活动松散粒料，检测空洞要清除松散料；对表面的泥土、砂浆等局部污染物拟采用清刷机清洁、人工以及水车冲洗配合，待表面完全干燥后再进行粘层施工。</w:t>
      </w:r>
    </w:p>
    <w:p w14:paraId="6C0F9EA2">
      <w:pPr>
        <w:ind w:firstLine="480"/>
        <w:rPr>
          <w:rFonts w:hint="eastAsia" w:ascii="宋体" w:hAnsi="宋体" w:eastAsia="宋体" w:cs="宋体"/>
          <w:lang w:val="zh-CN"/>
        </w:rPr>
      </w:pPr>
      <w:r>
        <w:rPr>
          <w:rFonts w:hint="eastAsia" w:ascii="宋体" w:hAnsi="宋体" w:eastAsia="宋体" w:cs="宋体"/>
          <w:lang w:val="zh-CN"/>
        </w:rPr>
        <w:t>B.对桥涵、通道的护栏等构造物进行遮挡防护，避免污染。</w:t>
      </w:r>
    </w:p>
    <w:p w14:paraId="03F17296">
      <w:pPr>
        <w:ind w:firstLine="480"/>
        <w:rPr>
          <w:rFonts w:hint="eastAsia" w:ascii="宋体" w:hAnsi="宋体" w:eastAsia="宋体" w:cs="宋体"/>
          <w:lang w:val="zh-CN"/>
        </w:rPr>
      </w:pPr>
      <w:r>
        <w:rPr>
          <w:rFonts w:hint="eastAsia" w:ascii="宋体" w:hAnsi="宋体" w:eastAsia="宋体" w:cs="宋体"/>
          <w:lang w:val="zh-CN"/>
        </w:rPr>
        <w:t>C.检查施工机械状态，对沥青洒布车油管、喷嘴进行检查疏通。</w:t>
      </w:r>
    </w:p>
    <w:p w14:paraId="424A20AD">
      <w:pPr>
        <w:ind w:firstLine="480"/>
        <w:rPr>
          <w:rFonts w:hint="eastAsia" w:ascii="宋体" w:hAnsi="宋体" w:eastAsia="宋体" w:cs="宋体"/>
          <w:lang w:val="zh-CN"/>
        </w:rPr>
      </w:pPr>
      <w:r>
        <w:rPr>
          <w:rFonts w:hint="eastAsia" w:ascii="宋体" w:hAnsi="宋体" w:eastAsia="宋体" w:cs="宋体"/>
          <w:lang w:val="zh-CN"/>
        </w:rPr>
        <w:t>2、粘层油加工</w:t>
      </w:r>
    </w:p>
    <w:p w14:paraId="4610A2E3">
      <w:pPr>
        <w:ind w:firstLine="480"/>
        <w:rPr>
          <w:rFonts w:hint="eastAsia" w:ascii="宋体" w:hAnsi="宋体" w:eastAsia="宋体" w:cs="宋体"/>
          <w:lang w:val="zh-CN"/>
        </w:rPr>
      </w:pPr>
      <w:r>
        <w:rPr>
          <w:rFonts w:hint="eastAsia" w:ascii="宋体" w:hAnsi="宋体" w:eastAsia="宋体" w:cs="宋体"/>
          <w:lang w:val="zh-CN"/>
        </w:rPr>
        <w:t>本合同段采用乳化沥青</w:t>
      </w:r>
      <w:r>
        <w:rPr>
          <w:rFonts w:hint="eastAsia" w:ascii="宋体" w:hAnsi="宋体" w:eastAsia="宋体" w:cs="宋体"/>
        </w:rPr>
        <w:t>PCR需</w:t>
      </w:r>
      <w:r>
        <w:rPr>
          <w:rFonts w:hint="eastAsia" w:ascii="宋体" w:hAnsi="宋体" w:eastAsia="宋体" w:cs="宋体"/>
          <w:lang w:val="zh-CN"/>
        </w:rPr>
        <w:t>经过试验室检测合格，并经监理工程师批复后，才用于施工。</w:t>
      </w:r>
    </w:p>
    <w:p w14:paraId="7F516370">
      <w:pPr>
        <w:ind w:firstLine="480"/>
        <w:rPr>
          <w:rFonts w:hint="eastAsia" w:ascii="宋体" w:hAnsi="宋体" w:eastAsia="宋体" w:cs="宋体"/>
          <w:lang w:val="zh-CN"/>
        </w:rPr>
      </w:pPr>
      <w:r>
        <w:rPr>
          <w:rFonts w:hint="eastAsia" w:ascii="宋体" w:hAnsi="宋体" w:eastAsia="宋体" w:cs="宋体"/>
          <w:lang w:val="zh-CN"/>
        </w:rPr>
        <w:t>3、粘层油洒布</w:t>
      </w:r>
    </w:p>
    <w:p w14:paraId="642AC9A5">
      <w:pPr>
        <w:ind w:firstLine="480"/>
        <w:rPr>
          <w:rFonts w:hint="eastAsia" w:ascii="宋体" w:hAnsi="宋体" w:eastAsia="宋体" w:cs="宋体"/>
          <w:lang w:val="zh-CN"/>
        </w:rPr>
      </w:pPr>
      <w:r>
        <w:rPr>
          <w:rFonts w:hint="eastAsia" w:ascii="宋体" w:hAnsi="宋体" w:eastAsia="宋体" w:cs="宋体"/>
          <w:lang w:val="zh-CN"/>
        </w:rPr>
        <w:t>将装好料且自身带有导热油加热系统和自动控制洒布量的智能型沥青洒布车开至施工起点，调整洒布车的喷嘴开始喷粘层沥青，洒布必须成雾状，洒布过程中设专人指挥车辆，保持均匀洒布、不流淌，且保持洒布的连续性，局部洒不到的部位采用人工辅助（用扫帚）方法。</w:t>
      </w:r>
    </w:p>
    <w:p w14:paraId="0E930227">
      <w:pPr>
        <w:ind w:firstLine="480"/>
        <w:rPr>
          <w:rFonts w:hint="eastAsia" w:ascii="宋体" w:hAnsi="宋体" w:eastAsia="宋体" w:cs="宋体"/>
          <w:lang w:val="zh-CN"/>
        </w:rPr>
      </w:pPr>
      <w:r>
        <w:rPr>
          <w:rFonts w:hint="eastAsia" w:ascii="宋体" w:hAnsi="宋体" w:eastAsia="宋体" w:cs="宋体"/>
          <w:lang w:val="zh-CN"/>
        </w:rPr>
        <w:t>洒布温度控制在50℃以上，洒布量：根据试喷结果来选择适宜的喷嘴、喷洒速度和洒布量。</w:t>
      </w:r>
    </w:p>
    <w:p w14:paraId="6C2C3DD8">
      <w:pPr>
        <w:ind w:firstLine="480"/>
        <w:rPr>
          <w:rFonts w:hint="eastAsia" w:ascii="宋体" w:hAnsi="宋体" w:eastAsia="宋体" w:cs="宋体"/>
          <w:lang w:val="zh-CN"/>
        </w:rPr>
      </w:pPr>
      <w:r>
        <w:rPr>
          <w:rFonts w:hint="eastAsia" w:ascii="宋体" w:hAnsi="宋体" w:eastAsia="宋体" w:cs="宋体"/>
          <w:lang w:val="zh-CN"/>
        </w:rPr>
        <w:t>喷洒时沿路基纵向均匀喷洒，先喷洒靠近中央分隔带的一个车道，由内向外，一个车道接着一个车道喷洒，最大洒布宽度不超过，两幅重叠10</w:t>
      </w:r>
      <w:r>
        <w:rPr>
          <w:rFonts w:hint="eastAsia" w:ascii="宋体" w:hAnsi="宋体" w:eastAsia="宋体" w:cs="宋体"/>
        </w:rPr>
        <w:t>-</w:t>
      </w:r>
      <w:r>
        <w:rPr>
          <w:rFonts w:hint="eastAsia" w:ascii="宋体" w:hAnsi="宋体" w:eastAsia="宋体" w:cs="宋体"/>
          <w:lang w:val="zh-CN"/>
        </w:rPr>
        <w:t>20cm。</w:t>
      </w:r>
    </w:p>
    <w:p w14:paraId="368958D6">
      <w:pPr>
        <w:ind w:firstLine="480"/>
        <w:rPr>
          <w:rFonts w:hint="eastAsia" w:ascii="宋体" w:hAnsi="宋体" w:eastAsia="宋体" w:cs="宋体"/>
          <w:lang w:val="zh-CN"/>
        </w:rPr>
      </w:pPr>
      <w:r>
        <w:rPr>
          <w:rFonts w:hint="eastAsia" w:ascii="宋体" w:hAnsi="宋体" w:eastAsia="宋体" w:cs="宋体"/>
          <w:lang w:val="zh-CN"/>
        </w:rPr>
        <w:t>4、喷洒粘层油后严禁车辆通行，待乳化沥青破乳，水分蒸发完成（天气晴好的条件下养生1小时后可进行下道工序施工）后紧跟铺筑中面层，确保粘层不受污染。</w:t>
      </w:r>
    </w:p>
    <w:p w14:paraId="49414DC2">
      <w:pPr>
        <w:ind w:firstLine="480"/>
        <w:rPr>
          <w:rFonts w:hint="eastAsia" w:ascii="宋体" w:hAnsi="宋体" w:eastAsia="宋体" w:cs="宋体"/>
          <w:lang w:val="zh-CN"/>
        </w:rPr>
      </w:pPr>
      <w:r>
        <w:rPr>
          <w:rFonts w:hint="eastAsia" w:ascii="宋体" w:hAnsi="宋体" w:eastAsia="宋体" w:cs="宋体"/>
          <w:lang w:val="zh-CN"/>
        </w:rPr>
        <w:t>（三）施工中注意事项</w:t>
      </w:r>
    </w:p>
    <w:p w14:paraId="09CA0995">
      <w:pPr>
        <w:ind w:firstLine="480"/>
        <w:rPr>
          <w:rFonts w:hint="eastAsia" w:ascii="宋体" w:hAnsi="宋体" w:eastAsia="宋体" w:cs="宋体"/>
          <w:lang w:val="zh-CN"/>
        </w:rPr>
      </w:pPr>
      <w:r>
        <w:rPr>
          <w:rFonts w:hint="eastAsia" w:ascii="宋体" w:hAnsi="宋体" w:eastAsia="宋体" w:cs="宋体"/>
          <w:lang w:val="zh-CN"/>
        </w:rPr>
        <w:t>1、各类材料进场必须严格控制，符合质量要求。</w:t>
      </w:r>
    </w:p>
    <w:p w14:paraId="7E351C4A">
      <w:pPr>
        <w:ind w:firstLine="480"/>
        <w:rPr>
          <w:rFonts w:hint="eastAsia" w:ascii="宋体" w:hAnsi="宋体" w:eastAsia="宋体" w:cs="宋体"/>
          <w:lang w:val="zh-CN"/>
        </w:rPr>
      </w:pPr>
      <w:r>
        <w:rPr>
          <w:rFonts w:hint="eastAsia" w:ascii="宋体" w:hAnsi="宋体" w:eastAsia="宋体" w:cs="宋体"/>
          <w:lang w:val="zh-CN"/>
        </w:rPr>
        <w:t>2、生产加工过程中，严格操作规范，确保产品达到各项技术要求。</w:t>
      </w:r>
    </w:p>
    <w:p w14:paraId="59688996">
      <w:pPr>
        <w:ind w:firstLine="480"/>
        <w:rPr>
          <w:rFonts w:hint="eastAsia" w:ascii="宋体" w:hAnsi="宋体" w:eastAsia="宋体" w:cs="宋体"/>
          <w:lang w:val="zh-CN"/>
        </w:rPr>
      </w:pPr>
      <w:r>
        <w:rPr>
          <w:rFonts w:hint="eastAsia" w:ascii="宋体" w:hAnsi="宋体" w:eastAsia="宋体" w:cs="宋体"/>
          <w:lang w:val="zh-CN"/>
        </w:rPr>
        <w:t>3、粘层油洒布时，工作面要达到要求，严格控制洒布量，避免出现漏洒及流淌现象。</w:t>
      </w:r>
    </w:p>
    <w:p w14:paraId="2251781A">
      <w:pPr>
        <w:ind w:firstLine="480"/>
        <w:rPr>
          <w:rFonts w:hint="eastAsia" w:ascii="宋体" w:hAnsi="宋体" w:eastAsia="宋体" w:cs="宋体"/>
          <w:lang w:val="zh-CN"/>
        </w:rPr>
      </w:pPr>
      <w:r>
        <w:rPr>
          <w:rFonts w:hint="eastAsia" w:ascii="宋体" w:hAnsi="宋体" w:eastAsia="宋体" w:cs="宋体"/>
          <w:lang w:val="zh-CN"/>
        </w:rPr>
        <w:t>4、施工前必须用扫帚将基层表面进行全面清扫，再用强力鼓风机将浮尘吹净。</w:t>
      </w:r>
    </w:p>
    <w:p w14:paraId="010DD1CA">
      <w:pPr>
        <w:ind w:firstLine="480"/>
        <w:rPr>
          <w:rFonts w:hint="eastAsia" w:ascii="宋体" w:hAnsi="宋体" w:eastAsia="宋体" w:cs="宋体"/>
          <w:lang w:val="zh-CN"/>
        </w:rPr>
      </w:pPr>
      <w:r>
        <w:rPr>
          <w:rFonts w:hint="eastAsia" w:ascii="宋体" w:hAnsi="宋体" w:eastAsia="宋体" w:cs="宋体"/>
          <w:lang w:val="zh-CN"/>
        </w:rPr>
        <w:t>5、气温低于10℃或遇大风或即将降雨时不得喷洒粘层沥青。</w:t>
      </w:r>
    </w:p>
    <w:p w14:paraId="1F309B1C">
      <w:pPr>
        <w:ind w:firstLine="480"/>
        <w:rPr>
          <w:rFonts w:hint="eastAsia" w:ascii="宋体" w:hAnsi="宋体" w:eastAsia="宋体" w:cs="宋体"/>
          <w:lang w:val="zh-CN"/>
        </w:rPr>
      </w:pPr>
      <w:r>
        <w:rPr>
          <w:rFonts w:hint="eastAsia" w:ascii="宋体" w:hAnsi="宋体" w:eastAsia="宋体" w:cs="宋体"/>
          <w:lang w:val="zh-CN"/>
        </w:rPr>
        <w:t>6、注意防护，避免造成污染。</w:t>
      </w:r>
    </w:p>
    <w:p w14:paraId="131EC2D3">
      <w:pPr>
        <w:ind w:firstLine="482"/>
        <w:rPr>
          <w:rFonts w:hint="eastAsia" w:ascii="宋体" w:hAnsi="宋体" w:eastAsia="宋体" w:cs="宋体"/>
          <w:b/>
          <w:bCs/>
        </w:rPr>
      </w:pPr>
      <w:r>
        <w:rPr>
          <w:rFonts w:hint="eastAsia" w:ascii="宋体" w:hAnsi="宋体" w:eastAsia="宋体" w:cs="宋体"/>
          <w:b/>
          <w:bCs/>
        </w:rPr>
        <w:t>四、质量控制要点</w:t>
      </w:r>
    </w:p>
    <w:p w14:paraId="623B324A">
      <w:pPr>
        <w:pStyle w:val="14"/>
        <w:numPr>
          <w:ilvl w:val="0"/>
          <w:numId w:val="13"/>
        </w:numPr>
        <w:ind w:firstLine="480"/>
        <w:rPr>
          <w:rFonts w:hint="eastAsia" w:ascii="宋体" w:hAnsi="宋体" w:eastAsia="宋体" w:cs="宋体"/>
          <w:highlight w:val="none"/>
          <w:lang w:val="zh-CN"/>
        </w:rPr>
      </w:pPr>
      <w:r>
        <w:rPr>
          <w:rFonts w:hint="eastAsia" w:ascii="宋体" w:hAnsi="宋体" w:eastAsia="宋体" w:cs="宋体"/>
          <w:highlight w:val="none"/>
        </w:rPr>
        <w:t>、</w:t>
      </w:r>
      <w:r>
        <w:rPr>
          <w:rFonts w:hint="eastAsia" w:ascii="宋体" w:hAnsi="宋体" w:eastAsia="宋体" w:cs="宋体"/>
          <w:highlight w:val="none"/>
          <w:lang w:val="zh-CN"/>
        </w:rPr>
        <w:t>透层、</w:t>
      </w:r>
      <w:r>
        <w:rPr>
          <w:rFonts w:hint="eastAsia" w:ascii="宋体" w:hAnsi="宋体" w:eastAsia="宋体" w:cs="宋体"/>
          <w:highlight w:val="none"/>
        </w:rPr>
        <w:t>粘层</w:t>
      </w:r>
    </w:p>
    <w:p w14:paraId="7805F409">
      <w:pPr>
        <w:ind w:firstLine="480"/>
        <w:rPr>
          <w:rFonts w:hint="eastAsia" w:ascii="宋体" w:hAnsi="宋体" w:eastAsia="宋体" w:cs="宋体"/>
          <w:highlight w:val="none"/>
          <w:lang w:val="zh-CN"/>
        </w:rPr>
      </w:pPr>
      <w:r>
        <w:rPr>
          <w:rFonts w:hint="eastAsia" w:ascii="宋体" w:hAnsi="宋体" w:eastAsia="宋体" w:cs="宋体"/>
          <w:highlight w:val="none"/>
          <w:lang w:val="zh-CN"/>
        </w:rPr>
        <w:t>1</w:t>
      </w:r>
      <w:r>
        <w:rPr>
          <w:rFonts w:hint="eastAsia" w:ascii="宋体" w:hAnsi="宋体" w:cs="宋体"/>
          <w:highlight w:val="none"/>
          <w:lang w:val="en-US" w:eastAsia="zh-CN"/>
        </w:rPr>
        <w:t>透层油透入级配碎石下基层的深度不小于10</w:t>
      </w:r>
      <w:r>
        <w:rPr>
          <w:rFonts w:hint="eastAsia" w:ascii="宋体" w:hAnsi="宋体" w:eastAsia="宋体" w:cs="宋体"/>
          <w:highlight w:val="none"/>
          <w:lang w:val="zh-CN"/>
        </w:rPr>
        <w:t>mm</w:t>
      </w:r>
      <w:r>
        <w:rPr>
          <w:rFonts w:hint="eastAsia" w:ascii="宋体" w:hAnsi="宋体" w:cs="宋体"/>
          <w:highlight w:val="none"/>
          <w:lang w:val="zh-CN"/>
        </w:rPr>
        <w:t>，</w:t>
      </w:r>
      <w:r>
        <w:rPr>
          <w:rFonts w:hint="eastAsia" w:ascii="宋体" w:hAnsi="宋体" w:eastAsia="宋体" w:cs="宋体"/>
          <w:highlight w:val="none"/>
          <w:lang w:val="zh-CN"/>
        </w:rPr>
        <w:t>透</w:t>
      </w:r>
      <w:r>
        <w:rPr>
          <w:rFonts w:hint="eastAsia" w:ascii="宋体" w:hAnsi="宋体" w:cs="宋体"/>
          <w:highlight w:val="none"/>
          <w:lang w:val="en-US" w:eastAsia="zh-CN"/>
        </w:rPr>
        <w:t>入底基层</w:t>
      </w:r>
      <w:r>
        <w:rPr>
          <w:rFonts w:hint="eastAsia" w:ascii="宋体" w:hAnsi="宋体" w:eastAsia="宋体" w:cs="宋体"/>
          <w:highlight w:val="none"/>
          <w:lang w:val="zh-CN"/>
        </w:rPr>
        <w:t>深度</w:t>
      </w:r>
      <w:r>
        <w:rPr>
          <w:rFonts w:hint="eastAsia" w:ascii="宋体" w:hAnsi="宋体" w:cs="宋体"/>
          <w:highlight w:val="none"/>
          <w:lang w:val="en-US" w:eastAsia="zh-CN"/>
        </w:rPr>
        <w:t>不小于5</w:t>
      </w:r>
      <w:r>
        <w:rPr>
          <w:rFonts w:hint="eastAsia" w:ascii="宋体" w:hAnsi="宋体" w:eastAsia="宋体" w:cs="宋体"/>
          <w:highlight w:val="none"/>
          <w:lang w:val="zh-CN"/>
        </w:rPr>
        <w:t>mm，表面不应流淌并不得形成油膜。</w:t>
      </w:r>
    </w:p>
    <w:p w14:paraId="1EA2EAB0">
      <w:pPr>
        <w:ind w:firstLine="480"/>
        <w:rPr>
          <w:rFonts w:hint="eastAsia" w:ascii="宋体" w:hAnsi="宋体" w:eastAsia="宋体" w:cs="宋体"/>
          <w:highlight w:val="none"/>
          <w:lang w:val="zh-CN"/>
        </w:rPr>
      </w:pPr>
      <w:r>
        <w:rPr>
          <w:rFonts w:hint="eastAsia" w:ascii="宋体" w:hAnsi="宋体" w:eastAsia="宋体" w:cs="宋体"/>
          <w:highlight w:val="none"/>
          <w:lang w:val="zh-CN"/>
        </w:rPr>
        <w:t>2当局部有多余的透层沥青未渗入基层时，应予清除。</w:t>
      </w:r>
    </w:p>
    <w:p w14:paraId="7F4F4ECD">
      <w:pPr>
        <w:ind w:firstLine="480"/>
        <w:rPr>
          <w:rFonts w:hint="eastAsia" w:ascii="宋体" w:hAnsi="宋体" w:eastAsia="宋体" w:cs="宋体"/>
          <w:highlight w:val="none"/>
        </w:rPr>
      </w:pPr>
      <w:r>
        <w:rPr>
          <w:rFonts w:hint="eastAsia" w:ascii="宋体" w:hAnsi="宋体" w:eastAsia="宋体" w:cs="宋体"/>
          <w:highlight w:val="none"/>
          <w:lang w:val="zh-CN"/>
        </w:rPr>
        <w:t>（</w:t>
      </w:r>
      <w:r>
        <w:rPr>
          <w:rFonts w:hint="eastAsia" w:ascii="宋体" w:hAnsi="宋体" w:eastAsia="宋体" w:cs="宋体"/>
          <w:highlight w:val="none"/>
        </w:rPr>
        <w:t>二</w:t>
      </w:r>
      <w:r>
        <w:rPr>
          <w:rFonts w:hint="eastAsia" w:ascii="宋体" w:hAnsi="宋体" w:eastAsia="宋体" w:cs="宋体"/>
          <w:highlight w:val="none"/>
          <w:lang w:val="zh-CN"/>
        </w:rPr>
        <w:t>）</w:t>
      </w:r>
      <w:r>
        <w:rPr>
          <w:rFonts w:hint="eastAsia" w:ascii="宋体" w:hAnsi="宋体" w:eastAsia="宋体" w:cs="宋体"/>
          <w:highlight w:val="none"/>
        </w:rPr>
        <w:t>下封层</w:t>
      </w:r>
    </w:p>
    <w:p w14:paraId="0DBEE5B0">
      <w:pPr>
        <w:ind w:firstLine="480"/>
        <w:rPr>
          <w:rFonts w:hint="eastAsia" w:ascii="宋体" w:hAnsi="宋体" w:eastAsia="宋体" w:cs="宋体"/>
          <w:highlight w:val="none"/>
          <w:lang w:val="zh-CN"/>
        </w:rPr>
      </w:pPr>
      <w:r>
        <w:rPr>
          <w:rFonts w:hint="eastAsia" w:ascii="宋体" w:hAnsi="宋体" w:eastAsia="宋体" w:cs="宋体"/>
          <w:highlight w:val="none"/>
          <w:lang w:val="zh-CN"/>
        </w:rPr>
        <w:t>1原材料的质量应符合《公路沥青路面施工技术规范》（JTGF40</w:t>
      </w:r>
      <w:r>
        <w:rPr>
          <w:rFonts w:hint="eastAsia" w:ascii="宋体" w:hAnsi="宋体" w:eastAsia="宋体" w:cs="宋体"/>
          <w:highlight w:val="none"/>
        </w:rPr>
        <w:t>-2017</w:t>
      </w:r>
      <w:r>
        <w:rPr>
          <w:rFonts w:hint="eastAsia" w:ascii="宋体" w:hAnsi="宋体" w:eastAsia="宋体" w:cs="宋体"/>
          <w:highlight w:val="none"/>
          <w:lang w:val="zh-CN"/>
        </w:rPr>
        <w:t>）相关规定。</w:t>
      </w:r>
    </w:p>
    <w:p w14:paraId="761C403E">
      <w:pPr>
        <w:ind w:firstLine="480"/>
        <w:rPr>
          <w:rFonts w:hint="eastAsia" w:ascii="宋体" w:hAnsi="宋体" w:eastAsia="宋体" w:cs="宋体"/>
          <w:lang w:val="zh-CN"/>
        </w:rPr>
      </w:pPr>
      <w:r>
        <w:rPr>
          <w:rFonts w:hint="eastAsia" w:ascii="宋体" w:hAnsi="宋体" w:eastAsia="宋体" w:cs="宋体"/>
          <w:highlight w:val="none"/>
          <w:lang w:val="zh-CN"/>
        </w:rPr>
        <w:t>2施工过程中应随时进行外观检查，确保材料洒</w:t>
      </w:r>
      <w:r>
        <w:rPr>
          <w:rFonts w:hint="eastAsia" w:ascii="宋体" w:hAnsi="宋体" w:eastAsia="宋体" w:cs="宋体"/>
          <w:lang w:val="zh-CN"/>
        </w:rPr>
        <w:t>（撤）布均匀，数量符合规定。发现不满足要求时应立即停止施工，采取措施后再恢复施工。</w:t>
      </w:r>
    </w:p>
    <w:p w14:paraId="7826F2A7">
      <w:pPr>
        <w:ind w:firstLine="480"/>
        <w:rPr>
          <w:rFonts w:hint="eastAsia" w:ascii="宋体" w:hAnsi="宋体" w:eastAsia="宋体" w:cs="宋体"/>
          <w:lang w:val="zh-CN"/>
        </w:rPr>
      </w:pPr>
      <w:r>
        <w:rPr>
          <w:rFonts w:hint="eastAsia" w:ascii="宋体" w:hAnsi="宋体" w:eastAsia="宋体" w:cs="宋体"/>
          <w:lang w:val="zh-CN"/>
        </w:rPr>
        <w:t>3施工过程中质量标准应符合《公路沥青路面施工技术规范》（JTGF40</w:t>
      </w:r>
      <w:r>
        <w:rPr>
          <w:rFonts w:hint="eastAsia" w:ascii="宋体" w:hAnsi="宋体" w:eastAsia="宋体" w:cs="宋体"/>
        </w:rPr>
        <w:t>-2017</w:t>
      </w:r>
      <w:r>
        <w:rPr>
          <w:rFonts w:hint="eastAsia" w:ascii="宋体" w:hAnsi="宋体" w:eastAsia="宋体" w:cs="宋体"/>
          <w:lang w:val="zh-CN"/>
        </w:rPr>
        <w:t>）要求。</w:t>
      </w:r>
    </w:p>
    <w:p w14:paraId="1F4622AE">
      <w:pPr>
        <w:ind w:firstLine="482"/>
        <w:rPr>
          <w:rFonts w:hint="eastAsia" w:ascii="宋体" w:hAnsi="宋体" w:eastAsia="宋体" w:cs="宋体"/>
          <w:b/>
          <w:bCs/>
        </w:rPr>
      </w:pPr>
      <w:bookmarkStart w:id="1288" w:name="_Toc14550"/>
      <w:bookmarkStart w:id="1289" w:name="_Toc29539"/>
      <w:bookmarkStart w:id="1290" w:name="_Toc7393"/>
      <w:bookmarkStart w:id="1291" w:name="_Toc20164"/>
      <w:r>
        <w:rPr>
          <w:rFonts w:hint="eastAsia" w:ascii="宋体" w:hAnsi="宋体" w:eastAsia="宋体" w:cs="宋体"/>
          <w:b/>
          <w:bCs/>
          <w:lang w:val="en-US" w:eastAsia="zh-CN"/>
        </w:rPr>
        <w:t>五</w:t>
      </w:r>
      <w:r>
        <w:rPr>
          <w:rFonts w:hint="eastAsia" w:ascii="宋体" w:hAnsi="宋体" w:eastAsia="宋体" w:cs="宋体"/>
          <w:b/>
          <w:bCs/>
        </w:rPr>
        <w:t>、沥青路面施工</w:t>
      </w:r>
      <w:bookmarkEnd w:id="1283"/>
      <w:bookmarkEnd w:id="1284"/>
      <w:bookmarkEnd w:id="1285"/>
      <w:bookmarkEnd w:id="1286"/>
      <w:bookmarkEnd w:id="1287"/>
      <w:bookmarkEnd w:id="1288"/>
      <w:bookmarkEnd w:id="1289"/>
      <w:bookmarkEnd w:id="1290"/>
      <w:bookmarkEnd w:id="1291"/>
    </w:p>
    <w:p w14:paraId="4AA1E9A4">
      <w:pPr>
        <w:ind w:firstLine="480"/>
        <w:rPr>
          <w:rFonts w:hint="eastAsia" w:ascii="宋体" w:hAnsi="宋体" w:eastAsia="宋体" w:cs="宋体"/>
        </w:rPr>
      </w:pPr>
      <w:r>
        <w:rPr>
          <w:rFonts w:hint="eastAsia" w:ascii="宋体" w:hAnsi="宋体" w:eastAsia="宋体" w:cs="宋体"/>
        </w:rPr>
        <w:t>在面层施工中，各部门应按施工前制定的原则在各部位严把质量关。面层施工前先进行试验段的施工，确定松铺系数以及施工设备配置是否合理。</w:t>
      </w:r>
    </w:p>
    <w:p w14:paraId="33C7E715">
      <w:pPr>
        <w:ind w:firstLine="480"/>
        <w:rPr>
          <w:rFonts w:hint="eastAsia" w:ascii="宋体" w:hAnsi="宋体" w:eastAsia="宋体" w:cs="宋体"/>
        </w:rPr>
      </w:pPr>
      <w:r>
        <w:rPr>
          <w:rFonts w:hint="eastAsia" w:ascii="宋体" w:hAnsi="宋体" w:eastAsia="宋体" w:cs="宋体"/>
        </w:rPr>
        <w:t>本工程使用厂拌沥青砼，其各种原材料需定期进行按规范和规程制定的质量检验，拌和厂应保证均衡连续送料。摊铺机具备自动找平功能。沥青面层应在不低于10</w:t>
      </w:r>
      <w:r>
        <w:rPr>
          <w:rFonts w:hint="eastAsia" w:ascii="宋体" w:hAnsi="宋体" w:eastAsia="宋体" w:cs="宋体"/>
          <w:vertAlign w:val="superscript"/>
          <w:lang w:val="en-US" w:eastAsia="zh-CN"/>
        </w:rPr>
        <w:t>.</w:t>
      </w:r>
      <w:r>
        <w:rPr>
          <w:rFonts w:hint="eastAsia" w:ascii="宋体" w:hAnsi="宋体" w:eastAsia="宋体" w:cs="宋体"/>
          <w:lang w:val="en-US" w:eastAsia="zh-CN"/>
        </w:rPr>
        <w:t>C</w:t>
      </w:r>
      <w:r>
        <w:rPr>
          <w:rFonts w:hint="eastAsia" w:ascii="宋体" w:hAnsi="宋体" w:eastAsia="宋体" w:cs="宋体"/>
        </w:rPr>
        <w:t>气温下进行施工，同时严禁雨天、路面潮湿的情况下施工。</w:t>
      </w:r>
    </w:p>
    <w:p w14:paraId="37E1432A">
      <w:pPr>
        <w:ind w:firstLine="480"/>
        <w:rPr>
          <w:rFonts w:hint="eastAsia" w:ascii="宋体" w:hAnsi="宋体" w:eastAsia="宋体" w:cs="宋体"/>
        </w:rPr>
      </w:pPr>
      <w:r>
        <w:rPr>
          <w:rFonts w:hint="eastAsia" w:ascii="宋体" w:hAnsi="宋体" w:eastAsia="宋体" w:cs="宋体"/>
        </w:rPr>
        <w:t>施工期间，应注意天气变化，已摊铺的沥青层因遇雨未进行压实的应予以铲除。雨天过后，等下卧层完全干燥后方可进行沥青面层的施工。</w:t>
      </w:r>
    </w:p>
    <w:p w14:paraId="66FE6F5B">
      <w:pPr>
        <w:numPr>
          <w:ilvl w:val="0"/>
          <w:numId w:val="14"/>
        </w:numPr>
        <w:ind w:firstLine="0" w:firstLineChars="0"/>
        <w:rPr>
          <w:rFonts w:hint="eastAsia" w:ascii="宋体" w:hAnsi="宋体" w:eastAsia="宋体" w:cs="宋体"/>
          <w:highlight w:val="none"/>
        </w:rPr>
      </w:pPr>
      <w:r>
        <w:rPr>
          <w:rFonts w:hint="eastAsia" w:ascii="宋体" w:hAnsi="宋体" w:eastAsia="宋体" w:cs="宋体"/>
          <w:b/>
          <w:bCs/>
          <w:highlight w:val="none"/>
        </w:rPr>
        <w:t>、施工工艺</w:t>
      </w:r>
    </w:p>
    <w:p w14:paraId="2D7C4C8D">
      <w:pPr>
        <w:pStyle w:val="22"/>
        <w:rPr>
          <w:rFonts w:hint="eastAsia" w:ascii="宋体" w:hAnsi="宋体" w:eastAsia="宋体" w:cs="宋体"/>
          <w:highlight w:val="yellow"/>
        </w:rPr>
      </w:pPr>
    </w:p>
    <w:p w14:paraId="058FA948">
      <w:pPr>
        <w:pStyle w:val="22"/>
        <w:rPr>
          <w:rFonts w:hint="eastAsia" w:ascii="宋体" w:hAnsi="宋体" w:eastAsia="宋体" w:cs="宋体"/>
        </w:rPr>
      </w:pPr>
      <w:r>
        <w:rPr>
          <w:rFonts w:hint="eastAsia" w:ascii="宋体" w:hAnsi="宋体" w:eastAsia="宋体" w:cs="宋体"/>
        </w:rPr>
        <mc:AlternateContent>
          <mc:Choice Requires="wpg">
            <w:drawing>
              <wp:anchor distT="0" distB="0" distL="114300" distR="114300" simplePos="0" relativeHeight="251732992" behindDoc="0" locked="0" layoutInCell="1" allowOverlap="1">
                <wp:simplePos x="0" y="0"/>
                <wp:positionH relativeFrom="column">
                  <wp:posOffset>515620</wp:posOffset>
                </wp:positionH>
                <wp:positionV relativeFrom="paragraph">
                  <wp:posOffset>48895</wp:posOffset>
                </wp:positionV>
                <wp:extent cx="4377690" cy="5111750"/>
                <wp:effectExtent l="5080" t="4445" r="6350" b="19685"/>
                <wp:wrapTopAndBottom/>
                <wp:docPr id="2295" name="组合 1241"/>
                <wp:cNvGraphicFramePr/>
                <a:graphic xmlns:a="http://schemas.openxmlformats.org/drawingml/2006/main">
                  <a:graphicData uri="http://schemas.microsoft.com/office/word/2010/wordprocessingGroup">
                    <wpg:wgp>
                      <wpg:cNvGrpSpPr/>
                      <wpg:grpSpPr>
                        <a:xfrm>
                          <a:off x="0" y="0"/>
                          <a:ext cx="4377690" cy="5111750"/>
                          <a:chOff x="2440" y="7431"/>
                          <a:chExt cx="6893" cy="6861"/>
                        </a:xfrm>
                      </wpg:grpSpPr>
                      <wps:wsp>
                        <wps:cNvPr id="1041" name="自选图形 2705"/>
                        <wps:cNvCnPr/>
                        <wps:spPr>
                          <a:xfrm flipH="1">
                            <a:off x="5870" y="10269"/>
                            <a:ext cx="2" cy="368"/>
                          </a:xfrm>
                          <a:prstGeom prst="straightConnector1">
                            <a:avLst/>
                          </a:prstGeom>
                          <a:ln w="3175" cap="flat" cmpd="sng">
                            <a:solidFill>
                              <a:srgbClr val="000000"/>
                            </a:solidFill>
                            <a:prstDash val="solid"/>
                            <a:headEnd type="none" w="med" len="med"/>
                            <a:tailEnd type="triangle" w="med" len="med"/>
                          </a:ln>
                        </wps:spPr>
                        <wps:bodyPr/>
                      </wps:wsp>
                      <wpg:grpSp>
                        <wpg:cNvPr id="2296" name="组合 1243"/>
                        <wpg:cNvGrpSpPr/>
                        <wpg:grpSpPr>
                          <a:xfrm>
                            <a:off x="2440" y="7431"/>
                            <a:ext cx="6893" cy="6861"/>
                            <a:chOff x="2440" y="7431"/>
                            <a:chExt cx="6893" cy="6861"/>
                          </a:xfrm>
                        </wpg:grpSpPr>
                        <wps:wsp>
                          <wps:cNvPr id="1042" name="文本框 289"/>
                          <wps:cNvSpPr txBox="1"/>
                          <wps:spPr>
                            <a:xfrm>
                              <a:off x="5033" y="9801"/>
                              <a:ext cx="176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154D325">
                                <w:pPr>
                                  <w:pStyle w:val="19"/>
                                </w:pPr>
                                <w:r>
                                  <w:rPr>
                                    <w:rFonts w:hint="eastAsia"/>
                                  </w:rPr>
                                  <w:t>摊铺机就位</w:t>
                                </w:r>
                              </w:p>
                            </w:txbxContent>
                          </wps:txbx>
                          <wps:bodyPr upright="1"/>
                        </wps:wsp>
                        <wps:wsp>
                          <wps:cNvPr id="1043" name="自选图形 2712"/>
                          <wps:cNvCnPr/>
                          <wps:spPr>
                            <a:xfrm flipH="1">
                              <a:off x="6843" y="10049"/>
                              <a:ext cx="623" cy="1"/>
                            </a:xfrm>
                            <a:prstGeom prst="straightConnector1">
                              <a:avLst/>
                            </a:prstGeom>
                            <a:ln w="3175" cap="flat" cmpd="sng">
                              <a:solidFill>
                                <a:srgbClr val="000000"/>
                              </a:solidFill>
                              <a:prstDash val="solid"/>
                              <a:headEnd type="none" w="med" len="med"/>
                              <a:tailEnd type="triangle" w="med" len="med"/>
                            </a:ln>
                          </wps:spPr>
                          <wps:bodyPr/>
                        </wps:wsp>
                        <wps:wsp>
                          <wps:cNvPr id="1044" name="文本框 2711"/>
                          <wps:cNvSpPr txBox="1"/>
                          <wps:spPr>
                            <a:xfrm>
                              <a:off x="7466" y="9850"/>
                              <a:ext cx="1763"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455E9CB">
                                <w:pPr>
                                  <w:pStyle w:val="19"/>
                                </w:pPr>
                                <w:r>
                                  <w:rPr>
                                    <w:rFonts w:hint="eastAsia"/>
                                  </w:rPr>
                                  <w:t>调整摊铺厚度生产</w:t>
                                </w:r>
                              </w:p>
                            </w:txbxContent>
                          </wps:txbx>
                          <wps:bodyPr upright="1"/>
                        </wps:wsp>
                        <wps:wsp>
                          <wps:cNvPr id="1045" name="文本框 294"/>
                          <wps:cNvSpPr txBox="1"/>
                          <wps:spPr>
                            <a:xfrm>
                              <a:off x="7470" y="10676"/>
                              <a:ext cx="1763"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34BB84D">
                                <w:pPr>
                                  <w:pStyle w:val="19"/>
                                </w:pPr>
                                <w:r>
                                  <w:rPr>
                                    <w:rFonts w:hint="eastAsia"/>
                                  </w:rPr>
                                  <w:t>调整摊铺厚度生产</w:t>
                                </w:r>
                              </w:p>
                            </w:txbxContent>
                          </wps:txbx>
                          <wps:bodyPr upright="1"/>
                        </wps:wsp>
                        <wps:wsp>
                          <wps:cNvPr id="1046" name="自选图形 2704"/>
                          <wps:cNvCnPr/>
                          <wps:spPr>
                            <a:xfrm flipH="1">
                              <a:off x="6826" y="10893"/>
                              <a:ext cx="625" cy="1"/>
                            </a:xfrm>
                            <a:prstGeom prst="straightConnector1">
                              <a:avLst/>
                            </a:prstGeom>
                            <a:ln w="3175" cap="flat" cmpd="sng">
                              <a:solidFill>
                                <a:srgbClr val="000000"/>
                              </a:solidFill>
                              <a:prstDash val="solid"/>
                              <a:headEnd type="none" w="med" len="med"/>
                              <a:tailEnd type="triangle" w="med" len="med"/>
                            </a:ln>
                          </wps:spPr>
                          <wps:bodyPr/>
                        </wps:wsp>
                        <wpg:grpSp>
                          <wpg:cNvPr id="2297" name="组合 1249"/>
                          <wpg:cNvGrpSpPr/>
                          <wpg:grpSpPr>
                            <a:xfrm>
                              <a:off x="2440" y="7431"/>
                              <a:ext cx="6893" cy="3635"/>
                              <a:chOff x="2440" y="7431"/>
                              <a:chExt cx="6893" cy="3635"/>
                            </a:xfrm>
                          </wpg:grpSpPr>
                          <wps:wsp>
                            <wps:cNvPr id="1047" name="文本框 286"/>
                            <wps:cNvSpPr txBox="1"/>
                            <wps:spPr>
                              <a:xfrm>
                                <a:off x="5044" y="7431"/>
                                <a:ext cx="1761"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2DE45B5">
                                  <w:pPr>
                                    <w:pStyle w:val="19"/>
                                  </w:pPr>
                                  <w:r>
                                    <w:rPr>
                                      <w:rFonts w:hint="eastAsia"/>
                                    </w:rPr>
                                    <w:t>施工准备工作</w:t>
                                  </w:r>
                                </w:p>
                              </w:txbxContent>
                            </wps:txbx>
                            <wps:bodyPr upright="1"/>
                          </wps:wsp>
                          <wps:wsp>
                            <wps:cNvPr id="1048" name="文本框 287"/>
                            <wps:cNvSpPr txBox="1"/>
                            <wps:spPr>
                              <a:xfrm>
                                <a:off x="7571" y="8140"/>
                                <a:ext cx="176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5FA9338">
                                  <w:pPr>
                                    <w:pStyle w:val="19"/>
                                  </w:pPr>
                                  <w:r>
                                    <w:rPr>
                                      <w:rFonts w:hint="eastAsia"/>
                                    </w:rPr>
                                    <w:t>调遣机械</w:t>
                                  </w:r>
                                </w:p>
                              </w:txbxContent>
                            </wps:txbx>
                            <wps:bodyPr upright="1"/>
                          </wps:wsp>
                          <wps:wsp>
                            <wps:cNvPr id="1049" name="文本框 288"/>
                            <wps:cNvSpPr txBox="1"/>
                            <wps:spPr>
                              <a:xfrm>
                                <a:off x="4980" y="9037"/>
                                <a:ext cx="176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2F2A66A">
                                  <w:pPr>
                                    <w:pStyle w:val="19"/>
                                  </w:pPr>
                                  <w:r>
                                    <w:rPr>
                                      <w:rFonts w:hint="eastAsia"/>
                                    </w:rPr>
                                    <w:t>测量放线</w:t>
                                  </w:r>
                                </w:p>
                              </w:txbxContent>
                            </wps:txbx>
                            <wps:bodyPr upright="1"/>
                          </wps:wsp>
                          <wps:wsp>
                            <wps:cNvPr id="1050" name="自选图形 297"/>
                            <wps:cNvCnPr>
                              <a:stCxn id="1052" idx="3"/>
                              <a:endCxn id="1048" idx="1"/>
                            </wps:cNvCnPr>
                            <wps:spPr>
                              <a:xfrm flipV="1">
                                <a:off x="4204" y="8374"/>
                                <a:ext cx="3368" cy="6"/>
                              </a:xfrm>
                              <a:prstGeom prst="straightConnector1">
                                <a:avLst/>
                              </a:prstGeom>
                              <a:ln w="3175" cap="flat" cmpd="sng">
                                <a:solidFill>
                                  <a:srgbClr val="000000"/>
                                </a:solidFill>
                                <a:prstDash val="solid"/>
                                <a:headEnd type="none" w="med" len="med"/>
                                <a:tailEnd type="triangle" w="med" len="med"/>
                              </a:ln>
                            </wps:spPr>
                            <wps:bodyPr/>
                          </wps:wsp>
                          <wps:wsp>
                            <wps:cNvPr id="1051" name="自选图形 298"/>
                            <wps:cNvCnPr/>
                            <wps:spPr>
                              <a:xfrm flipH="1">
                                <a:off x="5862" y="7899"/>
                                <a:ext cx="1" cy="1138"/>
                              </a:xfrm>
                              <a:prstGeom prst="straightConnector1">
                                <a:avLst/>
                              </a:prstGeom>
                              <a:ln w="3175" cap="flat" cmpd="sng">
                                <a:solidFill>
                                  <a:srgbClr val="000000"/>
                                </a:solidFill>
                                <a:prstDash val="solid"/>
                                <a:headEnd type="none" w="med" len="med"/>
                                <a:tailEnd type="triangle" w="med" len="med"/>
                              </a:ln>
                            </wps:spPr>
                            <wps:bodyPr/>
                          </wps:wsp>
                          <wpg:grpSp>
                            <wpg:cNvPr id="2298" name="组合 1255"/>
                            <wpg:cNvGrpSpPr/>
                            <wpg:grpSpPr>
                              <a:xfrm>
                                <a:off x="2440" y="8146"/>
                                <a:ext cx="1859" cy="2920"/>
                                <a:chOff x="2440" y="8146"/>
                                <a:chExt cx="1859" cy="2920"/>
                              </a:xfrm>
                            </wpg:grpSpPr>
                            <wps:wsp>
                              <wps:cNvPr id="1052" name="文本框 285"/>
                              <wps:cNvSpPr txBox="1"/>
                              <wps:spPr>
                                <a:xfrm>
                                  <a:off x="2441" y="8146"/>
                                  <a:ext cx="1763"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551D18D">
                                    <w:pPr>
                                      <w:pStyle w:val="19"/>
                                    </w:pPr>
                                    <w:r>
                                      <w:rPr>
                                        <w:rFonts w:hint="eastAsia"/>
                                      </w:rPr>
                                      <w:t>下承层验收</w:t>
                                    </w:r>
                                  </w:p>
                                </w:txbxContent>
                              </wps:txbx>
                              <wps:bodyPr upright="1"/>
                            </wps:wsp>
                            <wps:wsp>
                              <wps:cNvPr id="1053" name="自选图形 2701"/>
                              <wps:cNvCnPr/>
                              <wps:spPr>
                                <a:xfrm>
                                  <a:off x="2809" y="9505"/>
                                  <a:ext cx="0" cy="340"/>
                                </a:xfrm>
                                <a:prstGeom prst="straightConnector1">
                                  <a:avLst/>
                                </a:prstGeom>
                                <a:ln w="3175" cap="flat" cmpd="sng">
                                  <a:solidFill>
                                    <a:srgbClr val="000000"/>
                                  </a:solidFill>
                                  <a:prstDash val="solid"/>
                                  <a:headEnd type="none" w="med" len="med"/>
                                  <a:tailEnd type="triangle" w="med" len="med"/>
                                </a:ln>
                              </wps:spPr>
                              <wps:bodyPr/>
                            </wps:wsp>
                            <wps:wsp>
                              <wps:cNvPr id="1054" name="文本框 2700"/>
                              <wps:cNvSpPr txBox="1"/>
                              <wps:spPr>
                                <a:xfrm>
                                  <a:off x="3562" y="9798"/>
                                  <a:ext cx="737"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C3DBBED">
                                    <w:pPr>
                                      <w:pStyle w:val="19"/>
                                    </w:pPr>
                                    <w:r>
                                      <w:rPr>
                                        <w:rFonts w:hint="eastAsia"/>
                                      </w:rPr>
                                      <w:t>试车</w:t>
                                    </w:r>
                                  </w:p>
                                </w:txbxContent>
                              </wps:txbx>
                              <wps:bodyPr upright="1"/>
                            </wps:wsp>
                            <wps:wsp>
                              <wps:cNvPr id="1055" name="文本框 291"/>
                              <wps:cNvSpPr txBox="1"/>
                              <wps:spPr>
                                <a:xfrm>
                                  <a:off x="2440" y="9821"/>
                                  <a:ext cx="736"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D19583F">
                                    <w:pPr>
                                      <w:pStyle w:val="19"/>
                                    </w:pPr>
                                    <w:r>
                                      <w:rPr>
                                        <w:rFonts w:hint="eastAsia"/>
                                      </w:rPr>
                                      <w:t>运料</w:t>
                                    </w:r>
                                  </w:p>
                                </w:txbxContent>
                              </wps:txbx>
                              <wps:bodyPr upright="1"/>
                            </wps:wsp>
                            <wps:wsp>
                              <wps:cNvPr id="1056" name="文本框 296"/>
                              <wps:cNvSpPr txBox="1"/>
                              <wps:spPr>
                                <a:xfrm>
                                  <a:off x="2495" y="10598"/>
                                  <a:ext cx="176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BD4D68B">
                                    <w:pPr>
                                      <w:pStyle w:val="19"/>
                                      <w:jc w:val="center"/>
                                    </w:pPr>
                                    <w:r>
                                      <w:rPr>
                                        <w:rFonts w:hint="eastAsia"/>
                                      </w:rPr>
                                      <w:t>测油温</w:t>
                                    </w:r>
                                  </w:p>
                                </w:txbxContent>
                              </wps:txbx>
                              <wps:bodyPr upright="1"/>
                            </wps:wsp>
                            <wps:wsp>
                              <wps:cNvPr id="1057" name="自选图形 2697"/>
                              <wps:cNvCnPr/>
                              <wps:spPr>
                                <a:xfrm>
                                  <a:off x="2824" y="10248"/>
                                  <a:ext cx="0" cy="340"/>
                                </a:xfrm>
                                <a:prstGeom prst="straightConnector1">
                                  <a:avLst/>
                                </a:prstGeom>
                                <a:ln w="3175" cap="flat" cmpd="sng">
                                  <a:solidFill>
                                    <a:srgbClr val="000000"/>
                                  </a:solidFill>
                                  <a:prstDash val="solid"/>
                                  <a:headEnd type="none" w="med" len="med"/>
                                  <a:tailEnd type="triangle" w="med" len="med"/>
                                </a:ln>
                              </wps:spPr>
                              <wps:bodyPr/>
                            </wps:wsp>
                            <wps:wsp>
                              <wps:cNvPr id="1058" name="自选图形 2698"/>
                              <wps:cNvCnPr/>
                              <wps:spPr>
                                <a:xfrm>
                                  <a:off x="3981" y="9461"/>
                                  <a:ext cx="1" cy="340"/>
                                </a:xfrm>
                                <a:prstGeom prst="straightConnector1">
                                  <a:avLst/>
                                </a:prstGeom>
                                <a:ln w="3175" cap="flat" cmpd="sng">
                                  <a:solidFill>
                                    <a:srgbClr val="000000"/>
                                  </a:solidFill>
                                  <a:prstDash val="solid"/>
                                  <a:headEnd type="none" w="med" len="med"/>
                                  <a:tailEnd type="triangle" w="med" len="med"/>
                                </a:ln>
                              </wps:spPr>
                              <wps:bodyPr/>
                            </wps:wsp>
                            <wps:wsp>
                              <wps:cNvPr id="1059" name="文本框 290"/>
                              <wps:cNvSpPr txBox="1"/>
                              <wps:spPr>
                                <a:xfrm>
                                  <a:off x="2441" y="9008"/>
                                  <a:ext cx="1763"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B5FFAB3">
                                    <w:pPr>
                                      <w:pStyle w:val="19"/>
                                    </w:pPr>
                                    <w:r>
                                      <w:rPr>
                                        <w:rFonts w:hint="eastAsia"/>
                                      </w:rPr>
                                      <w:t>沥青厂混合料生产</w:t>
                                    </w:r>
                                  </w:p>
                                </w:txbxContent>
                              </wps:txbx>
                              <wps:bodyPr upright="1"/>
                            </wps:wsp>
                            <wps:wsp>
                              <wps:cNvPr id="1060" name="自选图形 299"/>
                              <wps:cNvCnPr/>
                              <wps:spPr>
                                <a:xfrm>
                                  <a:off x="3322" y="8614"/>
                                  <a:ext cx="2" cy="394"/>
                                </a:xfrm>
                                <a:prstGeom prst="straightConnector1">
                                  <a:avLst/>
                                </a:prstGeom>
                                <a:ln w="3175" cap="flat" cmpd="sng">
                                  <a:solidFill>
                                    <a:srgbClr val="000000"/>
                                  </a:solidFill>
                                  <a:prstDash val="solid"/>
                                  <a:headEnd type="none" w="med" len="med"/>
                                  <a:tailEnd type="triangle" w="med" len="med"/>
                                </a:ln>
                              </wps:spPr>
                              <wps:bodyPr/>
                            </wps:wsp>
                          </wpg:grpSp>
                        </wpg:grpSp>
                        <wps:wsp>
                          <wps:cNvPr id="1063" name="自选图形 2702"/>
                          <wps:cNvCnPr/>
                          <wps:spPr>
                            <a:xfrm>
                              <a:off x="4257" y="10832"/>
                              <a:ext cx="649" cy="1"/>
                            </a:xfrm>
                            <a:prstGeom prst="straightConnector1">
                              <a:avLst/>
                            </a:prstGeom>
                            <a:ln w="3175" cap="flat" cmpd="sng">
                              <a:solidFill>
                                <a:srgbClr val="000000"/>
                              </a:solidFill>
                              <a:prstDash val="solid"/>
                              <a:headEnd type="none" w="med" len="med"/>
                              <a:tailEnd type="triangle" w="med" len="med"/>
                            </a:ln>
                          </wps:spPr>
                          <wps:bodyPr/>
                        </wps:wsp>
                        <wps:wsp>
                          <wps:cNvPr id="1064" name="自选图形 2703"/>
                          <wps:cNvCnPr/>
                          <wps:spPr>
                            <a:xfrm flipH="1" flipV="1">
                              <a:off x="4299" y="10032"/>
                              <a:ext cx="734" cy="3"/>
                            </a:xfrm>
                            <a:prstGeom prst="straightConnector1">
                              <a:avLst/>
                            </a:prstGeom>
                            <a:ln w="3175" cap="flat" cmpd="sng">
                              <a:solidFill>
                                <a:srgbClr val="000000"/>
                              </a:solidFill>
                              <a:prstDash val="solid"/>
                              <a:headEnd type="none" w="med" len="med"/>
                              <a:tailEnd type="triangle" w="med" len="med"/>
                            </a:ln>
                          </wps:spPr>
                          <wps:bodyPr/>
                        </wps:wsp>
                        <wpg:grpSp>
                          <wpg:cNvPr id="2299" name="组合 1267"/>
                          <wpg:cNvGrpSpPr/>
                          <wpg:grpSpPr>
                            <a:xfrm>
                              <a:off x="4906" y="10637"/>
                              <a:ext cx="2040" cy="3655"/>
                              <a:chOff x="4906" y="10637"/>
                              <a:chExt cx="2040" cy="3655"/>
                            </a:xfrm>
                          </wpg:grpSpPr>
                          <wps:wsp>
                            <wps:cNvPr id="1065" name="文本框 293"/>
                            <wps:cNvSpPr txBox="1"/>
                            <wps:spPr>
                              <a:xfrm>
                                <a:off x="4906" y="10637"/>
                                <a:ext cx="1928"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CBF2CA4">
                                  <w:pPr>
                                    <w:pStyle w:val="19"/>
                                  </w:pPr>
                                  <w:r>
                                    <w:rPr>
                                      <w:rFonts w:hint="eastAsia"/>
                                    </w:rPr>
                                    <w:t>摊铺机摊铺</w:t>
                                  </w:r>
                                </w:p>
                              </w:txbxContent>
                            </wps:txbx>
                            <wps:bodyPr upright="1"/>
                          </wps:wsp>
                          <wps:wsp>
                            <wps:cNvPr id="1066" name="自选图形 2699"/>
                            <wps:cNvCnPr/>
                            <wps:spPr>
                              <a:xfrm>
                                <a:off x="5870" y="11105"/>
                                <a:ext cx="1" cy="366"/>
                              </a:xfrm>
                              <a:prstGeom prst="straightConnector1">
                                <a:avLst/>
                              </a:prstGeom>
                              <a:ln w="3175" cap="flat" cmpd="sng">
                                <a:solidFill>
                                  <a:srgbClr val="000000"/>
                                </a:solidFill>
                                <a:prstDash val="solid"/>
                                <a:headEnd type="none" w="med" len="med"/>
                                <a:tailEnd type="triangle" w="med" len="med"/>
                              </a:ln>
                            </wps:spPr>
                            <wps:bodyPr/>
                          </wps:wsp>
                          <wpg:grpSp>
                            <wpg:cNvPr id="2300" name="组合 1270"/>
                            <wpg:cNvGrpSpPr/>
                            <wpg:grpSpPr>
                              <a:xfrm>
                                <a:off x="4935" y="11460"/>
                                <a:ext cx="2011" cy="2832"/>
                                <a:chOff x="4935" y="11460"/>
                                <a:chExt cx="2011" cy="2832"/>
                              </a:xfrm>
                            </wpg:grpSpPr>
                            <wps:wsp>
                              <wps:cNvPr id="1067" name="文本框 2715"/>
                              <wps:cNvSpPr txBox="1"/>
                              <wps:spPr>
                                <a:xfrm>
                                  <a:off x="5034" y="13824"/>
                                  <a:ext cx="191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8D519FC">
                                    <w:pPr>
                                      <w:pStyle w:val="19"/>
                                    </w:pPr>
                                    <w:r>
                                      <w:rPr>
                                        <w:rFonts w:hint="eastAsia"/>
                                      </w:rPr>
                                      <w:t>胶轮压路机整形</w:t>
                                    </w:r>
                                  </w:p>
                                </w:txbxContent>
                              </wps:txbx>
                              <wps:bodyPr upright="1"/>
                            </wps:wsp>
                            <wps:wsp>
                              <wps:cNvPr id="1068" name="文本框 2713"/>
                              <wps:cNvSpPr txBox="1"/>
                              <wps:spPr>
                                <a:xfrm>
                                  <a:off x="4963" y="13088"/>
                                  <a:ext cx="1911"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44A71DB">
                                    <w:pPr>
                                      <w:pStyle w:val="19"/>
                                    </w:pPr>
                                    <w:r>
                                      <w:rPr>
                                        <w:rFonts w:hint="eastAsia"/>
                                      </w:rPr>
                                      <w:t>胶轮压路机整形</w:t>
                                    </w:r>
                                  </w:p>
                                </w:txbxContent>
                              </wps:txbx>
                              <wps:bodyPr upright="1"/>
                            </wps:wsp>
                            <wps:wsp>
                              <wps:cNvPr id="1069" name="文本框 292"/>
                              <wps:cNvSpPr txBox="1"/>
                              <wps:spPr>
                                <a:xfrm>
                                  <a:off x="4966" y="12267"/>
                                  <a:ext cx="191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CE5D376">
                                    <w:pPr>
                                      <w:pStyle w:val="19"/>
                                    </w:pPr>
                                    <w:r>
                                      <w:rPr>
                                        <w:rFonts w:hint="eastAsia"/>
                                      </w:rPr>
                                      <w:t>钢胶压路机复压</w:t>
                                    </w:r>
                                  </w:p>
                                </w:txbxContent>
                              </wps:txbx>
                              <wps:bodyPr upright="1"/>
                            </wps:wsp>
                            <wps:wsp>
                              <wps:cNvPr id="1070" name="文本框 295"/>
                              <wps:cNvSpPr txBox="1"/>
                              <wps:spPr>
                                <a:xfrm>
                                  <a:off x="4935" y="11460"/>
                                  <a:ext cx="1912"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100DC97">
                                    <w:pPr>
                                      <w:pStyle w:val="19"/>
                                    </w:pPr>
                                    <w:r>
                                      <w:rPr>
                                        <w:rFonts w:hint="eastAsia"/>
                                      </w:rPr>
                                      <w:t>钢轮压路机初压</w:t>
                                    </w:r>
                                  </w:p>
                                </w:txbxContent>
                              </wps:txbx>
                              <wps:bodyPr upright="1"/>
                            </wps:wsp>
                            <wps:wsp>
                              <wps:cNvPr id="1071" name="自选图形 2706"/>
                              <wps:cNvCnPr/>
                              <wps:spPr>
                                <a:xfrm flipH="1">
                                  <a:off x="5845" y="12704"/>
                                  <a:ext cx="2" cy="389"/>
                                </a:xfrm>
                                <a:prstGeom prst="straightConnector1">
                                  <a:avLst/>
                                </a:prstGeom>
                                <a:ln w="3175" cap="flat" cmpd="sng">
                                  <a:solidFill>
                                    <a:srgbClr val="000000"/>
                                  </a:solidFill>
                                  <a:prstDash val="solid"/>
                                  <a:headEnd type="none" w="med" len="med"/>
                                  <a:tailEnd type="triangle" w="med" len="med"/>
                                </a:ln>
                              </wps:spPr>
                              <wps:bodyPr/>
                            </wps:wsp>
                            <wps:wsp>
                              <wps:cNvPr id="1072" name="自选图形 2707"/>
                              <wps:cNvCnPr/>
                              <wps:spPr>
                                <a:xfrm>
                                  <a:off x="5799" y="11897"/>
                                  <a:ext cx="0" cy="390"/>
                                </a:xfrm>
                                <a:prstGeom prst="straightConnector1">
                                  <a:avLst/>
                                </a:prstGeom>
                                <a:ln w="3175" cap="flat" cmpd="sng">
                                  <a:solidFill>
                                    <a:srgbClr val="000000"/>
                                  </a:solidFill>
                                  <a:prstDash val="solid"/>
                                  <a:headEnd type="none" w="med" len="med"/>
                                  <a:tailEnd type="triangle" w="med" len="med"/>
                                </a:ln>
                              </wps:spPr>
                              <wps:bodyPr/>
                            </wps:wsp>
                            <wps:wsp>
                              <wps:cNvPr id="1073" name="自选图形 2714"/>
                              <wps:cNvCnPr/>
                              <wps:spPr>
                                <a:xfrm>
                                  <a:off x="5855" y="13548"/>
                                  <a:ext cx="1" cy="276"/>
                                </a:xfrm>
                                <a:prstGeom prst="straightConnector1">
                                  <a:avLst/>
                                </a:prstGeom>
                                <a:ln w="3175" cap="flat" cmpd="sng">
                                  <a:solidFill>
                                    <a:srgbClr val="000000"/>
                                  </a:solidFill>
                                  <a:prstDash val="solid"/>
                                  <a:headEnd type="none" w="med" len="med"/>
                                  <a:tailEnd type="triangle" w="med" len="med"/>
                                </a:ln>
                              </wps:spPr>
                              <wps:bodyPr/>
                            </wps:wsp>
                          </wpg:grpSp>
                        </wpg:grpSp>
                        <wps:wsp>
                          <wps:cNvPr id="1076" name="自选图形 2749"/>
                          <wps:cNvCnPr/>
                          <wps:spPr>
                            <a:xfrm>
                              <a:off x="5862" y="9505"/>
                              <a:ext cx="1" cy="296"/>
                            </a:xfrm>
                            <a:prstGeom prst="straightConnector1">
                              <a:avLst/>
                            </a:prstGeom>
                            <a:ln w="3175" cap="flat" cmpd="sng">
                              <a:solidFill>
                                <a:srgbClr val="000000"/>
                              </a:solidFill>
                              <a:prstDash val="solid"/>
                              <a:headEnd type="none" w="med" len="med"/>
                              <a:tailEnd type="triangle" w="med" len="med"/>
                            </a:ln>
                          </wps:spPr>
                          <wps:bodyPr/>
                        </wps:wsp>
                      </wpg:grpSp>
                    </wpg:wgp>
                  </a:graphicData>
                </a:graphic>
              </wp:anchor>
            </w:drawing>
          </mc:Choice>
          <mc:Fallback>
            <w:pict>
              <v:group id="组合 1241" o:spid="_x0000_s1026" o:spt="203" style="position:absolute;left:0pt;margin-left:40.6pt;margin-top:3.85pt;height:402.5pt;width:344.7pt;mso-wrap-distance-bottom:0pt;mso-wrap-distance-top:0pt;z-index:251732992;mso-width-relative:page;mso-height-relative:page;" coordorigin="2440,7431" coordsize="6893,6861" o:gfxdata="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">
                <o:lock v:ext="edit" aspectratio="f"/>
                <v:shape id="自选图形 2705" o:spid="_x0000_s1026" o:spt="32" type="#_x0000_t32" style="position:absolute;left:5870;top:10269;flip:x;height:368;width:2;" filled="f" stroked="t" coordsize="21600,21600" o:gfxdata="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quWvQAA&#10;AN0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shape>
                <v:group id="组合 1243" o:spid="_x0000_s1026" o:spt="203" style="position:absolute;left:2440;top:7431;height:6861;width:6893;" coordorigin="2440,7431" coordsize="6893,6861" o:gfxdata="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o+1iJvwAAAN0AAAAPAAAAAAAAAAEAIAAAACIAAABkcnMvZG93bnJldi54&#10;bWxQSwECFAAUAAAACACHTuJAMy8FnjsAAAA5AAAAFQAAAAAAAAABACAAAAAOAQAAZHJzL2dyb3Vw&#10;c2hhcGV4bWwueG1sUEsFBgAAAAAGAAYAYAEAAMsDAAAAAA==&#10;">
                  <o:lock v:ext="edit" aspectratio="f"/>
                  <v:shape id="文本框 289" o:spid="_x0000_s1026" o:spt="202" type="#_x0000_t202" style="position:absolute;left:5033;top:9801;height:468;width:1762;" fillcolor="#C6D9F1" filled="t" stroked="t" coordsize="21600,21600" o:gfxdata="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r6Bsb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2154D325">
                          <w:pPr>
                            <w:pStyle w:val="19"/>
                          </w:pPr>
                          <w:r>
                            <w:rPr>
                              <w:rFonts w:hint="eastAsia"/>
                            </w:rPr>
                            <w:t>摊铺机就位</w:t>
                          </w:r>
                        </w:p>
                      </w:txbxContent>
                    </v:textbox>
                  </v:shape>
                  <v:shape id="自选图形 2712" o:spid="_x0000_s1026" o:spt="32" type="#_x0000_t32" style="position:absolute;left:6843;top:10049;flip:x;height:1;width:623;" filled="f" stroked="t" coordsize="21600,21600" o:gfxdata="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DJB6vQAA&#10;AN0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shape>
                  <v:shape id="文本框 2711" o:spid="_x0000_s1026" o:spt="202" type="#_x0000_t202" style="position:absolute;left:7466;top:9850;height:468;width:1763;" fillcolor="#C6D9F1" filled="t" stroked="t" coordsize="21600,21600" o:gfxdata="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G7xe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1455E9CB">
                          <w:pPr>
                            <w:pStyle w:val="19"/>
                          </w:pPr>
                          <w:r>
                            <w:rPr>
                              <w:rFonts w:hint="eastAsia"/>
                            </w:rPr>
                            <w:t>调整摊铺厚度生产</w:t>
                          </w:r>
                        </w:p>
                      </w:txbxContent>
                    </v:textbox>
                  </v:shape>
                  <v:shape id="文本框 294" o:spid="_x0000_s1026" o:spt="202" type="#_x0000_t202" style="position:absolute;left:7470;top:10676;height:468;width:1763;" fillcolor="#C6D9F1" filled="t" stroked="t" coordsize="21600,21600" o:gfxdata="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VxnF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234BB84D">
                          <w:pPr>
                            <w:pStyle w:val="19"/>
                          </w:pPr>
                          <w:r>
                            <w:rPr>
                              <w:rFonts w:hint="eastAsia"/>
                            </w:rPr>
                            <w:t>调整摊铺厚度生产</w:t>
                          </w:r>
                        </w:p>
                      </w:txbxContent>
                    </v:textbox>
                  </v:shape>
                  <v:shape id="自选图形 2704" o:spid="_x0000_s1026" o:spt="32" type="#_x0000_t32" style="position:absolute;left:6826;top:10893;flip:x;height:1;width:625;" filled="f" stroked="t" coordsize="21600,21600" o:gfxdata="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F7M+K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group id="组合 1249" o:spid="_x0000_s1026" o:spt="203" style="position:absolute;left:2440;top:7431;height:3635;width:6893;" coordorigin="2440,7431" coordsize="6893,3635" o:gfxdata="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Ht/0SvwAAAN0AAAAPAAAAAAAAAAEAIAAAACIAAABkcnMvZG93bnJldi54&#10;bWxQSwECFAAUAAAACACHTuJAMy8FnjsAAAA5AAAAFQAAAAAAAAABACAAAAAOAQAAZHJzL2dyb3Vw&#10;c2hhcGV4bWwueG1sUEsFBgAAAAAGAAYAYAEAAMsDAAAAAA==&#10;">
                    <o:lock v:ext="edit" aspectratio="f"/>
                    <v:shape id="文本框 286" o:spid="_x0000_s1026" o:spt="202" type="#_x0000_t202" style="position:absolute;left:5044;top:7431;height:468;width:1761;" fillcolor="#C6D9F1" filled="t" stroked="t" coordsize="21600,21600" o:gfxdata="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ySIp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52DE45B5">
                            <w:pPr>
                              <w:pStyle w:val="19"/>
                            </w:pPr>
                            <w:r>
                              <w:rPr>
                                <w:rFonts w:hint="eastAsia"/>
                              </w:rPr>
                              <w:t>施工准备工作</w:t>
                            </w:r>
                          </w:p>
                        </w:txbxContent>
                      </v:textbox>
                    </v:shape>
                    <v:shape id="文本框 287" o:spid="_x0000_s1026" o:spt="202" type="#_x0000_t202" style="position:absolute;left:7571;top:8140;height:468;width:1762;" fillcolor="#C6D9F1" filled="t" stroked="t" coordsize="21600,21600" o:gfxdata="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Wtlu/&#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15FA9338">
                            <w:pPr>
                              <w:pStyle w:val="19"/>
                            </w:pPr>
                            <w:r>
                              <w:rPr>
                                <w:rFonts w:hint="eastAsia"/>
                              </w:rPr>
                              <w:t>调遣机械</w:t>
                            </w:r>
                          </w:p>
                        </w:txbxContent>
                      </v:textbox>
                    </v:shape>
                    <v:shape id="文本框 288" o:spid="_x0000_s1026" o:spt="202" type="#_x0000_t202" style="position:absolute;left:4980;top:9037;height:468;width:1762;" fillcolor="#C6D9F1" filled="t" stroked="t" coordsize="21600,21600" o:gfxdata="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GhPA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42F2A66A">
                            <w:pPr>
                              <w:pStyle w:val="19"/>
                            </w:pPr>
                            <w:r>
                              <w:rPr>
                                <w:rFonts w:hint="eastAsia"/>
                              </w:rPr>
                              <w:t>测量放线</w:t>
                            </w:r>
                          </w:p>
                        </w:txbxContent>
                      </v:textbox>
                    </v:shape>
                    <v:shape id="自选图形 297" o:spid="_x0000_s1026" o:spt="32" type="#_x0000_t32" style="position:absolute;left:4204;top:8374;flip:y;height:6;width:3368;" filled="f" stroked="t" coordsize="21600,21600" o:gfxdata="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AeY&#10;0MEAAADdAAAADwAAAAAAAAABACAAAAAiAAAAZHJzL2Rvd25yZXYueG1sUEsBAhQAFAAAAAgAh07i&#10;QDMvBZ47AAAAOQAAABAAAAAAAAAAAQAgAAAAEAEAAGRycy9zaGFwZXhtbC54bWxQSwUGAAAAAAYA&#10;BgBbAQAAugMAAAAA&#10;">
                      <v:fill on="f" focussize="0,0"/>
                      <v:stroke weight="0.25pt" color="#000000" joinstyle="round" endarrow="block"/>
                      <v:imagedata o:title=""/>
                      <o:lock v:ext="edit" aspectratio="f"/>
                    </v:shape>
                    <v:shape id="自选图形 298" o:spid="_x0000_s1026" o:spt="32" type="#_x0000_t32" style="position:absolute;left:5862;top:7899;flip:x;height:1138;width:1;" filled="f" stroked="t" coordsize="21600,21600" o:gfxdata="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Sz1LvQAA&#10;AN0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shape>
                    <v:group id="组合 1255" o:spid="_x0000_s1026" o:spt="203" style="position:absolute;left:2440;top:8146;height:2920;width:1859;" coordorigin="2440,8146" coordsize="1859,2920" o:gfxdata="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2KGlgvAAAAN0AAAAPAAAAAAAAAAEAIAAAACIAAABkcnMvZG93bnJldi54bWxQ&#10;SwECFAAUAAAACACHTuJAMy8FnjsAAAA5AAAAFQAAAAAAAAABACAAAAALAQAAZHJzL2dyb3Vwc2hh&#10;cGV4bWwueG1sUEsFBgAAAAAGAAYAYAEAAMgDAAAAAA==&#10;">
                      <o:lock v:ext="edit" aspectratio="f"/>
                      <v:shape id="文本框 285" o:spid="_x0000_s1026" o:spt="202" type="#_x0000_t202" style="position:absolute;left:2441;top:8146;height:468;width:1763;" fillcolor="#C6D9F1" filled="t" stroked="t" coordsize="21600,21600" o:gfxdata="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2cXbL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6551D18D">
                              <w:pPr>
                                <w:pStyle w:val="19"/>
                              </w:pPr>
                              <w:r>
                                <w:rPr>
                                  <w:rFonts w:hint="eastAsia"/>
                                </w:rPr>
                                <w:t>下承层验收</w:t>
                              </w:r>
                            </w:p>
                          </w:txbxContent>
                        </v:textbox>
                      </v:shape>
                      <v:shape id="自选图形 2701" o:spid="_x0000_s1026" o:spt="32" type="#_x0000_t32" style="position:absolute;left:2809;top:9505;height:340;width:0;" filled="f" stroked="t" coordsize="21600,21600" o:gfxdata="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OhR1K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文本框 2700" o:spid="_x0000_s1026" o:spt="202" type="#_x0000_t202" style="position:absolute;left:3562;top:9798;height:468;width:737;" fillcolor="#C6D9F1" filled="t" stroked="t" coordsize="21600,21600" o:gfxdata="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wiqD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2C3DBBED">
                              <w:pPr>
                                <w:pStyle w:val="19"/>
                              </w:pPr>
                              <w:r>
                                <w:rPr>
                                  <w:rFonts w:hint="eastAsia"/>
                                </w:rPr>
                                <w:t>试车</w:t>
                              </w:r>
                            </w:p>
                          </w:txbxContent>
                        </v:textbox>
                      </v:shape>
                      <v:shape id="文本框 291" o:spid="_x0000_s1026" o:spt="202" type="#_x0000_t202" style="position:absolute;left:2440;top:9821;height:468;width:736;" fillcolor="#C6D9F1" filled="t" stroked="t" coordsize="21600,21600" o:gfxdata="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jo8Y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1D19583F">
                              <w:pPr>
                                <w:pStyle w:val="19"/>
                              </w:pPr>
                              <w:r>
                                <w:rPr>
                                  <w:rFonts w:hint="eastAsia"/>
                                </w:rPr>
                                <w:t>运料</w:t>
                              </w:r>
                            </w:p>
                          </w:txbxContent>
                        </v:textbox>
                      </v:shape>
                      <v:shape id="文本框 296" o:spid="_x0000_s1026" o:spt="202" type="#_x0000_t202" style="position:absolute;left:2495;top:10598;height:468;width:1762;" fillcolor="#C6D9F1" filled="t" stroked="t" coordsize="21600,21600" o:gfxdata="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wRb7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6BD4D68B">
                              <w:pPr>
                                <w:pStyle w:val="19"/>
                                <w:jc w:val="center"/>
                              </w:pPr>
                              <w:r>
                                <w:rPr>
                                  <w:rFonts w:hint="eastAsia"/>
                                </w:rPr>
                                <w:t>测油温</w:t>
                              </w:r>
                            </w:p>
                          </w:txbxContent>
                        </v:textbox>
                      </v:shape>
                      <v:shape id="自选图形 2697" o:spid="_x0000_s1026" o:spt="32" type="#_x0000_t32" style="position:absolute;left:2824;top:10248;height:340;width:0;" filled="f" stroked="t" coordsize="21600,21600" o:gfxdata="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JpBUb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自选图形 2698" o:spid="_x0000_s1026" o:spt="32" type="#_x0000_t32" style="position:absolute;left:3981;top:9461;height:340;width:1;" filled="f" stroked="t" coordsize="21600,21600" o:gfxdata="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QXVI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shape>
                      <v:shape id="文本框 290" o:spid="_x0000_s1026" o:spt="202" type="#_x0000_t202" style="position:absolute;left:2441;top:9008;height:468;width:1763;" fillcolor="#C6D9F1" filled="t" stroked="t" coordsize="21600,21600" o:gfxdata="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w4Ud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5B5FFAB3">
                              <w:pPr>
                                <w:pStyle w:val="19"/>
                              </w:pPr>
                              <w:r>
                                <w:rPr>
                                  <w:rFonts w:hint="eastAsia"/>
                                </w:rPr>
                                <w:t>沥青厂混合料生产</w:t>
                              </w:r>
                            </w:p>
                          </w:txbxContent>
                        </v:textbox>
                      </v:shape>
                      <v:shape id="自选图形 299" o:spid="_x0000_s1026" o:spt="32" type="#_x0000_t32" style="position:absolute;left:3322;top:8614;height:394;width:2;" filled="f" stroked="t" coordsize="21600,21600" o:gfxdata="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HxOYvQAA&#10;AN0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shape>
                    </v:group>
                  </v:group>
                  <v:shape id="自选图形 2702" o:spid="_x0000_s1026" o:spt="32" type="#_x0000_t32" style="position:absolute;left:4257;top:10832;height:1;width:649;" filled="f" stroked="t" coordsize="21600,21600" o:gfxdata="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c2N77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shape id="自选图形 2703" o:spid="_x0000_s1026" o:spt="32" type="#_x0000_t32" style="position:absolute;left:4299;top:10032;flip:x y;height:3;width:734;" filled="f" stroked="t" coordsize="21600,21600" o:gfxdata="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HpZC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group id="组合 1267" o:spid="_x0000_s1026" o:spt="203" style="position:absolute;left:4906;top:10637;height:3655;width:2040;" coordorigin="4906,10637" coordsize="2040,3655" o:gfxdata="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BlkzPvBAAAA3QAAAA8AAAAAAAAAAQAgAAAAIgAAAGRycy9kb3ducmV2&#10;LnhtbFBLAQIUABQAAAAIAIdO4kAzLwWeOwAAADkAAAAVAAAAAAAAAAEAIAAAABABAABkcnMvZ3Jv&#10;dXBzaGFwZXhtbC54bWxQSwUGAAAAAAYABgBgAQAAzQMAAAAA&#10;">
                    <o:lock v:ext="edit" aspectratio="f"/>
                    <v:shape id="文本框 293" o:spid="_x0000_s1026" o:spt="202" type="#_x0000_t202" style="position:absolute;left:4906;top:10637;height:468;width:1928;" fillcolor="#C6D9F1" filled="t" stroked="t" coordsize="21600,21600" o:gfxdata="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JFpb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0CBF2CA4">
                            <w:pPr>
                              <w:pStyle w:val="19"/>
                            </w:pPr>
                            <w:r>
                              <w:rPr>
                                <w:rFonts w:hint="eastAsia"/>
                              </w:rPr>
                              <w:t>摊铺机摊铺</w:t>
                            </w:r>
                          </w:p>
                        </w:txbxContent>
                      </v:textbox>
                    </v:shape>
                    <v:shape id="自选图形 2699" o:spid="_x0000_s1026" o:spt="32" type="#_x0000_t32" style="position:absolute;left:5870;top:11105;height:366;width:1;" filled="f" stroked="t" coordsize="21600,21600" o:gfxdata="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ui53ugAAAN0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shape>
                    <v:group id="组合 1270" o:spid="_x0000_s1026" o:spt="203" style="position:absolute;left:4935;top:11460;height:2832;width:2011;" coordorigin="4935,11460" coordsize="2011,2832" o:gfxdata="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rX/fL0AAADdAAAADwAAAAAAAAABACAAAAAiAAAAZHJzL2Rvd25yZXYueG1s&#10;UEsBAhQAFAAAAAgAh07iQDMvBZ47AAAAOQAAABUAAAAAAAAAAQAgAAAADAEAAGRycy9ncm91cHNo&#10;YXBleG1sLnhtbFBLBQYAAAAABgAGAGABAADJAwAAAAA=&#10;">
                      <o:lock v:ext="edit" aspectratio="f"/>
                      <v:shape id="文本框 2715" o:spid="_x0000_s1026" o:spt="202" type="#_x0000_t202" style="position:absolute;left:5034;top:13824;height:468;width:1912;" fillcolor="#C6D9F1" filled="t" stroked="t" coordsize="21600,21600" o:gfxdata="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Xx+Sb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08D519FC">
                              <w:pPr>
                                <w:pStyle w:val="19"/>
                              </w:pPr>
                              <w:r>
                                <w:rPr>
                                  <w:rFonts w:hint="eastAsia"/>
                                </w:rPr>
                                <w:t>胶轮压路机整形</w:t>
                              </w:r>
                            </w:p>
                          </w:txbxContent>
                        </v:textbox>
                      </v:shape>
                      <v:shape id="文本框 2713" o:spid="_x0000_s1026" o:spt="202" type="#_x0000_t202" style="position:absolute;left:4963;top:13088;height:468;width:1911;" fillcolor="#C6D9F1" filled="t" stroked="t" coordsize="21600,21600" o:gfxdata="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OPqO74A&#10;AADd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744A71DB">
                              <w:pPr>
                                <w:pStyle w:val="19"/>
                              </w:pPr>
                              <w:r>
                                <w:rPr>
                                  <w:rFonts w:hint="eastAsia"/>
                                </w:rPr>
                                <w:t>胶轮压路机整形</w:t>
                              </w:r>
                            </w:p>
                          </w:txbxContent>
                        </v:textbox>
                      </v:shape>
                      <v:shape id="文本框 292" o:spid="_x0000_s1026" o:spt="202" type="#_x0000_t202" style="position:absolute;left:4966;top:12267;height:468;width:1912;" fillcolor="#C6D9F1" filled="t" stroked="t" coordsize="21600,21600" o:gfxdata="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69PoL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1CE5D376">
                              <w:pPr>
                                <w:pStyle w:val="19"/>
                              </w:pPr>
                              <w:r>
                                <w:rPr>
                                  <w:rFonts w:hint="eastAsia"/>
                                </w:rPr>
                                <w:t>钢胶压路机复压</w:t>
                              </w:r>
                            </w:p>
                          </w:txbxContent>
                        </v:textbox>
                      </v:shape>
                      <v:shape id="文本框 295" o:spid="_x0000_s1026" o:spt="202" type="#_x0000_t202" style="position:absolute;left:4935;top:11460;height:468;width:1912;" fillcolor="#C6D9F1" filled="t" stroked="t" coordsize="21600,21600" o:gfxdata="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McOC/&#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2100DC97">
                              <w:pPr>
                                <w:pStyle w:val="19"/>
                              </w:pPr>
                              <w:r>
                                <w:rPr>
                                  <w:rFonts w:hint="eastAsia"/>
                                </w:rPr>
                                <w:t>钢轮压路机初压</w:t>
                              </w:r>
                            </w:p>
                          </w:txbxContent>
                        </v:textbox>
                      </v:shape>
                      <v:shape id="自选图形 2706" o:spid="_x0000_s1026" o:spt="32" type="#_x0000_t32" style="position:absolute;left:5845;top:12704;flip:x;height:389;width:2;" filled="f" stroked="t" coordsize="21600,21600" o:gfxdata="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mErvQAA&#10;AN0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shape>
                      <v:shape id="自选图形 2707" o:spid="_x0000_s1026" o:spt="32" type="#_x0000_t32" style="position:absolute;left:5799;top:11897;height:390;width:0;" filled="f" stroked="t" coordsize="21600,21600" o:gfxdata="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Yvqm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shape id="自选图形 2714" o:spid="_x0000_s1026" o:spt="32" type="#_x0000_t32" style="position:absolute;left:5855;top:13548;height:276;width:1;" filled="f" stroked="t" coordsize="21600,21600" o:gfxdata="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UGzK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shape>
                    </v:group>
                  </v:group>
                  <v:shape id="自选图形 2749" o:spid="_x0000_s1026" o:spt="32" type="#_x0000_t32" style="position:absolute;left:5862;top:9505;height:296;width:1;" filled="f" stroked="t" coordsize="21600,21600" o:gfxdata="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O4qrsAAADd&#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shape>
                </v:group>
                <w10:wrap type="topAndBottom"/>
              </v:group>
            </w:pict>
          </mc:Fallback>
        </mc:AlternateContent>
      </w:r>
    </w:p>
    <w:p w14:paraId="583E492E">
      <w:pPr>
        <w:ind w:firstLine="482"/>
        <w:rPr>
          <w:rFonts w:hint="eastAsia" w:ascii="宋体" w:hAnsi="宋体" w:eastAsia="宋体" w:cs="宋体"/>
          <w:b/>
          <w:bCs/>
        </w:rPr>
      </w:pPr>
      <w:r>
        <w:rPr>
          <w:rFonts w:hint="eastAsia" w:ascii="宋体" w:hAnsi="宋体" w:eastAsia="宋体" w:cs="宋体"/>
          <w:b/>
          <w:bCs/>
        </w:rPr>
        <w:t>（二）其他要求</w:t>
      </w:r>
    </w:p>
    <w:p w14:paraId="3FF3CD3B">
      <w:pPr>
        <w:ind w:firstLine="480"/>
        <w:rPr>
          <w:rFonts w:hint="eastAsia" w:ascii="宋体" w:hAnsi="宋体" w:eastAsia="宋体" w:cs="宋体"/>
        </w:rPr>
      </w:pPr>
      <w:r>
        <w:rPr>
          <w:rFonts w:hint="eastAsia" w:ascii="宋体" w:hAnsi="宋体" w:eastAsia="宋体" w:cs="宋体"/>
        </w:rPr>
        <w:t>拌料结束后，用拌和楼打印的各种材料的数量，以总量控制，以各仓用量及各仓级配计算平均施工级配、油石比与施工厚度和燃烧炉结果进行校核。</w:t>
      </w:r>
    </w:p>
    <w:p w14:paraId="614131E6">
      <w:pPr>
        <w:ind w:firstLine="480"/>
        <w:rPr>
          <w:rFonts w:hint="eastAsia" w:ascii="宋体" w:hAnsi="宋体" w:eastAsia="宋体" w:cs="宋体"/>
        </w:rPr>
      </w:pPr>
      <w:r>
        <w:rPr>
          <w:rFonts w:hint="eastAsia" w:ascii="宋体" w:hAnsi="宋体" w:eastAsia="宋体" w:cs="宋体"/>
        </w:rPr>
        <w:t>沥青混合料的摊铺：摊铺前，首先对下承层进行清扫。本合同段半幅施工采取一台摊铺机进行摊铺，摊铺采用戴纳派克摊铺机，配有自动调节摊铺厚度及自动找平的装置，以及可加热振动熨平板和振动夯等初步压实装置，摊铺速度为2-3m/min。</w:t>
      </w:r>
    </w:p>
    <w:p w14:paraId="3FBF35D7">
      <w:pPr>
        <w:ind w:firstLine="480"/>
        <w:rPr>
          <w:rFonts w:hint="eastAsia" w:ascii="宋体" w:hAnsi="宋体" w:eastAsia="宋体" w:cs="宋体"/>
        </w:rPr>
      </w:pPr>
      <w:r>
        <w:rPr>
          <w:rFonts w:hint="eastAsia" w:ascii="宋体" w:hAnsi="宋体" w:eastAsia="宋体" w:cs="宋体"/>
        </w:rPr>
        <w:t>摊铺前熨平板应预热至少一小时以上，达到规定温度，且熨平板必须拼接紧密，不许存在缝隙，防止卡入粒料将摊铺面拉出条痕。经摊铺机初步压实的摊铺层应符合平整度、横坡的规定要求。</w:t>
      </w:r>
    </w:p>
    <w:p w14:paraId="06F83EB7">
      <w:pPr>
        <w:ind w:firstLine="480"/>
        <w:rPr>
          <w:rFonts w:hint="eastAsia" w:ascii="宋体" w:hAnsi="宋体" w:eastAsia="宋体" w:cs="宋体"/>
        </w:rPr>
      </w:pPr>
      <w:r>
        <w:rPr>
          <w:rFonts w:hint="eastAsia" w:ascii="宋体" w:hAnsi="宋体" w:eastAsia="宋体" w:cs="宋体"/>
        </w:rPr>
        <w:t>正常施工，现场设专人检测温度及厚度，摊铺温度不低于160℃。</w:t>
      </w:r>
    </w:p>
    <w:p w14:paraId="294BFDFE">
      <w:pPr>
        <w:ind w:firstLine="480"/>
        <w:rPr>
          <w:rFonts w:hint="eastAsia" w:ascii="宋体" w:hAnsi="宋体" w:eastAsia="宋体" w:cs="宋体"/>
        </w:rPr>
      </w:pPr>
      <w:r>
        <w:rPr>
          <w:rFonts w:hint="eastAsia" w:ascii="宋体" w:hAnsi="宋体" w:eastAsia="宋体" w:cs="宋体"/>
        </w:rPr>
        <w:t>沥青混合料必须缓慢、均匀、连续不间断地摊铺，摊铺过程中不得随意变换速度或中途停顿。</w:t>
      </w:r>
    </w:p>
    <w:p w14:paraId="45063B63">
      <w:pPr>
        <w:ind w:firstLine="480"/>
        <w:rPr>
          <w:rFonts w:hint="eastAsia" w:ascii="宋体" w:hAnsi="宋体" w:eastAsia="宋体" w:cs="宋体"/>
        </w:rPr>
      </w:pPr>
      <w:r>
        <w:rPr>
          <w:rFonts w:hint="eastAsia" w:ascii="宋体" w:hAnsi="宋体" w:eastAsia="宋体" w:cs="宋体"/>
        </w:rPr>
        <w:t>在铺筑过程中，摊铺机螺旋送料器应不停顿地转动，两侧应保持有不少于送料器高度2/3的混合料，使熨平板的挡板前混合料的高度在全宽范围内保持一致，并保证在摊铺机全宽度断面上不发生离析。如发生离析，应及时人工找补或换填。</w:t>
      </w:r>
    </w:p>
    <w:p w14:paraId="1E6E342E">
      <w:pPr>
        <w:ind w:firstLine="480"/>
        <w:rPr>
          <w:rFonts w:hint="eastAsia" w:ascii="宋体" w:hAnsi="宋体" w:eastAsia="宋体" w:cs="宋体"/>
        </w:rPr>
      </w:pPr>
      <w:r>
        <w:rPr>
          <w:rFonts w:hint="eastAsia" w:ascii="宋体" w:hAnsi="宋体" w:eastAsia="宋体" w:cs="宋体"/>
        </w:rPr>
        <w:t>沥青混合料压实应紧跟在摊铺后，温度较高的情况下尽快完成，碾压时遵循“高频、低幅、紧跟、慢压、少水、高温”，“由外到内、由低向高”的原则，即压路机应采用高振频低振幅的方式，碾压时向前紧跟到摊铺机跟前时再返回，行驶速度应慢速、匀速，洒水量以不粘轮为准。复压温度控制在160℃，终压终了不低于90℃。碾压过程中设专人测量复压温度、终压温度，并做好记录。对复压、终压段落要设置明显标志，做到无漏压、超压。边缘部位多压2－3遍。</w:t>
      </w:r>
    </w:p>
    <w:p w14:paraId="4BC3D0DE">
      <w:pPr>
        <w:ind w:firstLine="482"/>
        <w:rPr>
          <w:rFonts w:hint="eastAsia" w:ascii="宋体" w:hAnsi="宋体" w:eastAsia="宋体" w:cs="宋体"/>
          <w:b/>
          <w:bCs/>
        </w:rPr>
      </w:pPr>
      <w:r>
        <w:rPr>
          <w:rFonts w:hint="eastAsia" w:ascii="宋体" w:hAnsi="宋体" w:eastAsia="宋体" w:cs="宋体"/>
          <w:b/>
          <w:bCs/>
        </w:rPr>
        <w:t>（三）沥青混合料摊铺技术及质量控制：</w:t>
      </w:r>
    </w:p>
    <w:p w14:paraId="39E134CC">
      <w:pPr>
        <w:ind w:firstLine="480"/>
        <w:rPr>
          <w:rFonts w:hint="eastAsia" w:ascii="宋体" w:hAnsi="宋体" w:eastAsia="宋体" w:cs="宋体"/>
        </w:rPr>
      </w:pPr>
      <w:r>
        <w:rPr>
          <w:rFonts w:hint="eastAsia" w:ascii="宋体" w:hAnsi="宋体" w:eastAsia="宋体" w:cs="宋体"/>
        </w:rPr>
        <w:t>1、混合料摊铺并对水泥稳定层进行检查，如发现因车辆等其他因素产生损坏的地方应及时维修，清除水泥稳定层表面的浮灰和杂物，各项验收质量指标要达到规范要求方可进行摊铺。</w:t>
      </w:r>
    </w:p>
    <w:p w14:paraId="62C4C150">
      <w:pPr>
        <w:ind w:firstLine="480"/>
        <w:rPr>
          <w:rFonts w:hint="eastAsia" w:ascii="宋体" w:hAnsi="宋体" w:eastAsia="宋体" w:cs="宋体"/>
          <w:lang w:val="zh-CN"/>
        </w:rPr>
      </w:pPr>
      <w:r>
        <w:rPr>
          <w:rFonts w:hint="eastAsia" w:ascii="宋体" w:hAnsi="宋体" w:eastAsia="宋体" w:cs="宋体"/>
          <w:lang w:val="zh-CN"/>
        </w:rPr>
        <w:t>2、混合料摊铺应缓慢、均匀、连续不断的进行，中途不宜停顿。为了保证摊铺机连续作业，必须保证材料供应及时。因此必须配备足够的运料车辆。碾压速度应符合《公路沥青路面施工技术规范》（JTGF40-</w:t>
      </w:r>
      <w:r>
        <w:rPr>
          <w:rFonts w:hint="eastAsia" w:ascii="宋体" w:hAnsi="宋体" w:eastAsia="宋体" w:cs="宋体"/>
        </w:rPr>
        <w:t>2017</w:t>
      </w:r>
      <w:r>
        <w:rPr>
          <w:rFonts w:hint="eastAsia" w:ascii="宋体" w:hAnsi="宋体" w:eastAsia="宋体" w:cs="宋体"/>
          <w:lang w:val="zh-CN"/>
        </w:rPr>
        <w:t>）的规定。</w:t>
      </w:r>
    </w:p>
    <w:p w14:paraId="49BCF6C9">
      <w:pPr>
        <w:ind w:firstLine="480"/>
        <w:rPr>
          <w:rFonts w:hint="eastAsia" w:ascii="宋体" w:hAnsi="宋体" w:eastAsia="宋体" w:cs="宋体"/>
          <w:lang w:val="zh-CN"/>
        </w:rPr>
      </w:pPr>
      <w:r>
        <w:rPr>
          <w:rFonts w:hint="eastAsia" w:ascii="宋体" w:hAnsi="宋体" w:eastAsia="宋体" w:cs="宋体"/>
          <w:lang w:val="zh-CN"/>
        </w:rPr>
        <w:t>3、摊铺</w:t>
      </w:r>
    </w:p>
    <w:p w14:paraId="041F229F">
      <w:pPr>
        <w:ind w:firstLine="480"/>
        <w:rPr>
          <w:rFonts w:hint="eastAsia" w:ascii="宋体" w:hAnsi="宋体" w:eastAsia="宋体" w:cs="宋体"/>
          <w:lang w:val="zh-CN"/>
        </w:rPr>
      </w:pPr>
      <w:r>
        <w:rPr>
          <w:rFonts w:hint="eastAsia" w:ascii="宋体" w:hAnsi="宋体" w:eastAsia="宋体" w:cs="宋体"/>
          <w:lang w:val="zh-CN"/>
        </w:rPr>
        <w:t>摊铺应与道牙保持10cm间隙，由人工找补，防止机械压坏道牙。在交叉口摊铺机不便摊铺的拐角小范围内，配以人工摊铺。经摊铺机初步压实的摊铺导应符合平整度和横坡的要求，用三米直尺检查，发现问题及时纠正。</w:t>
      </w:r>
    </w:p>
    <w:p w14:paraId="78540AE7">
      <w:pPr>
        <w:ind w:firstLine="480"/>
        <w:rPr>
          <w:rFonts w:hint="eastAsia" w:ascii="宋体" w:hAnsi="宋体" w:eastAsia="宋体" w:cs="宋体"/>
          <w:lang w:val="zh-CN"/>
        </w:rPr>
      </w:pPr>
      <w:r>
        <w:rPr>
          <w:rFonts w:hint="eastAsia" w:ascii="宋体" w:hAnsi="宋体" w:eastAsia="宋体" w:cs="宋体"/>
          <w:lang w:val="zh-CN"/>
        </w:rPr>
        <w:t>4、接茬处理</w:t>
      </w:r>
    </w:p>
    <w:p w14:paraId="702E3919">
      <w:pPr>
        <w:ind w:firstLine="480"/>
        <w:rPr>
          <w:rFonts w:hint="eastAsia" w:ascii="宋体" w:hAnsi="宋体" w:eastAsia="宋体" w:cs="宋体"/>
          <w:lang w:val="zh-CN"/>
        </w:rPr>
      </w:pPr>
      <w:r>
        <w:rPr>
          <w:rFonts w:hint="eastAsia" w:ascii="宋体" w:hAnsi="宋体" w:eastAsia="宋体" w:cs="宋体"/>
          <w:lang w:val="zh-CN"/>
        </w:rPr>
        <w:t>前后两条摊铺带横向接茬质量的好坏对路面的平整度影响很大，它比纵向接茬对汽车行驶速度和舒适性的影响更大。</w:t>
      </w:r>
    </w:p>
    <w:p w14:paraId="4C985365">
      <w:pPr>
        <w:ind w:firstLine="480"/>
        <w:rPr>
          <w:rFonts w:hint="eastAsia" w:ascii="宋体" w:hAnsi="宋体" w:eastAsia="宋体" w:cs="宋体"/>
          <w:lang w:val="zh-CN"/>
        </w:rPr>
      </w:pPr>
      <w:r>
        <w:rPr>
          <w:rFonts w:hint="eastAsia" w:ascii="宋体" w:hAnsi="宋体" w:eastAsia="宋体" w:cs="宋体"/>
          <w:lang w:val="zh-CN"/>
        </w:rPr>
        <w:t>处理好横接茬的一个基本原则是，要将第一条摊铺带的尽头边缘锯成垂直面，与纵向边缘成直角，并在接茬处涂刷浮化沥青或粘结油。</w:t>
      </w:r>
    </w:p>
    <w:p w14:paraId="0E98381C">
      <w:pPr>
        <w:ind w:firstLine="480"/>
        <w:rPr>
          <w:rFonts w:hint="eastAsia" w:ascii="宋体" w:hAnsi="宋体" w:eastAsia="宋体" w:cs="宋体"/>
          <w:lang w:val="zh-CN"/>
        </w:rPr>
      </w:pPr>
      <w:r>
        <w:rPr>
          <w:rFonts w:hint="eastAsia" w:ascii="宋体" w:hAnsi="宋体" w:eastAsia="宋体" w:cs="宋体"/>
          <w:lang w:val="zh-CN"/>
        </w:rPr>
        <w:t>（3）、厚度检测</w:t>
      </w:r>
    </w:p>
    <w:p w14:paraId="52CA63BF">
      <w:pPr>
        <w:ind w:firstLine="480"/>
        <w:rPr>
          <w:rFonts w:hint="eastAsia" w:ascii="宋体" w:hAnsi="宋体" w:eastAsia="宋体" w:cs="宋体"/>
          <w:lang w:val="zh-CN"/>
        </w:rPr>
      </w:pPr>
      <w:r>
        <w:rPr>
          <w:rFonts w:hint="eastAsia" w:ascii="宋体" w:hAnsi="宋体" w:eastAsia="宋体" w:cs="宋体"/>
          <w:lang w:val="zh-CN"/>
        </w:rPr>
        <w:t>摊铺机在摊铺过程中，应经常检测虚铺厚度。</w:t>
      </w:r>
    </w:p>
    <w:p w14:paraId="16EE8B74">
      <w:pPr>
        <w:ind w:firstLine="480"/>
        <w:rPr>
          <w:rFonts w:hint="eastAsia" w:ascii="宋体" w:hAnsi="宋体" w:eastAsia="宋体" w:cs="宋体"/>
          <w:lang w:val="zh-CN"/>
        </w:rPr>
      </w:pPr>
      <w:r>
        <w:rPr>
          <w:rFonts w:hint="eastAsia" w:ascii="宋体" w:hAnsi="宋体" w:eastAsia="宋体" w:cs="宋体"/>
          <w:lang w:val="zh-CN"/>
        </w:rPr>
        <w:t>（4）、外观检测</w:t>
      </w:r>
    </w:p>
    <w:p w14:paraId="5847D6AD">
      <w:pPr>
        <w:ind w:firstLine="480"/>
        <w:rPr>
          <w:rFonts w:hint="eastAsia" w:ascii="宋体" w:hAnsi="宋体" w:eastAsia="宋体" w:cs="宋体"/>
          <w:lang w:val="zh-CN"/>
        </w:rPr>
      </w:pPr>
      <w:r>
        <w:rPr>
          <w:rFonts w:hint="eastAsia" w:ascii="宋体" w:hAnsi="宋体" w:eastAsia="宋体" w:cs="宋体"/>
          <w:lang w:val="zh-CN"/>
        </w:rPr>
        <w:t>未压实混合料的表面结构无论是纵向或横向都应均匀、密实、平整、无撕裂、小波浪、局部粗糙、拉沟等现象，否则，应查明原因，及时处理。</w:t>
      </w:r>
    </w:p>
    <w:p w14:paraId="72DA58E6">
      <w:pPr>
        <w:ind w:firstLine="482"/>
        <w:rPr>
          <w:rFonts w:hint="eastAsia" w:ascii="宋体" w:hAnsi="宋体" w:eastAsia="宋体" w:cs="宋体"/>
          <w:b/>
          <w:bCs/>
          <w:lang w:val="zh-CN"/>
        </w:rPr>
      </w:pPr>
      <w:r>
        <w:rPr>
          <w:rFonts w:hint="eastAsia" w:ascii="宋体" w:hAnsi="宋体" w:eastAsia="宋体" w:cs="宋体"/>
          <w:b/>
          <w:bCs/>
          <w:lang w:val="zh-CN"/>
        </w:rPr>
        <w:t>（四）沥青混合料的碾压：</w:t>
      </w:r>
    </w:p>
    <w:p w14:paraId="1EA3AF7D">
      <w:pPr>
        <w:ind w:firstLine="480"/>
        <w:rPr>
          <w:rFonts w:hint="eastAsia" w:ascii="宋体" w:hAnsi="宋体" w:eastAsia="宋体" w:cs="宋体"/>
          <w:lang w:val="zh-CN"/>
        </w:rPr>
      </w:pPr>
      <w:r>
        <w:rPr>
          <w:rFonts w:hint="eastAsia" w:ascii="宋体" w:hAnsi="宋体" w:eastAsia="宋体" w:cs="宋体"/>
          <w:lang w:val="zh-CN"/>
        </w:rPr>
        <w:t>碾压过程是面层施工中的重要环节，合理的选择压路机组合方式及碾压步骤，沥青混合料压实采用钢筒式静态压路机、振动压路机、胶轮压路机组合。压路机类型及数量参照下表。</w:t>
      </w:r>
    </w:p>
    <w:tbl>
      <w:tblPr>
        <w:tblStyle w:val="47"/>
        <w:tblW w:w="0" w:type="auto"/>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135"/>
        <w:gridCol w:w="2138"/>
        <w:gridCol w:w="2043"/>
        <w:gridCol w:w="1369"/>
        <w:gridCol w:w="1007"/>
        <w:gridCol w:w="1664"/>
      </w:tblGrid>
      <w:tr w14:paraId="024C98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8" w:hRule="atLeast"/>
        </w:trPr>
        <w:tc>
          <w:tcPr>
            <w:tcW w:w="1135" w:type="dxa"/>
            <w:tcBorders>
              <w:top w:val="dotted" w:color="auto" w:sz="4" w:space="0"/>
              <w:left w:val="dotted" w:color="auto" w:sz="4" w:space="0"/>
              <w:bottom w:val="dotted" w:color="auto" w:sz="4" w:space="0"/>
              <w:right w:val="dotted" w:color="auto" w:sz="4" w:space="0"/>
            </w:tcBorders>
            <w:shd w:val="clear" w:color="auto" w:fill="FFFFFF"/>
            <w:vAlign w:val="center"/>
          </w:tcPr>
          <w:p w14:paraId="1DD41B74">
            <w:pPr>
              <w:pStyle w:val="105"/>
              <w:spacing w:line="360" w:lineRule="auto"/>
              <w:rPr>
                <w:rFonts w:hint="eastAsia" w:ascii="宋体" w:hAnsi="宋体" w:eastAsia="宋体" w:cs="宋体"/>
              </w:rPr>
            </w:pPr>
            <w:r>
              <w:rPr>
                <w:rFonts w:hint="eastAsia" w:ascii="宋体" w:hAnsi="宋体" w:eastAsia="宋体" w:cs="宋体"/>
              </w:rPr>
              <w:t>碾压阶段</w:t>
            </w:r>
          </w:p>
        </w:tc>
        <w:tc>
          <w:tcPr>
            <w:tcW w:w="2138" w:type="dxa"/>
            <w:tcBorders>
              <w:top w:val="dotted" w:color="auto" w:sz="4" w:space="0"/>
              <w:left w:val="dotted" w:color="auto" w:sz="4" w:space="0"/>
              <w:bottom w:val="dotted" w:color="auto" w:sz="4" w:space="0"/>
              <w:right w:val="dotted" w:color="auto" w:sz="4" w:space="0"/>
            </w:tcBorders>
            <w:shd w:val="clear" w:color="auto" w:fill="FFFFFF"/>
            <w:vAlign w:val="center"/>
          </w:tcPr>
          <w:p w14:paraId="7A819DC1">
            <w:pPr>
              <w:pStyle w:val="105"/>
              <w:spacing w:line="360" w:lineRule="auto"/>
              <w:rPr>
                <w:rFonts w:hint="eastAsia" w:ascii="宋体" w:hAnsi="宋体" w:eastAsia="宋体" w:cs="宋体"/>
              </w:rPr>
            </w:pPr>
            <w:r>
              <w:rPr>
                <w:rFonts w:hint="eastAsia" w:ascii="宋体" w:hAnsi="宋体" w:eastAsia="宋体" w:cs="宋体"/>
              </w:rPr>
              <w:t>压路机</w:t>
            </w:r>
          </w:p>
        </w:tc>
        <w:tc>
          <w:tcPr>
            <w:tcW w:w="2043" w:type="dxa"/>
            <w:tcBorders>
              <w:top w:val="dotted" w:color="auto" w:sz="4" w:space="0"/>
              <w:left w:val="dotted" w:color="auto" w:sz="4" w:space="0"/>
              <w:bottom w:val="dotted" w:color="auto" w:sz="4" w:space="0"/>
              <w:right w:val="dotted" w:color="auto" w:sz="4" w:space="0"/>
            </w:tcBorders>
            <w:shd w:val="clear" w:color="auto" w:fill="FFFFFF"/>
            <w:vAlign w:val="center"/>
          </w:tcPr>
          <w:p w14:paraId="5B472C24">
            <w:pPr>
              <w:pStyle w:val="105"/>
              <w:spacing w:line="360" w:lineRule="auto"/>
              <w:rPr>
                <w:rFonts w:hint="eastAsia" w:ascii="宋体" w:hAnsi="宋体" w:eastAsia="宋体" w:cs="宋体"/>
              </w:rPr>
            </w:pPr>
            <w:r>
              <w:rPr>
                <w:rFonts w:hint="eastAsia" w:ascii="宋体" w:hAnsi="宋体" w:eastAsia="宋体" w:cs="宋体"/>
              </w:rPr>
              <w:t>碾压方式</w:t>
            </w:r>
          </w:p>
        </w:tc>
        <w:tc>
          <w:tcPr>
            <w:tcW w:w="1369" w:type="dxa"/>
            <w:tcBorders>
              <w:top w:val="dotted" w:color="auto" w:sz="4" w:space="0"/>
              <w:left w:val="dotted" w:color="auto" w:sz="4" w:space="0"/>
              <w:bottom w:val="dotted" w:color="auto" w:sz="4" w:space="0"/>
              <w:right w:val="dotted" w:color="auto" w:sz="4" w:space="0"/>
            </w:tcBorders>
            <w:shd w:val="clear" w:color="auto" w:fill="FFFFFF"/>
            <w:vAlign w:val="center"/>
          </w:tcPr>
          <w:p w14:paraId="062ACFD6">
            <w:pPr>
              <w:pStyle w:val="105"/>
              <w:spacing w:line="360" w:lineRule="auto"/>
              <w:rPr>
                <w:rFonts w:hint="eastAsia" w:ascii="宋体" w:hAnsi="宋体" w:eastAsia="宋体" w:cs="宋体"/>
              </w:rPr>
            </w:pPr>
            <w:r>
              <w:rPr>
                <w:rFonts w:hint="eastAsia" w:ascii="宋体" w:hAnsi="宋体" w:eastAsia="宋体" w:cs="宋体"/>
              </w:rPr>
              <w:t>速度（km/h）</w:t>
            </w:r>
          </w:p>
        </w:tc>
        <w:tc>
          <w:tcPr>
            <w:tcW w:w="1007" w:type="dxa"/>
            <w:tcBorders>
              <w:top w:val="dotted" w:color="auto" w:sz="4" w:space="0"/>
              <w:left w:val="dotted" w:color="auto" w:sz="4" w:space="0"/>
              <w:bottom w:val="dotted" w:color="auto" w:sz="4" w:space="0"/>
              <w:right w:val="dotted" w:color="auto" w:sz="4" w:space="0"/>
            </w:tcBorders>
            <w:shd w:val="clear" w:color="auto" w:fill="FFFFFF"/>
            <w:vAlign w:val="center"/>
          </w:tcPr>
          <w:p w14:paraId="20D394EE">
            <w:pPr>
              <w:pStyle w:val="105"/>
              <w:spacing w:line="360" w:lineRule="auto"/>
              <w:rPr>
                <w:rFonts w:hint="eastAsia" w:ascii="宋体" w:hAnsi="宋体" w:eastAsia="宋体" w:cs="宋体"/>
              </w:rPr>
            </w:pPr>
            <w:r>
              <w:rPr>
                <w:rFonts w:hint="eastAsia" w:ascii="宋体" w:hAnsi="宋体" w:eastAsia="宋体" w:cs="宋体"/>
              </w:rPr>
              <w:t>遍数</w:t>
            </w:r>
          </w:p>
        </w:tc>
        <w:tc>
          <w:tcPr>
            <w:tcW w:w="1664" w:type="dxa"/>
            <w:tcBorders>
              <w:top w:val="dotted" w:color="auto" w:sz="4" w:space="0"/>
              <w:left w:val="dotted" w:color="auto" w:sz="4" w:space="0"/>
              <w:bottom w:val="dotted" w:color="auto" w:sz="4" w:space="0"/>
              <w:right w:val="dotted" w:color="auto" w:sz="4" w:space="0"/>
            </w:tcBorders>
            <w:shd w:val="clear" w:color="auto" w:fill="FFFFFF"/>
            <w:vAlign w:val="center"/>
          </w:tcPr>
          <w:p w14:paraId="7073C0A5">
            <w:pPr>
              <w:pStyle w:val="105"/>
              <w:spacing w:line="360" w:lineRule="auto"/>
              <w:rPr>
                <w:rFonts w:hint="eastAsia" w:ascii="宋体" w:hAnsi="宋体" w:eastAsia="宋体" w:cs="宋体"/>
              </w:rPr>
            </w:pPr>
            <w:r>
              <w:rPr>
                <w:rFonts w:hint="eastAsia" w:ascii="宋体" w:hAnsi="宋体" w:eastAsia="宋体" w:cs="宋体"/>
              </w:rPr>
              <w:t>温度（?）</w:t>
            </w:r>
          </w:p>
        </w:tc>
      </w:tr>
      <w:tr w14:paraId="4FE98DF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1135" w:type="dxa"/>
            <w:tcBorders>
              <w:top w:val="dotted" w:color="auto" w:sz="4" w:space="0"/>
              <w:left w:val="dotted" w:color="auto" w:sz="4" w:space="0"/>
              <w:bottom w:val="dotted" w:color="auto" w:sz="4" w:space="0"/>
              <w:right w:val="dotted" w:color="auto" w:sz="4" w:space="0"/>
            </w:tcBorders>
            <w:shd w:val="clear" w:color="auto" w:fill="FFFFFF"/>
            <w:vAlign w:val="center"/>
          </w:tcPr>
          <w:p w14:paraId="0B7C4B93">
            <w:pPr>
              <w:pStyle w:val="105"/>
              <w:spacing w:line="360" w:lineRule="auto"/>
              <w:rPr>
                <w:rFonts w:hint="eastAsia" w:ascii="宋体" w:hAnsi="宋体" w:eastAsia="宋体" w:cs="宋体"/>
              </w:rPr>
            </w:pPr>
            <w:r>
              <w:rPr>
                <w:rFonts w:hint="eastAsia" w:ascii="宋体" w:hAnsi="宋体" w:eastAsia="宋体" w:cs="宋体"/>
                <w:spacing w:val="-1"/>
              </w:rPr>
              <w:t>初压</w:t>
            </w:r>
          </w:p>
        </w:tc>
        <w:tc>
          <w:tcPr>
            <w:tcW w:w="2138" w:type="dxa"/>
            <w:tcBorders>
              <w:top w:val="dotted" w:color="auto" w:sz="4" w:space="0"/>
              <w:left w:val="dotted" w:color="auto" w:sz="4" w:space="0"/>
              <w:bottom w:val="dotted" w:color="auto" w:sz="4" w:space="0"/>
              <w:right w:val="dotted" w:color="auto" w:sz="4" w:space="0"/>
            </w:tcBorders>
            <w:shd w:val="clear" w:color="auto" w:fill="FFFFFF"/>
            <w:vAlign w:val="center"/>
          </w:tcPr>
          <w:p w14:paraId="03C93BF7">
            <w:pPr>
              <w:pStyle w:val="105"/>
              <w:spacing w:line="360" w:lineRule="auto"/>
              <w:rPr>
                <w:rFonts w:hint="eastAsia" w:ascii="宋体" w:hAnsi="宋体" w:eastAsia="宋体" w:cs="宋体"/>
              </w:rPr>
            </w:pPr>
            <w:r>
              <w:rPr>
                <w:rFonts w:hint="eastAsia" w:ascii="宋体" w:hAnsi="宋体" w:eastAsia="宋体" w:cs="宋体"/>
              </w:rPr>
              <w:t>双钢轮振动压路机（12t以上）</w:t>
            </w:r>
          </w:p>
        </w:tc>
        <w:tc>
          <w:tcPr>
            <w:tcW w:w="2043" w:type="dxa"/>
            <w:tcBorders>
              <w:top w:val="dotted" w:color="auto" w:sz="4" w:space="0"/>
              <w:left w:val="dotted" w:color="auto" w:sz="4" w:space="0"/>
              <w:bottom w:val="dotted" w:color="auto" w:sz="4" w:space="0"/>
              <w:right w:val="dotted" w:color="auto" w:sz="4" w:space="0"/>
            </w:tcBorders>
            <w:shd w:val="clear" w:color="auto" w:fill="FFFFFF"/>
            <w:vAlign w:val="center"/>
          </w:tcPr>
          <w:p w14:paraId="2C362C4A">
            <w:pPr>
              <w:pStyle w:val="105"/>
              <w:spacing w:line="360" w:lineRule="auto"/>
              <w:rPr>
                <w:rFonts w:hint="eastAsia" w:ascii="宋体" w:hAnsi="宋体" w:eastAsia="宋体" w:cs="宋体"/>
              </w:rPr>
            </w:pPr>
            <w:r>
              <w:rPr>
                <w:rFonts w:hint="eastAsia" w:ascii="宋体" w:hAnsi="宋体" w:eastAsia="宋体" w:cs="宋体"/>
              </w:rPr>
              <w:t>静压</w:t>
            </w:r>
          </w:p>
        </w:tc>
        <w:tc>
          <w:tcPr>
            <w:tcW w:w="1369" w:type="dxa"/>
            <w:tcBorders>
              <w:top w:val="dotted" w:color="auto" w:sz="4" w:space="0"/>
              <w:left w:val="dotted" w:color="auto" w:sz="4" w:space="0"/>
              <w:bottom w:val="dotted" w:color="auto" w:sz="4" w:space="0"/>
              <w:right w:val="dotted" w:color="auto" w:sz="4" w:space="0"/>
            </w:tcBorders>
            <w:shd w:val="clear" w:color="auto" w:fill="FFFFFF"/>
            <w:vAlign w:val="center"/>
          </w:tcPr>
          <w:p w14:paraId="49432394">
            <w:pPr>
              <w:pStyle w:val="105"/>
              <w:spacing w:line="360" w:lineRule="auto"/>
              <w:rPr>
                <w:rFonts w:hint="eastAsia" w:ascii="宋体" w:hAnsi="宋体" w:eastAsia="宋体" w:cs="宋体"/>
              </w:rPr>
            </w:pPr>
          </w:p>
        </w:tc>
        <w:tc>
          <w:tcPr>
            <w:tcW w:w="1007" w:type="dxa"/>
            <w:tcBorders>
              <w:top w:val="dotted" w:color="auto" w:sz="4" w:space="0"/>
              <w:left w:val="dotted" w:color="auto" w:sz="4" w:space="0"/>
              <w:bottom w:val="dotted" w:color="auto" w:sz="4" w:space="0"/>
              <w:right w:val="dotted" w:color="auto" w:sz="4" w:space="0"/>
            </w:tcBorders>
            <w:shd w:val="clear" w:color="auto" w:fill="FFFFFF"/>
            <w:vAlign w:val="center"/>
          </w:tcPr>
          <w:p w14:paraId="098677FD">
            <w:pPr>
              <w:pStyle w:val="105"/>
              <w:spacing w:line="360" w:lineRule="auto"/>
              <w:rPr>
                <w:rFonts w:hint="eastAsia" w:ascii="宋体" w:hAnsi="宋体" w:eastAsia="宋体" w:cs="宋体"/>
              </w:rPr>
            </w:pPr>
            <w:r>
              <w:rPr>
                <w:rFonts w:hint="eastAsia" w:ascii="宋体" w:hAnsi="宋体" w:eastAsia="宋体" w:cs="宋体"/>
              </w:rPr>
              <w:t>2</w:t>
            </w:r>
          </w:p>
        </w:tc>
        <w:tc>
          <w:tcPr>
            <w:tcW w:w="1664" w:type="dxa"/>
            <w:tcBorders>
              <w:top w:val="dotted" w:color="auto" w:sz="4" w:space="0"/>
              <w:left w:val="dotted" w:color="auto" w:sz="4" w:space="0"/>
              <w:bottom w:val="dotted" w:color="auto" w:sz="4" w:space="0"/>
              <w:right w:val="dotted" w:color="auto" w:sz="4" w:space="0"/>
            </w:tcBorders>
            <w:shd w:val="clear" w:color="auto" w:fill="FFFFFF"/>
            <w:vAlign w:val="center"/>
          </w:tcPr>
          <w:p w14:paraId="10427E8B">
            <w:pPr>
              <w:pStyle w:val="105"/>
              <w:spacing w:line="360" w:lineRule="auto"/>
              <w:rPr>
                <w:rFonts w:hint="eastAsia" w:ascii="宋体" w:hAnsi="宋体" w:eastAsia="宋体" w:cs="宋体"/>
              </w:rPr>
            </w:pPr>
          </w:p>
        </w:tc>
      </w:tr>
      <w:tr w14:paraId="5EA058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1135" w:type="dxa"/>
            <w:tcBorders>
              <w:top w:val="dotted" w:color="auto" w:sz="4" w:space="0"/>
              <w:left w:val="dotted" w:color="auto" w:sz="4" w:space="0"/>
              <w:bottom w:val="dotted" w:color="auto" w:sz="4" w:space="0"/>
              <w:right w:val="dotted" w:color="auto" w:sz="4" w:space="0"/>
            </w:tcBorders>
            <w:shd w:val="clear" w:color="auto" w:fill="FFFFFF"/>
            <w:vAlign w:val="center"/>
          </w:tcPr>
          <w:p w14:paraId="4F4108D0">
            <w:pPr>
              <w:pStyle w:val="105"/>
              <w:spacing w:line="360" w:lineRule="auto"/>
              <w:rPr>
                <w:rFonts w:hint="eastAsia" w:ascii="宋体" w:hAnsi="宋体" w:eastAsia="宋体" w:cs="宋体"/>
              </w:rPr>
            </w:pPr>
            <w:r>
              <w:rPr>
                <w:rFonts w:hint="eastAsia" w:ascii="宋体" w:hAnsi="宋体" w:eastAsia="宋体" w:cs="宋体"/>
              </w:rPr>
              <w:t>复压</w:t>
            </w:r>
          </w:p>
        </w:tc>
        <w:tc>
          <w:tcPr>
            <w:tcW w:w="2138" w:type="dxa"/>
            <w:tcBorders>
              <w:top w:val="dotted" w:color="auto" w:sz="4" w:space="0"/>
              <w:left w:val="dotted" w:color="auto" w:sz="4" w:space="0"/>
              <w:bottom w:val="dotted" w:color="auto" w:sz="4" w:space="0"/>
              <w:right w:val="dotted" w:color="auto" w:sz="4" w:space="0"/>
            </w:tcBorders>
            <w:shd w:val="clear" w:color="auto" w:fill="FFFFFF"/>
            <w:vAlign w:val="center"/>
          </w:tcPr>
          <w:p w14:paraId="1B522735">
            <w:pPr>
              <w:pStyle w:val="105"/>
              <w:spacing w:line="360" w:lineRule="auto"/>
              <w:rPr>
                <w:rFonts w:hint="eastAsia" w:ascii="宋体" w:hAnsi="宋体" w:eastAsia="宋体" w:cs="宋体"/>
              </w:rPr>
            </w:pPr>
            <w:r>
              <w:rPr>
                <w:rFonts w:hint="eastAsia" w:ascii="宋体" w:hAnsi="宋体" w:eastAsia="宋体" w:cs="宋体"/>
              </w:rPr>
              <w:t>轮胎压路机（25t以上）</w:t>
            </w:r>
          </w:p>
        </w:tc>
        <w:tc>
          <w:tcPr>
            <w:tcW w:w="2043" w:type="dxa"/>
            <w:tcBorders>
              <w:top w:val="dotted" w:color="auto" w:sz="4" w:space="0"/>
              <w:left w:val="dotted" w:color="auto" w:sz="4" w:space="0"/>
              <w:bottom w:val="dotted" w:color="auto" w:sz="4" w:space="0"/>
              <w:right w:val="dotted" w:color="auto" w:sz="4" w:space="0"/>
            </w:tcBorders>
            <w:shd w:val="clear" w:color="auto" w:fill="FFFFFF"/>
            <w:vAlign w:val="center"/>
          </w:tcPr>
          <w:p w14:paraId="5F241C60">
            <w:pPr>
              <w:pStyle w:val="105"/>
              <w:spacing w:line="360" w:lineRule="auto"/>
              <w:rPr>
                <w:rFonts w:hint="eastAsia" w:ascii="宋体" w:hAnsi="宋体" w:eastAsia="宋体" w:cs="宋体"/>
              </w:rPr>
            </w:pPr>
            <w:r>
              <w:rPr>
                <w:rFonts w:hint="eastAsia" w:ascii="宋体" w:hAnsi="宋体" w:eastAsia="宋体" w:cs="宋体"/>
              </w:rPr>
              <w:t>高频低幅振压</w:t>
            </w:r>
          </w:p>
        </w:tc>
        <w:tc>
          <w:tcPr>
            <w:tcW w:w="1369" w:type="dxa"/>
            <w:tcBorders>
              <w:top w:val="dotted" w:color="auto" w:sz="4" w:space="0"/>
              <w:left w:val="dotted" w:color="auto" w:sz="4" w:space="0"/>
              <w:bottom w:val="dotted" w:color="auto" w:sz="4" w:space="0"/>
              <w:right w:val="dotted" w:color="auto" w:sz="4" w:space="0"/>
            </w:tcBorders>
            <w:shd w:val="clear" w:color="auto" w:fill="FFFFFF"/>
            <w:vAlign w:val="center"/>
          </w:tcPr>
          <w:p w14:paraId="1F019F24">
            <w:pPr>
              <w:pStyle w:val="105"/>
              <w:spacing w:line="360" w:lineRule="auto"/>
              <w:rPr>
                <w:rFonts w:hint="eastAsia" w:ascii="宋体" w:hAnsi="宋体" w:eastAsia="宋体" w:cs="宋体"/>
              </w:rPr>
            </w:pPr>
            <w:r>
              <w:rPr>
                <w:rFonts w:hint="eastAsia" w:ascii="宋体" w:hAnsi="宋体" w:eastAsia="宋体" w:cs="宋体"/>
              </w:rPr>
              <w:t>3－4</w:t>
            </w:r>
          </w:p>
        </w:tc>
        <w:tc>
          <w:tcPr>
            <w:tcW w:w="1007" w:type="dxa"/>
            <w:tcBorders>
              <w:top w:val="dotted" w:color="auto" w:sz="4" w:space="0"/>
              <w:left w:val="dotted" w:color="auto" w:sz="4" w:space="0"/>
              <w:bottom w:val="dotted" w:color="auto" w:sz="4" w:space="0"/>
              <w:right w:val="dotted" w:color="auto" w:sz="4" w:space="0"/>
            </w:tcBorders>
            <w:shd w:val="clear" w:color="auto" w:fill="FFFFFF"/>
            <w:vAlign w:val="center"/>
          </w:tcPr>
          <w:p w14:paraId="17FF14A5">
            <w:pPr>
              <w:pStyle w:val="105"/>
              <w:spacing w:line="360" w:lineRule="auto"/>
              <w:rPr>
                <w:rFonts w:hint="eastAsia" w:ascii="宋体" w:hAnsi="宋体" w:eastAsia="宋体" w:cs="宋体"/>
              </w:rPr>
            </w:pPr>
            <w:r>
              <w:rPr>
                <w:rFonts w:hint="eastAsia" w:ascii="宋体" w:hAnsi="宋体" w:eastAsia="宋体" w:cs="宋体"/>
              </w:rPr>
              <w:t>5</w:t>
            </w:r>
          </w:p>
        </w:tc>
        <w:tc>
          <w:tcPr>
            <w:tcW w:w="1664" w:type="dxa"/>
            <w:tcBorders>
              <w:top w:val="dotted" w:color="auto" w:sz="4" w:space="0"/>
              <w:left w:val="dotted" w:color="auto" w:sz="4" w:space="0"/>
              <w:bottom w:val="dotted" w:color="auto" w:sz="4" w:space="0"/>
              <w:right w:val="dotted" w:color="auto" w:sz="4" w:space="0"/>
            </w:tcBorders>
            <w:shd w:val="clear" w:color="auto" w:fill="FFFFFF"/>
            <w:vAlign w:val="center"/>
          </w:tcPr>
          <w:p w14:paraId="4D0F8940">
            <w:pPr>
              <w:pStyle w:val="105"/>
              <w:spacing w:line="360" w:lineRule="auto"/>
              <w:rPr>
                <w:rFonts w:hint="eastAsia" w:ascii="宋体" w:hAnsi="宋体" w:eastAsia="宋体" w:cs="宋体"/>
              </w:rPr>
            </w:pPr>
            <w:r>
              <w:rPr>
                <w:rFonts w:hint="eastAsia" w:ascii="宋体" w:hAnsi="宋体" w:eastAsia="宋体" w:cs="宋体"/>
              </w:rPr>
              <w:t>140－165</w:t>
            </w:r>
          </w:p>
        </w:tc>
      </w:tr>
      <w:tr w14:paraId="442CD25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1135" w:type="dxa"/>
            <w:tcBorders>
              <w:top w:val="dotted" w:color="auto" w:sz="4" w:space="0"/>
              <w:left w:val="dotted" w:color="auto" w:sz="4" w:space="0"/>
              <w:bottom w:val="dotted" w:color="auto" w:sz="4" w:space="0"/>
              <w:right w:val="dotted" w:color="auto" w:sz="4" w:space="0"/>
            </w:tcBorders>
            <w:shd w:val="clear" w:color="auto" w:fill="FFFFFF"/>
            <w:vAlign w:val="center"/>
          </w:tcPr>
          <w:p w14:paraId="3275A10C">
            <w:pPr>
              <w:pStyle w:val="105"/>
              <w:spacing w:line="360" w:lineRule="auto"/>
              <w:rPr>
                <w:rFonts w:hint="eastAsia" w:ascii="宋体" w:hAnsi="宋体" w:eastAsia="宋体" w:cs="宋体"/>
              </w:rPr>
            </w:pPr>
            <w:r>
              <w:rPr>
                <w:rFonts w:hint="eastAsia" w:ascii="宋体" w:hAnsi="宋体" w:eastAsia="宋体" w:cs="宋体"/>
              </w:rPr>
              <w:t>终压</w:t>
            </w:r>
          </w:p>
        </w:tc>
        <w:tc>
          <w:tcPr>
            <w:tcW w:w="2138" w:type="dxa"/>
            <w:tcBorders>
              <w:top w:val="dotted" w:color="auto" w:sz="4" w:space="0"/>
              <w:left w:val="dotted" w:color="auto" w:sz="4" w:space="0"/>
              <w:bottom w:val="dotted" w:color="auto" w:sz="4" w:space="0"/>
              <w:right w:val="dotted" w:color="auto" w:sz="4" w:space="0"/>
            </w:tcBorders>
            <w:shd w:val="clear" w:color="auto" w:fill="FFFFFF"/>
            <w:vAlign w:val="center"/>
          </w:tcPr>
          <w:p w14:paraId="1098ABF9">
            <w:pPr>
              <w:pStyle w:val="105"/>
              <w:spacing w:line="360" w:lineRule="auto"/>
              <w:rPr>
                <w:rFonts w:hint="eastAsia" w:ascii="宋体" w:hAnsi="宋体" w:eastAsia="宋体" w:cs="宋体"/>
              </w:rPr>
            </w:pPr>
            <w:r>
              <w:rPr>
                <w:rFonts w:hint="eastAsia" w:ascii="宋体" w:hAnsi="宋体" w:eastAsia="宋体" w:cs="宋体"/>
              </w:rPr>
              <w:t>双钢轮振动压路机（12t以上）</w:t>
            </w:r>
          </w:p>
        </w:tc>
        <w:tc>
          <w:tcPr>
            <w:tcW w:w="2043" w:type="dxa"/>
            <w:tcBorders>
              <w:top w:val="dotted" w:color="auto" w:sz="4" w:space="0"/>
              <w:left w:val="dotted" w:color="auto" w:sz="4" w:space="0"/>
              <w:bottom w:val="dotted" w:color="auto" w:sz="4" w:space="0"/>
              <w:right w:val="dotted" w:color="auto" w:sz="4" w:space="0"/>
            </w:tcBorders>
            <w:shd w:val="clear" w:color="auto" w:fill="FFFFFF"/>
            <w:vAlign w:val="center"/>
          </w:tcPr>
          <w:p w14:paraId="50CCA239">
            <w:pPr>
              <w:pStyle w:val="105"/>
              <w:spacing w:line="360" w:lineRule="auto"/>
              <w:rPr>
                <w:rFonts w:hint="eastAsia" w:ascii="宋体" w:hAnsi="宋体" w:eastAsia="宋体" w:cs="宋体"/>
              </w:rPr>
            </w:pPr>
            <w:r>
              <w:rPr>
                <w:rFonts w:hint="eastAsia" w:ascii="宋体" w:hAnsi="宋体" w:eastAsia="宋体" w:cs="宋体"/>
              </w:rPr>
              <w:t>错轮1/3-1/2轮静压</w:t>
            </w:r>
          </w:p>
        </w:tc>
        <w:tc>
          <w:tcPr>
            <w:tcW w:w="1369" w:type="dxa"/>
            <w:tcBorders>
              <w:top w:val="dotted" w:color="auto" w:sz="4" w:space="0"/>
              <w:left w:val="dotted" w:color="auto" w:sz="4" w:space="0"/>
              <w:bottom w:val="dotted" w:color="auto" w:sz="4" w:space="0"/>
              <w:right w:val="dotted" w:color="auto" w:sz="4" w:space="0"/>
            </w:tcBorders>
            <w:shd w:val="clear" w:color="auto" w:fill="FFFFFF"/>
            <w:vAlign w:val="center"/>
          </w:tcPr>
          <w:p w14:paraId="5E0BC252">
            <w:pPr>
              <w:pStyle w:val="105"/>
              <w:spacing w:line="360" w:lineRule="auto"/>
              <w:rPr>
                <w:rFonts w:hint="eastAsia" w:ascii="宋体" w:hAnsi="宋体" w:eastAsia="宋体" w:cs="宋体"/>
              </w:rPr>
            </w:pPr>
            <w:r>
              <w:rPr>
                <w:rFonts w:hint="eastAsia" w:ascii="宋体" w:hAnsi="宋体" w:eastAsia="宋体" w:cs="宋体"/>
              </w:rPr>
              <w:t>4</w:t>
            </w:r>
          </w:p>
        </w:tc>
        <w:tc>
          <w:tcPr>
            <w:tcW w:w="1007" w:type="dxa"/>
            <w:tcBorders>
              <w:top w:val="dotted" w:color="auto" w:sz="4" w:space="0"/>
              <w:left w:val="dotted" w:color="auto" w:sz="4" w:space="0"/>
              <w:bottom w:val="dotted" w:color="auto" w:sz="4" w:space="0"/>
              <w:right w:val="dotted" w:color="auto" w:sz="4" w:space="0"/>
            </w:tcBorders>
            <w:shd w:val="clear" w:color="auto" w:fill="FFFFFF"/>
            <w:vAlign w:val="center"/>
          </w:tcPr>
          <w:p w14:paraId="0D5521DB">
            <w:pPr>
              <w:pStyle w:val="105"/>
              <w:spacing w:line="360" w:lineRule="auto"/>
              <w:rPr>
                <w:rFonts w:hint="eastAsia" w:ascii="宋体" w:hAnsi="宋体" w:eastAsia="宋体" w:cs="宋体"/>
              </w:rPr>
            </w:pPr>
            <w:r>
              <w:rPr>
                <w:rFonts w:hint="eastAsia" w:ascii="宋体" w:hAnsi="宋体" w:eastAsia="宋体" w:cs="宋体"/>
              </w:rPr>
              <w:t>2</w:t>
            </w:r>
          </w:p>
        </w:tc>
        <w:tc>
          <w:tcPr>
            <w:tcW w:w="1664" w:type="dxa"/>
            <w:tcBorders>
              <w:top w:val="dotted" w:color="auto" w:sz="4" w:space="0"/>
              <w:left w:val="dotted" w:color="auto" w:sz="4" w:space="0"/>
              <w:bottom w:val="dotted" w:color="auto" w:sz="4" w:space="0"/>
              <w:right w:val="dotted" w:color="auto" w:sz="4" w:space="0"/>
            </w:tcBorders>
            <w:shd w:val="clear" w:color="auto" w:fill="FFFFFF"/>
            <w:vAlign w:val="center"/>
          </w:tcPr>
          <w:p w14:paraId="66948287">
            <w:pPr>
              <w:pStyle w:val="105"/>
              <w:spacing w:line="360" w:lineRule="auto"/>
              <w:rPr>
                <w:rFonts w:hint="eastAsia" w:ascii="宋体" w:hAnsi="宋体" w:eastAsia="宋体" w:cs="宋体"/>
              </w:rPr>
            </w:pPr>
            <w:r>
              <w:rPr>
                <w:rFonts w:hint="eastAsia" w:ascii="宋体" w:hAnsi="宋体" w:eastAsia="宋体" w:cs="宋体"/>
              </w:rPr>
              <w:t>碾压终了不低于90</w:t>
            </w:r>
          </w:p>
        </w:tc>
      </w:tr>
    </w:tbl>
    <w:p w14:paraId="567335F2">
      <w:pPr>
        <w:ind w:firstLine="480"/>
        <w:rPr>
          <w:rFonts w:hint="eastAsia" w:ascii="宋体" w:hAnsi="宋体" w:eastAsia="宋体" w:cs="宋体"/>
          <w:lang w:val="zh-CN"/>
        </w:rPr>
      </w:pPr>
      <w:r>
        <w:rPr>
          <w:rFonts w:hint="eastAsia" w:ascii="宋体" w:hAnsi="宋体" w:eastAsia="宋体" w:cs="宋体"/>
          <w:lang w:val="zh-CN"/>
        </w:rPr>
        <w:t>1、沥青混合料的碾压按初压、复压、终压3个阶段进行。</w:t>
      </w:r>
    </w:p>
    <w:p w14:paraId="4E76DED1">
      <w:pPr>
        <w:ind w:firstLine="480"/>
        <w:rPr>
          <w:rFonts w:hint="eastAsia" w:ascii="宋体" w:hAnsi="宋体" w:eastAsia="宋体" w:cs="宋体"/>
          <w:lang w:val="zh-CN"/>
        </w:rPr>
      </w:pPr>
      <w:r>
        <w:rPr>
          <w:rFonts w:hint="eastAsia" w:ascii="宋体" w:hAnsi="宋体" w:eastAsia="宋体" w:cs="宋体"/>
          <w:lang w:val="zh-CN"/>
        </w:rPr>
        <w:t>（1）初压：在混合料摊铺后较高温度下进行，并不得产生摊移、开裂，压实温度在110</w:t>
      </w:r>
      <w:r>
        <w:rPr>
          <w:rFonts w:hint="eastAsia" w:ascii="宋体" w:hAnsi="宋体" w:eastAsia="宋体" w:cs="宋体"/>
        </w:rPr>
        <w:t>℃</w:t>
      </w:r>
      <w:r>
        <w:rPr>
          <w:rFonts w:hint="eastAsia" w:ascii="宋体" w:hAnsi="宋体" w:eastAsia="宋体" w:cs="宋体"/>
          <w:lang w:val="zh-CN"/>
        </w:rPr>
        <w:t>-140</w:t>
      </w:r>
      <w:r>
        <w:rPr>
          <w:rFonts w:hint="eastAsia" w:ascii="宋体" w:hAnsi="宋体" w:eastAsia="宋体" w:cs="宋体"/>
        </w:rPr>
        <w:t>℃</w:t>
      </w:r>
      <w:r>
        <w:rPr>
          <w:rFonts w:hint="eastAsia" w:ascii="宋体" w:hAnsi="宋体" w:eastAsia="宋体" w:cs="宋体"/>
          <w:lang w:val="zh-CN"/>
        </w:rPr>
        <w:t>范围；压路机从外侧向中心碾压，相邻碾压两遍，初压后检查平整度及路拱，必要时作适当修整。</w:t>
      </w:r>
    </w:p>
    <w:p w14:paraId="4CEBCA87">
      <w:pPr>
        <w:ind w:firstLine="480"/>
        <w:rPr>
          <w:rFonts w:hint="eastAsia" w:ascii="宋体" w:hAnsi="宋体" w:eastAsia="宋体" w:cs="宋体"/>
          <w:lang w:val="zh-CN"/>
        </w:rPr>
      </w:pPr>
      <w:r>
        <w:rPr>
          <w:rFonts w:hint="eastAsia" w:ascii="宋体" w:hAnsi="宋体" w:eastAsia="宋体" w:cs="宋体"/>
          <w:lang w:val="zh-CN"/>
        </w:rPr>
        <w:t>（2）复压：采用重型的振动压路机，碾压遍数不少于4-6遍，达到要求的压实度，并无明显轮迹；使用振动压路时，相邻碾压带重叠宽度为10-20cm，振动压路机倒车时先停止振动，并在向另一方运动后再开始振动，以避免混合料形成鼓包。</w:t>
      </w:r>
    </w:p>
    <w:p w14:paraId="236E5793">
      <w:pPr>
        <w:ind w:firstLine="480"/>
        <w:rPr>
          <w:rFonts w:hint="eastAsia" w:ascii="宋体" w:hAnsi="宋体" w:eastAsia="宋体" w:cs="宋体"/>
          <w:lang w:val="zh-CN"/>
        </w:rPr>
      </w:pPr>
      <w:r>
        <w:rPr>
          <w:rFonts w:hint="eastAsia" w:ascii="宋体" w:hAnsi="宋体" w:eastAsia="宋体" w:cs="宋体"/>
          <w:lang w:val="zh-CN"/>
        </w:rPr>
        <w:t>（3）终压：终压紧接在复压后进行，终压选项用双轮钢筒式压路机或关闭振动的振动压路机碾压，不少于两遍并无轮迹其压实终了温度为钢轮压路机不低于70</w:t>
      </w:r>
      <w:r>
        <w:rPr>
          <w:rFonts w:hint="eastAsia" w:ascii="宋体" w:hAnsi="宋体" w:eastAsia="宋体" w:cs="宋体"/>
        </w:rPr>
        <w:t>℃</w:t>
      </w:r>
      <w:r>
        <w:rPr>
          <w:rFonts w:hint="eastAsia" w:ascii="宋体" w:hAnsi="宋体" w:eastAsia="宋体" w:cs="宋体"/>
          <w:lang w:val="zh-CN"/>
        </w:rPr>
        <w:t>，轮胎压路机不低于80</w:t>
      </w:r>
      <w:r>
        <w:rPr>
          <w:rFonts w:hint="eastAsia" w:ascii="宋体" w:hAnsi="宋体" w:eastAsia="宋体" w:cs="宋体"/>
        </w:rPr>
        <w:t>℃</w:t>
      </w:r>
      <w:r>
        <w:rPr>
          <w:rFonts w:hint="eastAsia" w:ascii="宋体" w:hAnsi="宋体" w:eastAsia="宋体" w:cs="宋体"/>
          <w:lang w:val="zh-CN"/>
        </w:rPr>
        <w:t>。</w:t>
      </w:r>
    </w:p>
    <w:p w14:paraId="2065AA51">
      <w:pPr>
        <w:ind w:firstLine="480"/>
        <w:rPr>
          <w:rFonts w:hint="eastAsia" w:ascii="宋体" w:hAnsi="宋体" w:eastAsia="宋体" w:cs="宋体"/>
          <w:lang w:val="zh-CN"/>
        </w:rPr>
      </w:pPr>
      <w:r>
        <w:rPr>
          <w:rFonts w:hint="eastAsia" w:ascii="宋体" w:hAnsi="宋体" w:eastAsia="宋体" w:cs="宋体"/>
        </w:rPr>
        <w:t>2</w:t>
      </w:r>
      <w:r>
        <w:rPr>
          <w:rFonts w:hint="eastAsia" w:ascii="宋体" w:hAnsi="宋体" w:eastAsia="宋体" w:cs="宋体"/>
          <w:lang w:val="zh-CN"/>
        </w:rPr>
        <w:t>、接茬处的碾压</w:t>
      </w:r>
    </w:p>
    <w:p w14:paraId="1C541591">
      <w:pPr>
        <w:ind w:firstLine="480"/>
        <w:rPr>
          <w:rFonts w:hint="eastAsia" w:ascii="宋体" w:hAnsi="宋体" w:eastAsia="宋体" w:cs="宋体"/>
          <w:lang w:val="zh-CN"/>
        </w:rPr>
      </w:pPr>
      <w:r>
        <w:rPr>
          <w:rFonts w:hint="eastAsia" w:ascii="宋体" w:hAnsi="宋体" w:eastAsia="宋体" w:cs="宋体"/>
          <w:lang w:val="zh-CN"/>
        </w:rPr>
        <w:t>接茬压实的程序是先压横向接茬后压纵向接茬。</w:t>
      </w:r>
    </w:p>
    <w:p w14:paraId="2466D2C8">
      <w:pPr>
        <w:ind w:firstLine="480"/>
        <w:rPr>
          <w:rFonts w:hint="eastAsia" w:ascii="宋体" w:hAnsi="宋体" w:eastAsia="宋体" w:cs="宋体"/>
          <w:lang w:val="zh-CN"/>
        </w:rPr>
      </w:pPr>
      <w:r>
        <w:rPr>
          <w:rFonts w:hint="eastAsia" w:ascii="宋体" w:hAnsi="宋体" w:eastAsia="宋体" w:cs="宋体"/>
          <w:lang w:val="zh-CN"/>
        </w:rPr>
        <w:t>（1）、横向接茬碾压</w:t>
      </w:r>
    </w:p>
    <w:p w14:paraId="1A1FBFD2">
      <w:pPr>
        <w:ind w:firstLine="480"/>
        <w:rPr>
          <w:rFonts w:hint="eastAsia" w:ascii="宋体" w:hAnsi="宋体" w:eastAsia="宋体" w:cs="宋体"/>
          <w:lang w:val="zh-CN"/>
        </w:rPr>
      </w:pPr>
      <w:r>
        <w:rPr>
          <w:rFonts w:hint="eastAsia" w:ascii="宋体" w:hAnsi="宋体" w:eastAsia="宋体" w:cs="宋体"/>
          <w:lang w:val="zh-CN"/>
        </w:rPr>
        <w:t>在条件许可的地方。可使用较小型压路机对横向碾压（条件受限制的地方。也可采用纵向碾压）。横向碾压开始时，使压路机轮竞的10~20cm位置新铺的沥青混合料上碾压，这时压路机重量的绝大部分处在压过的铺层上。然后逐渐横向移至整个滚轮进入新铺层上。也可以开始时先用压路机静压，然后振动碾压。</w:t>
      </w:r>
    </w:p>
    <w:p w14:paraId="73B96EFF">
      <w:pPr>
        <w:ind w:firstLine="480"/>
        <w:rPr>
          <w:rFonts w:hint="eastAsia" w:ascii="宋体" w:hAnsi="宋体" w:eastAsia="宋体" w:cs="宋体"/>
          <w:lang w:val="zh-CN"/>
        </w:rPr>
      </w:pPr>
      <w:r>
        <w:rPr>
          <w:rFonts w:hint="eastAsia" w:ascii="宋体" w:hAnsi="宋体" w:eastAsia="宋体" w:cs="宋体"/>
          <w:lang w:val="zh-CN"/>
        </w:rPr>
        <w:t>（2）、纵向接茬碾压</w:t>
      </w:r>
    </w:p>
    <w:p w14:paraId="59912F95">
      <w:pPr>
        <w:ind w:firstLine="480"/>
        <w:rPr>
          <w:rFonts w:hint="eastAsia" w:ascii="宋体" w:hAnsi="宋体" w:eastAsia="宋体" w:cs="宋体"/>
          <w:lang w:val="zh-CN"/>
        </w:rPr>
      </w:pPr>
      <w:r>
        <w:rPr>
          <w:rFonts w:hint="eastAsia" w:ascii="宋体" w:hAnsi="宋体" w:eastAsia="宋体" w:cs="宋体"/>
          <w:lang w:val="zh-CN"/>
        </w:rPr>
        <w:t>纵缝应在摊铺后立即碾压，碾压时碳轮大部分应压在已碾压路面上。先压实离中心热接茬两边大约为20cm以外的地方，最后压实中间剩下来的一条混合料。这样材料就不可能从旁边挤出，并形成良好的结合。</w:t>
      </w:r>
    </w:p>
    <w:p w14:paraId="3C955468">
      <w:pPr>
        <w:ind w:firstLine="480"/>
        <w:rPr>
          <w:rFonts w:hint="eastAsia" w:ascii="宋体" w:hAnsi="宋体" w:eastAsia="宋体" w:cs="宋体"/>
          <w:lang w:val="zh-CN"/>
        </w:rPr>
      </w:pPr>
      <w:r>
        <w:rPr>
          <w:rFonts w:hint="eastAsia" w:ascii="宋体" w:hAnsi="宋体" w:eastAsia="宋体" w:cs="宋体"/>
        </w:rPr>
        <w:t>3</w:t>
      </w:r>
      <w:r>
        <w:rPr>
          <w:rFonts w:hint="eastAsia" w:ascii="宋体" w:hAnsi="宋体" w:eastAsia="宋体" w:cs="宋体"/>
          <w:lang w:val="zh-CN"/>
        </w:rPr>
        <w:t>、特殊路段的碾压</w:t>
      </w:r>
    </w:p>
    <w:p w14:paraId="4BF4220C">
      <w:pPr>
        <w:ind w:firstLine="480"/>
        <w:rPr>
          <w:rFonts w:hint="eastAsia" w:ascii="宋体" w:hAnsi="宋体" w:eastAsia="宋体" w:cs="宋体"/>
          <w:lang w:val="zh-CN"/>
        </w:rPr>
      </w:pPr>
      <w:r>
        <w:rPr>
          <w:rFonts w:hint="eastAsia" w:ascii="宋体" w:hAnsi="宋体" w:eastAsia="宋体" w:cs="宋体"/>
          <w:lang w:val="zh-CN"/>
        </w:rPr>
        <w:t>特殊路段的碾压指弯道、交叉口、路边、隐坡等处的压实作业。</w:t>
      </w:r>
    </w:p>
    <w:p w14:paraId="061DC009">
      <w:pPr>
        <w:ind w:firstLine="480"/>
        <w:rPr>
          <w:rFonts w:hint="eastAsia" w:ascii="宋体" w:hAnsi="宋体" w:eastAsia="宋体" w:cs="宋体"/>
          <w:lang w:val="zh-CN"/>
        </w:rPr>
      </w:pPr>
      <w:r>
        <w:rPr>
          <w:rFonts w:hint="eastAsia" w:ascii="宋体" w:hAnsi="宋体" w:eastAsia="宋体" w:cs="宋体"/>
          <w:lang w:val="zh-CN"/>
        </w:rPr>
        <w:t>（1）、弯道或交叉口的碾压</w:t>
      </w:r>
    </w:p>
    <w:p w14:paraId="5829BB93">
      <w:pPr>
        <w:ind w:firstLine="480"/>
        <w:rPr>
          <w:rFonts w:hint="eastAsia" w:ascii="宋体" w:hAnsi="宋体" w:eastAsia="宋体" w:cs="宋体"/>
          <w:lang w:val="zh-CN"/>
        </w:rPr>
      </w:pPr>
      <w:r>
        <w:rPr>
          <w:rFonts w:hint="eastAsia" w:ascii="宋体" w:hAnsi="宋体" w:eastAsia="宋体" w:cs="宋体"/>
          <w:lang w:val="zh-CN"/>
        </w:rPr>
        <w:t>应先用较接转向压路机作业。先从弯道内侧或弯道较低一边开始碾压（以利于形成支撑边）。对急弯应尽可能采取直线式碾压（即缺角式碾压），并逐一转换压道，对缺角处用小型机具压实。压实中注意，转向同速度相吻合，尽可能用振动碾压，以减少剪切力。</w:t>
      </w:r>
    </w:p>
    <w:p w14:paraId="640BC741">
      <w:pPr>
        <w:ind w:firstLine="480"/>
        <w:rPr>
          <w:rFonts w:hint="eastAsia" w:ascii="宋体" w:hAnsi="宋体" w:eastAsia="宋体" w:cs="宋体"/>
          <w:lang w:val="zh-CN"/>
        </w:rPr>
      </w:pPr>
      <w:r>
        <w:rPr>
          <w:rFonts w:hint="eastAsia" w:ascii="宋体" w:hAnsi="宋体" w:eastAsia="宋体" w:cs="宋体"/>
          <w:lang w:val="zh-CN"/>
        </w:rPr>
        <w:t>（2）、路边碾压</w:t>
      </w:r>
    </w:p>
    <w:p w14:paraId="747D00F2">
      <w:pPr>
        <w:ind w:firstLine="480"/>
        <w:rPr>
          <w:rFonts w:hint="eastAsia" w:ascii="宋体" w:hAnsi="宋体" w:eastAsia="宋体" w:cs="宋体"/>
          <w:lang w:val="zh-CN"/>
        </w:rPr>
      </w:pPr>
      <w:r>
        <w:rPr>
          <w:rFonts w:hint="eastAsia" w:ascii="宋体" w:hAnsi="宋体" w:eastAsia="宋体" w:cs="宋体"/>
          <w:lang w:val="zh-CN"/>
        </w:rPr>
        <w:t>压路机在没有支撑边的厚层上碾压时，可在离边比缘30~40cm（较薄层时，预留20cm）处开始碾压作业。在以后碾压留下的未压部分时，压路机每次只能向自由边线方向推进10cm。</w:t>
      </w:r>
    </w:p>
    <w:p w14:paraId="568E21A9">
      <w:pPr>
        <w:ind w:firstLine="482"/>
        <w:rPr>
          <w:rFonts w:hint="eastAsia" w:ascii="宋体" w:hAnsi="宋体" w:eastAsia="宋体" w:cs="宋体"/>
          <w:b/>
          <w:bCs/>
          <w:lang w:val="zh-CN"/>
        </w:rPr>
      </w:pPr>
      <w:r>
        <w:rPr>
          <w:rFonts w:hint="eastAsia" w:ascii="宋体" w:hAnsi="宋体" w:eastAsia="宋体" w:cs="宋体"/>
          <w:b/>
          <w:bCs/>
          <w:lang w:val="zh-CN"/>
        </w:rPr>
        <w:t>（六）沥砼雨季施工的一般要求：</w:t>
      </w:r>
    </w:p>
    <w:p w14:paraId="1A6F65D7">
      <w:pPr>
        <w:ind w:firstLine="480"/>
        <w:rPr>
          <w:rFonts w:hint="eastAsia" w:ascii="宋体" w:hAnsi="宋体" w:eastAsia="宋体" w:cs="宋体"/>
          <w:lang w:val="zh-CN"/>
        </w:rPr>
      </w:pPr>
      <w:r>
        <w:rPr>
          <w:rFonts w:hint="eastAsia" w:ascii="宋体" w:hAnsi="宋体" w:eastAsia="宋体" w:cs="宋体"/>
          <w:lang w:val="zh-CN"/>
        </w:rPr>
        <w:t>1、注意天气预报。工地现场设专人与沥青混合料拌和厂联系：</w:t>
      </w:r>
    </w:p>
    <w:p w14:paraId="54BC3404">
      <w:pPr>
        <w:ind w:firstLine="480"/>
        <w:rPr>
          <w:rFonts w:hint="eastAsia" w:ascii="宋体" w:hAnsi="宋体" w:eastAsia="宋体" w:cs="宋体"/>
          <w:lang w:val="zh-CN"/>
        </w:rPr>
      </w:pPr>
      <w:r>
        <w:rPr>
          <w:rFonts w:hint="eastAsia" w:ascii="宋体" w:hAnsi="宋体" w:eastAsia="宋体" w:cs="宋体"/>
          <w:lang w:val="zh-CN"/>
        </w:rPr>
        <w:t>2、现场应尽量缩短施工路段，各工序要紧密</w:t>
      </w:r>
      <w:r>
        <w:rPr>
          <w:rFonts w:hint="eastAsia" w:ascii="宋体" w:hAnsi="宋体" w:eastAsia="宋体" w:cs="宋体"/>
        </w:rPr>
        <w:t>衔</w:t>
      </w:r>
      <w:r>
        <w:rPr>
          <w:rFonts w:hint="eastAsia" w:ascii="宋体" w:hAnsi="宋体" w:eastAsia="宋体" w:cs="宋体"/>
          <w:lang w:val="zh-CN"/>
        </w:rPr>
        <w:t>接；</w:t>
      </w:r>
    </w:p>
    <w:p w14:paraId="1FD2C291">
      <w:pPr>
        <w:ind w:firstLine="480"/>
        <w:rPr>
          <w:rFonts w:hint="eastAsia" w:ascii="宋体" w:hAnsi="宋体" w:eastAsia="宋体" w:cs="宋体"/>
          <w:lang w:val="zh-CN"/>
        </w:rPr>
      </w:pPr>
      <w:r>
        <w:rPr>
          <w:rFonts w:hint="eastAsia" w:ascii="宋体" w:hAnsi="宋体" w:eastAsia="宋体" w:cs="宋体"/>
          <w:lang w:val="zh-CN"/>
        </w:rPr>
        <w:t>3、汽车和工地应备有防丽设施，并做好基层及路肩的排水措施。</w:t>
      </w:r>
    </w:p>
    <w:p w14:paraId="39F8A009">
      <w:pPr>
        <w:ind w:firstLine="480"/>
        <w:rPr>
          <w:rFonts w:hint="eastAsia" w:ascii="宋体" w:hAnsi="宋体" w:eastAsia="宋体" w:cs="宋体"/>
        </w:rPr>
      </w:pPr>
      <w:r>
        <w:rPr>
          <w:rFonts w:hint="eastAsia" w:ascii="宋体" w:hAnsi="宋体" w:eastAsia="宋体" w:cs="宋体"/>
          <w:lang w:val="zh-CN"/>
        </w:rPr>
        <w:t>4、下雨、基层或面层潮湿时，均不得摊铺沥青混合料。对未经压实好</w:t>
      </w:r>
      <w:r>
        <w:rPr>
          <w:rFonts w:hint="eastAsia" w:ascii="宋体" w:hAnsi="宋体" w:cs="宋体"/>
          <w:lang w:val="en-US" w:eastAsia="zh-CN"/>
        </w:rPr>
        <w:t>淋雨</w:t>
      </w:r>
      <w:r>
        <w:rPr>
          <w:rFonts w:hint="eastAsia" w:ascii="宋体" w:hAnsi="宋体" w:eastAsia="宋体" w:cs="宋体"/>
          <w:lang w:val="zh-CN"/>
        </w:rPr>
        <w:t>的沥青混合实，要全部清除，更换新料。</w:t>
      </w:r>
      <w:bookmarkStart w:id="1292" w:name="_Toc20640"/>
      <w:bookmarkStart w:id="1293" w:name="_Toc13408"/>
      <w:bookmarkStart w:id="1294" w:name="_Toc410"/>
      <w:bookmarkStart w:id="1295" w:name="_Toc12327"/>
    </w:p>
    <w:bookmarkEnd w:id="1292"/>
    <w:bookmarkEnd w:id="1293"/>
    <w:bookmarkEnd w:id="1294"/>
    <w:bookmarkEnd w:id="1295"/>
    <w:p w14:paraId="68E5C82F">
      <w:pPr>
        <w:ind w:firstLine="480"/>
        <w:rPr>
          <w:rFonts w:hint="eastAsia"/>
          <w:highlight w:val="none"/>
        </w:rPr>
      </w:pPr>
    </w:p>
    <w:bookmarkEnd w:id="868"/>
    <w:bookmarkEnd w:id="869"/>
    <w:bookmarkEnd w:id="870"/>
    <w:bookmarkEnd w:id="871"/>
    <w:bookmarkEnd w:id="872"/>
    <w:bookmarkEnd w:id="873"/>
    <w:bookmarkEnd w:id="1242"/>
    <w:bookmarkEnd w:id="1243"/>
    <w:bookmarkEnd w:id="1244"/>
    <w:bookmarkEnd w:id="1245"/>
    <w:bookmarkEnd w:id="1246"/>
    <w:bookmarkEnd w:id="1247"/>
    <w:bookmarkEnd w:id="1248"/>
    <w:bookmarkEnd w:id="1249"/>
    <w:p w14:paraId="78398491">
      <w:pPr>
        <w:pStyle w:val="4"/>
        <w:numPr>
          <w:ilvl w:val="1"/>
          <w:numId w:val="0"/>
        </w:numPr>
        <w:spacing w:line="360" w:lineRule="auto"/>
        <w:ind w:firstLine="0" w:firstLineChars="0"/>
        <w:rPr>
          <w:rFonts w:hint="eastAsia" w:ascii="宋体" w:hAnsi="宋体" w:eastAsia="宋体" w:cs="宋体"/>
          <w:color w:val="auto"/>
        </w:rPr>
      </w:pPr>
      <w:bookmarkStart w:id="1296" w:name="_Toc4867"/>
      <w:bookmarkStart w:id="1297" w:name="_Toc13371"/>
      <w:bookmarkStart w:id="1298" w:name="_Toc31091"/>
      <w:bookmarkStart w:id="1299" w:name="_Toc1743"/>
      <w:bookmarkStart w:id="1300" w:name="_Toc14290"/>
      <w:bookmarkStart w:id="1301" w:name="_Toc2923"/>
      <w:bookmarkStart w:id="1302" w:name="_Toc16211"/>
      <w:bookmarkStart w:id="1303" w:name="_Toc28850"/>
      <w:bookmarkStart w:id="1304" w:name="_Toc18987"/>
      <w:bookmarkStart w:id="1305" w:name="_Toc26505"/>
      <w:bookmarkStart w:id="1306" w:name="_Toc232929223"/>
      <w:bookmarkStart w:id="1307" w:name="_Toc260037183"/>
      <w:bookmarkStart w:id="1308" w:name="_Toc12602"/>
      <w:bookmarkStart w:id="1309" w:name="_Toc392165608"/>
      <w:bookmarkStart w:id="1310" w:name="_Toc28258"/>
      <w:bookmarkStart w:id="1311" w:name="_Toc392933502"/>
      <w:r>
        <w:rPr>
          <w:rFonts w:hint="eastAsia" w:ascii="宋体" w:hAnsi="宋体" w:cs="Times New Roman"/>
          <w:b/>
          <w:bCs/>
          <w:color w:val="auto"/>
          <w:kern w:val="2"/>
          <w:sz w:val="32"/>
          <w:szCs w:val="32"/>
          <w:lang w:val="en-US" w:eastAsia="zh-CN" w:bidi="ar-SA"/>
        </w:rPr>
        <w:t>8</w:t>
      </w:r>
      <w:r>
        <w:rPr>
          <w:rFonts w:hint="default" w:ascii="宋体" w:hAnsi="宋体" w:eastAsia="宋体" w:cs="Times New Roman"/>
          <w:b/>
          <w:bCs/>
          <w:color w:val="auto"/>
          <w:kern w:val="2"/>
          <w:sz w:val="32"/>
          <w:szCs w:val="32"/>
          <w:lang w:val="en-US" w:eastAsia="zh-CN" w:bidi="ar-SA"/>
        </w:rPr>
        <w:t>.</w:t>
      </w:r>
      <w:r>
        <w:rPr>
          <w:rFonts w:hint="eastAsia" w:ascii="宋体" w:hAnsi="宋体" w:cs="Times New Roman"/>
          <w:b/>
          <w:bCs/>
          <w:color w:val="auto"/>
          <w:kern w:val="2"/>
          <w:sz w:val="32"/>
          <w:szCs w:val="32"/>
          <w:lang w:val="en-US" w:eastAsia="zh-CN" w:bidi="ar-SA"/>
        </w:rPr>
        <w:t>4</w:t>
      </w:r>
      <w:r>
        <w:rPr>
          <w:rFonts w:hint="default" w:ascii="宋体" w:hAnsi="宋体" w:eastAsia="宋体" w:cs="Times New Roman"/>
          <w:b/>
          <w:bCs/>
          <w:color w:val="auto"/>
          <w:kern w:val="2"/>
          <w:sz w:val="32"/>
          <w:szCs w:val="32"/>
          <w:lang w:val="en-US" w:eastAsia="zh-CN" w:bidi="ar-SA"/>
        </w:rPr>
        <w:t>.</w:t>
      </w:r>
      <w:r>
        <w:rPr>
          <w:rFonts w:hint="eastAsia" w:ascii="宋体" w:hAnsi="宋体" w:eastAsia="宋体" w:cs="宋体"/>
          <w:color w:val="auto"/>
        </w:rPr>
        <w:t>交安设施工程</w:t>
      </w:r>
      <w:bookmarkEnd w:id="1296"/>
      <w:bookmarkEnd w:id="1297"/>
      <w:bookmarkEnd w:id="1298"/>
      <w:bookmarkEnd w:id="1299"/>
      <w:bookmarkEnd w:id="1300"/>
      <w:bookmarkEnd w:id="1301"/>
      <w:bookmarkEnd w:id="1302"/>
      <w:bookmarkEnd w:id="1303"/>
      <w:bookmarkEnd w:id="1304"/>
    </w:p>
    <w:p w14:paraId="21CD9533">
      <w:pPr>
        <w:ind w:firstLine="480"/>
        <w:rPr>
          <w:rFonts w:hint="eastAsia" w:ascii="宋体" w:hAnsi="宋体" w:eastAsia="宋体" w:cs="宋体"/>
        </w:rPr>
      </w:pPr>
      <w:r>
        <w:rPr>
          <w:rFonts w:hint="eastAsia" w:ascii="宋体" w:hAnsi="宋体" w:eastAsia="宋体" w:cs="宋体"/>
        </w:rPr>
        <w:t>在标识制作前，向监理工程师提供所采用的原材料质保单及各类标识版面各种图案的配置图供监理工程师审查批准。所有运往工地的标识产品的质量均应符合规范要求。</w:t>
      </w:r>
    </w:p>
    <w:p w14:paraId="26025A46">
      <w:pPr>
        <w:numPr>
          <w:ilvl w:val="0"/>
          <w:numId w:val="15"/>
        </w:numPr>
        <w:ind w:firstLine="482"/>
        <w:rPr>
          <w:rFonts w:hint="eastAsia" w:ascii="宋体" w:hAnsi="宋体" w:eastAsia="宋体" w:cs="宋体"/>
        </w:rPr>
      </w:pPr>
      <w:bookmarkStart w:id="1312" w:name="_Toc14848"/>
      <w:bookmarkStart w:id="1313" w:name="_Toc12523"/>
      <w:bookmarkStart w:id="1314" w:name="_Toc21269"/>
      <w:bookmarkStart w:id="1315" w:name="_Toc8297"/>
      <w:r>
        <w:rPr>
          <w:rFonts w:hint="eastAsia" w:ascii="宋体" w:hAnsi="宋体" w:eastAsia="宋体" w:cs="宋体"/>
          <w:b/>
          <w:bCs/>
        </w:rPr>
        <w:t>标识标牌施工</w:t>
      </w:r>
      <w:bookmarkEnd w:id="1312"/>
      <w:bookmarkEnd w:id="1313"/>
      <w:bookmarkEnd w:id="1314"/>
      <w:bookmarkEnd w:id="1315"/>
      <w:r>
        <w:rPr>
          <w:rFonts w:hint="eastAsia" w:ascii="宋体" w:hAnsi="宋体" w:eastAsia="宋体" w:cs="宋体"/>
          <w:b/>
          <w:bCs/>
        </w:rPr>
        <w:t>工序</w:t>
      </w:r>
    </w:p>
    <w:p w14:paraId="4D557601">
      <w:pPr>
        <w:ind w:firstLine="482"/>
        <w:rPr>
          <w:rFonts w:hint="eastAsia" w:ascii="宋体" w:hAnsi="宋体" w:eastAsia="宋体" w:cs="宋体"/>
          <w:b/>
          <w:bCs/>
        </w:rPr>
      </w:pPr>
      <w:r>
        <w:rPr>
          <w:rFonts w:hint="eastAsia" w:ascii="宋体" w:hAnsi="宋体" w:eastAsia="宋体" w:cs="宋体"/>
          <w:b/>
          <w:bCs/>
        </w:rPr>
        <w:t>（一）施工方法</w:t>
      </w:r>
    </w:p>
    <w:p w14:paraId="67790880">
      <w:pPr>
        <w:ind w:firstLine="480"/>
        <w:rPr>
          <w:rFonts w:hint="eastAsia" w:ascii="宋体" w:hAnsi="宋体" w:eastAsia="宋体" w:cs="宋体"/>
        </w:rPr>
      </w:pPr>
      <w:r>
        <w:rPr>
          <w:rFonts w:hint="eastAsia" w:ascii="宋体" w:hAnsi="宋体" w:eastAsia="宋体" w:cs="宋体"/>
        </w:rPr>
        <w:t>1、施工放样、基础开挖</w:t>
      </w:r>
    </w:p>
    <w:p w14:paraId="4E4FE77A">
      <w:pPr>
        <w:ind w:firstLine="480"/>
        <w:rPr>
          <w:rFonts w:hint="eastAsia" w:ascii="宋体" w:hAnsi="宋体" w:eastAsia="宋体" w:cs="宋体"/>
          <w:lang w:val="zh-CN"/>
        </w:rPr>
      </w:pPr>
      <w:r>
        <w:rPr>
          <w:rFonts w:hint="eastAsia" w:ascii="宋体" w:hAnsi="宋体" w:eastAsia="宋体" w:cs="宋体"/>
          <w:lang w:val="zh-CN"/>
        </w:rPr>
        <w:t>施工前应准确放样，基坑开挖宜稍大于基础尺寸，基底应夯实平整，基底承载力满足要求。基坑报检合格后方可进入下一工序。</w:t>
      </w:r>
    </w:p>
    <w:p w14:paraId="218DA022">
      <w:pPr>
        <w:ind w:firstLine="480"/>
        <w:rPr>
          <w:rFonts w:hint="eastAsia" w:ascii="宋体" w:hAnsi="宋体" w:eastAsia="宋体" w:cs="宋体"/>
          <w:lang w:val="zh-CN"/>
        </w:rPr>
      </w:pPr>
      <w:r>
        <w:rPr>
          <w:rFonts w:hint="eastAsia" w:ascii="宋体" w:hAnsi="宋体" w:eastAsia="宋体" w:cs="宋体"/>
          <w:lang w:val="zh-CN"/>
        </w:rPr>
        <w:t>2、基础浇筑</w:t>
      </w:r>
    </w:p>
    <w:p w14:paraId="2EC759AF">
      <w:pPr>
        <w:ind w:firstLine="480"/>
        <w:rPr>
          <w:rFonts w:hint="eastAsia" w:ascii="宋体" w:hAnsi="宋体" w:eastAsia="宋体" w:cs="宋体"/>
          <w:lang w:val="zh-CN"/>
        </w:rPr>
      </w:pPr>
      <w:r>
        <w:rPr>
          <w:rFonts w:hint="eastAsia" w:ascii="宋体" w:hAnsi="宋体" w:eastAsia="宋体" w:cs="宋体"/>
          <w:lang w:val="zh-CN"/>
        </w:rPr>
        <w:t>交通标志基础现场浇筑，严格按照《公路桥涵施工技术规范》</w:t>
      </w:r>
      <w:r>
        <w:rPr>
          <w:rFonts w:hint="eastAsia" w:ascii="宋体" w:hAnsi="宋体" w:eastAsia="宋体" w:cs="宋体"/>
        </w:rPr>
        <w:t>（JTF/T3650-2020）</w:t>
      </w:r>
      <w:r>
        <w:rPr>
          <w:rFonts w:hint="eastAsia" w:ascii="宋体" w:hAnsi="宋体" w:eastAsia="宋体" w:cs="宋体"/>
          <w:lang w:val="zh-CN"/>
        </w:rPr>
        <w:t>进行施工。</w:t>
      </w:r>
    </w:p>
    <w:p w14:paraId="62CD97B4">
      <w:pPr>
        <w:ind w:firstLine="480"/>
        <w:rPr>
          <w:rFonts w:hint="eastAsia" w:ascii="宋体" w:hAnsi="宋体" w:eastAsia="宋体" w:cs="宋体"/>
          <w:lang w:val="zh-CN"/>
        </w:rPr>
      </w:pPr>
      <w:r>
        <w:rPr>
          <w:rFonts w:hint="eastAsia" w:ascii="宋体" w:hAnsi="宋体" w:eastAsia="宋体" w:cs="宋体"/>
          <w:lang w:val="zh-CN"/>
        </w:rPr>
        <w:t>1）严格按设计要求进行基础钢筋的加工和安装。基础预埋件应预先作热浸镀锌处理，并在混凝土浇筑过程中安装预埋件；</w:t>
      </w:r>
    </w:p>
    <w:p w14:paraId="51CF472F">
      <w:pPr>
        <w:ind w:firstLine="480"/>
        <w:rPr>
          <w:rFonts w:hint="eastAsia" w:ascii="宋体" w:hAnsi="宋体" w:eastAsia="宋体" w:cs="宋体"/>
          <w:lang w:val="zh-CN"/>
        </w:rPr>
      </w:pPr>
      <w:r>
        <w:rPr>
          <w:rFonts w:hint="eastAsia" w:ascii="宋体" w:hAnsi="宋体" w:eastAsia="宋体" w:cs="宋体"/>
          <w:lang w:val="zh-CN"/>
        </w:rPr>
        <w:t>2）模板安装应牢固，避免跑爆模；</w:t>
      </w:r>
    </w:p>
    <w:p w14:paraId="492F8081">
      <w:pPr>
        <w:ind w:firstLine="480"/>
        <w:rPr>
          <w:rFonts w:hint="eastAsia" w:ascii="宋体" w:hAnsi="宋体" w:eastAsia="宋体" w:cs="宋体"/>
          <w:lang w:val="zh-CN"/>
        </w:rPr>
      </w:pPr>
      <w:r>
        <w:rPr>
          <w:rFonts w:hint="eastAsia" w:ascii="宋体" w:hAnsi="宋体" w:eastAsia="宋体" w:cs="宋体"/>
          <w:lang w:val="zh-CN"/>
        </w:rPr>
        <w:t>3）混凝土分两次浇筑。第一次浇筑至锚板以上20cm左右，去掉浮渣，对预埋螺栓进行精确校正后，再浇筑剩余部分混凝土。混凝土应振捣密实，不得有明显的蜂窝和麻4）标志基础地脚螺栓的外露部分应清理干净并采取保护措施；</w:t>
      </w:r>
    </w:p>
    <w:p w14:paraId="0E2B3029">
      <w:pPr>
        <w:ind w:firstLine="480"/>
        <w:rPr>
          <w:rFonts w:hint="eastAsia" w:ascii="宋体" w:hAnsi="宋体" w:eastAsia="宋体" w:cs="宋体"/>
          <w:lang w:val="zh-CN"/>
        </w:rPr>
      </w:pPr>
      <w:r>
        <w:rPr>
          <w:rFonts w:hint="eastAsia" w:ascii="宋体" w:hAnsi="宋体" w:eastAsia="宋体" w:cs="宋体"/>
          <w:lang w:val="zh-CN"/>
        </w:rPr>
        <w:t>5）基础浇筑应在面层施工前完成，以免污染路面；基础混凝土浇筑完成后，采用干净的无纺土工布覆盖洒水养生，养生时间不少于7d；</w:t>
      </w:r>
    </w:p>
    <w:p w14:paraId="354588F9">
      <w:pPr>
        <w:ind w:firstLine="480"/>
        <w:rPr>
          <w:rFonts w:hint="eastAsia" w:ascii="宋体" w:hAnsi="宋体" w:eastAsia="宋体" w:cs="宋体"/>
          <w:lang w:val="zh-CN"/>
        </w:rPr>
      </w:pPr>
      <w:r>
        <w:rPr>
          <w:rFonts w:hint="eastAsia" w:ascii="宋体" w:hAnsi="宋体" w:eastAsia="宋体" w:cs="宋体"/>
          <w:lang w:val="zh-CN"/>
        </w:rPr>
        <w:t>6）拆模后对回填土进行压实处理；</w:t>
      </w:r>
    </w:p>
    <w:p w14:paraId="6874A8F4">
      <w:pPr>
        <w:ind w:firstLine="480"/>
        <w:rPr>
          <w:rFonts w:hint="eastAsia" w:ascii="宋体" w:hAnsi="宋体" w:eastAsia="宋体" w:cs="宋体"/>
          <w:lang w:val="zh-CN"/>
        </w:rPr>
      </w:pPr>
      <w:r>
        <w:rPr>
          <w:rFonts w:hint="eastAsia" w:ascii="宋体" w:hAnsi="宋体" w:eastAsia="宋体" w:cs="宋体"/>
          <w:lang w:val="zh-CN"/>
        </w:rPr>
        <w:t>7）基础施工完成后，应及时对受破坏的路基边坡、防护及排水等设施进行修复。</w:t>
      </w:r>
    </w:p>
    <w:p w14:paraId="1EEC3773">
      <w:pPr>
        <w:ind w:firstLine="480"/>
        <w:rPr>
          <w:rFonts w:hint="eastAsia" w:ascii="宋体" w:hAnsi="宋体" w:eastAsia="宋体" w:cs="宋体"/>
          <w:lang w:val="zh-CN"/>
        </w:rPr>
      </w:pPr>
      <w:r>
        <w:rPr>
          <w:rFonts w:hint="eastAsia" w:ascii="宋体" w:hAnsi="宋体" w:eastAsia="宋体" w:cs="宋体"/>
          <w:lang w:val="zh-CN"/>
        </w:rPr>
        <w:t>3、标志板及杆件加工</w:t>
      </w:r>
    </w:p>
    <w:p w14:paraId="56D4A648">
      <w:pPr>
        <w:ind w:firstLine="480"/>
        <w:rPr>
          <w:rFonts w:hint="eastAsia" w:ascii="宋体" w:hAnsi="宋体" w:eastAsia="宋体" w:cs="宋体"/>
          <w:lang w:val="zh-CN"/>
        </w:rPr>
      </w:pPr>
      <w:r>
        <w:rPr>
          <w:rFonts w:hint="eastAsia" w:ascii="宋体" w:hAnsi="宋体" w:eastAsia="宋体" w:cs="宋体"/>
          <w:lang w:val="en-US" w:eastAsia="zh-CN"/>
        </w:rPr>
        <w:t>1)</w:t>
      </w:r>
      <w:r>
        <w:rPr>
          <w:rFonts w:hint="eastAsia" w:ascii="宋体" w:hAnsi="宋体" w:eastAsia="宋体" w:cs="宋体"/>
          <w:lang w:val="zh-CN"/>
        </w:rPr>
        <w:t>矩形标志板的四个端角应为圆弧形端角，圆弧半径详见标志版面设计图。</w:t>
      </w:r>
    </w:p>
    <w:p w14:paraId="383E7511">
      <w:pPr>
        <w:ind w:firstLine="480"/>
        <w:rPr>
          <w:rFonts w:hint="eastAsia" w:ascii="宋体" w:hAnsi="宋体" w:eastAsia="宋体" w:cs="宋体"/>
          <w:lang w:val="zh-CN"/>
        </w:rPr>
      </w:pPr>
      <w:bookmarkStart w:id="1316" w:name="bookmark67"/>
      <w:bookmarkEnd w:id="1316"/>
      <w:r>
        <w:rPr>
          <w:rFonts w:hint="eastAsia" w:ascii="宋体" w:hAnsi="宋体" w:eastAsia="宋体" w:cs="宋体"/>
          <w:lang w:val="en-US" w:eastAsia="zh-CN"/>
        </w:rPr>
        <w:t>2)</w:t>
      </w:r>
      <w:r>
        <w:rPr>
          <w:rFonts w:hint="eastAsia" w:ascii="宋体" w:hAnsi="宋体" w:eastAsia="宋体" w:cs="宋体"/>
          <w:lang w:val="zh-CN"/>
        </w:rPr>
        <w:t>标志板与滑动槽钢釆用铝合金钥钉或铝焊连接，版面上的刨钉头应打磨平滑；</w:t>
      </w:r>
    </w:p>
    <w:p w14:paraId="45E8677F">
      <w:pPr>
        <w:ind w:firstLine="480"/>
        <w:rPr>
          <w:rFonts w:hint="eastAsia" w:ascii="宋体" w:hAnsi="宋体" w:eastAsia="宋体" w:cs="宋体"/>
          <w:lang w:val="zh-CN"/>
        </w:rPr>
      </w:pPr>
      <w:bookmarkStart w:id="1317" w:name="bookmark68"/>
      <w:bookmarkEnd w:id="1317"/>
      <w:r>
        <w:rPr>
          <w:rFonts w:hint="eastAsia" w:ascii="宋体" w:hAnsi="宋体" w:eastAsia="宋体" w:cs="宋体"/>
          <w:lang w:val="en-US" w:eastAsia="zh-CN"/>
        </w:rPr>
        <w:t>3)</w:t>
      </w:r>
      <w:r>
        <w:rPr>
          <w:rFonts w:hint="eastAsia" w:ascii="宋体" w:hAnsi="宋体" w:eastAsia="宋体" w:cs="宋体"/>
          <w:lang w:val="zh-CN"/>
        </w:rPr>
        <w:t>标志板与标志立柱釆用抱箍连接。</w:t>
      </w:r>
    </w:p>
    <w:p w14:paraId="55DBDF35">
      <w:pPr>
        <w:ind w:firstLine="480"/>
        <w:rPr>
          <w:rFonts w:hint="eastAsia" w:ascii="宋体" w:hAnsi="宋体" w:eastAsia="宋体" w:cs="宋体"/>
          <w:lang w:val="zh-CN"/>
        </w:rPr>
      </w:pPr>
      <w:bookmarkStart w:id="1318" w:name="bookmark69"/>
      <w:bookmarkEnd w:id="1318"/>
      <w:r>
        <w:rPr>
          <w:rFonts w:hint="eastAsia" w:ascii="宋体" w:hAnsi="宋体" w:eastAsia="宋体" w:cs="宋体"/>
          <w:lang w:val="en-US" w:eastAsia="zh-CN"/>
        </w:rPr>
        <w:t>4)</w:t>
      </w:r>
      <w:r>
        <w:rPr>
          <w:rFonts w:hint="eastAsia" w:ascii="宋体" w:hAnsi="宋体" w:eastAsia="宋体" w:cs="宋体"/>
          <w:lang w:val="zh-CN"/>
        </w:rPr>
        <w:t>立柱钢管统一釆用符合《直缝电焊钢管》</w:t>
      </w:r>
      <w:r>
        <w:rPr>
          <w:rFonts w:hint="eastAsia" w:ascii="宋体" w:hAnsi="宋体" w:eastAsia="宋体" w:cs="宋体"/>
          <w:lang w:val="en-US" w:eastAsia="en-US"/>
        </w:rPr>
        <w:t>(GB13793)</w:t>
      </w:r>
      <w:r>
        <w:rPr>
          <w:rFonts w:hint="eastAsia" w:ascii="宋体" w:hAnsi="宋体" w:eastAsia="宋体" w:cs="宋体"/>
          <w:lang w:val="zh-CN"/>
        </w:rPr>
        <w:t>标准立柱材料。</w:t>
      </w:r>
    </w:p>
    <w:p w14:paraId="4BE732E7">
      <w:pPr>
        <w:ind w:firstLine="480"/>
        <w:rPr>
          <w:rFonts w:hint="eastAsia" w:ascii="宋体" w:hAnsi="宋体" w:eastAsia="宋体" w:cs="宋体"/>
          <w:lang w:val="zh-CN"/>
        </w:rPr>
      </w:pPr>
      <w:bookmarkStart w:id="1319" w:name="bookmark70"/>
      <w:bookmarkEnd w:id="1319"/>
      <w:r>
        <w:rPr>
          <w:rFonts w:hint="eastAsia" w:ascii="宋体" w:hAnsi="宋体" w:eastAsia="宋体" w:cs="宋体"/>
          <w:lang w:val="en-US" w:eastAsia="zh-CN"/>
        </w:rPr>
        <w:t>5)</w:t>
      </w:r>
      <w:r>
        <w:rPr>
          <w:rFonts w:hint="eastAsia" w:ascii="宋体" w:hAnsi="宋体" w:eastAsia="宋体" w:cs="宋体"/>
          <w:lang w:val="zh-CN"/>
        </w:rPr>
        <w:t xml:space="preserve">立柱、横梁、法兰盘及各种连接件，均釆用热镀锌处理。立柱、横梁、法兰盘镀锌量 </w:t>
      </w:r>
      <w:r>
        <w:rPr>
          <w:rFonts w:hint="eastAsia" w:ascii="宋体" w:hAnsi="宋体" w:eastAsia="宋体" w:cs="宋体"/>
          <w:lang w:val="en-US" w:eastAsia="en-US"/>
        </w:rPr>
        <w:t>600g/m2,</w:t>
      </w:r>
      <w:r>
        <w:rPr>
          <w:rFonts w:hint="eastAsia" w:ascii="宋体" w:hAnsi="宋体" w:eastAsia="宋体" w:cs="宋体"/>
          <w:lang w:val="zh-CN"/>
        </w:rPr>
        <w:t>抱箍、紧固件镀锌量为</w:t>
      </w:r>
      <w:r>
        <w:rPr>
          <w:rFonts w:hint="eastAsia" w:ascii="宋体" w:hAnsi="宋体" w:eastAsia="宋体" w:cs="宋体"/>
          <w:lang w:val="en-US" w:eastAsia="en-US"/>
        </w:rPr>
        <w:t>350g/m2。</w:t>
      </w:r>
    </w:p>
    <w:p w14:paraId="764F2255">
      <w:pPr>
        <w:ind w:firstLine="480"/>
        <w:rPr>
          <w:rFonts w:hint="eastAsia" w:ascii="宋体" w:hAnsi="宋体" w:eastAsia="宋体" w:cs="宋体"/>
          <w:lang w:val="zh-CN"/>
        </w:rPr>
      </w:pPr>
      <w:bookmarkStart w:id="1320" w:name="bookmark71"/>
      <w:bookmarkEnd w:id="1320"/>
      <w:r>
        <w:rPr>
          <w:rFonts w:hint="eastAsia" w:ascii="宋体" w:hAnsi="宋体" w:eastAsia="宋体" w:cs="宋体"/>
          <w:lang w:val="en-US" w:eastAsia="zh-CN"/>
        </w:rPr>
        <w:t>6)</w:t>
      </w:r>
      <w:r>
        <w:rPr>
          <w:rFonts w:hint="eastAsia" w:ascii="宋体" w:hAnsi="宋体" w:eastAsia="宋体" w:cs="宋体"/>
          <w:lang w:val="zh-CN"/>
        </w:rPr>
        <w:t>路侧单柱式标志，其版面底边与路面高差为</w:t>
      </w:r>
      <w:r>
        <w:rPr>
          <w:rFonts w:hint="eastAsia" w:ascii="宋体" w:hAnsi="宋体" w:eastAsia="宋体" w:cs="宋体"/>
          <w:lang w:val="en-US" w:eastAsia="en-US"/>
        </w:rPr>
        <w:t>1.5</w:t>
      </w:r>
      <w:r>
        <w:rPr>
          <w:rFonts w:hint="eastAsia" w:ascii="宋体" w:hAnsi="宋体" w:eastAsia="宋体" w:cs="宋体"/>
          <w:lang w:val="zh-CN"/>
        </w:rPr>
        <w:t>〜</w:t>
      </w:r>
      <w:r>
        <w:rPr>
          <w:rFonts w:hint="eastAsia" w:ascii="宋体" w:hAnsi="宋体" w:eastAsia="宋体" w:cs="宋体"/>
          <w:lang w:val="en-US" w:eastAsia="en-US"/>
        </w:rPr>
        <w:t>2. 5m,</w:t>
      </w:r>
      <w:r>
        <w:rPr>
          <w:rFonts w:hint="eastAsia" w:ascii="宋体" w:hAnsi="宋体" w:eastAsia="宋体" w:cs="宋体"/>
          <w:lang w:val="zh-CN"/>
        </w:rPr>
        <w:t xml:space="preserve">板面内边缘距土路肩不少于 </w:t>
      </w:r>
      <w:r>
        <w:rPr>
          <w:rFonts w:hint="eastAsia" w:ascii="宋体" w:hAnsi="宋体" w:eastAsia="宋体" w:cs="宋体"/>
          <w:lang w:val="en-US" w:eastAsia="en-US"/>
        </w:rPr>
        <w:t>25cm。</w:t>
      </w:r>
    </w:p>
    <w:p w14:paraId="6DB9F41E">
      <w:pPr>
        <w:ind w:firstLine="480"/>
        <w:rPr>
          <w:rFonts w:hint="eastAsia" w:ascii="宋体" w:hAnsi="宋体" w:eastAsia="宋体" w:cs="宋体"/>
          <w:lang w:val="zh-CN"/>
        </w:rPr>
      </w:pPr>
      <w:bookmarkStart w:id="1321" w:name="bookmark72"/>
      <w:bookmarkEnd w:id="1321"/>
      <w:r>
        <w:rPr>
          <w:rFonts w:hint="eastAsia" w:ascii="宋体" w:hAnsi="宋体" w:eastAsia="宋体" w:cs="宋体"/>
          <w:lang w:val="en-US" w:eastAsia="zh-CN"/>
        </w:rPr>
        <w:t>7)</w:t>
      </w:r>
      <w:r>
        <w:rPr>
          <w:rFonts w:hint="eastAsia" w:ascii="宋体" w:hAnsi="宋体" w:eastAsia="宋体" w:cs="宋体"/>
          <w:lang w:val="zh-CN"/>
        </w:rPr>
        <w:t>悬臂式标志，其板面底边距机动车道路面高度不小于</w:t>
      </w:r>
      <w:r>
        <w:rPr>
          <w:rFonts w:hint="eastAsia" w:ascii="宋体" w:hAnsi="宋体" w:eastAsia="宋体" w:cs="宋体"/>
          <w:lang w:val="en-US" w:eastAsia="en-US"/>
        </w:rPr>
        <w:t>5.5m。</w:t>
      </w:r>
    </w:p>
    <w:p w14:paraId="69BEBF7F">
      <w:pPr>
        <w:ind w:firstLine="480"/>
        <w:rPr>
          <w:rFonts w:hint="eastAsia" w:ascii="宋体" w:hAnsi="宋体" w:eastAsia="宋体" w:cs="宋体"/>
          <w:lang w:val="zh-CN"/>
        </w:rPr>
      </w:pPr>
      <w:bookmarkStart w:id="1322" w:name="bookmark73"/>
      <w:bookmarkEnd w:id="1322"/>
      <w:r>
        <w:rPr>
          <w:rFonts w:hint="eastAsia" w:ascii="宋体" w:hAnsi="宋体" w:eastAsia="宋体" w:cs="宋体"/>
          <w:lang w:val="en-US" w:eastAsia="zh-CN"/>
        </w:rPr>
        <w:t>8)</w:t>
      </w:r>
      <w:r>
        <w:rPr>
          <w:rFonts w:hint="eastAsia" w:ascii="宋体" w:hAnsi="宋体" w:eastAsia="宋体" w:cs="宋体"/>
          <w:lang w:val="zh-CN"/>
        </w:rPr>
        <w:t>悬臂式标志的横梁应有2%〜3%的预拱度，加工时要预先做作好预拱度。</w:t>
      </w:r>
    </w:p>
    <w:p w14:paraId="7C1EE671">
      <w:pPr>
        <w:ind w:firstLine="480"/>
        <w:rPr>
          <w:rFonts w:hint="eastAsia" w:ascii="宋体" w:hAnsi="宋体" w:eastAsia="宋体" w:cs="宋体"/>
          <w:lang w:val="zh-CN"/>
        </w:rPr>
      </w:pPr>
      <w:bookmarkStart w:id="1323" w:name="bookmark74"/>
      <w:bookmarkEnd w:id="1323"/>
      <w:r>
        <w:rPr>
          <w:rFonts w:hint="eastAsia" w:ascii="宋体" w:hAnsi="宋体" w:eastAsia="宋体" w:cs="宋体"/>
          <w:lang w:val="en-US" w:eastAsia="zh-CN"/>
        </w:rPr>
        <w:t>9)</w:t>
      </w:r>
      <w:r>
        <w:rPr>
          <w:rFonts w:hint="eastAsia" w:ascii="宋体" w:hAnsi="宋体" w:eastAsia="宋体" w:cs="宋体"/>
          <w:lang w:val="zh-CN"/>
        </w:rPr>
        <w:t>立柱顶部和横梁端部釆用钢板焊接封盖，柱帽和横梁帽用钢板冲压成型。</w:t>
      </w:r>
    </w:p>
    <w:p w14:paraId="1C01B6F9">
      <w:pPr>
        <w:ind w:firstLine="480"/>
        <w:rPr>
          <w:rFonts w:hint="eastAsia" w:ascii="宋体" w:hAnsi="宋体" w:eastAsia="宋体" w:cs="宋体"/>
          <w:lang w:val="zh-CN"/>
        </w:rPr>
      </w:pPr>
      <w:bookmarkStart w:id="1324" w:name="bookmark75"/>
      <w:bookmarkEnd w:id="1324"/>
      <w:r>
        <w:rPr>
          <w:rFonts w:hint="eastAsia" w:ascii="宋体" w:hAnsi="宋体" w:eastAsia="宋体" w:cs="宋体"/>
          <w:lang w:val="en-US" w:eastAsia="zh-CN"/>
        </w:rPr>
        <w:t>10)</w:t>
      </w:r>
      <w:r>
        <w:rPr>
          <w:rFonts w:hint="eastAsia" w:ascii="宋体" w:hAnsi="宋体" w:eastAsia="宋体" w:cs="宋体"/>
          <w:lang w:val="zh-CN"/>
        </w:rPr>
        <w:t>标志板反光膜，必须按照反光膜生产厂家的贴膜要求进行粘贴。</w:t>
      </w:r>
    </w:p>
    <w:p w14:paraId="2345016D">
      <w:pPr>
        <w:ind w:firstLine="480"/>
        <w:rPr>
          <w:rFonts w:hint="eastAsia" w:ascii="宋体" w:hAnsi="宋体" w:eastAsia="宋体" w:cs="宋体"/>
          <w:lang w:val="zh-CN"/>
        </w:rPr>
      </w:pPr>
      <w:bookmarkStart w:id="1325" w:name="bookmark76"/>
      <w:bookmarkEnd w:id="1325"/>
      <w:r>
        <w:rPr>
          <w:rFonts w:hint="eastAsia" w:ascii="宋体" w:hAnsi="宋体" w:eastAsia="宋体" w:cs="宋体"/>
          <w:lang w:val="en-US" w:eastAsia="zh-CN"/>
        </w:rPr>
        <w:t>11)</w:t>
      </w:r>
      <w:r>
        <w:rPr>
          <w:rFonts w:hint="eastAsia" w:ascii="宋体" w:hAnsi="宋体" w:eastAsia="宋体" w:cs="宋体"/>
          <w:lang w:val="zh-CN"/>
        </w:rPr>
        <w:t>圆形标志釆用</w:t>
      </w:r>
      <w:r>
        <w:rPr>
          <w:rFonts w:hint="eastAsia" w:ascii="宋体" w:hAnsi="宋体" w:eastAsia="宋体" w:cs="宋体"/>
          <w:lang w:val="en-US" w:eastAsia="en-US"/>
        </w:rPr>
        <w:t>15mm</w:t>
      </w:r>
      <w:r>
        <w:rPr>
          <w:rFonts w:hint="eastAsia" w:ascii="宋体" w:hAnsi="宋体" w:eastAsia="宋体" w:cs="宋体"/>
          <w:lang w:val="zh-CN"/>
        </w:rPr>
        <w:t>的折边进行加固，其余标志均采用卷边加固处理。</w:t>
      </w:r>
    </w:p>
    <w:p w14:paraId="5ADEE7A8">
      <w:pPr>
        <w:ind w:firstLine="480"/>
        <w:rPr>
          <w:rFonts w:hint="eastAsia" w:ascii="宋体" w:hAnsi="宋体" w:eastAsia="宋体" w:cs="宋体"/>
          <w:lang w:val="en-US" w:eastAsia="zh-CN"/>
        </w:rPr>
      </w:pPr>
      <w:bookmarkStart w:id="1326" w:name="bookmark77"/>
      <w:bookmarkEnd w:id="1326"/>
      <w:r>
        <w:rPr>
          <w:rFonts w:hint="eastAsia" w:ascii="宋体" w:hAnsi="宋体" w:eastAsia="宋体" w:cs="宋体"/>
          <w:lang w:val="en-US" w:eastAsia="zh-CN"/>
        </w:rPr>
        <w:t>12)标志板安装时，应将矩形标志的顶边(底边)调成水平，标志板面应保持平整，不应产生变形。对运输及安装过程中造成变形的板面，应调平或更换。</w:t>
      </w:r>
    </w:p>
    <w:p w14:paraId="03189430">
      <w:pPr>
        <w:ind w:firstLine="480"/>
        <w:rPr>
          <w:rFonts w:hint="eastAsia" w:ascii="宋体" w:hAnsi="宋体" w:eastAsia="宋体" w:cs="宋体"/>
          <w:lang w:val="en-US" w:eastAsia="zh-CN"/>
        </w:rPr>
      </w:pPr>
      <w:bookmarkStart w:id="1327" w:name="bookmark78"/>
      <w:bookmarkEnd w:id="1327"/>
      <w:r>
        <w:rPr>
          <w:rFonts w:hint="eastAsia" w:ascii="宋体" w:hAnsi="宋体" w:eastAsia="宋体" w:cs="宋体"/>
          <w:lang w:val="en-US" w:eastAsia="zh-CN"/>
        </w:rPr>
        <w:t>13)根据防腐、装饰及耐久年限的要求，对铝塑复合板表面进行氟碳树脂处理时，应符合 下列规定：氟碳树脂含量不应低于75%</w:t>
      </w:r>
      <w:bookmarkStart w:id="1328" w:name="bookmark79"/>
      <w:bookmarkEnd w:id="1328"/>
      <w:r>
        <w:rPr>
          <w:rFonts w:hint="eastAsia" w:ascii="宋体" w:hAnsi="宋体" w:eastAsia="宋体" w:cs="宋体"/>
          <w:lang w:val="en-US" w:eastAsia="zh-CN"/>
        </w:rPr>
        <w:t>。</w:t>
      </w:r>
    </w:p>
    <w:p w14:paraId="23DF5EAF">
      <w:pPr>
        <w:ind w:firstLine="480"/>
        <w:rPr>
          <w:rFonts w:hint="eastAsia" w:ascii="宋体" w:hAnsi="宋体" w:eastAsia="宋体" w:cs="宋体"/>
          <w:lang w:val="en-US" w:eastAsia="zh-CN"/>
        </w:rPr>
      </w:pPr>
      <w:r>
        <w:rPr>
          <w:rFonts w:hint="eastAsia" w:ascii="宋体" w:hAnsi="宋体" w:eastAsia="宋体" w:cs="宋体"/>
          <w:lang w:val="en-US" w:eastAsia="zh-CN"/>
        </w:rPr>
        <w:t>14）根据防腐及耐久年限的要求，铝塑复合板切割处均应进行封边处理。</w:t>
      </w:r>
    </w:p>
    <w:p w14:paraId="1345C31F">
      <w:pPr>
        <w:ind w:firstLine="480"/>
        <w:rPr>
          <w:rFonts w:hint="eastAsia" w:ascii="宋体" w:hAnsi="宋体" w:eastAsia="宋体" w:cs="宋体"/>
          <w:lang w:val="en-US" w:eastAsia="zh-CN"/>
        </w:rPr>
      </w:pPr>
      <w:bookmarkStart w:id="1329" w:name="bookmark80"/>
      <w:bookmarkEnd w:id="1329"/>
      <w:r>
        <w:rPr>
          <w:rFonts w:hint="eastAsia" w:ascii="宋体" w:hAnsi="宋体" w:eastAsia="宋体" w:cs="宋体"/>
          <w:lang w:val="en-US" w:eastAsia="zh-CN"/>
        </w:rPr>
        <w:t>15）铝塑复合板施工注意事项：</w:t>
      </w:r>
    </w:p>
    <w:p w14:paraId="0C1A077B">
      <w:pPr>
        <w:ind w:firstLine="480"/>
        <w:rPr>
          <w:rFonts w:hint="eastAsia" w:ascii="宋体" w:hAnsi="宋体" w:eastAsia="宋体" w:cs="宋体"/>
          <w:lang w:val="en-US" w:eastAsia="zh-CN"/>
        </w:rPr>
      </w:pPr>
      <w:bookmarkStart w:id="1330" w:name="bookmark81"/>
      <w:bookmarkEnd w:id="1330"/>
      <w:r>
        <w:rPr>
          <w:rFonts w:hint="eastAsia" w:ascii="宋体" w:hAnsi="宋体" w:eastAsia="宋体" w:cs="宋体"/>
          <w:lang w:val="en-US" w:eastAsia="zh-CN"/>
        </w:rPr>
        <w:t>铝塑板与钢材接触的部位，应釆用相应的防锈措施。</w:t>
      </w:r>
    </w:p>
    <w:p w14:paraId="789670BF">
      <w:pPr>
        <w:ind w:firstLine="480"/>
        <w:rPr>
          <w:rFonts w:hint="eastAsia" w:ascii="宋体" w:hAnsi="宋体" w:eastAsia="宋体" w:cs="宋体"/>
          <w:lang w:val="en-US" w:eastAsia="zh-CN"/>
        </w:rPr>
      </w:pPr>
      <w:bookmarkStart w:id="1331" w:name="bookmark82"/>
      <w:bookmarkEnd w:id="1331"/>
      <w:r>
        <w:rPr>
          <w:rFonts w:hint="eastAsia" w:ascii="宋体" w:hAnsi="宋体" w:eastAsia="宋体" w:cs="宋体"/>
          <w:lang w:val="en-US" w:eastAsia="zh-CN"/>
        </w:rPr>
        <w:t>标志板在运输、吊装过程中应小心，避免对标志板、反光膜产生任何损害；如果钢构件 镀锌层在运输、安装过程中造成损伤，应及时采取补救措施。</w:t>
      </w:r>
    </w:p>
    <w:p w14:paraId="5375C250">
      <w:pPr>
        <w:ind w:firstLine="480"/>
        <w:rPr>
          <w:rFonts w:hint="eastAsia" w:ascii="宋体" w:hAnsi="宋体" w:eastAsia="宋体" w:cs="宋体"/>
          <w:lang w:val="en-US" w:eastAsia="zh-CN"/>
        </w:rPr>
      </w:pPr>
      <w:bookmarkStart w:id="1332" w:name="bookmark83"/>
      <w:bookmarkEnd w:id="1332"/>
      <w:r>
        <w:rPr>
          <w:rFonts w:hint="eastAsia" w:ascii="宋体" w:hAnsi="宋体" w:eastAsia="宋体" w:cs="宋体"/>
          <w:lang w:val="en-US" w:eastAsia="zh-CN"/>
        </w:rPr>
        <w:t>铝塑板加工使用注意事项</w:t>
      </w:r>
    </w:p>
    <w:p w14:paraId="3F2A55FA">
      <w:pPr>
        <w:ind w:firstLine="480"/>
        <w:rPr>
          <w:rFonts w:hint="eastAsia" w:ascii="宋体" w:hAnsi="宋体" w:eastAsia="宋体" w:cs="宋体"/>
          <w:lang w:val="en-US" w:eastAsia="zh-CN"/>
        </w:rPr>
      </w:pPr>
      <w:r>
        <w:rPr>
          <w:rFonts w:hint="eastAsia" w:ascii="宋体" w:hAnsi="宋体" w:eastAsia="宋体" w:cs="宋体"/>
          <w:lang w:val="en-US" w:eastAsia="zh-CN"/>
        </w:rPr>
        <w:t>贮存：应将板材存放于干燥通风处，且平放在平整的表面上，切勿踩踏、撞击。 搬运：搬运板材应将板的四边同时抬起，严禁推拉、抽取，以免刮伤板面。</w:t>
      </w:r>
    </w:p>
    <w:p w14:paraId="7813AA87">
      <w:pPr>
        <w:ind w:firstLine="480"/>
        <w:rPr>
          <w:rFonts w:hint="eastAsia" w:ascii="宋体" w:hAnsi="宋体" w:eastAsia="宋体" w:cs="宋体"/>
          <w:lang w:val="en-US" w:eastAsia="zh-CN"/>
        </w:rPr>
      </w:pPr>
      <w:r>
        <w:rPr>
          <w:rFonts w:hint="eastAsia" w:ascii="宋体" w:hAnsi="宋体" w:eastAsia="宋体" w:cs="宋体"/>
          <w:lang w:val="en-US" w:eastAsia="zh-CN"/>
        </w:rPr>
        <w:t>开槽：用开槽机或锣机开槽时，应使用半圆头式大于90度的铳刀。下刀既不要过深伤及铝 板，也不要过浅使折边困难，应留有</w:t>
      </w:r>
      <w:r>
        <w:rPr>
          <w:rFonts w:hint="eastAsia" w:ascii="宋体" w:hAnsi="宋体" w:eastAsia="宋体" w:cs="宋体"/>
          <w:lang w:val="en-US" w:eastAsia="en-US"/>
        </w:rPr>
        <w:t>0. 2-0. 3mm</w:t>
      </w:r>
      <w:r>
        <w:rPr>
          <w:rFonts w:hint="eastAsia" w:ascii="宋体" w:hAnsi="宋体" w:eastAsia="宋体" w:cs="宋体"/>
          <w:lang w:val="en-US" w:eastAsia="zh-CN"/>
        </w:rPr>
        <w:t>厚塑料芯材连同铝板一起弯边，以增加强度和 韧性，否则在弯边时铝板可能断裂或漆膜爆裂。</w:t>
      </w:r>
    </w:p>
    <w:p w14:paraId="4F49C10F">
      <w:pPr>
        <w:ind w:firstLine="480"/>
        <w:rPr>
          <w:rFonts w:hint="eastAsia" w:ascii="宋体" w:hAnsi="宋体" w:eastAsia="宋体" w:cs="宋体"/>
          <w:lang w:val="en-US" w:eastAsia="zh-CN"/>
        </w:rPr>
      </w:pPr>
      <w:r>
        <w:rPr>
          <w:rFonts w:hint="eastAsia" w:ascii="宋体" w:hAnsi="宋体" w:eastAsia="宋体" w:cs="宋体"/>
          <w:lang w:val="en-US" w:eastAsia="zh-CN"/>
        </w:rPr>
        <w:t>弯边：弯边时需用力均匀，一次成型，不要反复弯折，否则铝板可能断裂。</w:t>
      </w:r>
    </w:p>
    <w:p w14:paraId="787A3DF2">
      <w:pPr>
        <w:ind w:firstLine="480"/>
        <w:rPr>
          <w:rFonts w:hint="eastAsia" w:ascii="宋体" w:hAnsi="宋体" w:eastAsia="宋体" w:cs="宋体"/>
          <w:lang w:val="en-US" w:eastAsia="zh-CN"/>
        </w:rPr>
      </w:pPr>
      <w:r>
        <w:rPr>
          <w:rFonts w:hint="eastAsia" w:ascii="宋体" w:hAnsi="宋体" w:eastAsia="宋体" w:cs="宋体"/>
          <w:lang w:val="en-US" w:eastAsia="zh-CN"/>
        </w:rPr>
        <w:t>批次：同一型号而不同批次的板材可能存在色差，出售和使用不同批次板材时应增加比对 色差之程序，无视觉色差时方可在同一板面使用。</w:t>
      </w:r>
    </w:p>
    <w:p w14:paraId="72864199">
      <w:pPr>
        <w:ind w:left="480" w:leftChars="200" w:firstLine="0" w:firstLineChars="0"/>
        <w:rPr>
          <w:rFonts w:hint="eastAsia" w:ascii="宋体" w:hAnsi="宋体" w:eastAsia="宋体" w:cs="宋体"/>
          <w:lang w:val="en-US" w:eastAsia="zh-CN"/>
        </w:rPr>
      </w:pPr>
      <w:r>
        <w:rPr>
          <w:rFonts w:hint="eastAsia" w:ascii="宋体" w:hAnsi="宋体" w:eastAsia="宋体" w:cs="宋体"/>
          <w:lang w:val="en-US" w:eastAsia="zh-CN"/>
        </w:rPr>
        <w:t>安装方向：将同色铝塑板安装在同一板面时，流程方向应一致，否则可能造视觉色差。 撕膜：应在铝塑板安装后的45天内撕去保护膜，否则可能发生撕膜困难或移胶现象。</w:t>
      </w:r>
    </w:p>
    <w:p w14:paraId="32D3CFED">
      <w:pPr>
        <w:ind w:firstLine="480"/>
        <w:rPr>
          <w:rFonts w:hint="eastAsia" w:ascii="宋体" w:hAnsi="宋体" w:eastAsia="宋体" w:cs="宋体"/>
          <w:lang w:val="en-US" w:eastAsia="zh-CN"/>
        </w:rPr>
      </w:pPr>
      <w:r>
        <w:rPr>
          <w:rFonts w:hint="eastAsia" w:ascii="宋体" w:hAnsi="宋体" w:eastAsia="宋体" w:cs="宋体"/>
          <w:lang w:val="en-US" w:eastAsia="zh-CN"/>
        </w:rPr>
        <w:t>使用条件：不得使用内墙板，以保证使用效果和使用年限。</w:t>
      </w:r>
    </w:p>
    <w:p w14:paraId="0DFB0676">
      <w:pPr>
        <w:ind w:firstLine="480"/>
        <w:rPr>
          <w:rFonts w:hint="eastAsia" w:ascii="宋体" w:hAnsi="宋体" w:eastAsia="宋体" w:cs="宋体"/>
          <w:lang w:val="en-US" w:eastAsia="zh-CN"/>
        </w:rPr>
      </w:pPr>
      <w:r>
        <w:rPr>
          <w:rFonts w:hint="eastAsia" w:ascii="宋体" w:hAnsi="宋体" w:eastAsia="宋体" w:cs="宋体"/>
          <w:lang w:val="en-US" w:eastAsia="zh-CN"/>
        </w:rPr>
        <w:t>清洗：施工过程中若有污染，可根据污染种类釆用清水、洗涤剂或98%含量以上酒精，用 柔软物轻轻刷洗。忌用丙酮或其它化学溶剂清洗。</w:t>
      </w:r>
    </w:p>
    <w:p w14:paraId="0691BFAF">
      <w:pPr>
        <w:ind w:firstLine="480"/>
        <w:rPr>
          <w:rFonts w:hint="eastAsia" w:ascii="宋体" w:hAnsi="宋体" w:eastAsia="宋体" w:cs="宋体"/>
          <w:lang w:val="en-US" w:eastAsia="zh-CN"/>
        </w:rPr>
      </w:pPr>
      <w:r>
        <w:rPr>
          <w:rFonts w:hint="eastAsia" w:ascii="宋体" w:hAnsi="宋体" w:eastAsia="宋体" w:cs="宋体"/>
          <w:lang w:val="en-US" w:eastAsia="zh-CN"/>
        </w:rPr>
        <w:t>16)安装标志时应注意安全，禁止在高压线下进行标志安装施工。</w:t>
      </w:r>
    </w:p>
    <w:p w14:paraId="124665D2">
      <w:pPr>
        <w:ind w:firstLine="480"/>
        <w:rPr>
          <w:rFonts w:hint="eastAsia" w:ascii="宋体" w:hAnsi="宋体" w:eastAsia="宋体" w:cs="宋体"/>
          <w:lang w:val="en-US" w:eastAsia="zh-CN"/>
        </w:rPr>
      </w:pPr>
      <w:r>
        <w:rPr>
          <w:rFonts w:hint="eastAsia" w:ascii="宋体" w:hAnsi="宋体" w:eastAsia="宋体" w:cs="宋体"/>
          <w:lang w:val="en-US" w:eastAsia="zh-CN"/>
        </w:rPr>
        <w:t>17)标志设置与实际情况有出入或标志基础落在涵洞等构造物顶部时，可在前后2米小范 围内调整。</w:t>
      </w:r>
    </w:p>
    <w:p w14:paraId="3FE650A4">
      <w:pPr>
        <w:ind w:firstLine="480"/>
        <w:rPr>
          <w:rFonts w:hint="eastAsia" w:ascii="宋体" w:hAnsi="宋体" w:eastAsia="宋体" w:cs="宋体"/>
          <w:color w:val="000000"/>
          <w:spacing w:val="0"/>
          <w:w w:val="100"/>
          <w:position w:val="0"/>
          <w:lang w:val="en-US" w:eastAsia="zh-CN"/>
        </w:rPr>
      </w:pPr>
      <w:r>
        <w:rPr>
          <w:rFonts w:hint="eastAsia" w:ascii="宋体" w:hAnsi="宋体" w:eastAsia="宋体" w:cs="宋体"/>
          <w:lang w:val="en-US" w:eastAsia="zh-CN"/>
        </w:rPr>
        <w:t>18)标志安装完成后，应釆取有效的防盗措施：①将抱箍和抱箍底衬处焊接成一体；② 基础顶部外露螺栓及基础法兰盘浇注在混凝土层内，混凝土数量按实计量。</w:t>
      </w:r>
    </w:p>
    <w:p w14:paraId="6E7E8824">
      <w:pPr>
        <w:ind w:firstLine="480"/>
        <w:rPr>
          <w:rFonts w:hint="eastAsia" w:ascii="宋体" w:hAnsi="宋体" w:eastAsia="宋体" w:cs="宋体"/>
          <w:lang w:val="zh-CN"/>
        </w:rPr>
      </w:pPr>
      <w:r>
        <w:rPr>
          <w:rFonts w:hint="eastAsia" w:ascii="宋体" w:hAnsi="宋体" w:eastAsia="宋体" w:cs="宋体"/>
          <w:lang w:val="zh-CN"/>
        </w:rPr>
        <w:t>4、交通标志安装</w:t>
      </w:r>
    </w:p>
    <w:p w14:paraId="4D53932B">
      <w:pPr>
        <w:ind w:firstLine="480"/>
        <w:rPr>
          <w:rFonts w:hint="eastAsia" w:ascii="宋体" w:hAnsi="宋体" w:eastAsia="宋体" w:cs="宋体"/>
          <w:lang w:val="zh-CN"/>
        </w:rPr>
      </w:pPr>
      <w:r>
        <w:rPr>
          <w:rFonts w:hint="eastAsia" w:ascii="宋体" w:hAnsi="宋体" w:eastAsia="宋体" w:cs="宋体"/>
          <w:lang w:val="zh-CN"/>
        </w:rPr>
        <w:t>1）经监理工程师同意后，方可安装标志：</w:t>
      </w:r>
    </w:p>
    <w:p w14:paraId="259EF534">
      <w:pPr>
        <w:ind w:firstLine="480"/>
        <w:rPr>
          <w:rFonts w:hint="eastAsia" w:ascii="宋体" w:hAnsi="宋体" w:eastAsia="宋体" w:cs="宋体"/>
          <w:lang w:val="zh-CN"/>
        </w:rPr>
      </w:pPr>
      <w:r>
        <w:rPr>
          <w:rFonts w:hint="eastAsia" w:ascii="宋体" w:hAnsi="宋体" w:eastAsia="宋体" w:cs="宋体"/>
          <w:lang w:val="zh-CN"/>
        </w:rPr>
        <w:t>2）标志板运输要求两块标志板邻接面之间用衬垫材料分隔，以免磨损标志板面，标志杆件、标志面板尽量分车运输，以免磨损标志板面；</w:t>
      </w:r>
    </w:p>
    <w:p w14:paraId="1A3E4077">
      <w:pPr>
        <w:ind w:firstLine="480"/>
        <w:rPr>
          <w:rFonts w:hint="eastAsia" w:ascii="宋体" w:hAnsi="宋体" w:eastAsia="宋体" w:cs="宋体"/>
          <w:lang w:val="zh-CN"/>
        </w:rPr>
      </w:pPr>
      <w:r>
        <w:rPr>
          <w:rFonts w:hint="eastAsia" w:ascii="宋体" w:hAnsi="宋体" w:eastAsia="宋体" w:cs="宋体"/>
          <w:lang w:val="zh-CN"/>
        </w:rPr>
        <w:t>3）标志安装必须在基础混凝土强度达到设计强度80%以上后方可进行；</w:t>
      </w:r>
    </w:p>
    <w:p w14:paraId="52E737B9">
      <w:pPr>
        <w:ind w:firstLine="480"/>
        <w:rPr>
          <w:rFonts w:hint="eastAsia" w:ascii="宋体" w:hAnsi="宋体" w:eastAsia="宋体" w:cs="宋体"/>
          <w:lang w:val="zh-CN"/>
        </w:rPr>
      </w:pPr>
      <w:r>
        <w:rPr>
          <w:rFonts w:hint="eastAsia" w:ascii="宋体" w:hAnsi="宋体" w:eastAsia="宋体" w:cs="宋体"/>
          <w:lang w:val="zh-CN"/>
        </w:rPr>
        <w:t>4）标志安装过程以高空吊车为主。标志的紧固方法必须符合设计图纸要求；</w:t>
      </w:r>
    </w:p>
    <w:p w14:paraId="5E3C4962">
      <w:pPr>
        <w:ind w:firstLine="480"/>
        <w:rPr>
          <w:rFonts w:hint="eastAsia" w:ascii="宋体" w:hAnsi="宋体" w:eastAsia="宋体" w:cs="宋体"/>
          <w:lang w:val="zh-CN"/>
        </w:rPr>
      </w:pPr>
      <w:r>
        <w:rPr>
          <w:rFonts w:hint="eastAsia" w:ascii="宋体" w:hAnsi="宋体" w:eastAsia="宋体" w:cs="宋体"/>
          <w:lang w:val="zh-CN"/>
        </w:rPr>
        <w:t>5）标志安装角度必须符合设计图纸要求；</w:t>
      </w:r>
    </w:p>
    <w:p w14:paraId="219FC12D">
      <w:pPr>
        <w:ind w:firstLine="480"/>
        <w:rPr>
          <w:rFonts w:hint="eastAsia" w:ascii="宋体" w:hAnsi="宋体" w:eastAsia="宋体" w:cs="宋体"/>
          <w:lang w:val="zh-CN"/>
        </w:rPr>
      </w:pPr>
      <w:r>
        <w:rPr>
          <w:rFonts w:hint="eastAsia" w:ascii="宋体" w:hAnsi="宋体" w:eastAsia="宋体" w:cs="宋体"/>
          <w:lang w:val="zh-CN"/>
        </w:rPr>
        <w:t>6）标志安装到位后，应对外露的法兰盘及地脚螺栓进行砼包封处理，防止被盗。</w:t>
      </w:r>
    </w:p>
    <w:p w14:paraId="22B2C04B">
      <w:pPr>
        <w:ind w:firstLine="482"/>
        <w:rPr>
          <w:rFonts w:hint="eastAsia" w:ascii="宋体" w:hAnsi="宋体" w:eastAsia="宋体" w:cs="宋体"/>
          <w:b/>
          <w:bCs/>
        </w:rPr>
      </w:pPr>
      <w:bookmarkStart w:id="1333" w:name="_Toc27526"/>
      <w:bookmarkStart w:id="1334" w:name="_Toc4359"/>
      <w:bookmarkStart w:id="1335" w:name="_Toc19724"/>
      <w:bookmarkStart w:id="1336" w:name="_Toc9344"/>
      <w:r>
        <w:rPr>
          <w:rFonts w:hint="eastAsia" w:ascii="宋体" w:hAnsi="宋体" w:eastAsia="宋体" w:cs="宋体"/>
          <w:b/>
          <w:bCs/>
        </w:rPr>
        <w:t>二、交通标线、突起标志施工方法</w:t>
      </w:r>
      <w:bookmarkEnd w:id="1333"/>
      <w:bookmarkEnd w:id="1334"/>
      <w:bookmarkEnd w:id="1335"/>
      <w:bookmarkEnd w:id="1336"/>
    </w:p>
    <w:p w14:paraId="5C4F442C">
      <w:pPr>
        <w:ind w:firstLine="480"/>
        <w:rPr>
          <w:rFonts w:hint="eastAsia" w:ascii="宋体" w:hAnsi="宋体" w:eastAsia="宋体" w:cs="宋体"/>
        </w:rPr>
      </w:pPr>
      <w:r>
        <w:rPr>
          <w:rFonts w:hint="eastAsia" w:ascii="宋体" w:hAnsi="宋体" w:eastAsia="宋体" w:cs="宋体"/>
        </w:rPr>
        <w:t>（一）施工方案</w:t>
      </w:r>
    </w:p>
    <w:p w14:paraId="16867859">
      <w:pPr>
        <w:ind w:firstLine="480"/>
        <w:rPr>
          <w:rFonts w:hint="eastAsia" w:ascii="宋体" w:hAnsi="宋体" w:eastAsia="宋体" w:cs="宋体"/>
        </w:rPr>
      </w:pPr>
      <w:r>
        <w:rPr>
          <w:rFonts w:hint="eastAsia" w:ascii="宋体" w:hAnsi="宋体" w:eastAsia="宋体" w:cs="宋体"/>
        </w:rPr>
        <w:t>根据本工程的具体数量、工期及质量目标，结合本公司以往的施工经验合理配备资源。</w:t>
      </w:r>
    </w:p>
    <w:p w14:paraId="71D0EEED">
      <w:pPr>
        <w:ind w:firstLine="480"/>
        <w:rPr>
          <w:rFonts w:hint="eastAsia" w:ascii="宋体" w:hAnsi="宋体" w:eastAsia="宋体" w:cs="宋体"/>
        </w:rPr>
      </w:pPr>
      <w:r>
        <w:rPr>
          <w:rFonts w:hint="eastAsia" w:ascii="宋体" w:hAnsi="宋体" w:eastAsia="宋体" w:cs="宋体"/>
        </w:rPr>
        <w:t>在标线材料运往工地之前，向监理工程师提供所采用的材料质保单及出厂检验合格证书供监理工程师审查批准，所有运往工地的材料的质量均应符合《路面标线涂料》（JT/T280-1995）的技术标准。</w:t>
      </w:r>
    </w:p>
    <w:p w14:paraId="3BFD3ECA">
      <w:pPr>
        <w:ind w:firstLine="480"/>
        <w:rPr>
          <w:rFonts w:hint="eastAsia" w:ascii="宋体" w:hAnsi="宋体" w:eastAsia="宋体" w:cs="宋体"/>
        </w:rPr>
      </w:pPr>
      <w:r>
        <w:rPr>
          <w:rFonts w:hint="eastAsia" w:ascii="宋体" w:hAnsi="宋体" w:eastAsia="宋体" w:cs="宋体"/>
        </w:rPr>
        <w:t>施工之前，向监理工程师提供详细的施工组织设计，供监理工程师审查批准。</w:t>
      </w:r>
    </w:p>
    <w:p w14:paraId="2DC24226">
      <w:pPr>
        <w:ind w:firstLine="480"/>
        <w:rPr>
          <w:rFonts w:hint="eastAsia" w:ascii="宋体" w:hAnsi="宋体" w:eastAsia="宋体" w:cs="宋体"/>
        </w:rPr>
      </w:pPr>
      <w:r>
        <w:rPr>
          <w:rFonts w:hint="eastAsia" w:ascii="宋体" w:hAnsi="宋体" w:eastAsia="宋体" w:cs="宋体"/>
        </w:rPr>
        <w:t>（二）交通标线施工方法</w:t>
      </w:r>
    </w:p>
    <w:p w14:paraId="3D969323">
      <w:pPr>
        <w:ind w:firstLine="480"/>
        <w:rPr>
          <w:rFonts w:hint="eastAsia" w:ascii="宋体" w:hAnsi="宋体" w:eastAsia="宋体" w:cs="宋体"/>
          <w:lang w:val="zh-CN"/>
        </w:rPr>
      </w:pPr>
      <w:r>
        <w:rPr>
          <w:rFonts w:hint="eastAsia" w:ascii="宋体" w:hAnsi="宋体" w:eastAsia="宋体" w:cs="宋体"/>
          <w:lang w:val="zh-CN"/>
        </w:rPr>
        <w:t>1热熔型涂料施工工艺：封闭交通一清扫路面一测量放样一划底线一涂底油一涂敷一撒玻璃珠一修整→开放交通</w:t>
      </w:r>
    </w:p>
    <w:p w14:paraId="05C031CC">
      <w:pPr>
        <w:ind w:firstLine="480"/>
        <w:rPr>
          <w:rFonts w:hint="eastAsia" w:ascii="宋体" w:hAnsi="宋体" w:eastAsia="宋体" w:cs="宋体"/>
          <w:lang w:val="zh-CN"/>
        </w:rPr>
      </w:pPr>
      <w:r>
        <w:rPr>
          <w:rFonts w:hint="eastAsia" w:ascii="宋体" w:hAnsi="宋体" w:eastAsia="宋体" w:cs="宋体"/>
          <w:lang w:val="zh-CN"/>
        </w:rPr>
        <w:t>2施工要点：</w:t>
      </w:r>
    </w:p>
    <w:p w14:paraId="4781643F">
      <w:pPr>
        <w:ind w:firstLine="480"/>
        <w:rPr>
          <w:rFonts w:hint="eastAsia" w:ascii="宋体" w:hAnsi="宋体" w:eastAsia="宋体" w:cs="宋体"/>
          <w:lang w:val="zh-CN"/>
        </w:rPr>
      </w:pPr>
      <w:r>
        <w:rPr>
          <w:rFonts w:hint="eastAsia" w:ascii="宋体" w:hAnsi="宋体" w:eastAsia="宋体" w:cs="宋体"/>
          <w:lang w:val="zh-CN"/>
        </w:rPr>
        <w:t>1）精确放样，并划出底线，线形与道路线形一致；</w:t>
      </w:r>
    </w:p>
    <w:p w14:paraId="31E1EA5F">
      <w:pPr>
        <w:ind w:firstLine="480"/>
        <w:rPr>
          <w:rFonts w:hint="eastAsia" w:ascii="宋体" w:hAnsi="宋体" w:eastAsia="宋体" w:cs="宋体"/>
          <w:lang w:val="zh-CN"/>
        </w:rPr>
      </w:pPr>
      <w:r>
        <w:rPr>
          <w:rFonts w:hint="eastAsia" w:ascii="宋体" w:hAnsi="宋体" w:eastAsia="宋体" w:cs="宋体"/>
          <w:lang w:val="zh-CN"/>
        </w:rPr>
        <w:t>2）为提高路面与涂膜之间的粘结力，须在路面上先涂热熔型专用粘结剂；</w:t>
      </w:r>
    </w:p>
    <w:p w14:paraId="6EFEC7FA">
      <w:pPr>
        <w:ind w:firstLine="480"/>
        <w:rPr>
          <w:rFonts w:hint="eastAsia" w:ascii="宋体" w:hAnsi="宋体" w:eastAsia="宋体" w:cs="宋体"/>
          <w:lang w:val="zh-CN"/>
        </w:rPr>
      </w:pPr>
      <w:r>
        <w:rPr>
          <w:rFonts w:hint="eastAsia" w:ascii="宋体" w:hAnsi="宋体" w:eastAsia="宋体" w:cs="宋体"/>
          <w:lang w:val="zh-CN"/>
        </w:rPr>
        <w:t>3）将热熔型标线涂料（预混18%25%的2#玻璃珠）装入热熔釜中均匀加热，搅拌涂料至一定的温度，然后装入划线车中，待底油干燥后喷涂标线，涂敷的同时要0.35kg~0.4kg/m2的用量加压面撒玻璃珠（1号镀膜玻璃珠）；</w:t>
      </w:r>
    </w:p>
    <w:p w14:paraId="282A4FA2">
      <w:pPr>
        <w:ind w:firstLine="480"/>
        <w:rPr>
          <w:rFonts w:hint="eastAsia" w:ascii="宋体" w:hAnsi="宋体" w:eastAsia="宋体" w:cs="宋体"/>
          <w:lang w:val="zh-CN"/>
        </w:rPr>
      </w:pPr>
      <w:r>
        <w:rPr>
          <w:rFonts w:hint="eastAsia" w:ascii="宋体" w:hAnsi="宋体" w:eastAsia="宋体" w:cs="宋体"/>
          <w:lang w:val="zh-CN"/>
        </w:rPr>
        <w:t>4）标线施工宜白天进行；</w:t>
      </w:r>
    </w:p>
    <w:p w14:paraId="72175032">
      <w:pPr>
        <w:ind w:firstLine="480"/>
        <w:rPr>
          <w:rFonts w:hint="eastAsia" w:ascii="宋体" w:hAnsi="宋体" w:eastAsia="宋体" w:cs="宋体"/>
          <w:lang w:val="zh-CN"/>
        </w:rPr>
      </w:pPr>
      <w:r>
        <w:rPr>
          <w:rFonts w:hint="eastAsia" w:ascii="宋体" w:hAnsi="宋体" w:eastAsia="宋体" w:cs="宋体"/>
          <w:lang w:val="zh-CN"/>
        </w:rPr>
        <w:t>5）喷涂标线时应匀速、连续，确保涂膜厚度均匀、整齐。施工时，标线起终点应粘贴胶带纸；</w:t>
      </w:r>
    </w:p>
    <w:p w14:paraId="2139ABC2">
      <w:pPr>
        <w:ind w:firstLine="480"/>
        <w:rPr>
          <w:rFonts w:hint="eastAsia" w:ascii="宋体" w:hAnsi="宋体" w:eastAsia="宋体" w:cs="宋体"/>
          <w:lang w:val="zh-CN"/>
        </w:rPr>
      </w:pPr>
      <w:r>
        <w:rPr>
          <w:rFonts w:hint="eastAsia" w:ascii="宋体" w:hAnsi="宋体" w:eastAsia="宋体" w:cs="宋体"/>
          <w:lang w:val="zh-CN"/>
        </w:rPr>
        <w:t>6）去除溢出和垂落的涂膜，收集散落的玻璃珠。检查厚度、尺寸、玻璃珠的撤布情况，对不符合要求的标线进行修整；</w:t>
      </w:r>
    </w:p>
    <w:p w14:paraId="164AFBA8">
      <w:pPr>
        <w:ind w:firstLine="480"/>
        <w:rPr>
          <w:rFonts w:hint="eastAsia" w:ascii="宋体" w:hAnsi="宋体" w:eastAsia="宋体" w:cs="宋体"/>
        </w:rPr>
      </w:pPr>
      <w:r>
        <w:rPr>
          <w:rFonts w:hint="eastAsia" w:ascii="宋体" w:hAnsi="宋体" w:eastAsia="宋体" w:cs="宋体"/>
          <w:lang w:val="zh-CN"/>
        </w:rPr>
        <w:t>7）检查线形，合格后开放交通。</w:t>
      </w:r>
    </w:p>
    <w:p w14:paraId="78D4DF9D">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三</w:t>
      </w:r>
      <w:r>
        <w:rPr>
          <w:rFonts w:hint="eastAsia" w:ascii="宋体" w:hAnsi="宋体" w:eastAsia="宋体" w:cs="宋体"/>
          <w:lang w:val="zh-CN"/>
        </w:rPr>
        <w:t>）突起路标施工工序</w:t>
      </w:r>
    </w:p>
    <w:p w14:paraId="2AFDCD37">
      <w:pPr>
        <w:ind w:firstLine="480"/>
        <w:rPr>
          <w:rFonts w:hint="eastAsia" w:ascii="宋体" w:hAnsi="宋体" w:eastAsia="宋体" w:cs="宋体"/>
          <w:lang w:val="zh-CN"/>
        </w:rPr>
      </w:pPr>
      <w:r>
        <w:rPr>
          <w:rFonts w:hint="eastAsia" w:ascii="宋体" w:hAnsi="宋体" w:eastAsia="宋体" w:cs="宋体"/>
          <w:lang w:val="zh-CN"/>
        </w:rPr>
        <w:t>1施工工艺：封闭交通一清扫路面一测量放样一涂粘结剂一安装突起路标一开放交通，A3类突起路标施工涂粘结剂前还应进行路面钻孔、清孔。</w:t>
      </w:r>
    </w:p>
    <w:p w14:paraId="408B99A8">
      <w:pPr>
        <w:ind w:firstLine="480"/>
        <w:rPr>
          <w:rFonts w:hint="eastAsia" w:ascii="宋体" w:hAnsi="宋体" w:eastAsia="宋体" w:cs="宋体"/>
          <w:lang w:val="zh-CN"/>
        </w:rPr>
      </w:pPr>
      <w:r>
        <w:rPr>
          <w:rFonts w:hint="eastAsia" w:ascii="宋体" w:hAnsi="宋体" w:eastAsia="宋体" w:cs="宋体"/>
          <w:lang w:val="zh-CN"/>
        </w:rPr>
        <w:t>2施工要点：</w:t>
      </w:r>
    </w:p>
    <w:p w14:paraId="07F57B4C">
      <w:pPr>
        <w:ind w:firstLine="480"/>
        <w:rPr>
          <w:rFonts w:hint="eastAsia" w:ascii="宋体" w:hAnsi="宋体" w:eastAsia="宋体" w:cs="宋体"/>
          <w:lang w:val="zh-CN"/>
        </w:rPr>
      </w:pPr>
      <w:r>
        <w:rPr>
          <w:rFonts w:hint="eastAsia" w:ascii="宋体" w:hAnsi="宋体" w:eastAsia="宋体" w:cs="宋体"/>
          <w:lang w:val="zh-CN"/>
        </w:rPr>
        <w:t>1）粘贴时路面应干燥清洁、无杂质；路面潮湿，灰尘过多，风速过大或温度过低时，不得进行粘贴；</w:t>
      </w:r>
    </w:p>
    <w:p w14:paraId="6854EABE">
      <w:pPr>
        <w:ind w:firstLine="480"/>
        <w:rPr>
          <w:rFonts w:hint="eastAsia" w:ascii="宋体" w:hAnsi="宋体" w:eastAsia="宋体" w:cs="宋体"/>
          <w:lang w:val="zh-CN"/>
        </w:rPr>
      </w:pPr>
      <w:r>
        <w:rPr>
          <w:rFonts w:hint="eastAsia" w:ascii="宋体" w:hAnsi="宋体" w:eastAsia="宋体" w:cs="宋体"/>
          <w:lang w:val="zh-CN"/>
        </w:rPr>
        <w:t>2）突起路标粘贴在两侧路缘带上，距离车行道边缘线20mm。隧道路段若中间粘贴突起路标，粘贴处不得划热融标线；</w:t>
      </w:r>
    </w:p>
    <w:p w14:paraId="28591CCE">
      <w:pPr>
        <w:ind w:firstLine="480"/>
        <w:rPr>
          <w:rFonts w:hint="eastAsia" w:ascii="宋体" w:hAnsi="宋体" w:eastAsia="宋体" w:cs="宋体"/>
          <w:lang w:val="zh-CN"/>
        </w:rPr>
      </w:pPr>
      <w:r>
        <w:rPr>
          <w:rFonts w:hint="eastAsia" w:ascii="宋体" w:hAnsi="宋体" w:eastAsia="宋体" w:cs="宋体"/>
          <w:lang w:val="zh-CN"/>
        </w:rPr>
        <w:t>3）将环氧树脂等粘接剂均匀涂敷于突起路标的底部，涂敷厚度约为8mm，粘结剂凝固前不得扰动；</w:t>
      </w:r>
    </w:p>
    <w:p w14:paraId="6470683D">
      <w:pPr>
        <w:ind w:firstLine="480"/>
        <w:rPr>
          <w:rFonts w:hint="eastAsia" w:ascii="宋体" w:hAnsi="宋体" w:eastAsia="宋体" w:cs="宋体"/>
          <w:lang w:val="zh-CN"/>
        </w:rPr>
      </w:pPr>
      <w:r>
        <w:rPr>
          <w:rFonts w:hint="eastAsia" w:ascii="宋体" w:hAnsi="宋体" w:eastAsia="宋体" w:cs="宋体"/>
          <w:lang w:val="zh-CN"/>
        </w:rPr>
        <w:t>4）水泥混凝土路面设置突起路标时，先用硬刷和10%盐酸溶液洗刷混凝土表面，然后用清水洗干净，待路面清洁干燥后安装突起路标；</w:t>
      </w:r>
    </w:p>
    <w:p w14:paraId="26BB35FD">
      <w:pPr>
        <w:ind w:firstLine="480"/>
        <w:rPr>
          <w:rFonts w:hint="eastAsia" w:ascii="宋体" w:hAnsi="宋体" w:eastAsia="宋体" w:cs="宋体"/>
          <w:lang w:val="zh-CN"/>
        </w:rPr>
      </w:pPr>
      <w:r>
        <w:rPr>
          <w:rFonts w:hint="eastAsia" w:ascii="宋体" w:hAnsi="宋体" w:eastAsia="宋体" w:cs="宋体"/>
          <w:lang w:val="zh-CN"/>
        </w:rPr>
        <w:t>5）突起路标设置高度，顶部不得高出路面25mm。</w:t>
      </w:r>
    </w:p>
    <w:p w14:paraId="2340A045">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lang w:val="en-US" w:eastAsia="zh-CN"/>
        </w:rPr>
        <w:t>四</w:t>
      </w:r>
      <w:r>
        <w:rPr>
          <w:rFonts w:hint="eastAsia" w:ascii="宋体" w:hAnsi="宋体" w:eastAsia="宋体" w:cs="宋体"/>
          <w:lang w:val="zh-CN"/>
        </w:rPr>
        <w:t>）</w:t>
      </w:r>
      <w:r>
        <w:rPr>
          <w:rFonts w:hint="eastAsia" w:ascii="宋体" w:hAnsi="宋体" w:eastAsia="宋体" w:cs="宋体"/>
          <w:lang w:val="en-US" w:eastAsia="zh-CN"/>
        </w:rPr>
        <w:t>标线布设</w:t>
      </w:r>
    </w:p>
    <w:p w14:paraId="19323A8A">
      <w:pPr>
        <w:ind w:firstLine="480"/>
        <w:rPr>
          <w:rFonts w:hint="eastAsia" w:ascii="宋体" w:hAnsi="宋体" w:eastAsia="宋体" w:cs="宋体"/>
          <w:lang w:val="zh-CN"/>
        </w:rPr>
      </w:pPr>
      <w:r>
        <w:rPr>
          <w:rFonts w:hint="eastAsia" w:ascii="宋体" w:hAnsi="宋体" w:eastAsia="宋体" w:cs="宋体"/>
          <w:lang w:val="en-US" w:eastAsia="zh-CN"/>
        </w:rPr>
        <w:t>1）</w:t>
      </w:r>
      <w:r>
        <w:rPr>
          <w:rFonts w:hint="eastAsia" w:ascii="宋体" w:hAnsi="宋体" w:eastAsia="宋体" w:cs="宋体"/>
          <w:lang w:val="zh-CN"/>
        </w:rPr>
        <w:t xml:space="preserve">全线机动车道设车行道边缘线及车行道分界线，车行道边缘线为白色实线，线宽为 </w:t>
      </w:r>
      <w:r>
        <w:rPr>
          <w:rFonts w:hint="eastAsia" w:ascii="宋体" w:hAnsi="宋体" w:eastAsia="宋体" w:cs="宋体"/>
          <w:lang w:val="en-US" w:eastAsia="en-US"/>
        </w:rPr>
        <w:t>15cm,</w:t>
      </w:r>
      <w:r>
        <w:rPr>
          <w:rFonts w:hint="eastAsia" w:ascii="宋体" w:hAnsi="宋体" w:eastAsia="宋体" w:cs="宋体"/>
          <w:lang w:val="zh-CN"/>
        </w:rPr>
        <w:t>车行道分界线为</w:t>
      </w:r>
      <w:r>
        <w:rPr>
          <w:rFonts w:hint="eastAsia" w:ascii="宋体" w:hAnsi="宋体" w:eastAsia="宋体" w:cs="宋体"/>
          <w:lang w:val="en-US" w:eastAsia="en-US"/>
        </w:rPr>
        <w:t>6m、9m</w:t>
      </w:r>
      <w:r>
        <w:rPr>
          <w:rFonts w:hint="eastAsia" w:ascii="宋体" w:hAnsi="宋体" w:eastAsia="宋体" w:cs="宋体"/>
          <w:lang w:val="zh-CN"/>
        </w:rPr>
        <w:t>空的白色虚线，线宽为</w:t>
      </w:r>
      <w:r>
        <w:rPr>
          <w:rFonts w:hint="eastAsia" w:ascii="宋体" w:hAnsi="宋体" w:eastAsia="宋体" w:cs="宋体"/>
          <w:lang w:val="en-US" w:eastAsia="en-US"/>
        </w:rPr>
        <w:t>15cm；</w:t>
      </w:r>
    </w:p>
    <w:p w14:paraId="108A7FE4">
      <w:pPr>
        <w:ind w:firstLine="480"/>
        <w:rPr>
          <w:rFonts w:hint="eastAsia" w:ascii="宋体" w:hAnsi="宋体" w:eastAsia="宋体" w:cs="宋体"/>
          <w:lang w:val="zh-CN"/>
        </w:rPr>
      </w:pPr>
      <w:bookmarkStart w:id="1337" w:name="bookmark88"/>
      <w:bookmarkEnd w:id="1337"/>
      <w:r>
        <w:rPr>
          <w:rFonts w:hint="eastAsia" w:ascii="宋体" w:hAnsi="宋体" w:eastAsia="宋体" w:cs="宋体"/>
          <w:lang w:val="en-US" w:eastAsia="zh-CN"/>
        </w:rPr>
        <w:t>2）</w:t>
      </w:r>
      <w:r>
        <w:rPr>
          <w:rFonts w:hint="eastAsia" w:ascii="宋体" w:hAnsi="宋体" w:eastAsia="宋体" w:cs="宋体"/>
          <w:lang w:val="zh-CN"/>
        </w:rPr>
        <w:t>平交口路段设置道路出入口标线及导向箭头，以引导车辆行驶；</w:t>
      </w:r>
    </w:p>
    <w:p w14:paraId="31424151">
      <w:pPr>
        <w:ind w:firstLine="480"/>
        <w:rPr>
          <w:rFonts w:hint="eastAsia" w:ascii="宋体" w:hAnsi="宋体" w:eastAsia="宋体" w:cs="宋体"/>
          <w:lang w:val="zh-CN"/>
        </w:rPr>
      </w:pPr>
      <w:bookmarkStart w:id="1338" w:name="bookmark89"/>
      <w:bookmarkEnd w:id="1338"/>
      <w:r>
        <w:rPr>
          <w:rFonts w:hint="eastAsia" w:ascii="宋体" w:hAnsi="宋体" w:eastAsia="宋体" w:cs="宋体"/>
          <w:lang w:val="en-US" w:eastAsia="zh-CN"/>
        </w:rPr>
        <w:t>3）</w:t>
      </w:r>
      <w:r>
        <w:rPr>
          <w:rFonts w:hint="eastAsia" w:ascii="宋体" w:hAnsi="宋体" w:eastAsia="宋体" w:cs="宋体"/>
          <w:lang w:val="zh-CN"/>
        </w:rPr>
        <w:t>在起点平交路口处设人行横道标线，标示在一定条件下准许行人横穿道路的路径，并 警示机动车驾驶人注意行人及非机动车过街；</w:t>
      </w:r>
    </w:p>
    <w:p w14:paraId="17D37EA0">
      <w:pPr>
        <w:ind w:firstLine="480"/>
        <w:rPr>
          <w:rFonts w:hint="eastAsia" w:ascii="宋体" w:hAnsi="宋体" w:eastAsia="宋体" w:cs="宋体"/>
          <w:lang w:val="zh-CN"/>
        </w:rPr>
      </w:pPr>
      <w:bookmarkStart w:id="1339" w:name="bookmark90"/>
      <w:bookmarkEnd w:id="1339"/>
      <w:r>
        <w:rPr>
          <w:rFonts w:hint="eastAsia" w:ascii="宋体" w:hAnsi="宋体" w:eastAsia="宋体" w:cs="宋体"/>
          <w:lang w:val="en-US" w:eastAsia="zh-CN"/>
        </w:rPr>
        <w:t>4)</w:t>
      </w:r>
      <w:r>
        <w:rPr>
          <w:rFonts w:hint="eastAsia" w:ascii="宋体" w:hAnsi="宋体" w:eastAsia="宋体" w:cs="宋体"/>
          <w:lang w:val="zh-CN"/>
        </w:rPr>
        <w:t>在服务区进出口处设置出入口标线；</w:t>
      </w:r>
    </w:p>
    <w:p w14:paraId="3EFE31BF">
      <w:pPr>
        <w:ind w:firstLine="480"/>
        <w:rPr>
          <w:rFonts w:hint="eastAsia" w:ascii="宋体" w:hAnsi="宋体" w:eastAsia="宋体" w:cs="宋体"/>
          <w:lang w:val="zh-CN"/>
        </w:rPr>
      </w:pPr>
      <w:bookmarkStart w:id="1340" w:name="bookmark91"/>
      <w:bookmarkEnd w:id="1340"/>
      <w:r>
        <w:rPr>
          <w:rFonts w:hint="eastAsia" w:ascii="宋体" w:hAnsi="宋体" w:eastAsia="宋体" w:cs="宋体"/>
          <w:lang w:val="en-US" w:eastAsia="zh-CN"/>
        </w:rPr>
        <w:t>5)</w:t>
      </w:r>
      <w:r>
        <w:rPr>
          <w:rFonts w:hint="eastAsia" w:ascii="宋体" w:hAnsi="宋体" w:eastAsia="宋体" w:cs="宋体"/>
          <w:lang w:val="zh-CN"/>
        </w:rPr>
        <w:t>于导流岛处设置立面标记。</w:t>
      </w:r>
    </w:p>
    <w:p w14:paraId="6877C0C2">
      <w:pPr>
        <w:ind w:firstLine="480"/>
        <w:rPr>
          <w:rFonts w:hint="eastAsia" w:ascii="宋体" w:hAnsi="宋体" w:eastAsia="宋体" w:cs="宋体"/>
          <w:lang w:val="en-US"/>
        </w:rPr>
      </w:pPr>
      <w:r>
        <w:rPr>
          <w:rFonts w:hint="eastAsia" w:ascii="宋体" w:hAnsi="宋体" w:eastAsia="宋体" w:cs="宋体"/>
          <w:lang w:val="zh-CN"/>
        </w:rPr>
        <w:t>（</w:t>
      </w:r>
      <w:r>
        <w:rPr>
          <w:rFonts w:hint="eastAsia" w:ascii="宋体" w:hAnsi="宋体" w:eastAsia="宋体" w:cs="宋体"/>
          <w:lang w:val="en-US" w:eastAsia="zh-CN"/>
        </w:rPr>
        <w:t>五</w:t>
      </w:r>
      <w:r>
        <w:rPr>
          <w:rFonts w:hint="eastAsia" w:ascii="宋体" w:hAnsi="宋体" w:eastAsia="宋体" w:cs="宋体"/>
          <w:lang w:val="zh-CN"/>
        </w:rPr>
        <w:t>）</w:t>
      </w:r>
      <w:r>
        <w:rPr>
          <w:rFonts w:hint="eastAsia" w:ascii="宋体" w:hAnsi="宋体" w:eastAsia="宋体" w:cs="宋体"/>
          <w:lang w:val="en-US" w:eastAsia="zh-CN"/>
        </w:rPr>
        <w:t>技术要求</w:t>
      </w:r>
    </w:p>
    <w:p w14:paraId="25E58F35">
      <w:pPr>
        <w:ind w:firstLine="480"/>
        <w:rPr>
          <w:rFonts w:hint="eastAsia" w:ascii="宋体" w:hAnsi="宋体" w:eastAsia="宋体" w:cs="宋体"/>
          <w:lang w:val="en-US" w:eastAsia="zh-CN"/>
        </w:rPr>
      </w:pPr>
      <w:r>
        <w:rPr>
          <w:rFonts w:hint="eastAsia" w:ascii="宋体" w:hAnsi="宋体" w:eastAsia="宋体" w:cs="宋体"/>
          <w:lang w:val="en-US" w:eastAsia="zh-CN"/>
        </w:rPr>
        <w:t>1）所有标线、路面文字标记均采用热熔反光型路面标线涂料，涂料产品的技术要求应符合《路面标线涂料》</w:t>
      </w:r>
      <w:r>
        <w:rPr>
          <w:rFonts w:hint="eastAsia" w:ascii="宋体" w:hAnsi="宋体" w:eastAsia="宋体" w:cs="宋体"/>
          <w:lang w:val="en-US" w:eastAsia="en-US"/>
        </w:rPr>
        <w:t>(JT/T 280-2004)</w:t>
      </w:r>
      <w:r>
        <w:rPr>
          <w:rFonts w:hint="eastAsia" w:ascii="宋体" w:hAnsi="宋体" w:eastAsia="宋体" w:cs="宋体"/>
          <w:lang w:val="en-US" w:eastAsia="zh-CN"/>
        </w:rPr>
        <w:t>规范要求。</w:t>
      </w:r>
    </w:p>
    <w:p w14:paraId="6FABAA5B">
      <w:pPr>
        <w:ind w:firstLine="480"/>
        <w:rPr>
          <w:rFonts w:hint="eastAsia" w:ascii="宋体" w:hAnsi="宋体" w:eastAsia="宋体" w:cs="宋体"/>
          <w:lang w:val="en-US" w:eastAsia="zh-CN"/>
        </w:rPr>
      </w:pPr>
      <w:bookmarkStart w:id="1341" w:name="bookmark93"/>
      <w:bookmarkEnd w:id="1341"/>
      <w:r>
        <w:rPr>
          <w:rFonts w:hint="eastAsia" w:ascii="宋体" w:hAnsi="宋体" w:eastAsia="宋体" w:cs="宋体"/>
          <w:lang w:val="en-US" w:eastAsia="zh-CN"/>
        </w:rPr>
        <w:t>2）涂料中应混合占总重量18%以上的预混玻璃珠(2号玻璃珠)，在施工时，标线表面还 应均匀撒布</w:t>
      </w:r>
      <w:r>
        <w:rPr>
          <w:rFonts w:hint="eastAsia" w:ascii="宋体" w:hAnsi="宋体" w:eastAsia="宋体" w:cs="宋体"/>
          <w:lang w:val="en-US" w:eastAsia="en-US"/>
        </w:rPr>
        <w:t>0. 35-0. 4kg/m2</w:t>
      </w:r>
      <w:r>
        <w:rPr>
          <w:rFonts w:hint="eastAsia" w:ascii="宋体" w:hAnsi="宋体" w:eastAsia="宋体" w:cs="宋体"/>
          <w:lang w:val="en-US" w:eastAsia="zh-CN"/>
        </w:rPr>
        <w:t>的面撒玻璃珠(1号镀膜玻璃珠)。玻璃珠应符合《路面标线用玻璃 珠》</w:t>
      </w:r>
      <w:r>
        <w:rPr>
          <w:rFonts w:hint="eastAsia" w:ascii="宋体" w:hAnsi="宋体" w:eastAsia="宋体" w:cs="宋体"/>
          <w:lang w:val="en-US" w:eastAsia="en-US"/>
        </w:rPr>
        <w:t>(GB/T 24722-2020)</w:t>
      </w:r>
      <w:r>
        <w:rPr>
          <w:rFonts w:hint="eastAsia" w:ascii="宋体" w:hAnsi="宋体" w:eastAsia="宋体" w:cs="宋体"/>
          <w:lang w:val="en-US" w:eastAsia="zh-CN"/>
        </w:rPr>
        <w:t>规范要求，玻璃珠成圆率不小于80%,其中粒径在850µm〜600µm范 围内玻璃珠的成圆率不应小于70%</w:t>
      </w:r>
      <w:r>
        <w:rPr>
          <w:rFonts w:hint="eastAsia" w:ascii="宋体" w:hAnsi="宋体" w:eastAsia="宋体" w:cs="宋体"/>
          <w:lang w:val="en-US" w:eastAsia="en-US"/>
        </w:rPr>
        <w:t>o</w:t>
      </w:r>
    </w:p>
    <w:p w14:paraId="0815C28F">
      <w:pPr>
        <w:ind w:firstLine="480"/>
        <w:rPr>
          <w:rFonts w:hint="eastAsia" w:ascii="宋体" w:hAnsi="宋体" w:eastAsia="宋体" w:cs="宋体"/>
          <w:lang w:val="en-US" w:eastAsia="zh-CN"/>
        </w:rPr>
      </w:pPr>
      <w:bookmarkStart w:id="1342" w:name="bookmark94"/>
      <w:bookmarkEnd w:id="1342"/>
      <w:r>
        <w:rPr>
          <w:rFonts w:hint="eastAsia" w:ascii="宋体" w:hAnsi="宋体" w:eastAsia="宋体" w:cs="宋体"/>
          <w:lang w:val="en-US" w:eastAsia="zh-CN"/>
        </w:rPr>
        <w:t>3）路面标线应具有良好的视认性，颜色均匀、边缘整齐、线形规则、线条流畅；标线涂 层厚度应均匀，无明显起泡、皱纹、斑点、开裂、发粘、脱落、泛花等缺陷；反光标线的面撒 玻璃珠应撒布均匀，面撒玻璃珠嵌入标线中部分应为玻璃珠粒径的50%〜70%。</w:t>
      </w:r>
    </w:p>
    <w:p w14:paraId="0A1D73A4">
      <w:pPr>
        <w:ind w:firstLine="480"/>
        <w:rPr>
          <w:rFonts w:hint="eastAsia" w:ascii="宋体" w:hAnsi="宋体" w:eastAsia="宋体" w:cs="宋体"/>
          <w:lang w:val="en-US" w:eastAsia="zh-CN"/>
        </w:rPr>
      </w:pPr>
      <w:bookmarkStart w:id="1343" w:name="bookmark95"/>
      <w:bookmarkEnd w:id="1343"/>
      <w:r>
        <w:rPr>
          <w:rFonts w:hint="eastAsia" w:ascii="宋体" w:hAnsi="宋体" w:eastAsia="宋体" w:cs="宋体"/>
          <w:lang w:val="en-US" w:eastAsia="zh-CN"/>
        </w:rPr>
        <w:t>4）新划标线的初始逆反射亮度系数应符合《新划路面标线初始逆反射亮度系数及测试方 法》</w:t>
      </w:r>
      <w:r>
        <w:rPr>
          <w:rFonts w:hint="eastAsia" w:ascii="宋体" w:hAnsi="宋体" w:eastAsia="宋体" w:cs="宋体"/>
          <w:lang w:val="en-US" w:eastAsia="en-US"/>
        </w:rPr>
        <w:t>(GB/T 21383-2008)</w:t>
      </w:r>
      <w:r>
        <w:rPr>
          <w:rFonts w:hint="eastAsia" w:ascii="宋体" w:hAnsi="宋体" w:eastAsia="宋体" w:cs="宋体"/>
          <w:lang w:val="en-US" w:eastAsia="zh-CN"/>
        </w:rPr>
        <w:t>的规定，白色反光标线的逆反射亮度系数不应低于</w:t>
      </w:r>
      <w:r>
        <w:rPr>
          <w:rFonts w:hint="eastAsia" w:ascii="宋体" w:hAnsi="宋体" w:eastAsia="宋体" w:cs="宋体"/>
          <w:lang w:val="en-US" w:eastAsia="en-US"/>
        </w:rPr>
        <w:t>150mcd</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m</w:t>
      </w:r>
      <w:r>
        <w:rPr>
          <w:rFonts w:hint="eastAsia" w:ascii="宋体" w:hAnsi="宋体" w:eastAsia="宋体" w:cs="宋体"/>
          <w:vertAlign w:val="superscript"/>
          <w:lang w:val="en-US" w:eastAsia="en-US"/>
        </w:rPr>
        <w:t>-2</w:t>
      </w:r>
      <w:r>
        <w:rPr>
          <w:rFonts w:hint="eastAsia" w:ascii="宋体" w:hAnsi="宋体" w:eastAsia="宋体" w:cs="宋体"/>
          <w:lang w:val="en-US" w:eastAsia="en-US"/>
        </w:rPr>
        <w:t xml:space="preserve"> </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Ix</w:t>
      </w:r>
      <w:r>
        <w:rPr>
          <w:rFonts w:hint="eastAsia" w:ascii="宋体" w:hAnsi="宋体" w:eastAsia="宋体" w:cs="宋体"/>
          <w:vertAlign w:val="superscript"/>
          <w:lang w:val="en-US" w:eastAsia="zh-CN"/>
        </w:rPr>
        <w:t>-</w:t>
      </w:r>
      <w:r>
        <w:rPr>
          <w:rFonts w:hint="eastAsia" w:ascii="宋体" w:hAnsi="宋体" w:eastAsia="宋体" w:cs="宋体"/>
          <w:vertAlign w:val="superscript"/>
          <w:lang w:val="en-US" w:eastAsia="en-US"/>
        </w:rPr>
        <w:t>1</w:t>
      </w:r>
      <w:r>
        <w:rPr>
          <w:rFonts w:hint="eastAsia" w:ascii="宋体" w:hAnsi="宋体" w:eastAsia="宋体" w:cs="宋体"/>
          <w:lang w:val="en-US" w:eastAsia="en-US"/>
        </w:rPr>
        <w:t xml:space="preserve">, </w:t>
      </w:r>
      <w:r>
        <w:rPr>
          <w:rFonts w:hint="eastAsia" w:ascii="宋体" w:hAnsi="宋体" w:eastAsia="宋体" w:cs="宋体"/>
          <w:lang w:val="en-US" w:eastAsia="zh-CN"/>
        </w:rPr>
        <w:t>黄色反光标线的逆反射亮度系数不应低于</w:t>
      </w:r>
      <w:r>
        <w:rPr>
          <w:rFonts w:hint="eastAsia" w:ascii="宋体" w:hAnsi="宋体" w:eastAsia="宋体" w:cs="宋体"/>
          <w:lang w:val="en-US" w:eastAsia="en-US"/>
        </w:rPr>
        <w:t>lOOmcd</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m</w:t>
      </w:r>
      <w:r>
        <w:rPr>
          <w:rFonts w:hint="eastAsia" w:ascii="宋体" w:hAnsi="宋体" w:eastAsia="宋体" w:cs="宋体"/>
          <w:vertAlign w:val="superscript"/>
          <w:lang w:val="en-US" w:eastAsia="en-US"/>
        </w:rPr>
        <w:t>-2</w:t>
      </w:r>
      <w:r>
        <w:rPr>
          <w:rFonts w:hint="eastAsia" w:ascii="宋体" w:hAnsi="宋体" w:eastAsia="宋体" w:cs="宋体"/>
          <w:lang w:val="en-US" w:eastAsia="en-US"/>
        </w:rPr>
        <w:t xml:space="preserve"> </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Ix</w:t>
      </w:r>
      <w:r>
        <w:rPr>
          <w:rFonts w:hint="eastAsia" w:ascii="宋体" w:hAnsi="宋体" w:eastAsia="宋体" w:cs="宋体"/>
          <w:vertAlign w:val="superscript"/>
          <w:lang w:val="en-US" w:eastAsia="zh-CN"/>
        </w:rPr>
        <w:t>-</w:t>
      </w:r>
      <w:r>
        <w:rPr>
          <w:rFonts w:hint="eastAsia" w:ascii="宋体" w:hAnsi="宋体" w:eastAsia="宋体" w:cs="宋体"/>
          <w:vertAlign w:val="superscript"/>
          <w:lang w:val="en-US" w:eastAsia="en-US"/>
        </w:rPr>
        <w:t>1</w:t>
      </w:r>
      <w:r>
        <w:rPr>
          <w:rFonts w:hint="eastAsia" w:ascii="宋体" w:hAnsi="宋体" w:eastAsia="宋体" w:cs="宋体"/>
          <w:lang w:val="en-US" w:eastAsia="en-US"/>
        </w:rPr>
        <w:t>o</w:t>
      </w:r>
      <w:r>
        <w:rPr>
          <w:rFonts w:hint="eastAsia" w:ascii="宋体" w:hAnsi="宋体" w:eastAsia="宋体" w:cs="宋体"/>
          <w:lang w:val="en-US" w:eastAsia="zh-CN"/>
        </w:rPr>
        <w:t xml:space="preserve">正常使用期间，反光标线的逆反射 亮度系数应满足夜间视认要求。一般情况下，白色反光标线的逆反射亮度系数不应低于 </w:t>
      </w:r>
      <w:r>
        <w:rPr>
          <w:rFonts w:hint="eastAsia" w:ascii="宋体" w:hAnsi="宋体" w:eastAsia="宋体" w:cs="宋体"/>
          <w:lang w:val="en-US" w:eastAsia="en-US"/>
        </w:rPr>
        <w:t>80mcd</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m</w:t>
      </w:r>
      <w:r>
        <w:rPr>
          <w:rFonts w:hint="eastAsia" w:ascii="宋体" w:hAnsi="宋体" w:eastAsia="宋体" w:cs="宋体"/>
          <w:vertAlign w:val="superscript"/>
          <w:lang w:val="en-US" w:eastAsia="en-US"/>
        </w:rPr>
        <w:t>-2</w:t>
      </w:r>
      <w:r>
        <w:rPr>
          <w:rFonts w:hint="eastAsia" w:ascii="宋体" w:hAnsi="宋体" w:eastAsia="宋体" w:cs="宋体"/>
          <w:lang w:val="en-US" w:eastAsia="en-US"/>
        </w:rPr>
        <w:t xml:space="preserve"> </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Ix</w:t>
      </w:r>
      <w:r>
        <w:rPr>
          <w:rFonts w:hint="eastAsia" w:ascii="宋体" w:hAnsi="宋体" w:eastAsia="宋体" w:cs="宋体"/>
          <w:vertAlign w:val="superscript"/>
          <w:lang w:val="en-US" w:eastAsia="zh-CN"/>
        </w:rPr>
        <w:t>-</w:t>
      </w:r>
      <w:r>
        <w:rPr>
          <w:rFonts w:hint="eastAsia" w:ascii="宋体" w:hAnsi="宋体" w:eastAsia="宋体" w:cs="宋体"/>
          <w:vertAlign w:val="superscript"/>
          <w:lang w:val="en-US" w:eastAsia="en-US"/>
        </w:rPr>
        <w:t>1</w:t>
      </w:r>
      <w:r>
        <w:rPr>
          <w:rFonts w:hint="eastAsia" w:ascii="宋体" w:hAnsi="宋体" w:eastAsia="宋体" w:cs="宋体"/>
          <w:lang w:val="en-US" w:eastAsia="en-US"/>
        </w:rPr>
        <w:t>,</w:t>
      </w:r>
      <w:r>
        <w:rPr>
          <w:rFonts w:hint="eastAsia" w:ascii="宋体" w:hAnsi="宋体" w:eastAsia="宋体" w:cs="宋体"/>
          <w:lang w:val="en-US" w:eastAsia="zh-CN"/>
        </w:rPr>
        <w:t>黄色反光标线的逆反射亮度系数不应低于</w:t>
      </w:r>
      <w:r>
        <w:rPr>
          <w:rFonts w:hint="eastAsia" w:ascii="宋体" w:hAnsi="宋体" w:eastAsia="宋体" w:cs="宋体"/>
          <w:lang w:val="en-US" w:eastAsia="en-US"/>
        </w:rPr>
        <w:t>50mcd</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m</w:t>
      </w:r>
      <w:r>
        <w:rPr>
          <w:rFonts w:hint="eastAsia" w:ascii="宋体" w:hAnsi="宋体" w:eastAsia="宋体" w:cs="宋体"/>
          <w:vertAlign w:val="superscript"/>
          <w:lang w:val="en-US" w:eastAsia="en-US"/>
        </w:rPr>
        <w:t>-2</w:t>
      </w:r>
      <w:r>
        <w:rPr>
          <w:rFonts w:hint="eastAsia" w:ascii="宋体" w:hAnsi="宋体" w:eastAsia="宋体" w:cs="宋体"/>
          <w:lang w:val="en-US" w:eastAsia="en-US"/>
        </w:rPr>
        <w:t xml:space="preserve"> </w:t>
      </w:r>
      <w:r>
        <w:rPr>
          <w:rFonts w:hint="eastAsia" w:ascii="宋体" w:hAnsi="宋体" w:eastAsia="宋体" w:cs="宋体"/>
          <w:lang w:val="en-US" w:eastAsia="zh-CN"/>
        </w:rPr>
        <w:t>.</w:t>
      </w:r>
      <w:r>
        <w:rPr>
          <w:rFonts w:hint="eastAsia" w:ascii="宋体" w:hAnsi="宋体" w:eastAsia="宋体" w:cs="宋体"/>
          <w:lang w:val="zh-CN" w:eastAsia="zh-CN"/>
        </w:rPr>
        <w:t xml:space="preserve"> </w:t>
      </w:r>
      <w:r>
        <w:rPr>
          <w:rFonts w:hint="eastAsia" w:ascii="宋体" w:hAnsi="宋体" w:eastAsia="宋体" w:cs="宋体"/>
          <w:lang w:val="en-US" w:eastAsia="en-US"/>
        </w:rPr>
        <w:t>Ix</w:t>
      </w:r>
      <w:r>
        <w:rPr>
          <w:rFonts w:hint="eastAsia" w:ascii="宋体" w:hAnsi="宋体" w:eastAsia="宋体" w:cs="宋体"/>
          <w:vertAlign w:val="superscript"/>
          <w:lang w:val="en-US" w:eastAsia="zh-CN"/>
        </w:rPr>
        <w:t>-</w:t>
      </w:r>
      <w:r>
        <w:rPr>
          <w:rFonts w:hint="eastAsia" w:ascii="宋体" w:hAnsi="宋体" w:eastAsia="宋体" w:cs="宋体"/>
          <w:vertAlign w:val="superscript"/>
          <w:lang w:val="en-US" w:eastAsia="en-US"/>
        </w:rPr>
        <w:t>1</w:t>
      </w:r>
      <w:r>
        <w:rPr>
          <w:rFonts w:hint="eastAsia" w:ascii="宋体" w:hAnsi="宋体" w:eastAsia="宋体" w:cs="宋体"/>
          <w:lang w:val="en-US" w:eastAsia="en-US"/>
        </w:rPr>
        <w:t>o</w:t>
      </w:r>
    </w:p>
    <w:p w14:paraId="0CD8B779">
      <w:pPr>
        <w:ind w:firstLine="480"/>
        <w:rPr>
          <w:rFonts w:hint="eastAsia" w:ascii="宋体" w:hAnsi="宋体" w:eastAsia="宋体" w:cs="宋体"/>
          <w:lang w:val="en-US" w:eastAsia="zh-CN"/>
        </w:rPr>
      </w:pPr>
      <w:bookmarkStart w:id="1344" w:name="bookmark96"/>
      <w:bookmarkEnd w:id="1344"/>
      <w:r>
        <w:rPr>
          <w:rFonts w:hint="eastAsia" w:ascii="宋体" w:hAnsi="宋体" w:eastAsia="宋体" w:cs="宋体"/>
          <w:lang w:val="en-US" w:eastAsia="zh-CN"/>
        </w:rPr>
        <w:t xml:space="preserve">5）标线外形尺寸、色度性能、抗滑性能应符合《道路交通标线质量要求和检测方法》 </w:t>
      </w:r>
      <w:r>
        <w:rPr>
          <w:rFonts w:hint="eastAsia" w:ascii="宋体" w:hAnsi="宋体" w:eastAsia="宋体" w:cs="宋体"/>
          <w:lang w:val="en-US" w:eastAsia="en-US"/>
        </w:rPr>
        <w:t>(GB/T1631-2009)</w:t>
      </w:r>
      <w:r>
        <w:rPr>
          <w:rFonts w:hint="eastAsia" w:ascii="宋体" w:hAnsi="宋体" w:eastAsia="宋体" w:cs="宋体"/>
          <w:lang w:val="en-US" w:eastAsia="zh-CN"/>
        </w:rPr>
        <w:t>和《公路工程质量检验评定标准第一册土建工程》</w:t>
      </w:r>
      <w:r>
        <w:rPr>
          <w:rFonts w:hint="eastAsia" w:ascii="宋体" w:hAnsi="宋体" w:eastAsia="宋体" w:cs="宋体"/>
          <w:lang w:val="en-US" w:eastAsia="en-US"/>
        </w:rPr>
        <w:t>(JTG F80/1-2017)</w:t>
      </w:r>
      <w:r>
        <w:rPr>
          <w:rFonts w:hint="eastAsia" w:ascii="宋体" w:hAnsi="宋体" w:eastAsia="宋体" w:cs="宋体"/>
          <w:lang w:val="en-US" w:eastAsia="zh-CN"/>
        </w:rPr>
        <w:t>规范要求。</w:t>
      </w:r>
    </w:p>
    <w:p w14:paraId="2B46ACB4">
      <w:pPr>
        <w:ind w:firstLine="480"/>
        <w:rPr>
          <w:rFonts w:hint="eastAsia" w:ascii="宋体" w:hAnsi="宋体" w:eastAsia="宋体" w:cs="宋体"/>
          <w:lang w:val="en-US" w:eastAsia="zh-CN"/>
        </w:rPr>
      </w:pPr>
      <w:bookmarkStart w:id="1345" w:name="bookmark97"/>
      <w:bookmarkEnd w:id="1345"/>
      <w:r>
        <w:rPr>
          <w:rFonts w:hint="eastAsia" w:ascii="宋体" w:hAnsi="宋体" w:eastAsia="宋体" w:cs="宋体"/>
          <w:lang w:val="en-US" w:eastAsia="zh-CN"/>
        </w:rPr>
        <w:t>6）施工路面标线之前，路面应清洁、干燥、无起灰，不得存在松散颗粒、灰尘、沥青渣、 油污或其他有害材料。路面潮湿、灰尘过多、风速过大或环境温度低于</w:t>
      </w:r>
      <w:r>
        <w:rPr>
          <w:rFonts w:hint="eastAsia" w:ascii="宋体" w:hAnsi="宋体" w:eastAsia="宋体" w:cs="宋体"/>
          <w:lang w:val="en-US" w:eastAsia="en-US"/>
        </w:rPr>
        <w:t>10°C</w:t>
      </w:r>
      <w:r>
        <w:rPr>
          <w:rFonts w:hint="eastAsia" w:ascii="宋体" w:hAnsi="宋体" w:eastAsia="宋体" w:cs="宋体"/>
          <w:lang w:val="en-US" w:eastAsia="zh-CN"/>
        </w:rPr>
        <w:t>时，路面标线应暂 停施工。</w:t>
      </w:r>
    </w:p>
    <w:p w14:paraId="1DCA6B3A">
      <w:pPr>
        <w:ind w:firstLine="480"/>
        <w:rPr>
          <w:rFonts w:hint="eastAsia" w:ascii="宋体" w:hAnsi="宋体" w:eastAsia="宋体" w:cs="宋体"/>
          <w:lang w:val="en-US" w:eastAsia="zh-CN"/>
        </w:rPr>
      </w:pPr>
      <w:r>
        <w:rPr>
          <w:rFonts w:hint="eastAsia" w:ascii="宋体" w:hAnsi="宋体" w:eastAsia="宋体" w:cs="宋体"/>
          <w:lang w:val="en-US" w:eastAsia="zh-CN"/>
        </w:rPr>
        <w:t>7）正式施划前应先做一段实验段，根据施工时当地气温、涂料的熔融温度对标线画线车 的行驶速度、线宽、标线厚度、玻璃珠洒布量、反光效果进行调试，并按设计文件要求进行检 验。试验段检测合格后方可正式施工。</w:t>
      </w:r>
    </w:p>
    <w:p w14:paraId="0A265CBF">
      <w:pPr>
        <w:ind w:firstLine="480"/>
        <w:rPr>
          <w:rFonts w:hint="eastAsia" w:ascii="宋体" w:hAnsi="宋体" w:eastAsia="宋体" w:cs="宋体"/>
          <w:lang w:val="en-US" w:eastAsia="zh-CN"/>
        </w:rPr>
      </w:pPr>
      <w:r>
        <w:rPr>
          <w:rFonts w:hint="eastAsia" w:ascii="宋体" w:hAnsi="宋体" w:eastAsia="宋体" w:cs="宋体"/>
          <w:lang w:val="en-US" w:eastAsia="zh-CN"/>
        </w:rPr>
        <w:t>8）车道边缘线不应侵占行车道宽度。</w:t>
      </w:r>
    </w:p>
    <w:p w14:paraId="774DE794">
      <w:pPr>
        <w:ind w:firstLine="480"/>
        <w:rPr>
          <w:rFonts w:hint="eastAsia" w:ascii="宋体" w:hAnsi="宋体" w:eastAsia="宋体" w:cs="宋体"/>
          <w:lang w:val="en-US" w:eastAsia="zh-CN"/>
        </w:rPr>
      </w:pPr>
      <w:r>
        <w:rPr>
          <w:rFonts w:hint="eastAsia" w:ascii="宋体" w:hAnsi="宋体" w:eastAsia="宋体" w:cs="宋体"/>
          <w:lang w:val="en-US" w:eastAsia="zh-CN"/>
        </w:rPr>
        <w:t>9）人行横道线与车道边缘线之间应留出</w:t>
      </w:r>
      <w:r>
        <w:rPr>
          <w:rFonts w:hint="eastAsia" w:ascii="宋体" w:hAnsi="宋体" w:eastAsia="宋体" w:cs="宋体"/>
          <w:lang w:val="en-US" w:eastAsia="en-US"/>
        </w:rPr>
        <w:t>5cm</w:t>
      </w:r>
      <w:r>
        <w:rPr>
          <w:rFonts w:hint="eastAsia" w:ascii="宋体" w:hAnsi="宋体" w:eastAsia="宋体" w:cs="宋体"/>
          <w:lang w:val="en-US" w:eastAsia="zh-CN"/>
        </w:rPr>
        <w:t>间隙，以利于排水和清扫。</w:t>
      </w:r>
    </w:p>
    <w:p w14:paraId="75C00E07">
      <w:pPr>
        <w:ind w:firstLine="480"/>
        <w:rPr>
          <w:rFonts w:hint="eastAsia" w:ascii="宋体" w:hAnsi="宋体" w:eastAsia="宋体" w:cs="宋体"/>
        </w:rPr>
      </w:pPr>
      <w:r>
        <w:rPr>
          <w:rFonts w:hint="eastAsia" w:ascii="宋体" w:hAnsi="宋体" w:eastAsia="宋体" w:cs="宋体"/>
          <w:lang w:val="en-US" w:eastAsia="zh-CN"/>
        </w:rPr>
        <w:t>10）施工路面标线之前，要根据设计图纸要求并结合道路平曲线要素、匝道曲线要素等 实地放线，以保证标线位置精确、线形顺畅。</w:t>
      </w:r>
    </w:p>
    <w:p w14:paraId="4BACA1C4">
      <w:pPr>
        <w:ind w:firstLine="482"/>
        <w:rPr>
          <w:rFonts w:hint="eastAsia" w:ascii="宋体" w:hAnsi="宋体" w:eastAsia="宋体" w:cs="宋体"/>
          <w:b/>
          <w:bCs/>
        </w:rPr>
      </w:pPr>
      <w:bookmarkStart w:id="1346" w:name="_Toc25940"/>
      <w:bookmarkStart w:id="1347" w:name="_Toc27003"/>
      <w:bookmarkStart w:id="1348" w:name="_Toc10794"/>
      <w:bookmarkStart w:id="1349" w:name="_Toc7450"/>
      <w:r>
        <w:rPr>
          <w:rFonts w:hint="eastAsia" w:ascii="宋体" w:hAnsi="宋体" w:eastAsia="宋体" w:cs="宋体"/>
          <w:b/>
          <w:bCs/>
        </w:rPr>
        <w:t>三、标线施工常见问题及解决方法</w:t>
      </w:r>
      <w:bookmarkEnd w:id="1346"/>
      <w:bookmarkEnd w:id="1347"/>
      <w:bookmarkEnd w:id="1348"/>
      <w:bookmarkEnd w:id="1349"/>
    </w:p>
    <w:p w14:paraId="33A989D0">
      <w:pPr>
        <w:ind w:firstLine="480"/>
        <w:rPr>
          <w:rFonts w:hint="eastAsia" w:ascii="宋体" w:hAnsi="宋体" w:eastAsia="宋体" w:cs="宋体"/>
        </w:rPr>
      </w:pPr>
      <w:r>
        <w:rPr>
          <w:rFonts w:hint="eastAsia" w:ascii="宋体" w:hAnsi="宋体" w:eastAsia="宋体" w:cs="宋体"/>
        </w:rPr>
        <w:t>1、标线表面粗长条纹</w:t>
      </w:r>
    </w:p>
    <w:p w14:paraId="17D6A406">
      <w:pPr>
        <w:ind w:firstLine="480"/>
        <w:rPr>
          <w:rFonts w:hint="eastAsia" w:ascii="宋体" w:hAnsi="宋体" w:eastAsia="宋体" w:cs="宋体"/>
        </w:rPr>
      </w:pPr>
      <w:r>
        <w:rPr>
          <w:rFonts w:hint="eastAsia" w:ascii="宋体" w:hAnsi="宋体" w:eastAsia="宋体" w:cs="宋体"/>
        </w:rPr>
        <w:t>原因：施工时涂料流出含有粒状硬物，如烧焦涂料或石粒。解决方法：检查过滤网，清除所有硬物。</w:t>
      </w:r>
    </w:p>
    <w:p w14:paraId="3BEE3DF7">
      <w:pPr>
        <w:ind w:firstLine="480"/>
        <w:rPr>
          <w:rFonts w:hint="eastAsia" w:ascii="宋体" w:hAnsi="宋体" w:eastAsia="宋体" w:cs="宋体"/>
        </w:rPr>
      </w:pPr>
      <w:r>
        <w:rPr>
          <w:rFonts w:hint="eastAsia" w:ascii="宋体" w:hAnsi="宋体" w:eastAsia="宋体" w:cs="宋体"/>
        </w:rPr>
        <w:t>注意点：避免加热过火，施工前应清洁路面。</w:t>
      </w:r>
    </w:p>
    <w:p w14:paraId="505F40EB">
      <w:pPr>
        <w:ind w:firstLine="480"/>
        <w:rPr>
          <w:rFonts w:hint="eastAsia" w:ascii="宋体" w:hAnsi="宋体" w:eastAsia="宋体" w:cs="宋体"/>
        </w:rPr>
      </w:pPr>
      <w:r>
        <w:rPr>
          <w:rFonts w:hint="eastAsia" w:ascii="宋体" w:hAnsi="宋体" w:eastAsia="宋体" w:cs="宋体"/>
        </w:rPr>
        <w:t>2、标线表面含有小孔</w:t>
      </w:r>
    </w:p>
    <w:p w14:paraId="3FB9BEED">
      <w:pPr>
        <w:ind w:firstLine="480"/>
        <w:rPr>
          <w:rFonts w:hint="eastAsia" w:ascii="宋体" w:hAnsi="宋体" w:eastAsia="宋体" w:cs="宋体"/>
        </w:rPr>
      </w:pPr>
      <w:r>
        <w:rPr>
          <w:rFonts w:hint="eastAsia" w:ascii="宋体" w:hAnsi="宋体" w:eastAsia="宋体" w:cs="宋体"/>
        </w:rPr>
        <w:t>原因：路缝间空气扩张再穿过未干涂料，未干水泥潮气穿过涂料表层。底漆溶剂蒸发穿过未干涂料，路面下的潮气扩张再蒸发。此问题在新路面比较显著。</w:t>
      </w:r>
    </w:p>
    <w:p w14:paraId="6F060FF4">
      <w:pPr>
        <w:ind w:firstLine="480"/>
        <w:rPr>
          <w:rFonts w:hint="eastAsia" w:ascii="宋体" w:hAnsi="宋体" w:eastAsia="宋体" w:cs="宋体"/>
        </w:rPr>
      </w:pPr>
      <w:r>
        <w:rPr>
          <w:rFonts w:hint="eastAsia" w:ascii="宋体" w:hAnsi="宋体" w:eastAsia="宋体" w:cs="宋体"/>
        </w:rPr>
        <w:t>解决方法：降低涂料温度，让水泥路硬化多时后再划标线，让底漆完全干透，让潮气完全蒸发使路面干透。</w:t>
      </w:r>
    </w:p>
    <w:p w14:paraId="3D2AE088">
      <w:pPr>
        <w:ind w:firstLine="480"/>
        <w:rPr>
          <w:rFonts w:hint="eastAsia" w:ascii="宋体" w:hAnsi="宋体" w:eastAsia="宋体" w:cs="宋体"/>
        </w:rPr>
      </w:pPr>
      <w:r>
        <w:rPr>
          <w:rFonts w:hint="eastAsia" w:ascii="宋体" w:hAnsi="宋体" w:eastAsia="宋体" w:cs="宋体"/>
        </w:rPr>
        <w:t>注意点：施工时如温度过低会使涂料脱落失去美观，雨后不要立即施工，应等路面完全干燥后再施工。</w:t>
      </w:r>
    </w:p>
    <w:p w14:paraId="0FD84085">
      <w:pPr>
        <w:ind w:firstLine="480"/>
        <w:rPr>
          <w:rFonts w:hint="eastAsia" w:ascii="宋体" w:hAnsi="宋体" w:eastAsia="宋体" w:cs="宋体"/>
        </w:rPr>
      </w:pPr>
      <w:r>
        <w:rPr>
          <w:rFonts w:hint="eastAsia" w:ascii="宋体" w:hAnsi="宋体" w:eastAsia="宋体" w:cs="宋体"/>
        </w:rPr>
        <w:t>3、标线表面开裂</w:t>
      </w:r>
    </w:p>
    <w:p w14:paraId="5664DAE9">
      <w:pPr>
        <w:ind w:firstLine="480"/>
        <w:rPr>
          <w:rFonts w:hint="eastAsia" w:ascii="宋体" w:hAnsi="宋体" w:eastAsia="宋体" w:cs="宋体"/>
        </w:rPr>
      </w:pPr>
      <w:r>
        <w:rPr>
          <w:rFonts w:hint="eastAsia" w:ascii="宋体" w:hAnsi="宋体" w:eastAsia="宋体" w:cs="宋体"/>
        </w:rPr>
        <w:t>原因：过量底漆透过未干涂料，涂料过硬不能应付较软沥青路面的伸缩性，容易出现在标线的边缘处。</w:t>
      </w:r>
    </w:p>
    <w:p w14:paraId="6BB20DA2">
      <w:pPr>
        <w:ind w:firstLine="480"/>
        <w:rPr>
          <w:rFonts w:hint="eastAsia" w:ascii="宋体" w:hAnsi="宋体" w:eastAsia="宋体" w:cs="宋体"/>
        </w:rPr>
      </w:pPr>
      <w:r>
        <w:rPr>
          <w:rFonts w:hint="eastAsia" w:ascii="宋体" w:hAnsi="宋体" w:eastAsia="宋体" w:cs="宋体"/>
        </w:rPr>
        <w:t>解决方法：更换涂料，让沥青稳定后再划线施工。注意点：日夜温度变化容易导致该问题的出现。</w:t>
      </w:r>
    </w:p>
    <w:p w14:paraId="6894C1EF">
      <w:pPr>
        <w:ind w:firstLine="480"/>
        <w:rPr>
          <w:rFonts w:hint="eastAsia" w:ascii="宋体" w:hAnsi="宋体" w:eastAsia="宋体" w:cs="宋体"/>
        </w:rPr>
      </w:pPr>
      <w:r>
        <w:rPr>
          <w:rFonts w:hint="eastAsia" w:ascii="宋体" w:hAnsi="宋体" w:eastAsia="宋体" w:cs="宋体"/>
        </w:rPr>
        <w:t>4、夜间反光欠佳</w:t>
      </w:r>
    </w:p>
    <w:p w14:paraId="2D0FAF4A">
      <w:pPr>
        <w:ind w:firstLine="480"/>
        <w:rPr>
          <w:rFonts w:hint="eastAsia" w:ascii="宋体" w:hAnsi="宋体" w:eastAsia="宋体" w:cs="宋体"/>
        </w:rPr>
      </w:pPr>
      <w:r>
        <w:rPr>
          <w:rFonts w:hint="eastAsia" w:ascii="宋体" w:hAnsi="宋体" w:eastAsia="宋体" w:cs="宋体"/>
        </w:rPr>
        <w:t>原因：过量底漆透过未干涂料，涂料过硬不能应付较软沥青路面的伸缩性，容易出现在标线的边缘处。</w:t>
      </w:r>
    </w:p>
    <w:p w14:paraId="687DC3DC">
      <w:pPr>
        <w:ind w:firstLine="480"/>
        <w:rPr>
          <w:rFonts w:hint="eastAsia" w:ascii="宋体" w:hAnsi="宋体" w:eastAsia="宋体" w:cs="宋体"/>
        </w:rPr>
      </w:pPr>
      <w:r>
        <w:rPr>
          <w:rFonts w:hint="eastAsia" w:ascii="宋体" w:hAnsi="宋体" w:eastAsia="宋体" w:cs="宋体"/>
        </w:rPr>
        <w:t>解决方法：更换涂料，让沥青稳定后再划线施工。注意点：日夜温度变化容易导致该问题的出现。</w:t>
      </w:r>
    </w:p>
    <w:p w14:paraId="43201C13">
      <w:pPr>
        <w:ind w:firstLine="480"/>
        <w:rPr>
          <w:rFonts w:hint="eastAsia" w:ascii="宋体" w:hAnsi="宋体" w:eastAsia="宋体" w:cs="宋体"/>
        </w:rPr>
      </w:pPr>
      <w:r>
        <w:rPr>
          <w:rFonts w:hint="eastAsia" w:ascii="宋体" w:hAnsi="宋体" w:eastAsia="宋体" w:cs="宋体"/>
        </w:rPr>
        <w:t>5、标线表面凹陷</w:t>
      </w:r>
    </w:p>
    <w:p w14:paraId="4D9DFF34">
      <w:pPr>
        <w:ind w:firstLine="480"/>
        <w:rPr>
          <w:rFonts w:hint="eastAsia" w:ascii="宋体" w:hAnsi="宋体" w:eastAsia="宋体" w:cs="宋体"/>
        </w:rPr>
      </w:pPr>
      <w:r>
        <w:rPr>
          <w:rFonts w:hint="eastAsia" w:ascii="宋体" w:hAnsi="宋体" w:eastAsia="宋体" w:cs="宋体"/>
        </w:rPr>
        <w:t>原因：涂料粘度过浓，导致施工时涂料厚度不均匀。</w:t>
      </w:r>
    </w:p>
    <w:p w14:paraId="77C3F164">
      <w:pPr>
        <w:ind w:firstLine="480"/>
        <w:rPr>
          <w:rFonts w:hint="eastAsia" w:ascii="宋体" w:hAnsi="宋体" w:eastAsia="宋体" w:cs="宋体"/>
        </w:rPr>
      </w:pPr>
      <w:r>
        <w:rPr>
          <w:rFonts w:hint="eastAsia" w:ascii="宋体" w:hAnsi="宋体" w:eastAsia="宋体" w:cs="宋体"/>
        </w:rPr>
        <w:t>解决方法：将火炉先加热，将涂料以200-220℃溶解，搅拌均匀。注意点：施工器须配合涂料的粘度。</w:t>
      </w:r>
    </w:p>
    <w:p w14:paraId="41BD9A1D">
      <w:pPr>
        <w:ind w:firstLine="482"/>
        <w:rPr>
          <w:rFonts w:hint="eastAsia" w:ascii="宋体" w:hAnsi="宋体" w:eastAsia="宋体" w:cs="宋体"/>
          <w:b/>
          <w:bCs/>
        </w:rPr>
      </w:pPr>
      <w:bookmarkStart w:id="1350" w:name="_Toc900"/>
      <w:bookmarkStart w:id="1351" w:name="_Toc29240"/>
      <w:bookmarkStart w:id="1352" w:name="_Toc17967"/>
      <w:bookmarkStart w:id="1353" w:name="_Toc18091"/>
      <w:r>
        <w:rPr>
          <w:rFonts w:hint="eastAsia" w:ascii="宋体" w:hAnsi="宋体" w:eastAsia="宋体" w:cs="宋体"/>
          <w:b/>
          <w:bCs/>
        </w:rPr>
        <w:t>四、波形护栏施工方案</w:t>
      </w:r>
      <w:bookmarkEnd w:id="1350"/>
      <w:bookmarkEnd w:id="1351"/>
      <w:bookmarkEnd w:id="1352"/>
      <w:bookmarkEnd w:id="1353"/>
    </w:p>
    <w:p w14:paraId="1D6A7FFD">
      <w:pPr>
        <w:ind w:firstLine="480"/>
        <w:rPr>
          <w:rFonts w:hint="eastAsia" w:ascii="宋体" w:hAnsi="宋体" w:eastAsia="宋体" w:cs="宋体"/>
        </w:rPr>
      </w:pPr>
      <w:r>
        <w:rPr>
          <w:rFonts w:hint="eastAsia" w:ascii="宋体" w:hAnsi="宋体" w:eastAsia="宋体" w:cs="宋体"/>
        </w:rPr>
        <w:t>本项目护栏设计主要按照</w:t>
      </w:r>
      <w:r>
        <w:rPr>
          <w:rFonts w:hint="eastAsia" w:ascii="宋体" w:hAnsi="宋体" w:eastAsia="宋体" w:cs="宋体"/>
          <w:lang w:val="en-US" w:eastAsia="en-US"/>
        </w:rPr>
        <w:t>JTG D81-2017</w:t>
      </w:r>
      <w:r>
        <w:rPr>
          <w:rFonts w:hint="eastAsia" w:ascii="宋体" w:hAnsi="宋体" w:eastAsia="宋体" w:cs="宋体"/>
        </w:rPr>
        <w:t>《公路交通安全设施设计规范》和</w:t>
      </w:r>
      <w:r>
        <w:rPr>
          <w:rFonts w:hint="eastAsia" w:ascii="宋体" w:hAnsi="宋体" w:eastAsia="宋体" w:cs="宋体"/>
          <w:lang w:val="en-US" w:eastAsia="en-US"/>
        </w:rPr>
        <w:t xml:space="preserve">JTG/T D81-2017 </w:t>
      </w:r>
      <w:r>
        <w:rPr>
          <w:rFonts w:hint="eastAsia" w:ascii="宋体" w:hAnsi="宋体" w:eastAsia="宋体" w:cs="宋体"/>
        </w:rPr>
        <w:t>《公路交通安全设施设计细则》的要求，具体布设原则及釆用护栏型式如下：</w:t>
      </w:r>
    </w:p>
    <w:p w14:paraId="0609C5E9">
      <w:pPr>
        <w:ind w:firstLine="48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辅道一般路基段，于边坡高度33米路段设置</w:t>
      </w:r>
      <w:r>
        <w:rPr>
          <w:rFonts w:hint="eastAsia" w:ascii="宋体" w:hAnsi="宋体" w:eastAsia="宋体" w:cs="宋体"/>
          <w:lang w:val="en-US" w:eastAsia="en-US"/>
        </w:rPr>
        <w:t>SB</w:t>
      </w:r>
      <w:r>
        <w:rPr>
          <w:rFonts w:hint="eastAsia" w:ascii="宋体" w:hAnsi="宋体" w:eastAsia="宋体" w:cs="宋体"/>
        </w:rPr>
        <w:t xml:space="preserve">级波形梁护栏，于中央分隔带处设置 </w:t>
      </w:r>
      <w:r>
        <w:rPr>
          <w:rFonts w:hint="eastAsia" w:ascii="宋体" w:hAnsi="宋体" w:eastAsia="宋体" w:cs="宋体"/>
          <w:lang w:val="en-US" w:eastAsia="en-US"/>
        </w:rPr>
        <w:t>SB</w:t>
      </w:r>
      <w:r>
        <w:rPr>
          <w:rFonts w:hint="eastAsia" w:ascii="宋体" w:hAnsi="宋体" w:eastAsia="宋体" w:cs="宋体"/>
        </w:rPr>
        <w:t>级波形梁护栏保护远期主线桥桥墩。</w:t>
      </w:r>
    </w:p>
    <w:p w14:paraId="693245C1">
      <w:pPr>
        <w:ind w:firstLine="480"/>
        <w:rPr>
          <w:rFonts w:hint="eastAsia" w:ascii="宋体" w:hAnsi="宋体" w:eastAsia="宋体" w:cs="宋体"/>
        </w:rPr>
      </w:pPr>
      <w:bookmarkStart w:id="1354" w:name="bookmark103"/>
      <w:bookmarkEnd w:id="1354"/>
      <w:r>
        <w:rPr>
          <w:rFonts w:hint="eastAsia" w:ascii="宋体" w:hAnsi="宋体" w:eastAsia="宋体" w:cs="宋体"/>
          <w:lang w:val="en-US" w:eastAsia="zh-CN"/>
        </w:rPr>
        <w:t>2）</w:t>
      </w:r>
      <w:r>
        <w:rPr>
          <w:rFonts w:hint="eastAsia" w:ascii="宋体" w:hAnsi="宋体" w:eastAsia="宋体" w:cs="宋体"/>
        </w:rPr>
        <w:t>主线一般路基段，于边坡高度</w:t>
      </w:r>
      <w:r>
        <w:rPr>
          <w:rFonts w:hint="eastAsia" w:ascii="宋体" w:hAnsi="宋体" w:eastAsia="宋体" w:cs="宋体"/>
          <w:lang w:val="en-US" w:eastAsia="en-US"/>
        </w:rPr>
        <w:t>N3</w:t>
      </w:r>
      <w:r>
        <w:rPr>
          <w:rFonts w:hint="eastAsia" w:ascii="宋体" w:hAnsi="宋体" w:eastAsia="宋体" w:cs="宋体"/>
        </w:rPr>
        <w:t>米路段与中央分隔带处设置</w:t>
      </w:r>
      <w:r>
        <w:rPr>
          <w:rFonts w:hint="eastAsia" w:ascii="宋体" w:hAnsi="宋体" w:eastAsia="宋体" w:cs="宋体"/>
          <w:lang w:val="en-US" w:eastAsia="en-US"/>
        </w:rPr>
        <w:t>SB</w:t>
      </w:r>
      <w:r>
        <w:rPr>
          <w:rFonts w:hint="eastAsia" w:ascii="宋体" w:hAnsi="宋体" w:eastAsia="宋体" w:cs="宋体"/>
        </w:rPr>
        <w:t>级波形梁护栏。</w:t>
      </w:r>
    </w:p>
    <w:p w14:paraId="177CB81C">
      <w:pPr>
        <w:ind w:firstLine="480"/>
        <w:rPr>
          <w:rFonts w:hint="eastAsia" w:ascii="宋体" w:hAnsi="宋体" w:eastAsia="宋体" w:cs="宋体"/>
        </w:rPr>
      </w:pPr>
      <w:r>
        <w:rPr>
          <w:rFonts w:hint="eastAsia" w:ascii="宋体" w:hAnsi="宋体" w:eastAsia="宋体" w:cs="宋体"/>
          <w:lang w:val="en-US" w:eastAsia="zh-CN"/>
        </w:rPr>
        <w:t>3）</w:t>
      </w:r>
      <w:r>
        <w:rPr>
          <w:rFonts w:hint="eastAsia" w:ascii="宋体" w:hAnsi="宋体" w:eastAsia="宋体" w:cs="宋体"/>
        </w:rPr>
        <w:t>新江公路交叉口进、出口道新建展宽段需拆除现状</w:t>
      </w:r>
      <w:r>
        <w:rPr>
          <w:rFonts w:hint="eastAsia" w:ascii="宋体" w:hAnsi="宋体" w:eastAsia="宋体" w:cs="宋体"/>
          <w:lang w:val="en-US" w:eastAsia="en-US"/>
        </w:rPr>
        <w:t>B</w:t>
      </w:r>
      <w:r>
        <w:rPr>
          <w:rFonts w:hint="eastAsia" w:ascii="宋体" w:hAnsi="宋体" w:eastAsia="宋体" w:cs="宋体"/>
        </w:rPr>
        <w:t>级波形梁护栏，于展宽段外侧重 新设置</w:t>
      </w:r>
      <w:r>
        <w:rPr>
          <w:rFonts w:hint="eastAsia" w:ascii="宋体" w:hAnsi="宋体" w:eastAsia="宋体" w:cs="宋体"/>
          <w:lang w:val="en-US" w:eastAsia="en-US"/>
        </w:rPr>
        <w:t>B</w:t>
      </w:r>
      <w:r>
        <w:rPr>
          <w:rFonts w:hint="eastAsia" w:ascii="宋体" w:hAnsi="宋体" w:eastAsia="宋体" w:cs="宋体"/>
        </w:rPr>
        <w:t>级波形梁护栏与现状波形梁连接。</w:t>
      </w:r>
    </w:p>
    <w:p w14:paraId="0C777249">
      <w:pPr>
        <w:ind w:firstLine="480"/>
        <w:rPr>
          <w:rFonts w:hint="eastAsia" w:ascii="宋体" w:hAnsi="宋体" w:eastAsia="宋体" w:cs="宋体"/>
        </w:rPr>
      </w:pPr>
      <w:bookmarkStart w:id="1355" w:name="bookmark105"/>
      <w:bookmarkEnd w:id="1355"/>
      <w:r>
        <w:rPr>
          <w:rFonts w:hint="eastAsia" w:ascii="宋体" w:hAnsi="宋体" w:eastAsia="宋体" w:cs="宋体"/>
          <w:lang w:val="en-US" w:eastAsia="zh-CN"/>
        </w:rPr>
        <w:t>4）</w:t>
      </w:r>
      <w:r>
        <w:rPr>
          <w:rFonts w:hint="eastAsia" w:ascii="宋体" w:hAnsi="宋体" w:eastAsia="宋体" w:cs="宋体"/>
        </w:rPr>
        <w:t>波形梁护栏与混凝土护栏之间设置过渡段护栏。</w:t>
      </w:r>
    </w:p>
    <w:p w14:paraId="6E5A6453">
      <w:pPr>
        <w:ind w:firstLine="480"/>
        <w:rPr>
          <w:rFonts w:hint="eastAsia" w:ascii="宋体" w:hAnsi="宋体" w:eastAsia="宋体" w:cs="宋体"/>
        </w:rPr>
      </w:pPr>
      <w:bookmarkStart w:id="1356" w:name="bookmark106"/>
      <w:bookmarkEnd w:id="1356"/>
      <w:r>
        <w:rPr>
          <w:rFonts w:hint="eastAsia" w:ascii="宋体" w:hAnsi="宋体" w:eastAsia="宋体" w:cs="宋体"/>
          <w:lang w:val="en-US" w:eastAsia="zh-CN"/>
        </w:rPr>
        <w:t>5）</w:t>
      </w:r>
      <w:r>
        <w:rPr>
          <w:rFonts w:hint="eastAsia" w:ascii="宋体" w:hAnsi="宋体" w:eastAsia="宋体" w:cs="宋体"/>
        </w:rPr>
        <w:t>于桥梁路段设置</w:t>
      </w:r>
      <w:r>
        <w:rPr>
          <w:rFonts w:hint="eastAsia" w:ascii="宋体" w:hAnsi="宋体" w:eastAsia="宋体" w:cs="宋体"/>
          <w:lang w:val="en-US" w:eastAsia="en-US"/>
        </w:rPr>
        <w:t>SA</w:t>
      </w:r>
      <w:r>
        <w:rPr>
          <w:rFonts w:hint="eastAsia" w:ascii="宋体" w:hAnsi="宋体" w:eastAsia="宋体" w:cs="宋体"/>
        </w:rPr>
        <w:t>级混凝土护栏，由主体工程设计并计工程量。</w:t>
      </w:r>
    </w:p>
    <w:p w14:paraId="16109D46">
      <w:pPr>
        <w:ind w:firstLine="480"/>
        <w:rPr>
          <w:rFonts w:hint="eastAsia" w:ascii="宋体" w:hAnsi="宋体" w:eastAsia="宋体" w:cs="宋体"/>
        </w:rPr>
      </w:pPr>
      <w:r>
        <w:rPr>
          <w:rFonts w:hint="eastAsia" w:ascii="宋体" w:hAnsi="宋体" w:eastAsia="宋体" w:cs="宋体"/>
          <w:lang w:val="en-US" w:eastAsia="zh-CN"/>
        </w:rPr>
        <w:t>6）</w:t>
      </w:r>
      <w:r>
        <w:rPr>
          <w:rFonts w:hint="eastAsia" w:ascii="宋体" w:hAnsi="宋体" w:eastAsia="宋体" w:cs="宋体"/>
        </w:rPr>
        <w:t>于桩板式路基路段设置</w:t>
      </w:r>
      <w:r>
        <w:rPr>
          <w:rFonts w:hint="eastAsia" w:ascii="宋体" w:hAnsi="宋体" w:eastAsia="宋体" w:cs="宋体"/>
          <w:lang w:val="en-US" w:eastAsia="en-US"/>
        </w:rPr>
        <w:t>SA</w:t>
      </w:r>
      <w:r>
        <w:rPr>
          <w:rFonts w:hint="eastAsia" w:ascii="宋体" w:hAnsi="宋体" w:eastAsia="宋体" w:cs="宋体"/>
        </w:rPr>
        <w:t>级混凝土护栏，由主体工程设计并计工程量。</w:t>
      </w:r>
    </w:p>
    <w:p w14:paraId="20DF8581">
      <w:pPr>
        <w:ind w:firstLine="480"/>
        <w:rPr>
          <w:rFonts w:hint="eastAsia" w:ascii="宋体" w:hAnsi="宋体" w:eastAsia="宋体" w:cs="宋体"/>
        </w:rPr>
      </w:pPr>
      <w:r>
        <w:rPr>
          <w:rFonts w:hint="eastAsia" w:ascii="宋体" w:hAnsi="宋体" w:eastAsia="宋体" w:cs="宋体"/>
        </w:rPr>
        <w:t>技术要求：</w:t>
      </w:r>
    </w:p>
    <w:p w14:paraId="2738D842">
      <w:pPr>
        <w:ind w:firstLine="480"/>
        <w:rPr>
          <w:rFonts w:hint="eastAsia" w:ascii="宋体" w:hAnsi="宋体" w:eastAsia="宋体" w:cs="宋体"/>
        </w:rPr>
      </w:pPr>
      <w:r>
        <w:rPr>
          <w:rFonts w:hint="eastAsia" w:ascii="宋体" w:hAnsi="宋体" w:eastAsia="宋体" w:cs="宋体"/>
        </w:rPr>
        <w:t>护栏立柱放样宜以道路上的一些构造物为控制点，根据量距情况对立柱间距作适当的调整。 波形梁板、立柱、防阻块、端头、托架等所用基底金属材质为碳素结构钢，其力学性能及 化学成分指标不应低于</w:t>
      </w:r>
      <w:r>
        <w:rPr>
          <w:rFonts w:hint="eastAsia" w:ascii="宋体" w:hAnsi="宋体" w:eastAsia="宋体" w:cs="宋体"/>
          <w:lang w:val="en-US" w:eastAsia="en-US"/>
        </w:rPr>
        <w:t>GB/T700</w:t>
      </w:r>
      <w:r>
        <w:rPr>
          <w:rFonts w:hint="eastAsia" w:ascii="宋体" w:hAnsi="宋体" w:eastAsia="宋体" w:cs="宋体"/>
        </w:rPr>
        <w:t>规定的</w:t>
      </w:r>
      <w:r>
        <w:rPr>
          <w:rFonts w:hint="eastAsia" w:ascii="宋体" w:hAnsi="宋体" w:eastAsia="宋体" w:cs="宋体"/>
          <w:lang w:val="en-US" w:eastAsia="en-US"/>
        </w:rPr>
        <w:t>Q235</w:t>
      </w:r>
      <w:r>
        <w:rPr>
          <w:rFonts w:hint="eastAsia" w:ascii="宋体" w:hAnsi="宋体" w:eastAsia="宋体" w:cs="宋体"/>
        </w:rPr>
        <w:t>钢的要求；高强度拼接螺栓连接副应选用优质碳素结构钢或合金结构钢制造，其化学成分及力学性能应 符合</w:t>
      </w:r>
      <w:r>
        <w:rPr>
          <w:rFonts w:hint="eastAsia" w:ascii="宋体" w:hAnsi="宋体" w:eastAsia="宋体" w:cs="宋体"/>
          <w:lang w:val="en-US" w:eastAsia="en-US"/>
        </w:rPr>
        <w:t>GB/T699</w:t>
      </w:r>
      <w:r>
        <w:rPr>
          <w:rFonts w:hint="eastAsia" w:ascii="宋体" w:hAnsi="宋体" w:eastAsia="宋体" w:cs="宋体"/>
        </w:rPr>
        <w:t>或</w:t>
      </w:r>
      <w:r>
        <w:rPr>
          <w:rFonts w:hint="eastAsia" w:ascii="宋体" w:hAnsi="宋体" w:eastAsia="宋体" w:cs="宋体"/>
          <w:lang w:val="en-US" w:eastAsia="en-US"/>
        </w:rPr>
        <w:t>GB/T3077</w:t>
      </w:r>
      <w:r>
        <w:rPr>
          <w:rFonts w:hint="eastAsia" w:ascii="宋体" w:hAnsi="宋体" w:eastAsia="宋体" w:cs="宋体"/>
        </w:rPr>
        <w:t>的规定；公称直径</w:t>
      </w:r>
      <w:r>
        <w:rPr>
          <w:rFonts w:hint="eastAsia" w:ascii="宋体" w:hAnsi="宋体" w:eastAsia="宋体" w:cs="宋体"/>
          <w:lang w:val="en-US" w:eastAsia="en-US"/>
        </w:rPr>
        <w:t xml:space="preserve">16mm, </w:t>
      </w:r>
      <w:r>
        <w:rPr>
          <w:rFonts w:hint="eastAsia" w:ascii="宋体" w:hAnsi="宋体" w:eastAsia="宋体" w:cs="宋体"/>
          <w:lang w:val="en-US" w:eastAsia="zh-CN"/>
        </w:rPr>
        <w:t>8.8</w:t>
      </w:r>
      <w:r>
        <w:rPr>
          <w:rFonts w:hint="eastAsia" w:ascii="宋体" w:hAnsi="宋体" w:eastAsia="宋体" w:cs="宋体"/>
          <w:lang w:val="en-US" w:eastAsia="en-US"/>
        </w:rPr>
        <w:t>S</w:t>
      </w:r>
      <w:r>
        <w:rPr>
          <w:rFonts w:hint="eastAsia" w:ascii="宋体" w:hAnsi="宋体" w:eastAsia="宋体" w:cs="宋体"/>
        </w:rPr>
        <w:t>级抗拉荷载不小于</w:t>
      </w:r>
      <w:r>
        <w:rPr>
          <w:rFonts w:hint="eastAsia" w:ascii="宋体" w:hAnsi="宋体" w:eastAsia="宋体" w:cs="宋体"/>
          <w:lang w:val="en-US" w:eastAsia="en-US"/>
        </w:rPr>
        <w:t>133kN。</w:t>
      </w:r>
    </w:p>
    <w:p w14:paraId="71F50760">
      <w:pPr>
        <w:ind w:firstLine="480"/>
        <w:rPr>
          <w:rFonts w:hint="eastAsia" w:ascii="宋体" w:hAnsi="宋体" w:eastAsia="宋体" w:cs="宋体"/>
        </w:rPr>
      </w:pPr>
      <w:r>
        <w:rPr>
          <w:rFonts w:hint="eastAsia" w:ascii="宋体" w:hAnsi="宋体" w:eastAsia="宋体" w:cs="宋体"/>
        </w:rPr>
        <w:t>（一）、波形护栏的施工</w:t>
      </w:r>
    </w:p>
    <w:p w14:paraId="0D5D1FC8">
      <w:pPr>
        <w:ind w:firstLine="480"/>
        <w:rPr>
          <w:rFonts w:hint="eastAsia" w:ascii="宋体" w:hAnsi="宋体" w:eastAsia="宋体" w:cs="宋体"/>
        </w:rPr>
      </w:pPr>
      <w:r>
        <w:rPr>
          <w:rFonts w:hint="eastAsia" w:ascii="宋体" w:hAnsi="宋体" w:eastAsia="宋体" w:cs="宋体"/>
        </w:rPr>
        <w:t>波形梁钢护栏是为了防止失控车辆越过中央分隔带或在路侧比较危险的路段冲出路基，不致发生二次事故；为了吸收能量，减轻事故和车辆及人员的损伤程度及诱导视线和美化道路。</w:t>
      </w:r>
    </w:p>
    <w:p w14:paraId="3F402A1E">
      <w:pPr>
        <w:ind w:firstLine="480"/>
        <w:rPr>
          <w:rFonts w:hint="eastAsia" w:ascii="宋体" w:hAnsi="宋体" w:eastAsia="宋体" w:cs="宋体"/>
        </w:rPr>
      </w:pPr>
      <w:r>
        <w:rPr>
          <w:rFonts w:hint="eastAsia" w:ascii="宋体" w:hAnsi="宋体" w:eastAsia="宋体" w:cs="宋体"/>
        </w:rPr>
        <w:t>（1）施工方案</w:t>
      </w:r>
    </w:p>
    <w:p w14:paraId="4D43721C">
      <w:pPr>
        <w:ind w:firstLine="480"/>
        <w:rPr>
          <w:rFonts w:hint="eastAsia" w:ascii="宋体" w:hAnsi="宋体" w:eastAsia="宋体" w:cs="宋体"/>
        </w:rPr>
      </w:pPr>
      <w:r>
        <w:rPr>
          <w:rFonts w:hint="eastAsia" w:ascii="宋体" w:hAnsi="宋体" w:eastAsia="宋体" w:cs="宋体"/>
        </w:rPr>
        <w:t>严格按招标文件要求选购材料，所有钢材按招标文件要求必须有材料质量证明。波形梁钢护栏的所用钢构件均采用热浸镀锌进行金属防腐处理，高强度螺栓进行热浸镀锌处理后对高强度螺栓连接表面要涂黄油，并进行磷化润滑处理，在出厂时应密封包装，以防运输、保存期间生锈或弄脏。</w:t>
      </w:r>
    </w:p>
    <w:p w14:paraId="1A45C246">
      <w:pPr>
        <w:ind w:firstLine="480"/>
        <w:rPr>
          <w:rFonts w:hint="eastAsia" w:ascii="宋体" w:hAnsi="宋体" w:eastAsia="宋体" w:cs="宋体"/>
        </w:rPr>
      </w:pPr>
      <w:r>
        <w:rPr>
          <w:rFonts w:hint="eastAsia" w:ascii="宋体" w:hAnsi="宋体" w:eastAsia="宋体" w:cs="宋体"/>
        </w:rPr>
        <w:t>总的施工顺序为先单面护栏后双面护栏，最后防眩设施安装，采用分段施工，逐段连接，按段自检，实施全过程质量控制，确保全线优质完工。</w:t>
      </w:r>
    </w:p>
    <w:p w14:paraId="5A570C35">
      <w:pPr>
        <w:ind w:firstLine="480"/>
        <w:rPr>
          <w:rFonts w:hint="eastAsia" w:ascii="宋体" w:hAnsi="宋体" w:eastAsia="宋体" w:cs="宋体"/>
        </w:rPr>
      </w:pPr>
      <w:r>
        <w:rPr>
          <w:rFonts w:hint="eastAsia" w:ascii="宋体" w:hAnsi="宋体" w:eastAsia="宋体" w:cs="宋体"/>
        </w:rPr>
        <w:t>（2）施工方法</w:t>
      </w:r>
    </w:p>
    <w:p w14:paraId="5BADCE97">
      <w:pPr>
        <w:ind w:firstLine="480"/>
        <w:rPr>
          <w:rFonts w:hint="eastAsia" w:ascii="宋体" w:hAnsi="宋体" w:eastAsia="宋体" w:cs="宋体"/>
        </w:rPr>
      </w:pPr>
      <w:r>
        <w:rPr>
          <w:rFonts w:hint="eastAsia" w:ascii="宋体" w:hAnsi="宋体" w:eastAsia="宋体" w:cs="宋体"/>
        </w:rPr>
        <w:t>立柱安装</w:t>
      </w:r>
    </w:p>
    <w:p w14:paraId="79A91E4F">
      <w:pPr>
        <w:ind w:firstLine="480"/>
        <w:rPr>
          <w:rFonts w:hint="eastAsia" w:ascii="宋体" w:hAnsi="宋体" w:eastAsia="宋体" w:cs="宋体"/>
        </w:rPr>
      </w:pPr>
      <w:r>
        <w:rPr>
          <w:rFonts w:hint="eastAsia" w:ascii="宋体" w:hAnsi="宋体" w:eastAsia="宋体" w:cs="宋体"/>
        </w:rPr>
        <w:t>A.采用打入法设置立柱。打入法设置立柱，应严格按照钢钎确定的位置，首先安放自制导向器，再将立柱沿导向孔打入，以确保垂直度。立柱打入土中应至设计深度，当打入过深时，不得将立柱部分拔出加以矫正，而须将其全部拔出，等到基础压实后重新打入。立柱安装应与设计图纸相符。并与道路线形相协调，立柱应牢固地埋入土中，达到设计深度，并与路面垂直。</w:t>
      </w:r>
    </w:p>
    <w:p w14:paraId="7D84E12C">
      <w:pPr>
        <w:ind w:firstLine="480"/>
        <w:rPr>
          <w:rFonts w:hint="eastAsia" w:ascii="宋体" w:hAnsi="宋体" w:eastAsia="宋体" w:cs="宋体"/>
        </w:rPr>
      </w:pPr>
      <w:r>
        <w:rPr>
          <w:rFonts w:hint="eastAsia" w:ascii="宋体" w:hAnsi="宋体" w:eastAsia="宋体" w:cs="宋体"/>
        </w:rPr>
        <w:t>B.如打入困难时，可采用钻孔法或开挖法安装立柱。当采用钻孔法进行立柱安装时，立柱定位后应与路基相同的材料回填，并分层夯填密实，使其具有不低于相邻原状土的密实度。</w:t>
      </w:r>
    </w:p>
    <w:p w14:paraId="01F4EE19">
      <w:pPr>
        <w:ind w:firstLine="480"/>
        <w:rPr>
          <w:rFonts w:hint="eastAsia" w:ascii="宋体" w:hAnsi="宋体" w:eastAsia="宋体" w:cs="宋体"/>
        </w:rPr>
      </w:pPr>
      <w:r>
        <w:rPr>
          <w:rFonts w:hint="eastAsia" w:ascii="宋体" w:hAnsi="宋体" w:eastAsia="宋体" w:cs="宋体"/>
        </w:rPr>
        <w:t>当采用开挖法施工，埋设立柱时，回填料应采用良好的相同材料并分层夯实（每层厚不得超过15cm），回填土的压实度不应小于相邻原状土。岩石中的柱桩应用粒料回填并夯实。</w:t>
      </w:r>
    </w:p>
    <w:p w14:paraId="1059776E">
      <w:pPr>
        <w:ind w:firstLine="480"/>
        <w:rPr>
          <w:rFonts w:hint="eastAsia" w:ascii="宋体" w:hAnsi="宋体" w:eastAsia="宋体" w:cs="宋体"/>
        </w:rPr>
      </w:pPr>
      <w:r>
        <w:rPr>
          <w:rFonts w:hint="eastAsia" w:ascii="宋体" w:hAnsi="宋体" w:eastAsia="宋体" w:cs="宋体"/>
        </w:rPr>
        <w:t>C.考虑到护栏结构对景观及驾驶员的视线诱导的影响，立柱安装就位后，应立即进行垂直度、位置、标高的检查。垂直度检查采用靠尺逐根检查。位置检查、间距检查直线采用钢尺检测，曲线段采用偏角法使用经纬仪检测；横向位置检查采用尺量道路中心线与立柱横向间距。</w:t>
      </w:r>
    </w:p>
    <w:p w14:paraId="40217F0B">
      <w:pPr>
        <w:ind w:firstLine="480"/>
        <w:rPr>
          <w:rFonts w:hint="eastAsia" w:ascii="宋体" w:hAnsi="宋体" w:eastAsia="宋体" w:cs="宋体"/>
        </w:rPr>
      </w:pPr>
      <w:r>
        <w:rPr>
          <w:rFonts w:hint="eastAsia" w:ascii="宋体" w:hAnsi="宋体" w:eastAsia="宋体" w:cs="宋体"/>
        </w:rPr>
        <w:t>标高检查，以路缘石内侧路面为基准，采用自制模或水准仪逐根检查。其水平方向和竖直方向应形成顺畅的线形。渐变段及端部立柱的安装为施工时需重点注意的部位，施工中应严格控制立柱位置、高度、注意抛物线形。</w:t>
      </w:r>
    </w:p>
    <w:p w14:paraId="496F041A">
      <w:pPr>
        <w:ind w:firstLine="480"/>
        <w:rPr>
          <w:rFonts w:hint="eastAsia" w:ascii="宋体" w:hAnsi="宋体" w:eastAsia="宋体" w:cs="宋体"/>
        </w:rPr>
      </w:pPr>
      <w:r>
        <w:rPr>
          <w:rFonts w:hint="eastAsia" w:ascii="宋体" w:hAnsi="宋体" w:eastAsia="宋体" w:cs="宋体"/>
        </w:rPr>
        <w:t>防阻块、波形梁、端头的安装</w:t>
      </w:r>
    </w:p>
    <w:p w14:paraId="03BADCFF">
      <w:pPr>
        <w:ind w:firstLine="480"/>
        <w:rPr>
          <w:rFonts w:hint="eastAsia" w:ascii="宋体" w:hAnsi="宋体" w:eastAsia="宋体" w:cs="宋体"/>
        </w:rPr>
      </w:pPr>
      <w:r>
        <w:rPr>
          <w:rFonts w:hint="eastAsia" w:ascii="宋体" w:hAnsi="宋体" w:eastAsia="宋体" w:cs="宋体"/>
        </w:rPr>
        <w:t>A.在调整好立柱后，即可安装托架（防阻块）。托架（防阻块）通过连接螺栓固定于波形梁与立柱之间。在拧紧连接螺栓前应调整托架（防阻块）使其准确就位。</w:t>
      </w:r>
    </w:p>
    <w:p w14:paraId="7B4B8F92">
      <w:pPr>
        <w:ind w:firstLine="480"/>
        <w:rPr>
          <w:rFonts w:hint="eastAsia" w:ascii="宋体" w:hAnsi="宋体" w:eastAsia="宋体" w:cs="宋体"/>
        </w:rPr>
      </w:pPr>
      <w:r>
        <w:rPr>
          <w:rFonts w:hint="eastAsia" w:ascii="宋体" w:hAnsi="宋体" w:eastAsia="宋体" w:cs="宋体"/>
        </w:rPr>
        <w:t>B.波形梁通过拼接螺栓相互拼接，并由连接螺栓固定于托架（防阻块）上。路基护栏、波形梁的搭接方向是安装的关键，严格按照图纸进行安装。搭接方向应与行车方向一致。波形梁在安装过程中应不断进行调整。因此，不应过早拧紧其连接螺栓和拼接螺栓，以便在安装过程中利用波形梁的长圆孔及时进行调整，使其形成平顺的线形，避免局部凹凸。当护栏的线形认为比较满意时，方可最后拧紧螺栓。托架（防阻块）与波形梁之间连接螺栓不宜拧得过紧，以便利用长圆孔调节温度应力。</w:t>
      </w:r>
    </w:p>
    <w:p w14:paraId="15359C8D">
      <w:pPr>
        <w:ind w:firstLine="480"/>
        <w:rPr>
          <w:rFonts w:hint="eastAsia" w:ascii="宋体" w:hAnsi="宋体" w:eastAsia="宋体" w:cs="宋体"/>
        </w:rPr>
      </w:pPr>
      <w:r>
        <w:rPr>
          <w:rFonts w:hint="eastAsia" w:ascii="宋体" w:hAnsi="宋体" w:eastAsia="宋体" w:cs="宋体"/>
        </w:rPr>
        <w:t>C.端头梁通过拼接螺栓与标准段护栏相互拼接。端头梁施工方法与波形梁基本相同。分段施工完毕后，自检合格并报请监理工程师验收。</w:t>
      </w:r>
    </w:p>
    <w:p w14:paraId="47B39D4D">
      <w:pPr>
        <w:ind w:firstLine="482"/>
        <w:rPr>
          <w:rFonts w:hint="eastAsia" w:ascii="宋体" w:hAnsi="宋体" w:eastAsia="宋体" w:cs="宋体"/>
          <w:b/>
          <w:bCs/>
        </w:rPr>
      </w:pPr>
      <w:r>
        <w:rPr>
          <w:rFonts w:hint="eastAsia" w:ascii="宋体" w:hAnsi="宋体" w:eastAsia="宋体" w:cs="宋体"/>
          <w:b/>
          <w:bCs/>
        </w:rPr>
        <w:t>（二）、技术措施</w:t>
      </w:r>
    </w:p>
    <w:p w14:paraId="40E92405">
      <w:pPr>
        <w:ind w:firstLine="480"/>
        <w:rPr>
          <w:rFonts w:hint="eastAsia" w:ascii="宋体" w:hAnsi="宋体" w:eastAsia="宋体" w:cs="宋体"/>
        </w:rPr>
      </w:pPr>
      <w:r>
        <w:rPr>
          <w:rFonts w:hint="eastAsia" w:ascii="宋体" w:hAnsi="宋体" w:eastAsia="宋体" w:cs="宋体"/>
        </w:rPr>
        <w:t>1、立柱不得有明显的扭转，不得焊接加长，端部毛刺必须清除。立柱放样应以公路上的控制点为基础，根据量距情况对立柱间距做适当调整；立柱安装应与设计图纸相符，并与道路线形协调；立柱必须牢固地埋入土中，并埋入深度必须达到设计所规定的深度，且与地平面垂直。</w:t>
      </w:r>
    </w:p>
    <w:p w14:paraId="51184E41">
      <w:pPr>
        <w:ind w:firstLine="480"/>
        <w:rPr>
          <w:rFonts w:hint="eastAsia" w:ascii="宋体" w:hAnsi="宋体" w:eastAsia="宋体" w:cs="宋体"/>
        </w:rPr>
      </w:pPr>
      <w:r>
        <w:rPr>
          <w:rFonts w:hint="eastAsia" w:ascii="宋体" w:hAnsi="宋体" w:eastAsia="宋体" w:cs="宋体"/>
        </w:rPr>
        <w:t>2、无论采用何种方法安装护栏，承包人应尽量避免损坏路面下埋设的管线设施，若造成损坏时承包人应负责修好，损坏后的修理费用由承包人承担。</w:t>
      </w:r>
    </w:p>
    <w:p w14:paraId="3013124C">
      <w:pPr>
        <w:ind w:firstLine="480"/>
        <w:rPr>
          <w:rFonts w:hint="eastAsia" w:ascii="宋体" w:hAnsi="宋体" w:eastAsia="宋体" w:cs="宋体"/>
        </w:rPr>
      </w:pPr>
      <w:r>
        <w:rPr>
          <w:rFonts w:hint="eastAsia" w:ascii="宋体" w:hAnsi="宋体" w:eastAsia="宋体" w:cs="宋体"/>
        </w:rPr>
        <w:t>3、护栏安装完毕后，水平方向和竖直方向应形成顺畅的线形。应对景观及驾驶员的视线有良好诱导。</w:t>
      </w:r>
    </w:p>
    <w:p w14:paraId="0984FD66">
      <w:pPr>
        <w:ind w:firstLine="480"/>
        <w:rPr>
          <w:rFonts w:hint="eastAsia" w:ascii="宋体" w:hAnsi="宋体" w:eastAsia="宋体" w:cs="宋体"/>
        </w:rPr>
      </w:pPr>
      <w:r>
        <w:rPr>
          <w:rFonts w:hint="eastAsia" w:ascii="宋体" w:hAnsi="宋体" w:eastAsia="宋体" w:cs="宋体"/>
        </w:rPr>
        <w:t>4、设置于路侧的波形梁护栏，不应使护栏面侵入公路建筑界限以内。</w:t>
      </w:r>
    </w:p>
    <w:p w14:paraId="7B1BE044">
      <w:pPr>
        <w:ind w:firstLine="480"/>
        <w:rPr>
          <w:rFonts w:hint="eastAsia" w:ascii="宋体" w:hAnsi="宋体" w:eastAsia="宋体" w:cs="宋体"/>
        </w:rPr>
      </w:pPr>
      <w:r>
        <w:rPr>
          <w:rFonts w:hint="eastAsia" w:ascii="宋体" w:hAnsi="宋体" w:eastAsia="宋体" w:cs="宋体"/>
        </w:rPr>
        <w:t>5、波形梁板一般应采用连续辊压成形。波形梁上的螺栓孔必须定位准确，每一端部的所有拼接螺栓孔应一次冲孔完成。</w:t>
      </w:r>
    </w:p>
    <w:p w14:paraId="2E7B54B9">
      <w:pPr>
        <w:ind w:firstLine="480"/>
        <w:rPr>
          <w:rFonts w:hint="eastAsia" w:ascii="宋体" w:hAnsi="宋体" w:eastAsia="宋体" w:cs="宋体"/>
        </w:rPr>
      </w:pPr>
      <w:r>
        <w:rPr>
          <w:rFonts w:hint="eastAsia" w:ascii="宋体" w:hAnsi="宋体" w:eastAsia="宋体" w:cs="宋体"/>
        </w:rPr>
        <w:t>6、立柱安装完毕至柱帽安装期间，应防止立柱内掉入杂物。</w:t>
      </w:r>
    </w:p>
    <w:p w14:paraId="50B35C5D">
      <w:pPr>
        <w:ind w:firstLine="480"/>
        <w:rPr>
          <w:rFonts w:hint="eastAsia" w:ascii="宋体" w:hAnsi="宋体" w:eastAsia="宋体" w:cs="宋体"/>
        </w:rPr>
      </w:pPr>
      <w:r>
        <w:rPr>
          <w:rFonts w:hint="eastAsia" w:ascii="宋体" w:hAnsi="宋体" w:eastAsia="宋体" w:cs="宋体"/>
        </w:rPr>
        <w:t>7、波形梁的连接螺栓及拼接不宜过早拧紧。</w:t>
      </w:r>
    </w:p>
    <w:p w14:paraId="2A05A7A1">
      <w:pPr>
        <w:ind w:firstLine="480"/>
        <w:rPr>
          <w:rFonts w:hint="eastAsia" w:ascii="宋体" w:hAnsi="宋体" w:eastAsia="宋体" w:cs="宋体"/>
        </w:rPr>
      </w:pPr>
      <w:r>
        <w:rPr>
          <w:rFonts w:hint="eastAsia" w:ascii="宋体" w:hAnsi="宋体" w:eastAsia="宋体" w:cs="宋体"/>
        </w:rPr>
        <w:t>8、在拧紧连接螺栓前应调整托架（防阻块）准确就位。</w:t>
      </w:r>
    </w:p>
    <w:p w14:paraId="0068B57F">
      <w:pPr>
        <w:ind w:firstLine="480"/>
        <w:rPr>
          <w:rFonts w:hint="eastAsia" w:ascii="宋体" w:hAnsi="宋体" w:eastAsia="宋体" w:cs="宋体"/>
        </w:rPr>
      </w:pPr>
      <w:r>
        <w:rPr>
          <w:rFonts w:hint="eastAsia" w:ascii="宋体" w:hAnsi="宋体" w:eastAsia="宋体" w:cs="宋体"/>
        </w:rPr>
        <w:t>9、护栏、端头、立柱长度和宽度方向不允许焊接，构件不应出现裂缝。</w:t>
      </w:r>
    </w:p>
    <w:p w14:paraId="20AAD89A">
      <w:pPr>
        <w:ind w:firstLine="480"/>
        <w:rPr>
          <w:rFonts w:hint="eastAsia" w:ascii="宋体" w:hAnsi="宋体" w:eastAsia="宋体" w:cs="宋体"/>
        </w:rPr>
      </w:pPr>
      <w:r>
        <w:rPr>
          <w:rFonts w:hint="eastAsia" w:ascii="宋体" w:hAnsi="宋体" w:eastAsia="宋体" w:cs="宋体"/>
        </w:rPr>
        <w:t>10、防阻块不得有明显的扭转。端面切口应平直，毛刺必须清除。焊缝应光滑平整，焊缝位置应位于任一无螺孔的平面上。</w:t>
      </w:r>
    </w:p>
    <w:p w14:paraId="620BF64F">
      <w:pPr>
        <w:ind w:firstLine="480"/>
        <w:rPr>
          <w:rFonts w:hint="eastAsia" w:ascii="宋体" w:hAnsi="宋体" w:eastAsia="宋体" w:cs="宋体"/>
        </w:rPr>
      </w:pPr>
      <w:r>
        <w:rPr>
          <w:rFonts w:hint="eastAsia" w:ascii="宋体" w:hAnsi="宋体" w:eastAsia="宋体" w:cs="宋体"/>
        </w:rPr>
        <w:t>11、端头不得有明显的扭转。切口应垂直，端部毛刺必须清除。曲线部分应圆滑平顺。</w:t>
      </w:r>
    </w:p>
    <w:p w14:paraId="529919BB">
      <w:pPr>
        <w:ind w:firstLine="482"/>
        <w:rPr>
          <w:rFonts w:hint="eastAsia" w:ascii="宋体" w:hAnsi="宋体" w:eastAsia="宋体" w:cs="宋体"/>
          <w:b/>
          <w:bCs/>
        </w:rPr>
      </w:pPr>
      <w:bookmarkStart w:id="1357" w:name="_Toc7967"/>
      <w:bookmarkStart w:id="1358" w:name="_Toc1653"/>
      <w:bookmarkStart w:id="1359" w:name="_Toc15274"/>
      <w:bookmarkStart w:id="1360" w:name="_Toc6838"/>
      <w:r>
        <w:rPr>
          <w:rFonts w:hint="eastAsia" w:ascii="宋体" w:hAnsi="宋体" w:eastAsia="宋体" w:cs="宋体"/>
          <w:b/>
          <w:bCs/>
        </w:rPr>
        <w:t>五、轮廓标安装方案</w:t>
      </w:r>
      <w:bookmarkEnd w:id="1357"/>
      <w:bookmarkEnd w:id="1358"/>
      <w:bookmarkEnd w:id="1359"/>
      <w:bookmarkEnd w:id="1360"/>
    </w:p>
    <w:p w14:paraId="68A4DC32">
      <w:pPr>
        <w:ind w:firstLine="482"/>
        <w:rPr>
          <w:rFonts w:hint="eastAsia" w:ascii="宋体" w:hAnsi="宋体" w:eastAsia="宋体" w:cs="宋体"/>
          <w:b/>
          <w:bCs/>
        </w:rPr>
      </w:pPr>
      <w:r>
        <w:rPr>
          <w:rFonts w:hint="eastAsia" w:ascii="宋体" w:hAnsi="宋体" w:eastAsia="宋体" w:cs="宋体"/>
          <w:b/>
          <w:bCs/>
        </w:rPr>
        <w:t>（一）施工方案</w:t>
      </w:r>
    </w:p>
    <w:p w14:paraId="5C0CB5C4">
      <w:pPr>
        <w:ind w:firstLine="480"/>
        <w:rPr>
          <w:rFonts w:hint="eastAsia" w:ascii="宋体" w:hAnsi="宋体" w:eastAsia="宋体" w:cs="宋体"/>
        </w:rPr>
      </w:pPr>
      <w:r>
        <w:rPr>
          <w:rFonts w:hint="eastAsia" w:ascii="宋体" w:hAnsi="宋体" w:eastAsia="宋体" w:cs="宋体"/>
        </w:rPr>
        <w:t>附着式轮廓标与护栏施工同步，柱式轮廓标在砼基础的预留孔中进行安装。</w:t>
      </w:r>
    </w:p>
    <w:p w14:paraId="3973B940">
      <w:pPr>
        <w:ind w:firstLine="480"/>
        <w:rPr>
          <w:rFonts w:hint="eastAsia" w:ascii="宋体" w:hAnsi="宋体" w:eastAsia="宋体" w:cs="宋体"/>
        </w:rPr>
      </w:pPr>
      <w:r>
        <w:rPr>
          <w:rFonts w:hint="eastAsia" w:ascii="宋体" w:hAnsi="宋体" w:eastAsia="宋体" w:cs="宋体"/>
        </w:rPr>
        <w:t>施工流程：轮廓标制作、验收→测量放样→柱式轮廓标立柱基础开挖、处理、砼现浇→砼养护→立柱安装→反射器安装→自检→竣工验收。</w:t>
      </w:r>
    </w:p>
    <w:p w14:paraId="465846BF">
      <w:pPr>
        <w:ind w:firstLine="482"/>
        <w:rPr>
          <w:rFonts w:hint="eastAsia" w:ascii="宋体" w:hAnsi="宋体" w:eastAsia="宋体" w:cs="宋体"/>
          <w:b/>
          <w:bCs/>
        </w:rPr>
      </w:pPr>
      <w:r>
        <w:rPr>
          <w:rFonts w:hint="eastAsia" w:ascii="宋体" w:hAnsi="宋体" w:eastAsia="宋体" w:cs="宋体"/>
          <w:b/>
          <w:bCs/>
        </w:rPr>
        <w:t>（二）施工方法</w:t>
      </w:r>
    </w:p>
    <w:p w14:paraId="28204C36">
      <w:pPr>
        <w:ind w:firstLine="480"/>
        <w:rPr>
          <w:rFonts w:hint="eastAsia" w:ascii="宋体" w:hAnsi="宋体" w:eastAsia="宋体" w:cs="宋体"/>
        </w:rPr>
      </w:pPr>
      <w:r>
        <w:rPr>
          <w:rFonts w:hint="eastAsia" w:ascii="宋体" w:hAnsi="宋体" w:eastAsia="宋体" w:cs="宋体"/>
        </w:rPr>
        <w:t>（1）轮廓标反射器的安装角度，在直线段或曲线段上，尽可能与司机视线方向垂直。</w:t>
      </w:r>
    </w:p>
    <w:p w14:paraId="1075AE22">
      <w:pPr>
        <w:ind w:firstLine="480"/>
        <w:rPr>
          <w:rFonts w:hint="eastAsia" w:ascii="宋体" w:hAnsi="宋体" w:eastAsia="宋体" w:cs="宋体"/>
        </w:rPr>
      </w:pPr>
      <w:r>
        <w:rPr>
          <w:rFonts w:hint="eastAsia" w:ascii="宋体" w:hAnsi="宋体" w:eastAsia="宋体" w:cs="宋体"/>
        </w:rPr>
        <w:t>（2）附着式轮廓标由梯形反射器和铝合金托架组成，反射器以棱镜型反射器为反光元件。</w:t>
      </w:r>
    </w:p>
    <w:p w14:paraId="69D285E3">
      <w:pPr>
        <w:ind w:firstLine="480"/>
        <w:rPr>
          <w:rFonts w:hint="eastAsia" w:ascii="宋体" w:hAnsi="宋体" w:eastAsia="宋体" w:cs="宋体"/>
        </w:rPr>
      </w:pPr>
      <w:r>
        <w:rPr>
          <w:rFonts w:hint="eastAsia" w:ascii="宋体" w:hAnsi="宋体" w:eastAsia="宋体" w:cs="宋体"/>
        </w:rPr>
        <w:t>安装在波形梁护栏中间内槽内时，反光器与后底板铆接在一起，后底板固定在护栏与立柱的连接螺栓上。后底板做成一定的角度，角度的大小以保证汽车前照灯光能大致与其保持垂直原则。</w:t>
      </w:r>
    </w:p>
    <w:p w14:paraId="4E2F124E">
      <w:pPr>
        <w:ind w:firstLine="480"/>
        <w:rPr>
          <w:rFonts w:hint="eastAsia" w:ascii="宋体" w:hAnsi="宋体" w:eastAsia="宋体" w:cs="宋体"/>
        </w:rPr>
      </w:pPr>
      <w:r>
        <w:rPr>
          <w:rFonts w:hint="eastAsia" w:ascii="宋体" w:hAnsi="宋体" w:eastAsia="宋体" w:cs="宋体"/>
        </w:rPr>
        <w:t>在钢筋砼护栏墙路段及隧道里的附着式轮廓标采用膨胀螺栓固定。</w:t>
      </w:r>
    </w:p>
    <w:p w14:paraId="16941FE6">
      <w:pPr>
        <w:ind w:firstLine="480"/>
        <w:rPr>
          <w:rFonts w:hint="eastAsia" w:ascii="宋体" w:hAnsi="宋体" w:eastAsia="宋体" w:cs="宋体"/>
        </w:rPr>
      </w:pPr>
      <w:r>
        <w:rPr>
          <w:rFonts w:hint="eastAsia" w:ascii="宋体" w:hAnsi="宋体" w:eastAsia="宋体" w:cs="宋体"/>
        </w:rPr>
        <w:t>柱式轮廓标基础采用现浇砼，布置在路肩上。在浇注基础砼前，先做好砂砾垫层和水泥砂浆层，找平后，放入底板，套筒口朝上，然后在套筒外浇注砼。两个套筒之间采用周边焊接，防止砼漏浆。</w:t>
      </w:r>
    </w:p>
    <w:p w14:paraId="00F7505D">
      <w:pPr>
        <w:ind w:firstLine="480"/>
        <w:rPr>
          <w:rFonts w:hint="eastAsia" w:ascii="宋体" w:hAnsi="宋体" w:eastAsia="宋体" w:cs="宋体"/>
        </w:rPr>
      </w:pPr>
      <w:r>
        <w:rPr>
          <w:rFonts w:hint="eastAsia" w:ascii="宋体" w:hAnsi="宋体" w:eastAsia="宋体" w:cs="宋体"/>
        </w:rPr>
        <w:t>柱式轮廓标安装时，柱体要垂直地平面，三角形柱体的顶角平分线要垂直于道路中心线，柱体与砼基础间用螺栓连接，以方便更换。轮廓标上反射器采用粘结和螺栓共同固定，连接牢固。</w:t>
      </w:r>
    </w:p>
    <w:p w14:paraId="15E72A2C">
      <w:pPr>
        <w:ind w:firstLine="480"/>
        <w:rPr>
          <w:rFonts w:hint="eastAsia" w:ascii="宋体" w:hAnsi="宋体" w:eastAsia="宋体" w:cs="宋体"/>
        </w:rPr>
      </w:pPr>
      <w:r>
        <w:rPr>
          <w:rFonts w:hint="eastAsia" w:ascii="宋体" w:hAnsi="宋体" w:eastAsia="宋体" w:cs="宋体"/>
        </w:rPr>
        <w:t>轮廓标的所有钢构件均要进行热浸镀锌处理，螺栓、螺母、垫圈等连接件镀锌量为350g/m2，其余钢构件的镀锌量为600g/m2，同时在螺栓、螺母镀锌后必须进行清理螺纹。</w:t>
      </w:r>
    </w:p>
    <w:p w14:paraId="2FA5B883">
      <w:pPr>
        <w:ind w:firstLine="480"/>
        <w:rPr>
          <w:rFonts w:hint="eastAsia" w:ascii="宋体" w:hAnsi="宋体" w:eastAsia="宋体" w:cs="宋体"/>
        </w:rPr>
      </w:pPr>
      <w:r>
        <w:rPr>
          <w:rFonts w:hint="eastAsia" w:ascii="宋体" w:hAnsi="宋体" w:eastAsia="宋体" w:cs="宋体"/>
        </w:rPr>
        <w:t>轮廓标反射器和反光膜的颜色必须符合设计规定，满足行车需求。</w:t>
      </w:r>
    </w:p>
    <w:p w14:paraId="60DF84BF">
      <w:pPr>
        <w:ind w:firstLine="482"/>
        <w:rPr>
          <w:rFonts w:hint="eastAsia" w:ascii="宋体" w:hAnsi="宋体" w:eastAsia="宋体" w:cs="宋体"/>
          <w:b/>
          <w:bCs/>
        </w:rPr>
      </w:pPr>
      <w:bookmarkStart w:id="1361" w:name="_Toc141"/>
      <w:bookmarkStart w:id="1362" w:name="_Toc23971"/>
      <w:bookmarkStart w:id="1363" w:name="_Toc12008"/>
      <w:bookmarkStart w:id="1364" w:name="_Toc26477"/>
      <w:r>
        <w:rPr>
          <w:rFonts w:hint="eastAsia" w:ascii="宋体" w:hAnsi="宋体" w:eastAsia="宋体" w:cs="宋体"/>
          <w:b/>
          <w:bCs/>
        </w:rPr>
        <w:t>六、警示桩、道口桩施工</w:t>
      </w:r>
      <w:bookmarkEnd w:id="1361"/>
      <w:bookmarkEnd w:id="1362"/>
      <w:bookmarkEnd w:id="1363"/>
      <w:bookmarkEnd w:id="1364"/>
    </w:p>
    <w:p w14:paraId="5EB1D932">
      <w:pPr>
        <w:ind w:firstLine="480"/>
        <w:rPr>
          <w:rFonts w:hint="eastAsia" w:ascii="宋体" w:hAnsi="宋体" w:eastAsia="宋体" w:cs="宋体"/>
        </w:rPr>
      </w:pPr>
      <w:r>
        <w:rPr>
          <w:rFonts w:hint="eastAsia" w:ascii="宋体" w:hAnsi="宋体" w:eastAsia="宋体" w:cs="宋体"/>
        </w:rPr>
        <w:t>1、模具制作</w:t>
      </w:r>
    </w:p>
    <w:p w14:paraId="3D24B8C9">
      <w:pPr>
        <w:ind w:firstLine="480"/>
        <w:rPr>
          <w:rFonts w:hint="eastAsia" w:ascii="宋体" w:hAnsi="宋体" w:eastAsia="宋体" w:cs="宋体"/>
        </w:rPr>
      </w:pPr>
      <w:r>
        <w:rPr>
          <w:rFonts w:hint="eastAsia" w:ascii="宋体" w:hAnsi="宋体" w:eastAsia="宋体" w:cs="宋体"/>
        </w:rPr>
        <w:t>道口标桩、警示桩模具采用圆钢加工制作，分左右两半，并且上面焊有紧固螺栓，以防止其振捣张开，影响其尺寸。</w:t>
      </w:r>
    </w:p>
    <w:p w14:paraId="314315ED">
      <w:pPr>
        <w:ind w:firstLine="480"/>
        <w:rPr>
          <w:rFonts w:hint="eastAsia" w:ascii="宋体" w:hAnsi="宋体" w:eastAsia="宋体" w:cs="宋体"/>
        </w:rPr>
      </w:pPr>
      <w:r>
        <w:rPr>
          <w:rFonts w:hint="eastAsia" w:ascii="宋体" w:hAnsi="宋体" w:eastAsia="宋体" w:cs="宋体"/>
        </w:rPr>
        <w:t>2、道口标桩、警示桩预制</w:t>
      </w:r>
    </w:p>
    <w:p w14:paraId="01F31B01">
      <w:pPr>
        <w:ind w:firstLine="480"/>
        <w:rPr>
          <w:rFonts w:hint="eastAsia" w:ascii="宋体" w:hAnsi="宋体" w:eastAsia="宋体" w:cs="宋体"/>
        </w:rPr>
      </w:pPr>
      <w:r>
        <w:rPr>
          <w:rFonts w:hint="eastAsia" w:ascii="宋体" w:hAnsi="宋体" w:eastAsia="宋体" w:cs="宋体"/>
        </w:rPr>
        <w:t>用振捣器捣密实后浇筑第二层，待浇筑后达到凝固强度后，打开模具，将其表面缠覆盖薄膜进行养生。</w:t>
      </w:r>
    </w:p>
    <w:p w14:paraId="40E787AC">
      <w:pPr>
        <w:ind w:firstLine="480"/>
        <w:rPr>
          <w:rFonts w:hint="eastAsia" w:ascii="宋体" w:hAnsi="宋体" w:eastAsia="宋体" w:cs="宋体"/>
        </w:rPr>
      </w:pPr>
      <w:r>
        <w:rPr>
          <w:rFonts w:hint="eastAsia" w:ascii="宋体" w:hAnsi="宋体" w:eastAsia="宋体" w:cs="宋体"/>
        </w:rPr>
        <w:t>3、道口标桩、警示桩基础开挖</w:t>
      </w:r>
    </w:p>
    <w:p w14:paraId="476E2E25">
      <w:pPr>
        <w:ind w:firstLine="480"/>
        <w:rPr>
          <w:rFonts w:hint="eastAsia" w:ascii="宋体" w:hAnsi="宋体" w:eastAsia="宋体" w:cs="宋体"/>
        </w:rPr>
      </w:pPr>
      <w:r>
        <w:rPr>
          <w:rFonts w:hint="eastAsia" w:ascii="宋体" w:hAnsi="宋体" w:eastAsia="宋体" w:cs="宋体"/>
        </w:rPr>
        <w:t>道口标桩、警示桩施工工具流动性大，零碎的特点，基础采用人工开挖，将底部整平压实。</w:t>
      </w:r>
    </w:p>
    <w:p w14:paraId="1409DDB9">
      <w:pPr>
        <w:ind w:firstLine="480"/>
        <w:rPr>
          <w:rFonts w:hint="eastAsia" w:ascii="宋体" w:hAnsi="宋体" w:eastAsia="宋体" w:cs="宋体"/>
        </w:rPr>
      </w:pPr>
      <w:r>
        <w:rPr>
          <w:rFonts w:hint="eastAsia" w:ascii="宋体" w:hAnsi="宋体" w:eastAsia="宋体" w:cs="宋体"/>
        </w:rPr>
        <w:t>4、喷涂发光漆</w:t>
      </w:r>
    </w:p>
    <w:p w14:paraId="77074F8D">
      <w:pPr>
        <w:ind w:firstLine="480"/>
        <w:rPr>
          <w:rFonts w:hint="eastAsia" w:ascii="宋体" w:hAnsi="宋体" w:eastAsia="宋体" w:cs="宋体"/>
        </w:rPr>
      </w:pPr>
      <w:r>
        <w:rPr>
          <w:rFonts w:hint="eastAsia" w:ascii="宋体" w:hAnsi="宋体" w:eastAsia="宋体" w:cs="宋体"/>
        </w:rPr>
        <w:t>严格按图纸要求的颜色、间距涂刷发光漆。</w:t>
      </w:r>
    </w:p>
    <w:p w14:paraId="2C29F03B">
      <w:pPr>
        <w:ind w:firstLine="480"/>
        <w:rPr>
          <w:rFonts w:hint="eastAsia" w:ascii="宋体" w:hAnsi="宋体" w:eastAsia="宋体" w:cs="宋体"/>
        </w:rPr>
      </w:pPr>
      <w:r>
        <w:rPr>
          <w:rFonts w:hint="eastAsia" w:ascii="宋体" w:hAnsi="宋体" w:eastAsia="宋体" w:cs="宋体"/>
        </w:rPr>
        <w:t>5、安装</w:t>
      </w:r>
    </w:p>
    <w:p w14:paraId="1285DB93">
      <w:pPr>
        <w:ind w:firstLine="480"/>
        <w:rPr>
          <w:rFonts w:hint="eastAsia" w:ascii="宋体" w:hAnsi="宋体" w:eastAsia="宋体" w:cs="宋体"/>
        </w:rPr>
      </w:pPr>
      <w:r>
        <w:rPr>
          <w:rFonts w:hint="eastAsia" w:ascii="宋体" w:hAnsi="宋体" w:eastAsia="宋体" w:cs="宋体"/>
        </w:rPr>
        <w:t>根据道口标桩、警示桩施工具有流动性大、零碎、基础混凝土用量少的特点，现将混凝土按配合比拌合成干料，在运至现场进行加水拌合，这样既可以避免混凝土在运输过程中出现离析问题，还能节省资源，不会造成不必要的浪费。</w:t>
      </w:r>
    </w:p>
    <w:p w14:paraId="241F5378">
      <w:pPr>
        <w:ind w:firstLine="480"/>
        <w:rPr>
          <w:rFonts w:hint="eastAsia" w:ascii="宋体" w:hAnsi="宋体" w:eastAsia="宋体" w:cs="宋体"/>
        </w:rPr>
      </w:pPr>
      <w:r>
        <w:rPr>
          <w:rFonts w:hint="eastAsia" w:ascii="宋体" w:hAnsi="宋体" w:eastAsia="宋体" w:cs="宋体"/>
        </w:rPr>
        <w:t>严格按照图纸设计道口标桩、警示桩的埋深进行安装，并用水平尺控制其垂直度，混凝土浇筑要充分捣实。</w:t>
      </w:r>
    </w:p>
    <w:p w14:paraId="2FB01958">
      <w:pPr>
        <w:ind w:firstLine="480"/>
        <w:rPr>
          <w:rFonts w:hint="eastAsia" w:ascii="宋体" w:hAnsi="宋体" w:eastAsia="宋体" w:cs="宋体"/>
        </w:rPr>
      </w:pPr>
      <w:r>
        <w:rPr>
          <w:rFonts w:hint="eastAsia" w:ascii="宋体" w:hAnsi="宋体" w:eastAsia="宋体" w:cs="宋体"/>
        </w:rPr>
        <w:t>6、技术措施</w:t>
      </w:r>
    </w:p>
    <w:p w14:paraId="005ACE48">
      <w:pPr>
        <w:ind w:firstLine="480"/>
        <w:rPr>
          <w:rFonts w:hint="eastAsia" w:ascii="宋体" w:hAnsi="宋体" w:eastAsia="宋体" w:cs="宋体"/>
        </w:rPr>
      </w:pPr>
      <w:r>
        <w:rPr>
          <w:rFonts w:hint="eastAsia" w:ascii="宋体" w:hAnsi="宋体" w:eastAsia="宋体" w:cs="宋体"/>
        </w:rPr>
        <w:t>质量要求按图纸设计和施工技术规范及业主要求进行。</w:t>
      </w:r>
    </w:p>
    <w:p w14:paraId="1AE44070">
      <w:pPr>
        <w:ind w:firstLine="480"/>
        <w:rPr>
          <w:rFonts w:hint="eastAsia" w:ascii="宋体" w:hAnsi="宋体" w:eastAsia="宋体" w:cs="宋体"/>
        </w:rPr>
      </w:pPr>
      <w:r>
        <w:rPr>
          <w:rFonts w:hint="eastAsia" w:ascii="宋体" w:hAnsi="宋体" w:eastAsia="宋体" w:cs="宋体"/>
        </w:rPr>
        <w:t>道口标桩、警示桩应保证标桩垂直无歪斜，并保证位置正确，颜色鲜明、醒目。</w:t>
      </w:r>
    </w:p>
    <w:p w14:paraId="019ED713">
      <w:pPr>
        <w:ind w:firstLine="480"/>
        <w:rPr>
          <w:rFonts w:hint="eastAsia" w:ascii="宋体" w:hAnsi="宋体" w:eastAsia="宋体" w:cs="宋体"/>
        </w:rPr>
      </w:pPr>
      <w:r>
        <w:rPr>
          <w:rFonts w:hint="eastAsia" w:ascii="宋体" w:hAnsi="宋体" w:eastAsia="宋体" w:cs="宋体"/>
        </w:rPr>
        <w:t>道口标桩在公路沿线较小交叉路口的两侧对称设置，每侧一根，用来提醒主线车辆提高警惕，防范小路口车辆突然出现而造成意外。</w:t>
      </w:r>
    </w:p>
    <w:p w14:paraId="72706AC8">
      <w:pPr>
        <w:ind w:firstLine="480"/>
        <w:rPr>
          <w:rFonts w:hint="eastAsia" w:ascii="宋体" w:hAnsi="宋体" w:eastAsia="宋体" w:cs="宋体"/>
          <w:lang w:val="zh-CN"/>
        </w:rPr>
      </w:pPr>
      <w:r>
        <w:rPr>
          <w:rFonts w:hint="eastAsia" w:ascii="宋体" w:hAnsi="宋体" w:eastAsia="宋体" w:cs="宋体"/>
        </w:rPr>
        <w:t>埋设深度、间距、高出地面尺寸严格按设计图纸施工。</w:t>
      </w:r>
    </w:p>
    <w:p w14:paraId="3A46648E">
      <w:pPr>
        <w:ind w:firstLine="482"/>
        <w:rPr>
          <w:rFonts w:hint="eastAsia" w:ascii="宋体" w:hAnsi="宋体" w:eastAsia="宋体" w:cs="宋体"/>
          <w:b/>
          <w:bCs/>
        </w:rPr>
      </w:pPr>
      <w:bookmarkStart w:id="1365" w:name="_Toc19499"/>
      <w:bookmarkStart w:id="1366" w:name="_Toc22481"/>
      <w:bookmarkStart w:id="1367" w:name="_Toc28375"/>
      <w:bookmarkStart w:id="1368" w:name="_Toc19184"/>
      <w:r>
        <w:rPr>
          <w:rFonts w:hint="eastAsia" w:ascii="宋体" w:hAnsi="宋体" w:cs="宋体"/>
          <w:b/>
          <w:bCs/>
          <w:lang w:val="en-US" w:eastAsia="zh-CN"/>
        </w:rPr>
        <w:t>七</w:t>
      </w:r>
      <w:r>
        <w:rPr>
          <w:rFonts w:hint="eastAsia" w:ascii="宋体" w:hAnsi="宋体" w:eastAsia="宋体" w:cs="宋体"/>
          <w:b/>
          <w:bCs/>
        </w:rPr>
        <w:t>、信号灯控制系统</w:t>
      </w:r>
      <w:bookmarkEnd w:id="1365"/>
      <w:bookmarkEnd w:id="1366"/>
      <w:bookmarkEnd w:id="1367"/>
      <w:bookmarkEnd w:id="1368"/>
    </w:p>
    <w:p w14:paraId="0AABCA43">
      <w:pPr>
        <w:ind w:firstLine="480"/>
        <w:rPr>
          <w:rFonts w:hint="eastAsia" w:ascii="宋体" w:hAnsi="宋体" w:eastAsia="宋体" w:cs="宋体"/>
        </w:rPr>
      </w:pPr>
      <w:r>
        <w:rPr>
          <w:rFonts w:hint="eastAsia" w:ascii="宋体" w:hAnsi="宋体" w:eastAsia="宋体" w:cs="宋体"/>
        </w:rPr>
        <w:t>（一）、施工工艺流程：</w:t>
      </w:r>
    </w:p>
    <w:p w14:paraId="53B87770">
      <w:pPr>
        <w:ind w:firstLine="480"/>
        <w:rPr>
          <w:rFonts w:hint="eastAsia" w:ascii="宋体" w:hAnsi="宋体" w:eastAsia="宋体" w:cs="宋体"/>
        </w:rPr>
      </w:pPr>
      <w:r>
        <w:rPr>
          <w:rFonts w:hint="eastAsia" w:ascii="宋体" w:hAnsi="宋体" w:eastAsia="宋体" w:cs="宋体"/>
        </w:rPr>
        <w:t>检查施工图→开挖沟槽→铺设管道→接口施工→验收→回填</w:t>
      </w:r>
    </w:p>
    <w:p w14:paraId="4D891884">
      <w:pPr>
        <w:ind w:firstLine="480"/>
        <w:rPr>
          <w:rFonts w:hint="eastAsia" w:ascii="宋体" w:hAnsi="宋体" w:eastAsia="宋体" w:cs="宋体"/>
        </w:rPr>
      </w:pPr>
      <w:r>
        <w:rPr>
          <w:rFonts w:hint="eastAsia" w:ascii="宋体" w:hAnsi="宋体" w:eastAsia="宋体" w:cs="宋体"/>
        </w:rPr>
        <w:t>（二）、主要施工方法及技术要求</w:t>
      </w:r>
    </w:p>
    <w:p w14:paraId="102C58B3">
      <w:pPr>
        <w:ind w:firstLine="480"/>
        <w:rPr>
          <w:rFonts w:hint="eastAsia" w:ascii="宋体" w:hAnsi="宋体" w:eastAsia="宋体" w:cs="宋体"/>
        </w:rPr>
      </w:pPr>
      <w:r>
        <w:rPr>
          <w:rFonts w:hint="eastAsia" w:ascii="宋体" w:hAnsi="宋体" w:eastAsia="宋体" w:cs="宋体"/>
        </w:rPr>
        <w:t>1）开挖沟槽：开挖沟槽的施工顺序是定位放线、挖槽、地沟垫层处理验收。</w:t>
      </w:r>
    </w:p>
    <w:p w14:paraId="638191FA">
      <w:pPr>
        <w:ind w:firstLine="480"/>
        <w:rPr>
          <w:rFonts w:hint="eastAsia" w:ascii="宋体" w:hAnsi="宋体" w:eastAsia="宋体" w:cs="宋体"/>
        </w:rPr>
      </w:pPr>
      <w:r>
        <w:rPr>
          <w:rFonts w:hint="eastAsia" w:ascii="宋体" w:hAnsi="宋体" w:eastAsia="宋体" w:cs="宋体"/>
        </w:rPr>
        <w:t>定位放线：先按施工图测出管道的坐标及标高后，在按图示方位打桩放线，确定沟槽位置、宽度和深度，应符合设计要求，偏差不得超过质量检验标准的有关规定。</w:t>
      </w:r>
    </w:p>
    <w:p w14:paraId="780DB4F1">
      <w:pPr>
        <w:ind w:firstLine="480"/>
        <w:rPr>
          <w:rFonts w:hint="eastAsia" w:ascii="宋体" w:hAnsi="宋体" w:eastAsia="宋体" w:cs="宋体"/>
        </w:rPr>
      </w:pPr>
      <w:r>
        <w:rPr>
          <w:rFonts w:hint="eastAsia" w:ascii="宋体" w:hAnsi="宋体" w:eastAsia="宋体" w:cs="宋体"/>
        </w:rPr>
        <w:t>挖槽：采用机械挖槽或人工挖槽，槽帮必须放坡，定为1：0.33，严禁扰动槽底部，</w:t>
      </w:r>
    </w:p>
    <w:p w14:paraId="6A546D85">
      <w:pPr>
        <w:ind w:firstLine="480"/>
        <w:rPr>
          <w:rFonts w:hint="eastAsia" w:ascii="宋体" w:hAnsi="宋体" w:eastAsia="宋体" w:cs="宋体"/>
        </w:rPr>
      </w:pPr>
      <w:r>
        <w:rPr>
          <w:rFonts w:hint="eastAsia" w:ascii="宋体" w:hAnsi="宋体" w:eastAsia="宋体" w:cs="宋体"/>
        </w:rPr>
        <w:t>机械挖槽至槽底上30cm，余土由人工清理，防止扰动槽底原土或雨水泡槽影响基础土质，保证基础的良好性，土方堆放在沟槽的一侧，土堆底边与沟边的距离不得小于0.5M。</w:t>
      </w:r>
    </w:p>
    <w:p w14:paraId="4314C078">
      <w:pPr>
        <w:ind w:firstLine="480"/>
        <w:rPr>
          <w:rFonts w:hint="eastAsia" w:ascii="宋体" w:hAnsi="宋体" w:eastAsia="宋体" w:cs="宋体"/>
        </w:rPr>
      </w:pPr>
      <w:r>
        <w:rPr>
          <w:rFonts w:hint="eastAsia" w:ascii="宋体" w:hAnsi="宋体" w:eastAsia="宋体" w:cs="宋体"/>
        </w:rPr>
        <w:t>地沟垫层处理：要求沟底是坚实的自然土层，如果是松土填成的或沟底是块石都需进行换填处理，松土层应务实，块石则铲掉上部后铺上一层中粗砂。</w:t>
      </w:r>
    </w:p>
    <w:p w14:paraId="1E44336B">
      <w:pPr>
        <w:ind w:firstLine="480"/>
        <w:rPr>
          <w:rFonts w:hint="eastAsia" w:ascii="宋体" w:hAnsi="宋体" w:eastAsia="宋体" w:cs="宋体"/>
        </w:rPr>
      </w:pPr>
      <w:r>
        <w:rPr>
          <w:rFonts w:hint="eastAsia" w:ascii="宋体" w:hAnsi="宋体" w:eastAsia="宋体" w:cs="宋体"/>
        </w:rPr>
        <w:t>2）铺设管道的程序包括下管和稳管、管道接口处理。</w:t>
      </w:r>
    </w:p>
    <w:p w14:paraId="19696B63">
      <w:pPr>
        <w:ind w:firstLine="480"/>
        <w:rPr>
          <w:rFonts w:hint="eastAsia" w:ascii="宋体" w:hAnsi="宋体" w:eastAsia="宋体" w:cs="宋体"/>
        </w:rPr>
      </w:pPr>
      <w:r>
        <w:rPr>
          <w:rFonts w:hint="eastAsia" w:ascii="宋体" w:hAnsi="宋体" w:eastAsia="宋体" w:cs="宋体"/>
        </w:rPr>
        <w:t>下管和稳管：管材、管件及配件符合设计要求，进场必须经验收合格后，方可施工，管道应慢慢落到沟底，每根管需对准中心线，接口角符合施工规范要求。</w:t>
      </w:r>
    </w:p>
    <w:p w14:paraId="7C1DB5DF">
      <w:pPr>
        <w:ind w:firstLine="480"/>
        <w:rPr>
          <w:rFonts w:hint="eastAsia" w:ascii="宋体" w:hAnsi="宋体" w:eastAsia="宋体" w:cs="宋体"/>
        </w:rPr>
      </w:pPr>
      <w:r>
        <w:rPr>
          <w:rFonts w:hint="eastAsia" w:ascii="宋体" w:hAnsi="宋体" w:eastAsia="宋体" w:cs="宋体"/>
        </w:rPr>
        <w:t>管道接口处理：PE管采用热熔连接。</w:t>
      </w:r>
    </w:p>
    <w:p w14:paraId="5DB18665">
      <w:pPr>
        <w:ind w:firstLine="480"/>
        <w:rPr>
          <w:rFonts w:hint="eastAsia" w:ascii="宋体" w:hAnsi="宋体" w:eastAsia="宋体" w:cs="宋体"/>
        </w:rPr>
      </w:pPr>
      <w:r>
        <w:rPr>
          <w:rFonts w:hint="eastAsia" w:ascii="宋体" w:hAnsi="宋体" w:eastAsia="宋体" w:cs="宋体"/>
        </w:rPr>
        <w:t>3）回填：要求回填土过筛，不允许含有机物或建筑垃圾及大石头等，分层分填，人工务实，在回填至管顶上50cm后，可用打机务实，每层虚铺厚度控制在15cm—20cm，检查井周围用人工务实。（绿化带上可回填土，人行道上应按照设计要求回填沙。）</w:t>
      </w:r>
    </w:p>
    <w:p w14:paraId="50F4B225">
      <w:pPr>
        <w:ind w:firstLine="480"/>
        <w:rPr>
          <w:rFonts w:hint="eastAsia" w:ascii="宋体" w:hAnsi="宋体" w:eastAsia="宋体" w:cs="宋体"/>
        </w:rPr>
      </w:pPr>
      <w:r>
        <w:rPr>
          <w:rFonts w:hint="eastAsia" w:ascii="宋体" w:hAnsi="宋体" w:eastAsia="宋体" w:cs="宋体"/>
        </w:rPr>
        <w:t>3、交通基础工程</w:t>
      </w:r>
    </w:p>
    <w:p w14:paraId="757226C5">
      <w:pPr>
        <w:ind w:firstLine="480"/>
        <w:rPr>
          <w:rFonts w:hint="eastAsia" w:ascii="宋体" w:hAnsi="宋体" w:eastAsia="宋体" w:cs="宋体"/>
        </w:rPr>
      </w:pPr>
      <w:r>
        <w:rPr>
          <w:rFonts w:hint="eastAsia" w:ascii="宋体" w:hAnsi="宋体" w:eastAsia="宋体" w:cs="宋体"/>
        </w:rPr>
        <w:t>（1）、施工方法</w:t>
      </w:r>
    </w:p>
    <w:p w14:paraId="3CDB9E3C">
      <w:pPr>
        <w:ind w:firstLine="480"/>
        <w:rPr>
          <w:rFonts w:hint="eastAsia" w:ascii="宋体" w:hAnsi="宋体" w:eastAsia="宋体" w:cs="宋体"/>
        </w:rPr>
      </w:pPr>
      <w:r>
        <w:rPr>
          <w:rFonts w:hint="eastAsia" w:ascii="宋体" w:hAnsi="宋体" w:eastAsia="宋体" w:cs="宋体"/>
        </w:rPr>
        <w:t>钢筋加工成型、运输</w:t>
      </w:r>
      <w:r>
        <w:rPr>
          <w:rFonts w:hint="eastAsia" w:ascii="宋体" w:hAnsi="宋体" w:cs="宋体"/>
          <w:lang w:eastAsia="zh-CN"/>
        </w:rPr>
        <w:t>：</w:t>
      </w:r>
      <w:r>
        <w:rPr>
          <w:rFonts w:hint="eastAsia" w:ascii="宋体" w:hAnsi="宋体" w:eastAsia="宋体" w:cs="宋体"/>
        </w:rPr>
        <w:t>钢筋调直采用调直机，钢筋接长采用闪光、预热闪光对焊焊接，下料用钢筋切断机，主筋弯曲用弯筋机，根据设计施工图纸，在钢筋加工场加工成半成品。用平板拖车运输至现场绑扎成型。</w:t>
      </w:r>
    </w:p>
    <w:p w14:paraId="67F0F939">
      <w:pPr>
        <w:ind w:firstLine="480"/>
        <w:rPr>
          <w:rFonts w:hint="eastAsia" w:ascii="宋体" w:hAnsi="宋体" w:eastAsia="宋体" w:cs="宋体"/>
        </w:rPr>
      </w:pPr>
      <w:r>
        <w:rPr>
          <w:rFonts w:hint="eastAsia" w:ascii="宋体" w:hAnsi="宋体" w:eastAsia="宋体" w:cs="宋体"/>
          <w:lang w:val="en-US" w:eastAsia="zh-CN"/>
        </w:rPr>
        <w:t>1）</w:t>
      </w:r>
      <w:r>
        <w:rPr>
          <w:rFonts w:hint="eastAsia" w:ascii="宋体" w:hAnsi="宋体" w:eastAsia="宋体" w:cs="宋体"/>
        </w:rPr>
        <w:t>模板</w:t>
      </w:r>
    </w:p>
    <w:p w14:paraId="2B38CB0D">
      <w:pPr>
        <w:ind w:firstLine="480"/>
        <w:rPr>
          <w:rFonts w:hint="eastAsia" w:ascii="宋体" w:hAnsi="宋体" w:eastAsia="宋体" w:cs="宋体"/>
        </w:rPr>
      </w:pPr>
      <w:r>
        <w:rPr>
          <w:rFonts w:hint="eastAsia" w:ascii="宋体" w:hAnsi="宋体" w:eastAsia="宋体" w:cs="宋体"/>
        </w:rPr>
        <w:t>基础直接以垫层混凝土垫层为底模，垫层施工前对地基进行夯实处理，确保满足设计所要求的压实度。侧模采用定型钢模板，设对拉螺杆及钢管支撑固定，为保证混凝土保护层均匀，模板与钢筋间设与混凝土同标号的混凝土保护层垫块。</w:t>
      </w:r>
    </w:p>
    <w:p w14:paraId="0391ED31">
      <w:pPr>
        <w:ind w:firstLine="480"/>
        <w:rPr>
          <w:rFonts w:hint="eastAsia" w:ascii="宋体" w:hAnsi="宋体" w:eastAsia="宋体" w:cs="宋体"/>
        </w:rPr>
      </w:pPr>
      <w:r>
        <w:rPr>
          <w:rFonts w:hint="eastAsia" w:ascii="宋体" w:hAnsi="宋体" w:eastAsia="宋体" w:cs="宋体"/>
          <w:lang w:val="en-US" w:eastAsia="zh-CN"/>
        </w:rPr>
        <w:t>2）</w:t>
      </w:r>
      <w:r>
        <w:rPr>
          <w:rFonts w:hint="eastAsia" w:ascii="宋体" w:hAnsi="宋体" w:eastAsia="宋体" w:cs="宋体"/>
        </w:rPr>
        <w:t>混凝土浇筑</w:t>
      </w:r>
    </w:p>
    <w:p w14:paraId="3A7D7958">
      <w:pPr>
        <w:ind w:firstLine="480"/>
        <w:rPr>
          <w:rFonts w:hint="eastAsia" w:ascii="宋体" w:hAnsi="宋体" w:eastAsia="宋体" w:cs="宋体"/>
        </w:rPr>
      </w:pPr>
      <w:r>
        <w:rPr>
          <w:rFonts w:hint="eastAsia" w:ascii="宋体" w:hAnsi="宋体" w:eastAsia="宋体" w:cs="宋体"/>
        </w:rPr>
        <w:t>混凝土由搅拌站提供，混凝土罐车运输至现场，根据模板高度直接入模或吊机吊灰罐入模。混凝土坍落度控制在7～10cm之间，用插入式振捣器振捣密实。混凝土采用分层浇注，每层厚度不大于50cm。混凝土强度达到2.5MPa以上后拆模。</w:t>
      </w:r>
    </w:p>
    <w:p w14:paraId="1E3205A2">
      <w:pPr>
        <w:ind w:firstLine="480"/>
        <w:rPr>
          <w:rFonts w:hint="eastAsia" w:ascii="宋体" w:hAnsi="宋体" w:eastAsia="宋体" w:cs="宋体"/>
        </w:rPr>
      </w:pPr>
      <w:r>
        <w:rPr>
          <w:rFonts w:hint="eastAsia" w:ascii="宋体" w:hAnsi="宋体" w:eastAsia="宋体" w:cs="宋体"/>
        </w:rPr>
        <w:t>预埋件地脚螺栓的外露螺纹必须包扎好，以防损坏螺纹。所有焊接件要求双面全满焊，务必焊牢且要求打磨光滑。</w:t>
      </w:r>
    </w:p>
    <w:p w14:paraId="04767461">
      <w:pPr>
        <w:ind w:firstLine="480"/>
        <w:rPr>
          <w:rFonts w:hint="eastAsia" w:ascii="宋体" w:hAnsi="宋体" w:eastAsia="宋体" w:cs="宋体"/>
        </w:rPr>
      </w:pPr>
      <w:r>
        <w:rPr>
          <w:rFonts w:hint="eastAsia" w:ascii="宋体" w:hAnsi="宋体" w:eastAsia="宋体" w:cs="宋体"/>
        </w:rPr>
        <w:t>基础混凝土养护前期采用人工浇水养护方法，拆模后采用填土掩埋方法养护。</w:t>
      </w:r>
    </w:p>
    <w:p w14:paraId="7C14E884">
      <w:pPr>
        <w:ind w:firstLine="480"/>
        <w:rPr>
          <w:rFonts w:hint="eastAsia" w:ascii="宋体" w:hAnsi="宋体" w:eastAsia="宋体" w:cs="宋体"/>
        </w:rPr>
      </w:pPr>
      <w:r>
        <w:rPr>
          <w:rFonts w:hint="eastAsia" w:ascii="宋体" w:hAnsi="宋体" w:eastAsia="宋体" w:cs="宋体"/>
        </w:rPr>
        <w:t>4、手孔井</w:t>
      </w:r>
    </w:p>
    <w:p w14:paraId="2D7DE711">
      <w:pPr>
        <w:ind w:firstLine="480"/>
        <w:rPr>
          <w:rFonts w:hint="eastAsia" w:ascii="宋体" w:hAnsi="宋体" w:eastAsia="宋体" w:cs="宋体"/>
        </w:rPr>
      </w:pPr>
      <w:r>
        <w:rPr>
          <w:rFonts w:hint="eastAsia" w:ascii="宋体" w:hAnsi="宋体" w:eastAsia="宋体" w:cs="宋体"/>
        </w:rPr>
        <w:t>（1）砌筑前将井位基础面洗刷干净，定出井中点，画上砌筑位置和砌筑高度，以便操作。</w:t>
      </w:r>
    </w:p>
    <w:p w14:paraId="611AFA7C">
      <w:pPr>
        <w:ind w:firstLine="480"/>
        <w:rPr>
          <w:rFonts w:hint="eastAsia" w:ascii="宋体" w:hAnsi="宋体" w:eastAsia="宋体" w:cs="宋体"/>
        </w:rPr>
      </w:pPr>
      <w:r>
        <w:rPr>
          <w:rFonts w:hint="eastAsia" w:ascii="宋体" w:hAnsi="宋体" w:eastAsia="宋体" w:cs="宋体"/>
        </w:rPr>
        <w:t>（2）砌筑检查井所用砖的质量符合设计、规范要求。砌砖前，让砖吃透水，表面润湿。砖搬运小心堆放，避免不必要的破损。</w:t>
      </w:r>
    </w:p>
    <w:p w14:paraId="5BE51F3B">
      <w:pPr>
        <w:ind w:firstLine="480"/>
        <w:rPr>
          <w:rFonts w:hint="eastAsia" w:ascii="宋体" w:hAnsi="宋体" w:eastAsia="宋体" w:cs="宋体"/>
        </w:rPr>
      </w:pPr>
      <w:r>
        <w:rPr>
          <w:rFonts w:hint="eastAsia" w:ascii="宋体" w:hAnsi="宋体" w:eastAsia="宋体" w:cs="宋体"/>
        </w:rPr>
        <w:t>（3）井砌完后，浇筑砼井环，浇筑前校核井环面标高与路面标高一致无误。</w:t>
      </w:r>
    </w:p>
    <w:p w14:paraId="1F9086AE">
      <w:pPr>
        <w:ind w:firstLine="480"/>
        <w:rPr>
          <w:rFonts w:hint="eastAsia" w:ascii="宋体" w:hAnsi="宋体" w:eastAsia="宋体" w:cs="宋体"/>
        </w:rPr>
      </w:pPr>
      <w:r>
        <w:rPr>
          <w:rFonts w:hint="eastAsia" w:ascii="宋体" w:hAnsi="宋体" w:eastAsia="宋体" w:cs="宋体"/>
        </w:rPr>
        <w:t>5、信号灯安装</w:t>
      </w:r>
    </w:p>
    <w:p w14:paraId="15F79549">
      <w:pPr>
        <w:ind w:firstLine="480"/>
        <w:rPr>
          <w:rFonts w:hint="eastAsia" w:ascii="宋体" w:hAnsi="宋体" w:eastAsia="宋体" w:cs="宋体"/>
        </w:rPr>
      </w:pPr>
      <w:r>
        <w:rPr>
          <w:rFonts w:hint="eastAsia" w:ascii="宋体" w:hAnsi="宋体" w:eastAsia="宋体" w:cs="宋体"/>
        </w:rPr>
        <w:t>交通信号灯安装位置：除参照信号灯平面布置图进行安装外，安装位置还必须醒目、明显；信号灯灯光轴线左右20度前后20米范围内不得有遮挡物影响灯光显示；路口内侧灯应朝对面道路的中心线安装。</w:t>
      </w:r>
    </w:p>
    <w:p w14:paraId="137E9219">
      <w:pPr>
        <w:ind w:firstLine="480"/>
        <w:rPr>
          <w:rFonts w:hint="eastAsia" w:ascii="宋体" w:hAnsi="宋体" w:eastAsia="宋体" w:cs="宋体"/>
        </w:rPr>
      </w:pPr>
      <w:r>
        <w:rPr>
          <w:rFonts w:hint="eastAsia" w:ascii="宋体" w:hAnsi="宋体" w:eastAsia="宋体" w:cs="宋体"/>
        </w:rPr>
        <w:t>信号灯采用竖式灯杆，立柱为圆钢管，长6.5米；在信号灯杆基础施工完毕后达到设计强度时，进行信号灯杆吊装。灯杆吊装前，安装好悬臂并组装好灯具。吊装灯杆时用8t汽车吊进行，设专人指挥，确保吊装及人员安全。信号灯安装时，立柱斜度不大于柱体长度的1‰。须镀锌。信号灯杆应有可靠地接地，接地电阻应小于10欧姆。</w:t>
      </w:r>
    </w:p>
    <w:p w14:paraId="14CEF714">
      <w:pPr>
        <w:ind w:firstLine="480"/>
        <w:rPr>
          <w:rFonts w:hint="eastAsia" w:ascii="宋体" w:hAnsi="宋体" w:eastAsia="宋体" w:cs="宋体"/>
        </w:rPr>
      </w:pPr>
      <w:r>
        <w:rPr>
          <w:rFonts w:hint="eastAsia" w:ascii="宋体" w:hAnsi="宋体" w:eastAsia="宋体" w:cs="宋体"/>
        </w:rPr>
        <w:t>各灯杆安装校正后法兰盘与地脚螺栓、螺母周围应有足够的水泥砂浆防护。</w:t>
      </w:r>
    </w:p>
    <w:p w14:paraId="32C8931F">
      <w:pPr>
        <w:ind w:firstLine="480"/>
        <w:rPr>
          <w:rFonts w:hint="eastAsia" w:ascii="宋体" w:hAnsi="宋体" w:eastAsia="宋体" w:cs="宋体"/>
        </w:rPr>
      </w:pPr>
      <w:r>
        <w:rPr>
          <w:rFonts w:hint="eastAsia" w:ascii="宋体" w:hAnsi="宋体" w:eastAsia="宋体" w:cs="宋体"/>
          <w:lang w:val="en-US" w:eastAsia="zh-CN"/>
        </w:rPr>
        <w:t>6、</w:t>
      </w:r>
      <w:r>
        <w:rPr>
          <w:rFonts w:hint="eastAsia" w:ascii="宋体" w:hAnsi="宋体" w:eastAsia="宋体" w:cs="宋体"/>
        </w:rPr>
        <w:t>配电箱安装</w:t>
      </w:r>
    </w:p>
    <w:p w14:paraId="21A41AA5">
      <w:pPr>
        <w:ind w:firstLine="480"/>
        <w:rPr>
          <w:rFonts w:hint="eastAsia" w:ascii="宋体" w:hAnsi="宋体" w:eastAsia="宋体" w:cs="宋体"/>
        </w:rPr>
      </w:pPr>
      <w:r>
        <w:rPr>
          <w:rFonts w:hint="eastAsia" w:ascii="宋体" w:hAnsi="宋体" w:eastAsia="宋体" w:cs="宋体"/>
        </w:rPr>
        <w:t>按控制原理图接线，注意相线和回路线的接法，符合路灯控制及三相平衡供电的要求。配电箱内的电器导线应严格按图施工，绝缘管保护良好，螺丝上紧，导线按要求分颜，即黄、绿、红为A、B、C相线，黑色为零线，地线为双色线，控制线为白色，按要求引进架设，箱内接线应有凌有角，整齐有序，布向合理，回路拼线正确。</w:t>
      </w:r>
    </w:p>
    <w:p w14:paraId="12005440">
      <w:pPr>
        <w:ind w:firstLine="480"/>
        <w:rPr>
          <w:rFonts w:hint="eastAsia" w:ascii="宋体" w:hAnsi="宋体" w:eastAsia="宋体" w:cs="宋体"/>
        </w:rPr>
      </w:pPr>
      <w:r>
        <w:rPr>
          <w:rFonts w:hint="eastAsia" w:ascii="宋体" w:hAnsi="宋体" w:eastAsia="宋体" w:cs="宋体"/>
        </w:rPr>
        <w:t>各配电箱安装完毕后，应进行检查，复查认正确后方通试，且应把配电箱各回路压成一系统图贴于各箱边以便检查、验收、验收、检修使用。</w:t>
      </w:r>
    </w:p>
    <w:p w14:paraId="0CBD500B">
      <w:pPr>
        <w:pStyle w:val="4"/>
        <w:numPr>
          <w:ilvl w:val="1"/>
          <w:numId w:val="0"/>
        </w:numPr>
        <w:spacing w:line="360" w:lineRule="auto"/>
        <w:ind w:firstLine="0" w:firstLineChars="0"/>
        <w:rPr>
          <w:rFonts w:hint="eastAsia" w:ascii="宋体" w:hAnsi="宋体" w:eastAsia="宋体" w:cs="宋体"/>
          <w:color w:val="auto"/>
        </w:rPr>
      </w:pPr>
      <w:bookmarkStart w:id="1369" w:name="_Toc25019"/>
      <w:bookmarkStart w:id="1370" w:name="_Toc15475"/>
      <w:bookmarkStart w:id="1371" w:name="_Toc3660"/>
      <w:bookmarkStart w:id="1372" w:name="_Toc29790"/>
      <w:bookmarkStart w:id="1373" w:name="_Toc11746"/>
      <w:bookmarkStart w:id="1374" w:name="_Toc17451"/>
      <w:bookmarkStart w:id="1375" w:name="_Toc28984"/>
      <w:bookmarkStart w:id="1376" w:name="_Toc27844"/>
      <w:bookmarkStart w:id="1377" w:name="_Toc11915"/>
      <w:r>
        <w:rPr>
          <w:rFonts w:hint="eastAsia" w:ascii="宋体" w:hAnsi="宋体" w:cs="Times New Roman"/>
          <w:b/>
          <w:bCs/>
          <w:color w:val="auto"/>
          <w:kern w:val="2"/>
          <w:sz w:val="32"/>
          <w:szCs w:val="32"/>
          <w:lang w:val="en-US" w:eastAsia="zh-CN" w:bidi="ar-SA"/>
        </w:rPr>
        <w:t>8.5</w:t>
      </w:r>
      <w:r>
        <w:rPr>
          <w:rFonts w:hint="default" w:ascii="宋体" w:hAnsi="宋体" w:eastAsia="宋体" w:cs="Times New Roman"/>
          <w:b/>
          <w:bCs/>
          <w:color w:val="auto"/>
          <w:kern w:val="2"/>
          <w:sz w:val="32"/>
          <w:szCs w:val="32"/>
          <w:lang w:val="en-US" w:eastAsia="zh-CN" w:bidi="ar-SA"/>
        </w:rPr>
        <w:t>.</w:t>
      </w:r>
      <w:r>
        <w:rPr>
          <w:rFonts w:hint="eastAsia" w:ascii="宋体" w:hAnsi="宋体" w:eastAsia="宋体" w:cs="宋体"/>
          <w:color w:val="auto"/>
        </w:rPr>
        <w:t>绿化工程</w:t>
      </w:r>
      <w:bookmarkEnd w:id="1369"/>
      <w:bookmarkEnd w:id="1370"/>
      <w:bookmarkEnd w:id="1371"/>
      <w:bookmarkEnd w:id="1372"/>
      <w:bookmarkEnd w:id="1373"/>
      <w:bookmarkEnd w:id="1374"/>
      <w:bookmarkEnd w:id="1375"/>
      <w:bookmarkEnd w:id="1376"/>
      <w:bookmarkEnd w:id="1377"/>
    </w:p>
    <w:p w14:paraId="1C6A1E9C">
      <w:pPr>
        <w:ind w:firstLine="480"/>
      </w:pPr>
      <w:r>
        <w:rPr>
          <w:rFonts w:hint="eastAsia"/>
          <w:lang w:val="en-US" w:eastAsia="zh-CN"/>
        </w:rPr>
        <w:t>绿化工程主要包括：乔灌木13847株,撒播草种160162m</w:t>
      </w:r>
      <w:r>
        <w:rPr>
          <w:rFonts w:hint="eastAsia"/>
          <w:vertAlign w:val="superscript"/>
          <w:lang w:val="en-US" w:eastAsia="zh-CN"/>
        </w:rPr>
        <w:t>2</w:t>
      </w:r>
      <w:r>
        <w:rPr>
          <w:rFonts w:hint="eastAsia"/>
          <w:lang w:val="en-US" w:eastAsia="zh-CN"/>
        </w:rPr>
        <w:t>,客土喷播55189m</w:t>
      </w:r>
      <w:r>
        <w:rPr>
          <w:rFonts w:hint="eastAsia"/>
          <w:vertAlign w:val="superscript"/>
          <w:lang w:val="en-US" w:eastAsia="zh-CN"/>
        </w:rPr>
        <w:t>2</w:t>
      </w:r>
      <w:r>
        <w:rPr>
          <w:rFonts w:hint="eastAsia"/>
          <w:lang w:val="en-US" w:eastAsia="zh-CN"/>
        </w:rPr>
        <w:t>。</w:t>
      </w:r>
    </w:p>
    <w:p w14:paraId="54B42FC7">
      <w:pPr>
        <w:pStyle w:val="14"/>
        <w:bidi w:val="0"/>
        <w:rPr>
          <w:b/>
          <w:bCs/>
        </w:rPr>
      </w:pPr>
      <w:bookmarkStart w:id="1378" w:name="_Toc29840"/>
      <w:bookmarkStart w:id="1379" w:name="_Toc9589"/>
      <w:bookmarkStart w:id="1380" w:name="_Toc24740"/>
      <w:bookmarkStart w:id="1381" w:name="_Toc11229"/>
      <w:bookmarkStart w:id="1382" w:name="_Toc31868"/>
      <w:bookmarkStart w:id="1383" w:name="_Toc15405"/>
      <w:bookmarkStart w:id="1384" w:name="_Toc6136"/>
      <w:bookmarkStart w:id="1385" w:name="_Toc273"/>
      <w:r>
        <w:rPr>
          <w:rFonts w:hint="default"/>
          <w:b/>
          <w:bCs/>
          <w:lang w:val="en-US" w:eastAsia="zh-CN"/>
        </w:rPr>
        <w:t>1</w:t>
      </w:r>
      <w:r>
        <w:rPr>
          <w:rFonts w:hint="eastAsia"/>
          <w:b/>
          <w:bCs/>
          <w:lang w:val="en-US" w:eastAsia="zh-CN"/>
        </w:rPr>
        <w:t>、</w:t>
      </w:r>
      <w:r>
        <w:rPr>
          <w:rFonts w:hint="eastAsia"/>
          <w:b/>
          <w:bCs/>
        </w:rPr>
        <w:t>绿化种植工艺流程</w:t>
      </w:r>
      <w:bookmarkEnd w:id="1378"/>
      <w:bookmarkEnd w:id="1379"/>
      <w:bookmarkEnd w:id="1380"/>
      <w:bookmarkEnd w:id="1381"/>
      <w:r>
        <w:rPr>
          <w:rFonts w:hint="eastAsia"/>
          <w:b/>
          <w:bCs/>
        </w:rPr>
        <w:t>图</w:t>
      </w:r>
      <w:bookmarkEnd w:id="1382"/>
      <w:bookmarkEnd w:id="1383"/>
      <w:bookmarkEnd w:id="1384"/>
      <w:bookmarkEnd w:id="1385"/>
    </w:p>
    <w:p w14:paraId="459D65FA">
      <w:pPr>
        <w:pStyle w:val="22"/>
        <w:ind w:left="0" w:leftChars="0" w:firstLine="0" w:firstLineChars="0"/>
        <w:jc w:val="both"/>
        <w:rPr>
          <w:highlight w:val="none"/>
        </w:rPr>
      </w:pPr>
      <w:bookmarkStart w:id="1386" w:name="_Toc17619"/>
      <w:bookmarkStart w:id="1387" w:name="_Toc29636"/>
      <w:bookmarkStart w:id="1388" w:name="_Toc15268"/>
      <w:bookmarkStart w:id="1389" w:name="_Toc30122"/>
      <w:r>
        <w:rPr>
          <w:highlight w:val="none"/>
        </w:rPr>
        <mc:AlternateContent>
          <mc:Choice Requires="wpg">
            <w:drawing>
              <wp:anchor distT="0" distB="0" distL="114300" distR="114300" simplePos="0" relativeHeight="251672576" behindDoc="0" locked="0" layoutInCell="1" allowOverlap="1">
                <wp:simplePos x="0" y="0"/>
                <wp:positionH relativeFrom="column">
                  <wp:posOffset>88900</wp:posOffset>
                </wp:positionH>
                <wp:positionV relativeFrom="paragraph">
                  <wp:posOffset>115570</wp:posOffset>
                </wp:positionV>
                <wp:extent cx="5315585" cy="4845685"/>
                <wp:effectExtent l="4445" t="4445" r="44450" b="11430"/>
                <wp:wrapSquare wrapText="bothSides"/>
                <wp:docPr id="1039" name="组合 1463"/>
                <wp:cNvGraphicFramePr/>
                <a:graphic xmlns:a="http://schemas.openxmlformats.org/drawingml/2006/main">
                  <a:graphicData uri="http://schemas.microsoft.com/office/word/2010/wordprocessingGroup">
                    <wpg:wgp>
                      <wpg:cNvGrpSpPr/>
                      <wpg:grpSpPr>
                        <a:xfrm>
                          <a:off x="0" y="0"/>
                          <a:ext cx="5315585" cy="4845685"/>
                          <a:chOff x="8114" y="2317093"/>
                          <a:chExt cx="8371" cy="8618"/>
                        </a:xfrm>
                      </wpg:grpSpPr>
                      <wps:wsp>
                        <wps:cNvPr id="985" name="文本框 444"/>
                        <wps:cNvSpPr txBox="1"/>
                        <wps:spPr>
                          <a:xfrm>
                            <a:off x="12465" y="2323670"/>
                            <a:ext cx="1545" cy="39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5F0D653">
                              <w:pPr>
                                <w:pStyle w:val="19"/>
                                <w:rPr>
                                  <w:rFonts w:ascii="幼圆" w:eastAsia="幼圆"/>
                                  <w:szCs w:val="21"/>
                                </w:rPr>
                              </w:pPr>
                              <w:r>
                                <w:rPr>
                                  <w:rFonts w:hint="eastAsia"/>
                                </w:rPr>
                                <w:t>合格</w:t>
                              </w:r>
                              <w:r>
                                <w:rPr>
                                  <w:rFonts w:hint="eastAsia" w:ascii="幼圆" w:eastAsia="幼圆"/>
                                  <w:szCs w:val="21"/>
                                </w:rPr>
                                <w:t>性检查</w:t>
                              </w:r>
                            </w:p>
                          </w:txbxContent>
                        </wps:txbx>
                        <wps:bodyPr lIns="101978" tIns="66" rIns="101978" bIns="66" upright="1"/>
                      </wps:wsp>
                      <wps:wsp>
                        <wps:cNvPr id="986" name="直线 473"/>
                        <wps:cNvCnPr/>
                        <wps:spPr>
                          <a:xfrm flipH="1">
                            <a:off x="11749" y="2323837"/>
                            <a:ext cx="3524" cy="0"/>
                          </a:xfrm>
                          <a:prstGeom prst="line">
                            <a:avLst/>
                          </a:prstGeom>
                          <a:ln w="3175" cap="flat" cmpd="sng">
                            <a:solidFill>
                              <a:srgbClr val="000000"/>
                            </a:solidFill>
                            <a:prstDash val="solid"/>
                            <a:headEnd type="none" w="med" len="med"/>
                            <a:tailEnd type="triangle" w="med" len="med"/>
                          </a:ln>
                        </wps:spPr>
                        <wps:bodyPr upright="1"/>
                      </wps:wsp>
                      <wps:wsp>
                        <wps:cNvPr id="987" name="文本框 401"/>
                        <wps:cNvSpPr txBox="1"/>
                        <wps:spPr>
                          <a:xfrm>
                            <a:off x="14610" y="2317093"/>
                            <a:ext cx="1214"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5048429">
                              <w:pPr>
                                <w:pStyle w:val="19"/>
                                <w:rPr>
                                  <w:rFonts w:ascii="幼圆" w:eastAsia="幼圆"/>
                                  <w:sz w:val="24"/>
                                  <w:szCs w:val="21"/>
                                </w:rPr>
                              </w:pPr>
                              <w:r>
                                <w:rPr>
                                  <w:rFonts w:hint="eastAsia"/>
                                </w:rPr>
                                <w:t>计划</w:t>
                              </w:r>
                              <w:r>
                                <w:rPr>
                                  <w:rFonts w:hint="eastAsia" w:ascii="幼圆" w:eastAsia="幼圆"/>
                                  <w:szCs w:val="21"/>
                                </w:rPr>
                                <w:t>进苗</w:t>
                              </w:r>
                            </w:p>
                          </w:txbxContent>
                        </wps:txbx>
                        <wps:bodyPr lIns="101978" tIns="66" rIns="101978" bIns="66" upright="1"/>
                      </wps:wsp>
                      <wps:wsp>
                        <wps:cNvPr id="988" name="文本框 402"/>
                        <wps:cNvSpPr txBox="1"/>
                        <wps:spPr>
                          <a:xfrm>
                            <a:off x="14609" y="2317759"/>
                            <a:ext cx="1216"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11EB34C">
                              <w:pPr>
                                <w:pStyle w:val="19"/>
                                <w:rPr>
                                  <w:rFonts w:ascii="幼圆" w:eastAsia="幼圆"/>
                                  <w:szCs w:val="21"/>
                                </w:rPr>
                              </w:pPr>
                              <w:r>
                                <w:rPr>
                                  <w:rFonts w:hint="eastAsia" w:ascii="幼圆" w:eastAsia="幼圆"/>
                                  <w:szCs w:val="21"/>
                                </w:rPr>
                                <w:t>疏枝修剪</w:t>
                              </w:r>
                            </w:p>
                          </w:txbxContent>
                        </wps:txbx>
                        <wps:bodyPr lIns="101978" tIns="66" rIns="101978" bIns="66" upright="1"/>
                      </wps:wsp>
                      <wps:wsp>
                        <wps:cNvPr id="989" name="文本框 403"/>
                        <wps:cNvSpPr txBox="1"/>
                        <wps:spPr>
                          <a:xfrm>
                            <a:off x="14610" y="2318426"/>
                            <a:ext cx="1215"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4E780C5">
                              <w:pPr>
                                <w:pStyle w:val="19"/>
                                <w:rPr>
                                  <w:rFonts w:ascii="幼圆" w:eastAsia="幼圆"/>
                                  <w:szCs w:val="21"/>
                                </w:rPr>
                              </w:pPr>
                              <w:r>
                                <w:rPr>
                                  <w:rFonts w:hint="eastAsia" w:ascii="幼圆" w:eastAsia="幼圆"/>
                                  <w:szCs w:val="21"/>
                                </w:rPr>
                                <w:t>包干束冠</w:t>
                              </w:r>
                            </w:p>
                          </w:txbxContent>
                        </wps:txbx>
                        <wps:bodyPr lIns="101978" tIns="66" rIns="101978" bIns="66" upright="1"/>
                      </wps:wsp>
                      <wps:wsp>
                        <wps:cNvPr id="990" name="文本框 404"/>
                        <wps:cNvSpPr txBox="1"/>
                        <wps:spPr>
                          <a:xfrm>
                            <a:off x="14610" y="2319225"/>
                            <a:ext cx="1216"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CE21CA9">
                              <w:pPr>
                                <w:pStyle w:val="19"/>
                                <w:rPr>
                                  <w:rFonts w:ascii="幼圆" w:eastAsia="幼圆"/>
                                  <w:szCs w:val="21"/>
                                </w:rPr>
                              </w:pPr>
                              <w:r>
                                <w:rPr>
                                  <w:rFonts w:hint="eastAsia" w:ascii="幼圆" w:eastAsia="幼圆"/>
                                  <w:szCs w:val="21"/>
                                </w:rPr>
                                <w:t>苗木起挖</w:t>
                              </w:r>
                            </w:p>
                          </w:txbxContent>
                        </wps:txbx>
                        <wps:bodyPr lIns="101978" tIns="66" rIns="101978" bIns="66" upright="1"/>
                      </wps:wsp>
                      <wps:wsp>
                        <wps:cNvPr id="991" name="文本框 406"/>
                        <wps:cNvSpPr txBox="1"/>
                        <wps:spPr>
                          <a:xfrm>
                            <a:off x="13506" y="2320025"/>
                            <a:ext cx="1216"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DA0D1EB">
                              <w:pPr>
                                <w:pStyle w:val="19"/>
                                <w:rPr>
                                  <w:rFonts w:ascii="幼圆" w:eastAsia="幼圆"/>
                                  <w:szCs w:val="21"/>
                                </w:rPr>
                              </w:pPr>
                              <w:r>
                                <w:rPr>
                                  <w:rFonts w:hint="eastAsia" w:ascii="幼圆" w:eastAsia="幼圆"/>
                                  <w:szCs w:val="21"/>
                                </w:rPr>
                                <w:t>土球包扎</w:t>
                              </w:r>
                            </w:p>
                          </w:txbxContent>
                        </wps:txbx>
                        <wps:bodyPr lIns="101978" tIns="66" rIns="101978" bIns="66" upright="1"/>
                      </wps:wsp>
                      <wps:wsp>
                        <wps:cNvPr id="992" name="文本框 407"/>
                        <wps:cNvSpPr txBox="1"/>
                        <wps:spPr>
                          <a:xfrm>
                            <a:off x="14719" y="2320824"/>
                            <a:ext cx="1216"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BCBD867">
                              <w:pPr>
                                <w:pStyle w:val="19"/>
                                <w:rPr>
                                  <w:rFonts w:ascii="幼圆" w:eastAsia="幼圆"/>
                                  <w:szCs w:val="21"/>
                                </w:rPr>
                              </w:pPr>
                              <w:r>
                                <w:rPr>
                                  <w:rFonts w:hint="eastAsia"/>
                                </w:rPr>
                                <w:t>装卸</w:t>
                              </w:r>
                              <w:r>
                                <w:rPr>
                                  <w:rFonts w:hint="eastAsia" w:ascii="幼圆" w:eastAsia="幼圆"/>
                                  <w:szCs w:val="21"/>
                                </w:rPr>
                                <w:t>运输</w:t>
                              </w:r>
                            </w:p>
                          </w:txbxContent>
                        </wps:txbx>
                        <wps:bodyPr lIns="101978" tIns="66" rIns="101978" bIns="66" upright="1"/>
                      </wps:wsp>
                      <wps:wsp>
                        <wps:cNvPr id="993" name="直线 412"/>
                        <wps:cNvCnPr/>
                        <wps:spPr>
                          <a:xfrm>
                            <a:off x="15162" y="2317493"/>
                            <a:ext cx="1" cy="267"/>
                          </a:xfrm>
                          <a:prstGeom prst="line">
                            <a:avLst/>
                          </a:prstGeom>
                          <a:ln w="3175" cap="flat" cmpd="sng">
                            <a:solidFill>
                              <a:srgbClr val="000000"/>
                            </a:solidFill>
                            <a:prstDash val="solid"/>
                            <a:headEnd type="none" w="med" len="med"/>
                            <a:tailEnd type="triangle" w="med" len="med"/>
                          </a:ln>
                        </wps:spPr>
                        <wps:bodyPr upright="1"/>
                      </wps:wsp>
                      <wps:wsp>
                        <wps:cNvPr id="994" name="直线 418"/>
                        <wps:cNvCnPr/>
                        <wps:spPr>
                          <a:xfrm>
                            <a:off x="15162" y="2318159"/>
                            <a:ext cx="1" cy="267"/>
                          </a:xfrm>
                          <a:prstGeom prst="line">
                            <a:avLst/>
                          </a:prstGeom>
                          <a:ln w="3175" cap="flat" cmpd="sng">
                            <a:solidFill>
                              <a:srgbClr val="000000"/>
                            </a:solidFill>
                            <a:prstDash val="solid"/>
                            <a:headEnd type="none" w="med" len="med"/>
                            <a:tailEnd type="triangle" w="med" len="med"/>
                          </a:ln>
                        </wps:spPr>
                        <wps:bodyPr upright="1"/>
                      </wps:wsp>
                      <wps:wsp>
                        <wps:cNvPr id="995" name="直线 419"/>
                        <wps:cNvCnPr/>
                        <wps:spPr>
                          <a:xfrm>
                            <a:off x="15162" y="2318825"/>
                            <a:ext cx="1" cy="400"/>
                          </a:xfrm>
                          <a:prstGeom prst="line">
                            <a:avLst/>
                          </a:prstGeom>
                          <a:ln w="3175" cap="flat" cmpd="sng">
                            <a:solidFill>
                              <a:srgbClr val="000000"/>
                            </a:solidFill>
                            <a:prstDash val="solid"/>
                            <a:headEnd type="none" w="med" len="med"/>
                            <a:tailEnd type="triangle" w="med" len="med"/>
                          </a:ln>
                        </wps:spPr>
                        <wps:bodyPr upright="1"/>
                      </wps:wsp>
                      <wps:wsp>
                        <wps:cNvPr id="996" name="直线 427"/>
                        <wps:cNvCnPr/>
                        <wps:spPr>
                          <a:xfrm>
                            <a:off x="14058" y="2319891"/>
                            <a:ext cx="1" cy="133"/>
                          </a:xfrm>
                          <a:prstGeom prst="line">
                            <a:avLst/>
                          </a:prstGeom>
                          <a:ln w="3175" cap="flat" cmpd="sng">
                            <a:solidFill>
                              <a:srgbClr val="000000"/>
                            </a:solidFill>
                            <a:prstDash val="solid"/>
                            <a:headEnd type="none" w="med" len="med"/>
                            <a:tailEnd type="triangle" w="med" len="med"/>
                          </a:ln>
                        </wps:spPr>
                        <wps:bodyPr upright="1"/>
                      </wps:wsp>
                      <wps:wsp>
                        <wps:cNvPr id="997" name="直线 429"/>
                        <wps:cNvCnPr/>
                        <wps:spPr>
                          <a:xfrm flipV="1">
                            <a:off x="16485" y="2319891"/>
                            <a:ext cx="1" cy="133"/>
                          </a:xfrm>
                          <a:prstGeom prst="line">
                            <a:avLst/>
                          </a:prstGeom>
                          <a:ln w="3175" cap="flat" cmpd="sng">
                            <a:solidFill>
                              <a:srgbClr val="000000"/>
                            </a:solidFill>
                            <a:prstDash val="solid"/>
                            <a:headEnd type="none" w="med" len="med"/>
                            <a:tailEnd type="triangle" w="med" len="med"/>
                          </a:ln>
                        </wps:spPr>
                        <wps:bodyPr upright="1"/>
                      </wps:wsp>
                      <wps:wsp>
                        <wps:cNvPr id="998" name="直线 430"/>
                        <wps:cNvCnPr/>
                        <wps:spPr>
                          <a:xfrm>
                            <a:off x="14058" y="2319891"/>
                            <a:ext cx="2427" cy="0"/>
                          </a:xfrm>
                          <a:prstGeom prst="line">
                            <a:avLst/>
                          </a:prstGeom>
                          <a:ln w="3175" cap="flat" cmpd="sng">
                            <a:solidFill>
                              <a:srgbClr val="000000"/>
                            </a:solidFill>
                            <a:prstDash val="solid"/>
                            <a:headEnd type="none" w="med" len="med"/>
                            <a:tailEnd type="triangle" w="med" len="med"/>
                          </a:ln>
                        </wps:spPr>
                        <wps:bodyPr upright="1"/>
                      </wps:wsp>
                      <wps:wsp>
                        <wps:cNvPr id="999" name="直线 431"/>
                        <wps:cNvCnPr/>
                        <wps:spPr>
                          <a:xfrm>
                            <a:off x="15271" y="2319625"/>
                            <a:ext cx="1" cy="267"/>
                          </a:xfrm>
                          <a:prstGeom prst="line">
                            <a:avLst/>
                          </a:prstGeom>
                          <a:ln w="3175" cap="flat" cmpd="sng">
                            <a:solidFill>
                              <a:srgbClr val="000000"/>
                            </a:solidFill>
                            <a:prstDash val="solid"/>
                            <a:headEnd type="none" w="med" len="med"/>
                            <a:tailEnd type="triangle" w="med" len="med"/>
                          </a:ln>
                        </wps:spPr>
                        <wps:bodyPr upright="1"/>
                      </wps:wsp>
                      <wps:wsp>
                        <wps:cNvPr id="1000" name="直线 432"/>
                        <wps:cNvCnPr/>
                        <wps:spPr>
                          <a:xfrm>
                            <a:off x="14058" y="2320424"/>
                            <a:ext cx="1" cy="133"/>
                          </a:xfrm>
                          <a:prstGeom prst="line">
                            <a:avLst/>
                          </a:prstGeom>
                          <a:ln w="3175" cap="flat" cmpd="sng">
                            <a:solidFill>
                              <a:srgbClr val="000000"/>
                            </a:solidFill>
                            <a:prstDash val="solid"/>
                            <a:headEnd type="none" w="med" len="med"/>
                            <a:tailEnd type="triangle" w="med" len="med"/>
                          </a:ln>
                        </wps:spPr>
                        <wps:bodyPr upright="1"/>
                      </wps:wsp>
                      <wps:wsp>
                        <wps:cNvPr id="1001" name="直线 433"/>
                        <wps:cNvCnPr/>
                        <wps:spPr>
                          <a:xfrm>
                            <a:off x="16485" y="2320424"/>
                            <a:ext cx="1" cy="133"/>
                          </a:xfrm>
                          <a:prstGeom prst="line">
                            <a:avLst/>
                          </a:prstGeom>
                          <a:ln w="3175" cap="flat" cmpd="sng">
                            <a:solidFill>
                              <a:srgbClr val="000000"/>
                            </a:solidFill>
                            <a:prstDash val="solid"/>
                            <a:headEnd type="none" w="med" len="med"/>
                            <a:tailEnd type="triangle" w="med" len="med"/>
                          </a:ln>
                        </wps:spPr>
                        <wps:bodyPr upright="1"/>
                      </wps:wsp>
                      <wps:wsp>
                        <wps:cNvPr id="1002" name="直线 434"/>
                        <wps:cNvCnPr/>
                        <wps:spPr>
                          <a:xfrm>
                            <a:off x="14058" y="2320558"/>
                            <a:ext cx="2427" cy="0"/>
                          </a:xfrm>
                          <a:prstGeom prst="line">
                            <a:avLst/>
                          </a:prstGeom>
                          <a:ln w="3175" cap="flat" cmpd="sng">
                            <a:solidFill>
                              <a:srgbClr val="000000"/>
                            </a:solidFill>
                            <a:prstDash val="solid"/>
                            <a:headEnd type="none" w="med" len="med"/>
                            <a:tailEnd type="triangle" w="med" len="med"/>
                          </a:ln>
                        </wps:spPr>
                        <wps:bodyPr upright="1"/>
                      </wps:wsp>
                      <wps:wsp>
                        <wps:cNvPr id="1003" name="直线 435"/>
                        <wps:cNvCnPr/>
                        <wps:spPr>
                          <a:xfrm>
                            <a:off x="15271" y="2320558"/>
                            <a:ext cx="1" cy="267"/>
                          </a:xfrm>
                          <a:prstGeom prst="line">
                            <a:avLst/>
                          </a:prstGeom>
                          <a:ln w="3175" cap="flat" cmpd="sng">
                            <a:solidFill>
                              <a:srgbClr val="000000"/>
                            </a:solidFill>
                            <a:prstDash val="solid"/>
                            <a:headEnd type="none" w="med" len="med"/>
                            <a:tailEnd type="triangle" w="med" len="med"/>
                          </a:ln>
                        </wps:spPr>
                        <wps:bodyPr upright="1"/>
                      </wps:wsp>
                      <wps:wsp>
                        <wps:cNvPr id="1004" name="直线 436"/>
                        <wps:cNvCnPr/>
                        <wps:spPr>
                          <a:xfrm flipH="1">
                            <a:off x="11740" y="2321091"/>
                            <a:ext cx="2979" cy="0"/>
                          </a:xfrm>
                          <a:prstGeom prst="line">
                            <a:avLst/>
                          </a:prstGeom>
                          <a:ln w="3175" cap="flat" cmpd="sng">
                            <a:solidFill>
                              <a:srgbClr val="000000"/>
                            </a:solidFill>
                            <a:prstDash val="solid"/>
                            <a:headEnd type="none" w="med" len="med"/>
                            <a:tailEnd type="triangle" w="med" len="med"/>
                          </a:ln>
                        </wps:spPr>
                        <wps:bodyPr upright="1"/>
                      </wps:wsp>
                      <wps:wsp>
                        <wps:cNvPr id="1005" name="直线 437"/>
                        <wps:cNvCnPr/>
                        <wps:spPr>
                          <a:xfrm>
                            <a:off x="15271" y="2321224"/>
                            <a:ext cx="0" cy="2665"/>
                          </a:xfrm>
                          <a:prstGeom prst="line">
                            <a:avLst/>
                          </a:prstGeom>
                          <a:ln w="3175" cap="flat" cmpd="sng">
                            <a:solidFill>
                              <a:srgbClr val="000000"/>
                            </a:solidFill>
                            <a:prstDash val="solid"/>
                            <a:headEnd type="none" w="med" len="med"/>
                            <a:tailEnd type="triangle" w="med" len="med"/>
                          </a:ln>
                        </wps:spPr>
                        <wps:bodyPr upright="1"/>
                      </wps:wsp>
                      <wps:wsp>
                        <wps:cNvPr id="1006" name="直线 439"/>
                        <wps:cNvCnPr/>
                        <wps:spPr>
                          <a:xfrm flipH="1">
                            <a:off x="11740" y="2322823"/>
                            <a:ext cx="3530" cy="0"/>
                          </a:xfrm>
                          <a:prstGeom prst="line">
                            <a:avLst/>
                          </a:prstGeom>
                          <a:ln w="3175" cap="flat" cmpd="sng">
                            <a:solidFill>
                              <a:srgbClr val="000000"/>
                            </a:solidFill>
                            <a:prstDash val="solid"/>
                            <a:headEnd type="none" w="med" len="med"/>
                            <a:tailEnd type="triangle" w="med" len="med"/>
                          </a:ln>
                        </wps:spPr>
                        <wps:bodyPr upright="1"/>
                      </wps:wsp>
                      <wps:wsp>
                        <wps:cNvPr id="1007" name="直线 440"/>
                        <wps:cNvCnPr/>
                        <wps:spPr>
                          <a:xfrm flipH="1">
                            <a:off x="11740" y="2321890"/>
                            <a:ext cx="3530" cy="0"/>
                          </a:xfrm>
                          <a:prstGeom prst="line">
                            <a:avLst/>
                          </a:prstGeom>
                          <a:ln w="3175" cap="flat" cmpd="sng">
                            <a:solidFill>
                              <a:srgbClr val="000000"/>
                            </a:solidFill>
                            <a:prstDash val="solid"/>
                            <a:headEnd type="none" w="med" len="med"/>
                            <a:tailEnd type="triangle" w="med" len="med"/>
                          </a:ln>
                        </wps:spPr>
                        <wps:bodyPr upright="1"/>
                      </wps:wsp>
                      <wps:wsp>
                        <wps:cNvPr id="1008" name="文本框 441"/>
                        <wps:cNvSpPr txBox="1"/>
                        <wps:spPr>
                          <a:xfrm>
                            <a:off x="12514" y="2321729"/>
                            <a:ext cx="1545"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D243462">
                              <w:pPr>
                                <w:pStyle w:val="19"/>
                                <w:rPr>
                                  <w:rFonts w:ascii="幼圆" w:eastAsia="幼圆"/>
                                  <w:szCs w:val="21"/>
                                </w:rPr>
                              </w:pPr>
                              <w:r>
                                <w:rPr>
                                  <w:rFonts w:hint="eastAsia" w:ascii="幼圆" w:eastAsia="幼圆"/>
                                  <w:szCs w:val="21"/>
                                </w:rPr>
                                <w:t>合格性检查</w:t>
                              </w:r>
                            </w:p>
                          </w:txbxContent>
                        </wps:txbx>
                        <wps:bodyPr lIns="101978" tIns="66" rIns="101978" bIns="66" upright="1"/>
                      </wps:wsp>
                      <wps:wsp>
                        <wps:cNvPr id="1009" name="文本框 442"/>
                        <wps:cNvSpPr txBox="1"/>
                        <wps:spPr>
                          <a:xfrm>
                            <a:off x="12309" y="2320904"/>
                            <a:ext cx="1765"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33F078B">
                              <w:pPr>
                                <w:pStyle w:val="19"/>
                                <w:rPr>
                                  <w:rFonts w:ascii="幼圆" w:eastAsia="幼圆"/>
                                  <w:szCs w:val="21"/>
                                </w:rPr>
                              </w:pPr>
                              <w:r>
                                <w:rPr>
                                  <w:rFonts w:hint="eastAsia"/>
                                </w:rPr>
                                <w:t>合格</w:t>
                              </w:r>
                              <w:r>
                                <w:rPr>
                                  <w:rFonts w:hint="eastAsia" w:ascii="幼圆" w:eastAsia="幼圆"/>
                                  <w:szCs w:val="21"/>
                                </w:rPr>
                                <w:t>性检查</w:t>
                              </w:r>
                            </w:p>
                          </w:txbxContent>
                        </wps:txbx>
                        <wps:bodyPr lIns="101978" tIns="66" rIns="101978" bIns="66" upright="1"/>
                      </wps:wsp>
                      <wps:wsp>
                        <wps:cNvPr id="1010" name="文本框 443"/>
                        <wps:cNvSpPr txBox="1"/>
                        <wps:spPr>
                          <a:xfrm>
                            <a:off x="12498" y="2322620"/>
                            <a:ext cx="1545" cy="40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DE1303F">
                              <w:pPr>
                                <w:pStyle w:val="19"/>
                                <w:rPr>
                                  <w:rFonts w:ascii="幼圆" w:eastAsia="幼圆"/>
                                  <w:szCs w:val="21"/>
                                </w:rPr>
                              </w:pPr>
                              <w:r>
                                <w:rPr>
                                  <w:rFonts w:hint="eastAsia"/>
                                </w:rPr>
                                <w:t>合格</w:t>
                              </w:r>
                              <w:r>
                                <w:rPr>
                                  <w:rFonts w:hint="eastAsia" w:ascii="幼圆" w:eastAsia="幼圆"/>
                                  <w:szCs w:val="21"/>
                                </w:rPr>
                                <w:t>性检查</w:t>
                              </w:r>
                            </w:p>
                          </w:txbxContent>
                        </wps:txbx>
                        <wps:bodyPr lIns="101978" tIns="66" rIns="101978" bIns="66" upright="1"/>
                      </wps:wsp>
                      <wps:wsp>
                        <wps:cNvPr id="1011" name="文本框 474"/>
                        <wps:cNvSpPr txBox="1"/>
                        <wps:spPr>
                          <a:xfrm>
                            <a:off x="10519" y="2317195"/>
                            <a:ext cx="1211" cy="39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9249489">
                              <w:pPr>
                                <w:pStyle w:val="19"/>
                              </w:pPr>
                              <w:r>
                                <w:rPr>
                                  <w:rFonts w:hint="eastAsia"/>
                                </w:rPr>
                                <w:t>施工准备</w:t>
                              </w:r>
                            </w:p>
                          </w:txbxContent>
                        </wps:txbx>
                        <wps:bodyPr lIns="101978" tIns="66" rIns="101978" bIns="66" upright="1"/>
                      </wps:wsp>
                      <wps:wsp>
                        <wps:cNvPr id="1012" name="文本框 475"/>
                        <wps:cNvSpPr txBox="1"/>
                        <wps:spPr>
                          <a:xfrm>
                            <a:off x="10519" y="2317996"/>
                            <a:ext cx="1211" cy="39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22060E8">
                              <w:pPr>
                                <w:pStyle w:val="19"/>
                                <w:rPr>
                                  <w:rFonts w:ascii="幼圆" w:eastAsia="幼圆"/>
                                  <w:szCs w:val="21"/>
                                </w:rPr>
                              </w:pPr>
                              <w:r>
                                <w:rPr>
                                  <w:rFonts w:hint="eastAsia"/>
                                </w:rPr>
                                <w:t>放线</w:t>
                              </w:r>
                              <w:r>
                                <w:rPr>
                                  <w:rFonts w:hint="eastAsia" w:ascii="幼圆" w:eastAsia="幼圆"/>
                                  <w:szCs w:val="21"/>
                                </w:rPr>
                                <w:t>定位</w:t>
                              </w:r>
                            </w:p>
                          </w:txbxContent>
                        </wps:txbx>
                        <wps:bodyPr lIns="101978" tIns="66" rIns="101978" bIns="66" upright="1"/>
                      </wps:wsp>
                      <wps:wsp>
                        <wps:cNvPr id="1013" name="文本框 476"/>
                        <wps:cNvSpPr txBox="1"/>
                        <wps:spPr>
                          <a:xfrm>
                            <a:off x="10519" y="2318779"/>
                            <a:ext cx="1211" cy="39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FCF90E8">
                              <w:pPr>
                                <w:pStyle w:val="19"/>
                                <w:rPr>
                                  <w:rFonts w:ascii="幼圆" w:eastAsia="幼圆"/>
                                  <w:szCs w:val="21"/>
                                </w:rPr>
                              </w:pPr>
                              <w:r>
                                <w:rPr>
                                  <w:rFonts w:hint="eastAsia" w:ascii="幼圆" w:eastAsia="幼圆"/>
                                  <w:szCs w:val="21"/>
                                </w:rPr>
                                <w:t>树穴开挖</w:t>
                              </w:r>
                            </w:p>
                          </w:txbxContent>
                        </wps:txbx>
                        <wps:bodyPr lIns="101978" tIns="66" rIns="101978" bIns="66" upright="1"/>
                      </wps:wsp>
                      <wps:wsp>
                        <wps:cNvPr id="1014" name="文本框 477"/>
                        <wps:cNvSpPr txBox="1"/>
                        <wps:spPr>
                          <a:xfrm>
                            <a:off x="10538" y="2319655"/>
                            <a:ext cx="1175"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2B9C3B9">
                              <w:pPr>
                                <w:pStyle w:val="19"/>
                                <w:rPr>
                                  <w:rFonts w:ascii="幼圆" w:eastAsia="幼圆"/>
                                  <w:szCs w:val="21"/>
                                </w:rPr>
                              </w:pPr>
                              <w:r>
                                <w:rPr>
                                  <w:rFonts w:hint="eastAsia" w:ascii="幼圆" w:eastAsia="幼圆"/>
                                  <w:szCs w:val="21"/>
                                </w:rPr>
                                <w:t>穴土改良</w:t>
                              </w:r>
                            </w:p>
                          </w:txbxContent>
                        </wps:txbx>
                        <wps:bodyPr lIns="101978" tIns="66" rIns="101978" bIns="66" upright="1"/>
                      </wps:wsp>
                      <wps:wsp>
                        <wps:cNvPr id="1015" name="文本框 478"/>
                        <wps:cNvSpPr txBox="1"/>
                        <wps:spPr>
                          <a:xfrm>
                            <a:off x="10538" y="2320718"/>
                            <a:ext cx="1175"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8F6EA71">
                              <w:pPr>
                                <w:pStyle w:val="19"/>
                                <w:rPr>
                                  <w:rFonts w:ascii="幼圆" w:eastAsia="幼圆"/>
                                  <w:szCs w:val="21"/>
                                </w:rPr>
                              </w:pPr>
                              <w:r>
                                <w:rPr>
                                  <w:rFonts w:hint="eastAsia" w:ascii="幼圆" w:eastAsia="幼圆"/>
                                  <w:szCs w:val="21"/>
                                </w:rPr>
                                <w:t>乔木栽植</w:t>
                              </w:r>
                            </w:p>
                          </w:txbxContent>
                        </wps:txbx>
                        <wps:bodyPr lIns="101978" tIns="66" rIns="101978" bIns="66" upright="1"/>
                      </wps:wsp>
                      <wps:wsp>
                        <wps:cNvPr id="1016" name="文本框 479"/>
                        <wps:cNvSpPr txBox="1"/>
                        <wps:spPr>
                          <a:xfrm>
                            <a:off x="10538" y="2321650"/>
                            <a:ext cx="1175"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3B0B838">
                              <w:pPr>
                                <w:pStyle w:val="19"/>
                                <w:rPr>
                                  <w:rFonts w:ascii="幼圆" w:eastAsia="幼圆"/>
                                  <w:szCs w:val="21"/>
                                </w:rPr>
                              </w:pPr>
                              <w:r>
                                <w:rPr>
                                  <w:rFonts w:hint="eastAsia"/>
                                </w:rPr>
                                <w:t>灌木</w:t>
                              </w:r>
                              <w:r>
                                <w:rPr>
                                  <w:rFonts w:hint="eastAsia" w:ascii="幼圆" w:eastAsia="幼圆"/>
                                  <w:szCs w:val="21"/>
                                </w:rPr>
                                <w:t>栽植</w:t>
                              </w:r>
                            </w:p>
                          </w:txbxContent>
                        </wps:txbx>
                        <wps:bodyPr lIns="101978" tIns="66" rIns="101978" bIns="66" upright="1"/>
                      </wps:wsp>
                      <wps:wsp>
                        <wps:cNvPr id="1017" name="文本框 480"/>
                        <wps:cNvSpPr txBox="1"/>
                        <wps:spPr>
                          <a:xfrm>
                            <a:off x="10538" y="2322600"/>
                            <a:ext cx="1192"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8FE6A42">
                              <w:pPr>
                                <w:pStyle w:val="19"/>
                                <w:rPr>
                                  <w:rFonts w:ascii="幼圆" w:eastAsia="幼圆"/>
                                  <w:szCs w:val="21"/>
                                </w:rPr>
                              </w:pPr>
                              <w:r>
                                <w:rPr>
                                  <w:rFonts w:hint="eastAsia" w:ascii="幼圆" w:eastAsia="幼圆"/>
                                  <w:szCs w:val="21"/>
                                </w:rPr>
                                <w:t>地被种植</w:t>
                              </w:r>
                            </w:p>
                          </w:txbxContent>
                        </wps:txbx>
                        <wps:bodyPr lIns="101978" tIns="66" rIns="101978" bIns="66" upright="1"/>
                      </wps:wsp>
                      <wps:wsp>
                        <wps:cNvPr id="1018" name="文本框 481"/>
                        <wps:cNvSpPr txBox="1"/>
                        <wps:spPr>
                          <a:xfrm>
                            <a:off x="10538" y="2323531"/>
                            <a:ext cx="1175"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CC0DF4F">
                              <w:pPr>
                                <w:pStyle w:val="19"/>
                                <w:rPr>
                                  <w:rFonts w:ascii="幼圆" w:eastAsia="幼圆"/>
                                  <w:szCs w:val="21"/>
                                </w:rPr>
                              </w:pPr>
                              <w:r>
                                <w:rPr>
                                  <w:rFonts w:hint="eastAsia" w:ascii="幼圆" w:eastAsia="幼圆"/>
                                  <w:szCs w:val="21"/>
                                </w:rPr>
                                <w:t>草坪喷播</w:t>
                              </w:r>
                            </w:p>
                          </w:txbxContent>
                        </wps:txbx>
                        <wps:bodyPr lIns="101978" tIns="66" rIns="101978" bIns="66" upright="1"/>
                      </wps:wsp>
                      <wps:wsp>
                        <wps:cNvPr id="1019" name="文本框 482"/>
                        <wps:cNvSpPr txBox="1"/>
                        <wps:spPr>
                          <a:xfrm>
                            <a:off x="8114" y="2320792"/>
                            <a:ext cx="1211" cy="39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ACE9DE8">
                              <w:pPr>
                                <w:pStyle w:val="19"/>
                                <w:rPr>
                                  <w:rFonts w:ascii="幼圆" w:eastAsia="幼圆"/>
                                  <w:szCs w:val="21"/>
                                </w:rPr>
                              </w:pPr>
                              <w:r>
                                <w:rPr>
                                  <w:rFonts w:hint="eastAsia"/>
                                </w:rPr>
                                <w:t>支撑</w:t>
                              </w:r>
                              <w:r>
                                <w:rPr>
                                  <w:rFonts w:hint="eastAsia" w:ascii="幼圆" w:eastAsia="幼圆"/>
                                  <w:szCs w:val="21"/>
                                </w:rPr>
                                <w:t>绑扎</w:t>
                              </w:r>
                            </w:p>
                          </w:txbxContent>
                        </wps:txbx>
                        <wps:bodyPr lIns="101978" tIns="66" rIns="101978" bIns="66" upright="1"/>
                      </wps:wsp>
                      <wps:wsp>
                        <wps:cNvPr id="1020" name="文本框 483"/>
                        <wps:cNvSpPr txBox="1"/>
                        <wps:spPr>
                          <a:xfrm>
                            <a:off x="8114" y="2322115"/>
                            <a:ext cx="1211" cy="39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C1023FC">
                              <w:pPr>
                                <w:pStyle w:val="19"/>
                                <w:rPr>
                                  <w:rFonts w:ascii="幼圆" w:eastAsia="幼圆"/>
                                  <w:szCs w:val="21"/>
                                </w:rPr>
                              </w:pPr>
                              <w:r>
                                <w:rPr>
                                  <w:rFonts w:hint="eastAsia"/>
                                </w:rPr>
                                <w:t>苗木</w:t>
                              </w:r>
                              <w:r>
                                <w:rPr>
                                  <w:rFonts w:hint="eastAsia" w:ascii="幼圆" w:eastAsia="幼圆"/>
                                  <w:szCs w:val="21"/>
                                </w:rPr>
                                <w:t>管养</w:t>
                              </w:r>
                            </w:p>
                          </w:txbxContent>
                        </wps:txbx>
                        <wps:bodyPr lIns="101978" tIns="66" rIns="101978" bIns="66" upright="1"/>
                      </wps:wsp>
                      <wps:wsp>
                        <wps:cNvPr id="1021" name="文本框 484"/>
                        <wps:cNvSpPr txBox="1"/>
                        <wps:spPr>
                          <a:xfrm>
                            <a:off x="10538" y="2325265"/>
                            <a:ext cx="1342"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A86D1F2">
                              <w:pPr>
                                <w:pStyle w:val="19"/>
                                <w:rPr>
                                  <w:rFonts w:ascii="幼圆" w:eastAsia="幼圆"/>
                                  <w:szCs w:val="21"/>
                                </w:rPr>
                              </w:pPr>
                              <w:r>
                                <w:rPr>
                                  <w:rFonts w:hint="eastAsia" w:ascii="幼圆" w:eastAsia="幼圆"/>
                                  <w:szCs w:val="21"/>
                                </w:rPr>
                                <w:t>竣工验收</w:t>
                              </w:r>
                            </w:p>
                          </w:txbxContent>
                        </wps:txbx>
                        <wps:bodyPr lIns="101978" tIns="66" rIns="101978" bIns="66" upright="1"/>
                      </wps:wsp>
                      <wps:wsp>
                        <wps:cNvPr id="1022" name="文本框 485"/>
                        <wps:cNvSpPr txBox="1"/>
                        <wps:spPr>
                          <a:xfrm>
                            <a:off x="10538" y="2324390"/>
                            <a:ext cx="1175" cy="44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488D0A7">
                              <w:pPr>
                                <w:pStyle w:val="19"/>
                                <w:rPr>
                                  <w:rFonts w:ascii="幼圆" w:eastAsia="幼圆"/>
                                  <w:szCs w:val="21"/>
                                </w:rPr>
                              </w:pPr>
                              <w:r>
                                <w:rPr>
                                  <w:rFonts w:hint="eastAsia" w:ascii="幼圆" w:eastAsia="幼圆"/>
                                  <w:szCs w:val="21"/>
                                </w:rPr>
                                <w:t>现场清理</w:t>
                              </w:r>
                            </w:p>
                          </w:txbxContent>
                        </wps:txbx>
                        <wps:bodyPr lIns="101978" tIns="66" rIns="101978" bIns="66" upright="1"/>
                      </wps:wsp>
                      <wps:wsp>
                        <wps:cNvPr id="1023" name="直线 486"/>
                        <wps:cNvCnPr/>
                        <wps:spPr>
                          <a:xfrm>
                            <a:off x="11060" y="2317586"/>
                            <a:ext cx="0" cy="390"/>
                          </a:xfrm>
                          <a:prstGeom prst="line">
                            <a:avLst/>
                          </a:prstGeom>
                          <a:ln w="3175" cap="flat" cmpd="sng">
                            <a:solidFill>
                              <a:srgbClr val="000000"/>
                            </a:solidFill>
                            <a:prstDash val="solid"/>
                            <a:headEnd type="none" w="med" len="med"/>
                            <a:tailEnd type="triangle" w="med" len="med"/>
                          </a:ln>
                        </wps:spPr>
                        <wps:bodyPr upright="1"/>
                      </wps:wsp>
                      <wps:wsp>
                        <wps:cNvPr id="1024" name="直线 487"/>
                        <wps:cNvCnPr/>
                        <wps:spPr>
                          <a:xfrm>
                            <a:off x="11060" y="2320122"/>
                            <a:ext cx="0" cy="522"/>
                          </a:xfrm>
                          <a:prstGeom prst="line">
                            <a:avLst/>
                          </a:prstGeom>
                          <a:ln w="3175" cap="flat" cmpd="sng">
                            <a:solidFill>
                              <a:srgbClr val="000000"/>
                            </a:solidFill>
                            <a:prstDash val="solid"/>
                            <a:headEnd type="none" w="med" len="med"/>
                            <a:tailEnd type="triangle" w="med" len="med"/>
                          </a:ln>
                        </wps:spPr>
                        <wps:bodyPr upright="1"/>
                      </wps:wsp>
                      <wps:wsp>
                        <wps:cNvPr id="1025" name="直线 488"/>
                        <wps:cNvCnPr/>
                        <wps:spPr>
                          <a:xfrm>
                            <a:off x="11060" y="2319189"/>
                            <a:ext cx="0" cy="390"/>
                          </a:xfrm>
                          <a:prstGeom prst="line">
                            <a:avLst/>
                          </a:prstGeom>
                          <a:ln w="3175" cap="flat" cmpd="sng">
                            <a:solidFill>
                              <a:srgbClr val="000000"/>
                            </a:solidFill>
                            <a:prstDash val="solid"/>
                            <a:headEnd type="none" w="med" len="med"/>
                            <a:tailEnd type="triangle" w="med" len="med"/>
                          </a:ln>
                        </wps:spPr>
                        <wps:bodyPr upright="1"/>
                      </wps:wsp>
                      <wps:wsp>
                        <wps:cNvPr id="1026" name="直线 489"/>
                        <wps:cNvCnPr/>
                        <wps:spPr>
                          <a:xfrm>
                            <a:off x="11060" y="2318387"/>
                            <a:ext cx="0" cy="372"/>
                          </a:xfrm>
                          <a:prstGeom prst="line">
                            <a:avLst/>
                          </a:prstGeom>
                          <a:ln w="3175" cap="flat" cmpd="sng">
                            <a:solidFill>
                              <a:srgbClr val="000000"/>
                            </a:solidFill>
                            <a:prstDash val="solid"/>
                            <a:headEnd type="none" w="med" len="med"/>
                            <a:tailEnd type="triangle" w="med" len="med"/>
                          </a:ln>
                        </wps:spPr>
                        <wps:bodyPr upright="1"/>
                      </wps:wsp>
                      <wps:wsp>
                        <wps:cNvPr id="1027" name="直线 490"/>
                        <wps:cNvCnPr/>
                        <wps:spPr>
                          <a:xfrm>
                            <a:off x="11060" y="2324837"/>
                            <a:ext cx="0" cy="484"/>
                          </a:xfrm>
                          <a:prstGeom prst="line">
                            <a:avLst/>
                          </a:prstGeom>
                          <a:ln w="3175" cap="flat" cmpd="sng">
                            <a:solidFill>
                              <a:srgbClr val="000000"/>
                            </a:solidFill>
                            <a:prstDash val="solid"/>
                            <a:headEnd type="none" w="med" len="med"/>
                            <a:tailEnd type="triangle" w="med" len="med"/>
                          </a:ln>
                        </wps:spPr>
                        <wps:bodyPr upright="1"/>
                      </wps:wsp>
                      <wps:wsp>
                        <wps:cNvPr id="1028" name="直线 491"/>
                        <wps:cNvCnPr/>
                        <wps:spPr>
                          <a:xfrm>
                            <a:off x="11060" y="2323980"/>
                            <a:ext cx="0" cy="390"/>
                          </a:xfrm>
                          <a:prstGeom prst="line">
                            <a:avLst/>
                          </a:prstGeom>
                          <a:ln w="3175" cap="flat" cmpd="sng">
                            <a:solidFill>
                              <a:srgbClr val="000000"/>
                            </a:solidFill>
                            <a:prstDash val="solid"/>
                            <a:headEnd type="none" w="med" len="med"/>
                            <a:tailEnd type="triangle" w="med" len="med"/>
                          </a:ln>
                        </wps:spPr>
                        <wps:bodyPr upright="1"/>
                      </wps:wsp>
                      <wps:wsp>
                        <wps:cNvPr id="1029" name="直线 492"/>
                        <wps:cNvCnPr/>
                        <wps:spPr>
                          <a:xfrm>
                            <a:off x="11060" y="2323047"/>
                            <a:ext cx="0" cy="390"/>
                          </a:xfrm>
                          <a:prstGeom prst="line">
                            <a:avLst/>
                          </a:prstGeom>
                          <a:ln w="3175" cap="flat" cmpd="sng">
                            <a:solidFill>
                              <a:srgbClr val="000000"/>
                            </a:solidFill>
                            <a:prstDash val="solid"/>
                            <a:headEnd type="none" w="med" len="med"/>
                            <a:tailEnd type="triangle" w="med" len="med"/>
                          </a:ln>
                        </wps:spPr>
                        <wps:bodyPr upright="1"/>
                      </wps:wsp>
                      <wps:wsp>
                        <wps:cNvPr id="1030" name="直线 493"/>
                        <wps:cNvCnPr/>
                        <wps:spPr>
                          <a:xfrm>
                            <a:off x="11060" y="2322115"/>
                            <a:ext cx="0" cy="390"/>
                          </a:xfrm>
                          <a:prstGeom prst="line">
                            <a:avLst/>
                          </a:prstGeom>
                          <a:ln w="3175" cap="flat" cmpd="sng">
                            <a:solidFill>
                              <a:srgbClr val="000000"/>
                            </a:solidFill>
                            <a:prstDash val="solid"/>
                            <a:headEnd type="none" w="med" len="med"/>
                            <a:tailEnd type="triangle" w="med" len="med"/>
                          </a:ln>
                        </wps:spPr>
                        <wps:bodyPr upright="1"/>
                      </wps:wsp>
                      <wps:wsp>
                        <wps:cNvPr id="1031" name="直线 494"/>
                        <wps:cNvCnPr/>
                        <wps:spPr>
                          <a:xfrm>
                            <a:off x="11060" y="2321183"/>
                            <a:ext cx="0" cy="390"/>
                          </a:xfrm>
                          <a:prstGeom prst="line">
                            <a:avLst/>
                          </a:prstGeom>
                          <a:ln w="3175" cap="flat" cmpd="sng">
                            <a:solidFill>
                              <a:srgbClr val="000000"/>
                            </a:solidFill>
                            <a:prstDash val="solid"/>
                            <a:headEnd type="none" w="med" len="med"/>
                            <a:tailEnd type="triangle" w="med" len="med"/>
                          </a:ln>
                        </wps:spPr>
                        <wps:bodyPr upright="1"/>
                      </wps:wsp>
                      <wps:wsp>
                        <wps:cNvPr id="1032" name="直线 495"/>
                        <wps:cNvCnPr/>
                        <wps:spPr>
                          <a:xfrm flipH="1">
                            <a:off x="9979" y="2321053"/>
                            <a:ext cx="540" cy="0"/>
                          </a:xfrm>
                          <a:prstGeom prst="line">
                            <a:avLst/>
                          </a:prstGeom>
                          <a:ln w="3175" cap="flat" cmpd="sng">
                            <a:solidFill>
                              <a:srgbClr val="000000"/>
                            </a:solidFill>
                            <a:prstDash val="solid"/>
                            <a:headEnd type="none" w="med" len="med"/>
                            <a:tailEnd type="triangle" w="med" len="med"/>
                          </a:ln>
                        </wps:spPr>
                        <wps:bodyPr upright="1"/>
                      </wps:wsp>
                      <wps:wsp>
                        <wps:cNvPr id="1033" name="直线 496"/>
                        <wps:cNvCnPr/>
                        <wps:spPr>
                          <a:xfrm flipH="1">
                            <a:off x="9979" y="2321984"/>
                            <a:ext cx="540" cy="0"/>
                          </a:xfrm>
                          <a:prstGeom prst="line">
                            <a:avLst/>
                          </a:prstGeom>
                          <a:ln w="3175" cap="flat" cmpd="sng">
                            <a:solidFill>
                              <a:srgbClr val="000000"/>
                            </a:solidFill>
                            <a:prstDash val="solid"/>
                            <a:headEnd type="none" w="med" len="med"/>
                            <a:tailEnd type="triangle" w="med" len="med"/>
                          </a:ln>
                        </wps:spPr>
                        <wps:bodyPr upright="1"/>
                      </wps:wsp>
                      <wps:wsp>
                        <wps:cNvPr id="1034" name="直线 497"/>
                        <wps:cNvCnPr/>
                        <wps:spPr>
                          <a:xfrm flipH="1">
                            <a:off x="9979" y="2322916"/>
                            <a:ext cx="540" cy="0"/>
                          </a:xfrm>
                          <a:prstGeom prst="line">
                            <a:avLst/>
                          </a:prstGeom>
                          <a:ln w="3175" cap="flat" cmpd="sng">
                            <a:solidFill>
                              <a:srgbClr val="000000"/>
                            </a:solidFill>
                            <a:prstDash val="solid"/>
                            <a:headEnd type="none" w="med" len="med"/>
                            <a:tailEnd type="triangle" w="med" len="med"/>
                          </a:ln>
                        </wps:spPr>
                        <wps:bodyPr upright="1"/>
                      </wps:wsp>
                      <wps:wsp>
                        <wps:cNvPr id="1035" name="直线 498"/>
                        <wps:cNvCnPr/>
                        <wps:spPr>
                          <a:xfrm flipH="1">
                            <a:off x="9979" y="2323848"/>
                            <a:ext cx="540" cy="0"/>
                          </a:xfrm>
                          <a:prstGeom prst="line">
                            <a:avLst/>
                          </a:prstGeom>
                          <a:ln w="3175" cap="flat" cmpd="sng">
                            <a:solidFill>
                              <a:srgbClr val="000000"/>
                            </a:solidFill>
                            <a:prstDash val="solid"/>
                            <a:headEnd type="none" w="med" len="med"/>
                            <a:tailEnd type="triangle" w="med" len="med"/>
                          </a:ln>
                        </wps:spPr>
                        <wps:bodyPr upright="1"/>
                      </wps:wsp>
                      <wps:wsp>
                        <wps:cNvPr id="1036" name="直线 499"/>
                        <wps:cNvCnPr/>
                        <wps:spPr>
                          <a:xfrm>
                            <a:off x="9979" y="2321053"/>
                            <a:ext cx="0" cy="2796"/>
                          </a:xfrm>
                          <a:prstGeom prst="line">
                            <a:avLst/>
                          </a:prstGeom>
                          <a:ln w="3175" cap="flat" cmpd="sng">
                            <a:solidFill>
                              <a:srgbClr val="000000"/>
                            </a:solidFill>
                            <a:prstDash val="solid"/>
                            <a:headEnd type="none" w="med" len="med"/>
                            <a:tailEnd type="triangle" w="med" len="med"/>
                          </a:ln>
                        </wps:spPr>
                        <wps:bodyPr upright="1"/>
                      </wps:wsp>
                      <wps:wsp>
                        <wps:cNvPr id="1037" name="直线 500"/>
                        <wps:cNvCnPr/>
                        <wps:spPr>
                          <a:xfrm flipH="1">
                            <a:off x="9306" y="2320923"/>
                            <a:ext cx="1211" cy="0"/>
                          </a:xfrm>
                          <a:prstGeom prst="line">
                            <a:avLst/>
                          </a:prstGeom>
                          <a:ln w="3175" cap="flat" cmpd="sng">
                            <a:solidFill>
                              <a:srgbClr val="000000"/>
                            </a:solidFill>
                            <a:prstDash val="solid"/>
                            <a:headEnd type="none" w="med" len="med"/>
                            <a:tailEnd type="triangle" w="med" len="med"/>
                          </a:ln>
                        </wps:spPr>
                        <wps:bodyPr upright="1"/>
                      </wps:wsp>
                      <wps:wsp>
                        <wps:cNvPr id="1038" name="直线 501"/>
                        <wps:cNvCnPr/>
                        <wps:spPr>
                          <a:xfrm flipH="1">
                            <a:off x="9306" y="2322394"/>
                            <a:ext cx="653" cy="0"/>
                          </a:xfrm>
                          <a:prstGeom prst="line">
                            <a:avLst/>
                          </a:prstGeom>
                          <a:ln w="3175" cap="flat" cmpd="sng">
                            <a:solidFill>
                              <a:srgbClr val="000000"/>
                            </a:solidFill>
                            <a:prstDash val="solid"/>
                            <a:headEnd type="none" w="med" len="med"/>
                            <a:tailEnd type="triangle" w="med" len="med"/>
                          </a:ln>
                        </wps:spPr>
                        <wps:bodyPr upright="1"/>
                      </wps:wsp>
                    </wpg:wgp>
                  </a:graphicData>
                </a:graphic>
              </wp:anchor>
            </w:drawing>
          </mc:Choice>
          <mc:Fallback>
            <w:pict>
              <v:group id="组合 1463" o:spid="_x0000_s1026" o:spt="203" style="position:absolute;left:0pt;margin-left:7pt;margin-top:9.1pt;height:381.55pt;width:418.55pt;mso-wrap-distance-bottom:0pt;mso-wrap-distance-left:9pt;mso-wrap-distance-right:9pt;mso-wrap-distance-top:0pt;z-index:251672576;mso-width-relative:page;mso-height-relative:page;" coordorigin="8114,2317093" coordsize="8371,8618" o:gfxdata="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">
                <o:lock v:ext="edit" aspectratio="f"/>
                <v:shape id="文本框 444" o:spid="_x0000_s1026" o:spt="202" type="#_x0000_t202" style="position:absolute;left:12465;top:2323670;height:399;width:1545;" fillcolor="#C6D9F1" filled="t" stroked="t" coordsize="21600,21600" o:gfxdata="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70U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8.02976377952756pt,0.00519685039370079pt,8.02976377952756pt,0.00519685039370079pt">
                    <w:txbxContent>
                      <w:p w14:paraId="35F0D653">
                        <w:pPr>
                          <w:pStyle w:val="19"/>
                          <w:rPr>
                            <w:rFonts w:ascii="幼圆" w:eastAsia="幼圆"/>
                            <w:szCs w:val="21"/>
                          </w:rPr>
                        </w:pPr>
                        <w:r>
                          <w:rPr>
                            <w:rFonts w:hint="eastAsia"/>
                          </w:rPr>
                          <w:t>合格</w:t>
                        </w:r>
                        <w:r>
                          <w:rPr>
                            <w:rFonts w:hint="eastAsia" w:ascii="幼圆" w:eastAsia="幼圆"/>
                            <w:szCs w:val="21"/>
                          </w:rPr>
                          <w:t>性检查</w:t>
                        </w:r>
                      </w:p>
                    </w:txbxContent>
                  </v:textbox>
                </v:shape>
                <v:line id="直线 473" o:spid="_x0000_s1026" o:spt="20" style="position:absolute;left:11749;top:2323837;flip:x;height:0;width:3524;" filled="f" stroked="t" coordsize="21600,21600" o:gfxdata="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zKGh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shape id="文本框 401" o:spid="_x0000_s1026" o:spt="202" type="#_x0000_t202" style="position:absolute;left:14610;top:2317093;height:400;width:1214;" fillcolor="#C6D9F1" filled="t" stroked="t" coordsize="21600,21600" o:gfxdata="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5DPv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8.02976377952756pt,0.00519685039370079pt,8.02976377952756pt,0.00519685039370079pt">
                    <w:txbxContent>
                      <w:p w14:paraId="65048429">
                        <w:pPr>
                          <w:pStyle w:val="19"/>
                          <w:rPr>
                            <w:rFonts w:ascii="幼圆" w:eastAsia="幼圆"/>
                            <w:sz w:val="24"/>
                            <w:szCs w:val="21"/>
                          </w:rPr>
                        </w:pPr>
                        <w:r>
                          <w:rPr>
                            <w:rFonts w:hint="eastAsia"/>
                          </w:rPr>
                          <w:t>计划</w:t>
                        </w:r>
                        <w:r>
                          <w:rPr>
                            <w:rFonts w:hint="eastAsia" w:ascii="幼圆" w:eastAsia="幼圆"/>
                            <w:szCs w:val="21"/>
                          </w:rPr>
                          <w:t>进苗</w:t>
                        </w:r>
                      </w:p>
                    </w:txbxContent>
                  </v:textbox>
                </v:shape>
                <v:shape id="文本框 402" o:spid="_x0000_s1026" o:spt="202" type="#_x0000_t202" style="position:absolute;left:14609;top:2317759;height:400;width:1216;" fillcolor="#C6D9F1" filled="t" stroked="t" coordsize="21600,21600" o:gfxdata="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D1vO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8.02976377952756pt,0.00519685039370079pt,8.02976377952756pt,0.00519685039370079pt">
                    <w:txbxContent>
                      <w:p w14:paraId="511EB34C">
                        <w:pPr>
                          <w:pStyle w:val="19"/>
                          <w:rPr>
                            <w:rFonts w:ascii="幼圆" w:eastAsia="幼圆"/>
                            <w:szCs w:val="21"/>
                          </w:rPr>
                        </w:pPr>
                        <w:r>
                          <w:rPr>
                            <w:rFonts w:hint="eastAsia" w:ascii="幼圆" w:eastAsia="幼圆"/>
                            <w:szCs w:val="21"/>
                          </w:rPr>
                          <w:t>疏枝修剪</w:t>
                        </w:r>
                      </w:p>
                    </w:txbxContent>
                  </v:textbox>
                </v:shape>
                <v:shape id="文本框 403" o:spid="_x0000_s1026" o:spt="202" type="#_x0000_t202" style="position:absolute;left:14610;top:2318426;height:400;width:1215;" fillcolor="#C6D9F1" filled="t" stroked="t" coordsize="21600,21600" o:gfxdata="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Q/5V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8.02976377952756pt,0.00519685039370079pt,8.02976377952756pt,0.00519685039370079pt">
                    <w:txbxContent>
                      <w:p w14:paraId="64E780C5">
                        <w:pPr>
                          <w:pStyle w:val="19"/>
                          <w:rPr>
                            <w:rFonts w:ascii="幼圆" w:eastAsia="幼圆"/>
                            <w:szCs w:val="21"/>
                          </w:rPr>
                        </w:pPr>
                        <w:r>
                          <w:rPr>
                            <w:rFonts w:hint="eastAsia" w:ascii="幼圆" w:eastAsia="幼圆"/>
                            <w:szCs w:val="21"/>
                          </w:rPr>
                          <w:t>包干束冠</w:t>
                        </w:r>
                      </w:p>
                    </w:txbxContent>
                  </v:textbox>
                </v:shape>
                <v:shape id="文本框 404" o:spid="_x0000_s1026" o:spt="202" type="#_x0000_t202" style="position:absolute;left:14610;top:2319225;height:400;width:1216;" fillcolor="#C6D9F1" filled="t" stroked="t" coordsize="21600,21600" o:gfxdata="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oMEV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8.02976377952756pt,0.00519685039370079pt,8.02976377952756pt,0.00519685039370079pt">
                    <w:txbxContent>
                      <w:p w14:paraId="2CE21CA9">
                        <w:pPr>
                          <w:pStyle w:val="19"/>
                          <w:rPr>
                            <w:rFonts w:ascii="幼圆" w:eastAsia="幼圆"/>
                            <w:szCs w:val="21"/>
                          </w:rPr>
                        </w:pPr>
                        <w:r>
                          <w:rPr>
                            <w:rFonts w:hint="eastAsia" w:ascii="幼圆" w:eastAsia="幼圆"/>
                            <w:szCs w:val="21"/>
                          </w:rPr>
                          <w:t>苗木起挖</w:t>
                        </w:r>
                      </w:p>
                    </w:txbxContent>
                  </v:textbox>
                </v:shape>
                <v:shape id="文本框 406" o:spid="_x0000_s1026" o:spt="202" type="#_x0000_t202" style="position:absolute;left:13506;top:2320025;height:400;width:1216;" fillcolor="#C6D9F1" filled="t" stroked="t" coordsize="21600,21600" o:gfxdata="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uxkj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8.02976377952756pt,0.00519685039370079pt,8.02976377952756pt,0.00519685039370079pt">
                    <w:txbxContent>
                      <w:p w14:paraId="6DA0D1EB">
                        <w:pPr>
                          <w:pStyle w:val="19"/>
                          <w:rPr>
                            <w:rFonts w:ascii="幼圆" w:eastAsia="幼圆"/>
                            <w:szCs w:val="21"/>
                          </w:rPr>
                        </w:pPr>
                        <w:r>
                          <w:rPr>
                            <w:rFonts w:hint="eastAsia" w:ascii="幼圆" w:eastAsia="幼圆"/>
                            <w:szCs w:val="21"/>
                          </w:rPr>
                          <w:t>土球包扎</w:t>
                        </w:r>
                      </w:p>
                    </w:txbxContent>
                  </v:textbox>
                </v:shape>
                <v:shape id="文本框 407" o:spid="_x0000_s1026" o:spt="202" type="#_x0000_t202" style="position:absolute;left:14719;top:2320824;height:400;width:1216;" fillcolor="#C6D9F1" filled="t" stroked="t" coordsize="21600,21600" o:gfxdata="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j76+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8.02976377952756pt,0.00519685039370079pt,8.02976377952756pt,0.00519685039370079pt">
                    <w:txbxContent>
                      <w:p w14:paraId="6BCBD867">
                        <w:pPr>
                          <w:pStyle w:val="19"/>
                          <w:rPr>
                            <w:rFonts w:ascii="幼圆" w:eastAsia="幼圆"/>
                            <w:szCs w:val="21"/>
                          </w:rPr>
                        </w:pPr>
                        <w:r>
                          <w:rPr>
                            <w:rFonts w:hint="eastAsia"/>
                          </w:rPr>
                          <w:t>装卸</w:t>
                        </w:r>
                        <w:r>
                          <w:rPr>
                            <w:rFonts w:hint="eastAsia" w:ascii="幼圆" w:eastAsia="幼圆"/>
                            <w:szCs w:val="21"/>
                          </w:rPr>
                          <w:t>运输</w:t>
                        </w:r>
                      </w:p>
                    </w:txbxContent>
                  </v:textbox>
                </v:shape>
                <v:line id="直线 412" o:spid="_x0000_s1026" o:spt="20" style="position:absolute;left:15162;top:2317493;height:267;width:1;" filled="f" stroked="t" coordsize="21600,21600" o:gfxdata="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ecii/&#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418" o:spid="_x0000_s1026" o:spt="20" style="position:absolute;left:15162;top:2318159;height:267;width:1;" filled="f" stroked="t" coordsize="21600,21600" o:gfxdata="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36ly/&#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419" o:spid="_x0000_s1026" o:spt="20" style="position:absolute;left:15162;top:2318825;height:400;width:1;" filled="f" stroked="t" coordsize="21600,21600" o:gfxdata="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t7T8e/&#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427" o:spid="_x0000_s1026" o:spt="20" style="position:absolute;left:14058;top:2319891;height:133;width:1;" filled="f" stroked="t" coordsize="21600,21600" o:gfxdata="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6nRs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29" o:spid="_x0000_s1026" o:spt="20" style="position:absolute;left:16485;top:2319891;flip:y;height:133;width:1;" filled="f" stroked="t" coordsize="21600,21600" o:gfxdata="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ntcK/&#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430" o:spid="_x0000_s1026" o:spt="20" style="position:absolute;left:14058;top:2319891;height:0;width:2427;" filled="f" stroked="t" coordsize="21600,21600" o:gfxdata="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V64Fm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431" o:spid="_x0000_s1026" o:spt="20" style="position:absolute;left:15271;top:2319625;height:267;width:1;" filled="f" stroked="t" coordsize="21600,21600" o:gfxdata="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jZFwr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32" o:spid="_x0000_s1026" o:spt="20" style="position:absolute;left:14058;top:2320424;height:133;width:1;" filled="f" stroked="t" coordsize="21600,21600" o:gfxdata="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zwIf&#10;wAAAAN0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433" o:spid="_x0000_s1026" o:spt="20" style="position:absolute;left:16485;top:2320424;height:133;width:1;" filled="f" stroked="t" coordsize="21600,21600" o:gfxdata="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g6eEvQAA&#10;AN0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line id="直线 434" o:spid="_x0000_s1026" o:spt="20" style="position:absolute;left:14058;top:2320558;height:0;width:2427;" filled="f" stroked="t" coordsize="21600,21600" o:gfxdata="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ROfO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35" o:spid="_x0000_s1026" o:spt="20" style="position:absolute;left:15271;top:2320558;height:267;width:1;" filled="f" stroked="t" coordsize="21600,21600" o:gfxdata="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B2caL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36" o:spid="_x0000_s1026" o:spt="20" style="position:absolute;left:11740;top:2321091;flip:x;height:0;width:2979;" filled="f" stroked="t" coordsize="21600,21600" o:gfxdata="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07zu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37" o:spid="_x0000_s1026" o:spt="20" style="position:absolute;left:15271;top:2321224;height:2665;width:0;" filled="f" stroked="t" coordsize="21600,21600" o:gfxdata="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ihh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39" o:spid="_x0000_s1026" o:spt="20" style="position:absolute;left:11740;top:2322823;flip:x;height:0;width:3530;" filled="f" stroked="t" coordsize="21600,21600" o:gfxdata="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rU1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40" o:spid="_x0000_s1026" o:spt="20" style="position:absolute;left:11740;top:2321890;flip:x;height:0;width:3530;" filled="f" stroked="t" coordsize="21600,21600" o:gfxdata="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mcUy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shape id="文本框 441" o:spid="_x0000_s1026" o:spt="202" type="#_x0000_t202" style="position:absolute;left:12514;top:2321729;height:400;width:1545;" fillcolor="#C6D9F1" filled="t" stroked="t" coordsize="21600,21600" o:gfxdata="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dAV74A&#10;AADd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8.02976377952756pt,0.00519685039370079pt,8.02976377952756pt,0.00519685039370079pt">
                    <w:txbxContent>
                      <w:p w14:paraId="3D243462">
                        <w:pPr>
                          <w:pStyle w:val="19"/>
                          <w:rPr>
                            <w:rFonts w:ascii="幼圆" w:eastAsia="幼圆"/>
                            <w:szCs w:val="21"/>
                          </w:rPr>
                        </w:pPr>
                        <w:r>
                          <w:rPr>
                            <w:rFonts w:hint="eastAsia" w:ascii="幼圆" w:eastAsia="幼圆"/>
                            <w:szCs w:val="21"/>
                          </w:rPr>
                          <w:t>合格性检查</w:t>
                        </w:r>
                      </w:p>
                    </w:txbxContent>
                  </v:textbox>
                </v:shape>
                <v:shape id="文本框 442" o:spid="_x0000_s1026" o:spt="202" type="#_x0000_t202" style="position:absolute;left:12309;top:2320904;height:400;width:1765;" fillcolor="#C6D9F1" filled="t" stroked="t" coordsize="21600,21600" o:gfxdata="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1b5cy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533F078B">
                        <w:pPr>
                          <w:pStyle w:val="19"/>
                          <w:rPr>
                            <w:rFonts w:ascii="幼圆" w:eastAsia="幼圆"/>
                            <w:szCs w:val="21"/>
                          </w:rPr>
                        </w:pPr>
                        <w:r>
                          <w:rPr>
                            <w:rFonts w:hint="eastAsia"/>
                          </w:rPr>
                          <w:t>合格</w:t>
                        </w:r>
                        <w:r>
                          <w:rPr>
                            <w:rFonts w:hint="eastAsia" w:ascii="幼圆" w:eastAsia="幼圆"/>
                            <w:szCs w:val="21"/>
                          </w:rPr>
                          <w:t>性检查</w:t>
                        </w:r>
                      </w:p>
                    </w:txbxContent>
                  </v:textbox>
                </v:shape>
                <v:shape id="文本框 443" o:spid="_x0000_s1026" o:spt="202" type="#_x0000_t202" style="position:absolute;left:12498;top:2322620;height:400;width:1545;" fillcolor="#C6D9F1" filled="t" stroked="t" coordsize="21600,21600" o:gfxdata="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42oy/&#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8.02976377952756pt,0.00519685039370079pt,8.02976377952756pt,0.00519685039370079pt">
                    <w:txbxContent>
                      <w:p w14:paraId="6DE1303F">
                        <w:pPr>
                          <w:pStyle w:val="19"/>
                          <w:rPr>
                            <w:rFonts w:ascii="幼圆" w:eastAsia="幼圆"/>
                            <w:szCs w:val="21"/>
                          </w:rPr>
                        </w:pPr>
                        <w:r>
                          <w:rPr>
                            <w:rFonts w:hint="eastAsia"/>
                          </w:rPr>
                          <w:t>合格</w:t>
                        </w:r>
                        <w:r>
                          <w:rPr>
                            <w:rFonts w:hint="eastAsia" w:ascii="幼圆" w:eastAsia="幼圆"/>
                            <w:szCs w:val="21"/>
                          </w:rPr>
                          <w:t>性检查</w:t>
                        </w:r>
                      </w:p>
                    </w:txbxContent>
                  </v:textbox>
                </v:shape>
                <v:shape id="文本框 474" o:spid="_x0000_s1026" o:spt="202" type="#_x0000_t202" style="position:absolute;left:10519;top:2317195;height:390;width:1211;" fillcolor="#C6D9F1" filled="t" stroked="t" coordsize="21600,21600" o:gfxdata="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0fxe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69249489">
                        <w:pPr>
                          <w:pStyle w:val="19"/>
                        </w:pPr>
                        <w:r>
                          <w:rPr>
                            <w:rFonts w:hint="eastAsia"/>
                          </w:rPr>
                          <w:t>施工准备</w:t>
                        </w:r>
                      </w:p>
                    </w:txbxContent>
                  </v:textbox>
                </v:shape>
                <v:shape id="文本框 475" o:spid="_x0000_s1026" o:spt="202" type="#_x0000_t202" style="position:absolute;left:10519;top:2317996;height:390;width:1211;" fillcolor="#C6D9F1" filled="t" stroked="t" coordsize="21600,21600" o:gfxdata="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ibhYL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8.02976377952756pt,0.00519685039370079pt,8.02976377952756pt,0.00519685039370079pt">
                    <w:txbxContent>
                      <w:p w14:paraId="022060E8">
                        <w:pPr>
                          <w:pStyle w:val="19"/>
                          <w:rPr>
                            <w:rFonts w:ascii="幼圆" w:eastAsia="幼圆"/>
                            <w:szCs w:val="21"/>
                          </w:rPr>
                        </w:pPr>
                        <w:r>
                          <w:rPr>
                            <w:rFonts w:hint="eastAsia"/>
                          </w:rPr>
                          <w:t>放线</w:t>
                        </w:r>
                        <w:r>
                          <w:rPr>
                            <w:rFonts w:hint="eastAsia" w:ascii="幼圆" w:eastAsia="幼圆"/>
                            <w:szCs w:val="21"/>
                          </w:rPr>
                          <w:t>定位</w:t>
                        </w:r>
                      </w:p>
                    </w:txbxContent>
                  </v:textbox>
                </v:shape>
                <v:shape id="文本框 476" o:spid="_x0000_s1026" o:spt="202" type="#_x0000_t202" style="position:absolute;left:10519;top:2318779;height:390;width:1211;" fillcolor="#C6D9F1" filled="t" stroked="t" coordsize="21600,21600" o:gfxdata="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qRPu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2FCF90E8">
                        <w:pPr>
                          <w:pStyle w:val="19"/>
                          <w:rPr>
                            <w:rFonts w:ascii="幼圆" w:eastAsia="幼圆"/>
                            <w:szCs w:val="21"/>
                          </w:rPr>
                        </w:pPr>
                        <w:r>
                          <w:rPr>
                            <w:rFonts w:hint="eastAsia" w:ascii="幼圆" w:eastAsia="幼圆"/>
                            <w:szCs w:val="21"/>
                          </w:rPr>
                          <w:t>树穴开挖</w:t>
                        </w:r>
                      </w:p>
                    </w:txbxContent>
                  </v:textbox>
                </v:shape>
                <v:shape id="文本框 477" o:spid="_x0000_s1026" o:spt="202" type="#_x0000_t202" style="position:absolute;left:10538;top:2319655;height:447;width:1175;" fillcolor="#C6D9F1" filled="t" stroked="t" coordsize="21600,21600" o:gfxdata="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D3I+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22B9C3B9">
                        <w:pPr>
                          <w:pStyle w:val="19"/>
                          <w:rPr>
                            <w:rFonts w:ascii="幼圆" w:eastAsia="幼圆"/>
                            <w:szCs w:val="21"/>
                          </w:rPr>
                        </w:pPr>
                        <w:r>
                          <w:rPr>
                            <w:rFonts w:hint="eastAsia" w:ascii="幼圆" w:eastAsia="幼圆"/>
                            <w:szCs w:val="21"/>
                          </w:rPr>
                          <w:t>穴土改良</w:t>
                        </w:r>
                      </w:p>
                    </w:txbxContent>
                  </v:textbox>
                </v:shape>
                <v:shape id="文本框 478" o:spid="_x0000_s1026" o:spt="202" type="#_x0000_t202" style="position:absolute;left:10538;top:2320718;height:447;width:1175;" fillcolor="#C6D9F1" filled="t" stroked="t" coordsize="21600,21600" o:gfxdata="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nPeRS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58F6EA71">
                        <w:pPr>
                          <w:pStyle w:val="19"/>
                          <w:rPr>
                            <w:rFonts w:ascii="幼圆" w:eastAsia="幼圆"/>
                            <w:szCs w:val="21"/>
                          </w:rPr>
                        </w:pPr>
                        <w:r>
                          <w:rPr>
                            <w:rFonts w:hint="eastAsia" w:ascii="幼圆" w:eastAsia="幼圆"/>
                            <w:szCs w:val="21"/>
                          </w:rPr>
                          <w:t>乔木栽植</w:t>
                        </w:r>
                      </w:p>
                    </w:txbxContent>
                  </v:textbox>
                </v:shape>
                <v:shape id="文本框 479" o:spid="_x0000_s1026" o:spt="202" type="#_x0000_t202" style="position:absolute;left:10538;top:2321650;height:447;width:1175;" fillcolor="#C6D9F1" filled="t" stroked="t" coordsize="21600,21600" o:gfxdata="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d52O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53B0B838">
                        <w:pPr>
                          <w:pStyle w:val="19"/>
                          <w:rPr>
                            <w:rFonts w:ascii="幼圆" w:eastAsia="幼圆"/>
                            <w:szCs w:val="21"/>
                          </w:rPr>
                        </w:pPr>
                        <w:r>
                          <w:rPr>
                            <w:rFonts w:hint="eastAsia"/>
                          </w:rPr>
                          <w:t>灌木</w:t>
                        </w:r>
                        <w:r>
                          <w:rPr>
                            <w:rFonts w:hint="eastAsia" w:ascii="幼圆" w:eastAsia="幼圆"/>
                            <w:szCs w:val="21"/>
                          </w:rPr>
                          <w:t>栽植</w:t>
                        </w:r>
                      </w:p>
                    </w:txbxContent>
                  </v:textbox>
                </v:shape>
                <v:shape id="文本框 480" o:spid="_x0000_s1026" o:spt="202" type="#_x0000_t202" style="position:absolute;left:10538;top:2322600;height:447;width:1192;" fillcolor="#C6D9F1" filled="t" stroked="t" coordsize="21600,21600" o:gfxdata="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RQvi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38FE6A42">
                        <w:pPr>
                          <w:pStyle w:val="19"/>
                          <w:rPr>
                            <w:rFonts w:ascii="幼圆" w:eastAsia="幼圆"/>
                            <w:szCs w:val="21"/>
                          </w:rPr>
                        </w:pPr>
                        <w:r>
                          <w:rPr>
                            <w:rFonts w:hint="eastAsia" w:ascii="幼圆" w:eastAsia="幼圆"/>
                            <w:szCs w:val="21"/>
                          </w:rPr>
                          <w:t>地被种植</w:t>
                        </w:r>
                      </w:p>
                    </w:txbxContent>
                  </v:textbox>
                </v:shape>
                <v:shape id="文本框 481" o:spid="_x0000_s1026" o:spt="202" type="#_x0000_t202" style="position:absolute;left:10538;top:2323531;height:447;width:1175;" fillcolor="#C6D9F1" filled="t" stroked="t" coordsize="21600,21600" o:gfxdata="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fO1oq/&#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8.02976377952756pt,0.00519685039370079pt,8.02976377952756pt,0.00519685039370079pt">
                    <w:txbxContent>
                      <w:p w14:paraId="5CC0DF4F">
                        <w:pPr>
                          <w:pStyle w:val="19"/>
                          <w:rPr>
                            <w:rFonts w:ascii="幼圆" w:eastAsia="幼圆"/>
                            <w:szCs w:val="21"/>
                          </w:rPr>
                        </w:pPr>
                        <w:r>
                          <w:rPr>
                            <w:rFonts w:hint="eastAsia" w:ascii="幼圆" w:eastAsia="幼圆"/>
                            <w:szCs w:val="21"/>
                          </w:rPr>
                          <w:t>草坪喷播</w:t>
                        </w:r>
                      </w:p>
                    </w:txbxContent>
                  </v:textbox>
                </v:shape>
                <v:shape id="文本框 482" o:spid="_x0000_s1026" o:spt="202" type="#_x0000_t202" style="position:absolute;left:8114;top:2320792;height:390;width:1211;" fillcolor="#C6D9F1" filled="t" stroked="t" coordsize="21600,21600" o:gfxdata="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gnMR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8.02976377952756pt,0.00519685039370079pt,8.02976377952756pt,0.00519685039370079pt">
                    <w:txbxContent>
                      <w:p w14:paraId="1ACE9DE8">
                        <w:pPr>
                          <w:pStyle w:val="19"/>
                          <w:rPr>
                            <w:rFonts w:ascii="幼圆" w:eastAsia="幼圆"/>
                            <w:szCs w:val="21"/>
                          </w:rPr>
                        </w:pPr>
                        <w:r>
                          <w:rPr>
                            <w:rFonts w:hint="eastAsia"/>
                          </w:rPr>
                          <w:t>支撑</w:t>
                        </w:r>
                        <w:r>
                          <w:rPr>
                            <w:rFonts w:hint="eastAsia" w:ascii="幼圆" w:eastAsia="幼圆"/>
                            <w:szCs w:val="21"/>
                          </w:rPr>
                          <w:t>绑扎</w:t>
                        </w:r>
                      </w:p>
                    </w:txbxContent>
                  </v:textbox>
                </v:shape>
                <v:shape id="文本框 483" o:spid="_x0000_s1026" o:spt="202" type="#_x0000_t202" style="position:absolute;left:8114;top:2322115;height:390;width:1211;" fillcolor="#C6D9F1" filled="t" stroked="t" coordsize="21600,21600" o:gfxdata="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9QQMb4A&#10;AADd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8.02976377952756pt,0.00519685039370079pt,8.02976377952756pt,0.00519685039370079pt">
                    <w:txbxContent>
                      <w:p w14:paraId="3C1023FC">
                        <w:pPr>
                          <w:pStyle w:val="19"/>
                          <w:rPr>
                            <w:rFonts w:ascii="幼圆" w:eastAsia="幼圆"/>
                            <w:szCs w:val="21"/>
                          </w:rPr>
                        </w:pPr>
                        <w:r>
                          <w:rPr>
                            <w:rFonts w:hint="eastAsia"/>
                          </w:rPr>
                          <w:t>苗木</w:t>
                        </w:r>
                        <w:r>
                          <w:rPr>
                            <w:rFonts w:hint="eastAsia" w:ascii="幼圆" w:eastAsia="幼圆"/>
                            <w:szCs w:val="21"/>
                          </w:rPr>
                          <w:t>管养</w:t>
                        </w:r>
                      </w:p>
                    </w:txbxContent>
                  </v:textbox>
                </v:shape>
                <v:shape id="文本框 484" o:spid="_x0000_s1026" o:spt="202" type="#_x0000_t202" style="position:absolute;left:10538;top:2325265;height:447;width:1342;" fillcolor="#C6D9F1" filled="t" stroked="t" coordsize="21600,21600" o:gfxdata="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i1qr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8.02976377952756pt,0.00519685039370079pt,8.02976377952756pt,0.00519685039370079pt">
                    <w:txbxContent>
                      <w:p w14:paraId="7A86D1F2">
                        <w:pPr>
                          <w:pStyle w:val="19"/>
                          <w:rPr>
                            <w:rFonts w:ascii="幼圆" w:eastAsia="幼圆"/>
                            <w:szCs w:val="21"/>
                          </w:rPr>
                        </w:pPr>
                        <w:r>
                          <w:rPr>
                            <w:rFonts w:hint="eastAsia" w:ascii="幼圆" w:eastAsia="幼圆"/>
                            <w:szCs w:val="21"/>
                          </w:rPr>
                          <w:t>竣工验收</w:t>
                        </w:r>
                      </w:p>
                    </w:txbxContent>
                  </v:textbox>
                </v:shape>
                <v:shape id="文本框 485" o:spid="_x0000_s1026" o:spt="202" type="#_x0000_t202" style="position:absolute;left:10538;top:2324390;height:447;width:1175;" fillcolor="#C6D9F1" filled="t" stroked="t" coordsize="21600,21600" o:gfxdata="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KK92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8.02976377952756pt,0.00519685039370079pt,8.02976377952756pt,0.00519685039370079pt">
                    <w:txbxContent>
                      <w:p w14:paraId="0488D0A7">
                        <w:pPr>
                          <w:pStyle w:val="19"/>
                          <w:rPr>
                            <w:rFonts w:ascii="幼圆" w:eastAsia="幼圆"/>
                            <w:szCs w:val="21"/>
                          </w:rPr>
                        </w:pPr>
                        <w:r>
                          <w:rPr>
                            <w:rFonts w:hint="eastAsia" w:ascii="幼圆" w:eastAsia="幼圆"/>
                            <w:szCs w:val="21"/>
                          </w:rPr>
                          <w:t>现场清理</w:t>
                        </w:r>
                      </w:p>
                    </w:txbxContent>
                  </v:textbox>
                </v:shape>
                <v:line id="直线 486" o:spid="_x0000_s1026" o:spt="20" style="position:absolute;left:11060;top:2317586;height:390;width:0;" filled="f" stroked="t" coordsize="21600,21600" o:gfxdata="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6jACL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87" o:spid="_x0000_s1026" o:spt="20" style="position:absolute;left:11060;top:2320122;height:522;width:0;" filled="f" stroked="t" coordsize="21600,21600" o:gfxdata="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FYfL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88" o:spid="_x0000_s1026" o:spt="20" style="position:absolute;left:11060;top:2319189;height:390;width:0;" filled="f" stroked="t" coordsize="21600,21600" o:gfxdata="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395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89" o:spid="_x0000_s1026" o:spt="20" style="position:absolute;left:11060;top:2318387;height:372;width:0;" filled="f" stroked="t" coordsize="21600,21600" o:gfxdata="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Y5C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90" o:spid="_x0000_s1026" o:spt="20" style="position:absolute;left:11060;top:2324837;height:484;width:0;" filled="f" stroked="t" coordsize="21600,21600" o:gfxdata="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JPGC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91" o:spid="_x0000_s1026" o:spt="20" style="position:absolute;left:11060;top:2323980;height:390;width:0;" filled="f" stroked="t" coordsize="21600,21600" o:gfxdata="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DFJ5&#10;wAAAAN0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492" o:spid="_x0000_s1026" o:spt="20" style="position:absolute;left:11060;top:2323047;height:390;width:0;" filled="f" stroked="t" coordsize="21600,21600" o:gfxdata="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kD34r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93" o:spid="_x0000_s1026" o:spt="20" style="position:absolute;left:11060;top:2322115;height:390;width:0;" filled="f" stroked="t" coordsize="21600,21600" o:gfxdata="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o8ii&#10;wAAAAN0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494" o:spid="_x0000_s1026" o:spt="20" style="position:absolute;left:11060;top:2321183;height:390;width:0;" filled="f" stroked="t" coordsize="21600,21600" o:gfxdata="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9tOb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495" o:spid="_x0000_s1026" o:spt="20" style="position:absolute;left:9979;top:2321053;flip:x;height:0;width:540;" filled="f" stroked="t" coordsize="21600,21600" o:gfxdata="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29GGm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96" o:spid="_x0000_s1026" o:spt="20" style="position:absolute;left:9979;top:2321984;flip:x;height:0;width:540;" filled="f" stroked="t" coordsize="21600,21600" o:gfxdata="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xvfK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97" o:spid="_x0000_s1026" o:spt="20" style="position:absolute;left:9979;top:2322916;flip:x;height:0;width:540;" filled="f" stroked="t" coordsize="21600,21600" o:gfxdata="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0YJYa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98" o:spid="_x0000_s1026" o:spt="20" style="position:absolute;left:9979;top:2323848;flip:x;height:0;width:540;" filled="f" stroked="t" coordsize="21600,21600" o:gfxdata="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JUgB2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499" o:spid="_x0000_s1026" o:spt="20" style="position:absolute;left:9979;top:2321053;height:2796;width:0;" filled="f" stroked="t" coordsize="21600,21600" o:gfxdata="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gb1Tb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0" o:spid="_x0000_s1026" o:spt="20" style="position:absolute;left:9306;top:2320923;flip:x;height:0;width:1211;" filled="f" stroked="t" coordsize="21600,21600" o:gfxdata="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3Ku/G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501" o:spid="_x0000_s1026" o:spt="20" style="position:absolute;left:9306;top:2322394;flip:x;height:0;width:653;" filled="f" stroked="t" coordsize="21600,21600" o:gfxdata="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FUvg74A&#10;AADd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w10:wrap type="square"/>
              </v:group>
            </w:pict>
          </mc:Fallback>
        </mc:AlternateContent>
      </w:r>
    </w:p>
    <w:p w14:paraId="31402D53">
      <w:pPr>
        <w:ind w:firstLine="480"/>
        <w:rPr>
          <w:highlight w:val="none"/>
        </w:rPr>
      </w:pPr>
    </w:p>
    <w:p w14:paraId="66F6FC4C">
      <w:pPr>
        <w:pStyle w:val="22"/>
        <w:rPr>
          <w:highlight w:val="none"/>
        </w:rPr>
      </w:pPr>
    </w:p>
    <w:p w14:paraId="102A305B">
      <w:pPr>
        <w:rPr>
          <w:highlight w:val="none"/>
        </w:rPr>
      </w:pPr>
    </w:p>
    <w:p w14:paraId="0E160C28">
      <w:pPr>
        <w:pStyle w:val="22"/>
      </w:pPr>
    </w:p>
    <w:p w14:paraId="6DF1D93B"/>
    <w:p w14:paraId="2C536E42">
      <w:pPr>
        <w:pStyle w:val="22"/>
      </w:pPr>
      <w:r>
        <mc:AlternateContent>
          <mc:Choice Requires="wps">
            <w:drawing>
              <wp:anchor distT="0" distB="0" distL="114300" distR="114300" simplePos="0" relativeHeight="251673600" behindDoc="0" locked="0" layoutInCell="1" allowOverlap="1">
                <wp:simplePos x="0" y="0"/>
                <wp:positionH relativeFrom="column">
                  <wp:posOffset>-568960</wp:posOffset>
                </wp:positionH>
                <wp:positionV relativeFrom="paragraph">
                  <wp:posOffset>20320</wp:posOffset>
                </wp:positionV>
                <wp:extent cx="772160" cy="253365"/>
                <wp:effectExtent l="4445" t="4445" r="15875" b="16510"/>
                <wp:wrapNone/>
                <wp:docPr id="1040" name="文本框 405"/>
                <wp:cNvGraphicFramePr/>
                <a:graphic xmlns:a="http://schemas.openxmlformats.org/drawingml/2006/main">
                  <a:graphicData uri="http://schemas.microsoft.com/office/word/2010/wordprocessingShape">
                    <wps:wsp>
                      <wps:cNvSpPr txBox="1"/>
                      <wps:spPr>
                        <a:xfrm>
                          <a:off x="0" y="0"/>
                          <a:ext cx="772160" cy="25336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5C4FE248">
                            <w:pPr>
                              <w:pStyle w:val="19"/>
                              <w:rPr>
                                <w:rFonts w:ascii="幼圆" w:eastAsia="幼圆"/>
                                <w:szCs w:val="21"/>
                              </w:rPr>
                            </w:pPr>
                            <w:r>
                              <w:rPr>
                                <w:rFonts w:hint="eastAsia"/>
                              </w:rPr>
                              <w:t>小苗</w:t>
                            </w:r>
                            <w:r>
                              <w:rPr>
                                <w:rFonts w:hint="eastAsia" w:ascii="幼圆" w:eastAsia="幼圆"/>
                                <w:szCs w:val="21"/>
                              </w:rPr>
                              <w:t>包装</w:t>
                            </w:r>
                          </w:p>
                        </w:txbxContent>
                      </wps:txbx>
                      <wps:bodyPr lIns="101978" tIns="66" rIns="101978" bIns="66" upright="1"/>
                    </wps:wsp>
                  </a:graphicData>
                </a:graphic>
              </wp:anchor>
            </w:drawing>
          </mc:Choice>
          <mc:Fallback>
            <w:pict>
              <v:shape id="文本框 405" o:spid="_x0000_s1026" o:spt="202" type="#_x0000_t202" style="position:absolute;left:0pt;margin-left:-44.8pt;margin-top:1.6pt;height:19.95pt;width:60.8pt;z-index:251673600;mso-width-relative:page;mso-height-relative:page;" fillcolor="#FFFFFF" filled="t" stroked="t" coordsize="21600,21600" o:gfxdata="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RQNpRdYAAAAHAQAADwAAAAAAAAABACAAAAAiAAAAZHJzL2Rvd25yZXYueG1sUEsBAhQAFAAAAAgA&#10;h07iQLYPKc8nAgAAagQAAA4AAAAAAAAAAQAgAAAAJQEAAGRycy9lMm9Eb2MueG1sUEsFBgAAAAAG&#10;AAYAWQEAAL4FAAAAAA==&#10;">
                <v:fill on="t" focussize="0,0"/>
                <v:stroke weight="0.25pt" color="#000000" joinstyle="miter"/>
                <v:imagedata o:title=""/>
                <o:lock v:ext="edit" aspectratio="f"/>
                <v:textbox inset="8.02976377952756pt,0.00519685039370079pt,8.02976377952756pt,0.00519685039370079pt">
                  <w:txbxContent>
                    <w:p w14:paraId="5C4FE248">
                      <w:pPr>
                        <w:pStyle w:val="19"/>
                        <w:rPr>
                          <w:rFonts w:ascii="幼圆" w:eastAsia="幼圆"/>
                          <w:szCs w:val="21"/>
                        </w:rPr>
                      </w:pPr>
                      <w:r>
                        <w:rPr>
                          <w:rFonts w:hint="eastAsia"/>
                        </w:rPr>
                        <w:t>小苗</w:t>
                      </w:r>
                      <w:r>
                        <w:rPr>
                          <w:rFonts w:hint="eastAsia" w:ascii="幼圆" w:eastAsia="幼圆"/>
                          <w:szCs w:val="21"/>
                        </w:rPr>
                        <w:t>包装</w:t>
                      </w:r>
                    </w:p>
                  </w:txbxContent>
                </v:textbox>
              </v:shape>
            </w:pict>
          </mc:Fallback>
        </mc:AlternateContent>
      </w:r>
    </w:p>
    <w:p w14:paraId="6D15FB7B"/>
    <w:p w14:paraId="1F248C0B">
      <w:pPr>
        <w:pStyle w:val="22"/>
      </w:pPr>
    </w:p>
    <w:p w14:paraId="1A12AC83"/>
    <w:p w14:paraId="4F5CEFE5"/>
    <w:p w14:paraId="5504ED39">
      <w:pPr>
        <w:ind w:left="0" w:leftChars="0" w:firstLine="0" w:firstLineChars="0"/>
      </w:pPr>
    </w:p>
    <w:p w14:paraId="511B7FB0">
      <w:pPr>
        <w:pStyle w:val="14"/>
        <w:bidi w:val="0"/>
        <w:rPr>
          <w:rFonts w:hint="default"/>
          <w:lang w:val="en-US" w:eastAsia="zh-CN"/>
        </w:rPr>
      </w:pPr>
      <w:bookmarkStart w:id="1390" w:name="_Toc4600"/>
      <w:bookmarkStart w:id="1391" w:name="_Toc1533"/>
      <w:bookmarkStart w:id="1392" w:name="_Toc21794"/>
      <w:bookmarkStart w:id="1393" w:name="_Toc8387"/>
    </w:p>
    <w:p w14:paraId="214171CF">
      <w:pPr>
        <w:pStyle w:val="14"/>
        <w:bidi w:val="0"/>
        <w:rPr>
          <w:rFonts w:hint="default"/>
          <w:lang w:val="en-US" w:eastAsia="zh-CN"/>
        </w:rPr>
      </w:pPr>
    </w:p>
    <w:p w14:paraId="6B05BD04">
      <w:pPr>
        <w:pStyle w:val="14"/>
        <w:bidi w:val="0"/>
        <w:rPr>
          <w:rFonts w:hint="default"/>
          <w:lang w:val="en-US" w:eastAsia="zh-CN"/>
        </w:rPr>
      </w:pPr>
    </w:p>
    <w:p w14:paraId="58384F00">
      <w:pPr>
        <w:pStyle w:val="14"/>
        <w:bidi w:val="0"/>
        <w:rPr>
          <w:rFonts w:hint="default"/>
          <w:lang w:val="en-US" w:eastAsia="zh-CN"/>
        </w:rPr>
      </w:pPr>
    </w:p>
    <w:p w14:paraId="498E0D16">
      <w:pPr>
        <w:pStyle w:val="14"/>
        <w:bidi w:val="0"/>
        <w:rPr>
          <w:rFonts w:hint="eastAsia"/>
          <w:b/>
          <w:bCs/>
          <w:lang w:val="en-US" w:eastAsia="zh-CN"/>
        </w:rPr>
      </w:pPr>
    </w:p>
    <w:p w14:paraId="54D7851B">
      <w:pPr>
        <w:pStyle w:val="14"/>
        <w:bidi w:val="0"/>
        <w:rPr>
          <w:rFonts w:hint="eastAsia"/>
          <w:b/>
          <w:bCs/>
        </w:rPr>
      </w:pPr>
      <w:r>
        <w:rPr>
          <w:rFonts w:hint="eastAsia"/>
          <w:b/>
          <w:bCs/>
        </w:rPr>
        <mc:AlternateContent>
          <mc:Choice Requires="wps">
            <w:drawing>
              <wp:anchor distT="0" distB="0" distL="114300" distR="114300" simplePos="0" relativeHeight="251660288" behindDoc="0" locked="0" layoutInCell="1" allowOverlap="1">
                <wp:simplePos x="0" y="0"/>
                <wp:positionH relativeFrom="column">
                  <wp:posOffset>4146550</wp:posOffset>
                </wp:positionH>
                <wp:positionV relativeFrom="paragraph">
                  <wp:posOffset>2018030</wp:posOffset>
                </wp:positionV>
                <wp:extent cx="635" cy="84455"/>
                <wp:effectExtent l="4445" t="0" r="10160" b="6985"/>
                <wp:wrapNone/>
                <wp:docPr id="327" name="直线 428"/>
                <wp:cNvGraphicFramePr/>
                <a:graphic xmlns:a="http://schemas.openxmlformats.org/drawingml/2006/main">
                  <a:graphicData uri="http://schemas.microsoft.com/office/word/2010/wordprocessingShape">
                    <wps:wsp>
                      <wps:cNvCnPr/>
                      <wps:spPr>
                        <a:xfrm>
                          <a:off x="0" y="0"/>
                          <a:ext cx="635" cy="84455"/>
                        </a:xfrm>
                        <a:prstGeom prst="line">
                          <a:avLst/>
                        </a:prstGeom>
                        <a:ln w="3175" cap="flat" cmpd="sng">
                          <a:solidFill>
                            <a:srgbClr val="000000"/>
                          </a:solidFill>
                          <a:prstDash val="solid"/>
                          <a:headEnd type="none" w="med" len="med"/>
                          <a:tailEnd type="none" w="med" len="med"/>
                        </a:ln>
                      </wps:spPr>
                      <wps:bodyPr upright="1"/>
                    </wps:wsp>
                  </a:graphicData>
                </a:graphic>
              </wp:anchor>
            </w:drawing>
          </mc:Choice>
          <mc:Fallback>
            <w:pict>
              <v:line id="直线 428" o:spid="_x0000_s1026" o:spt="20" style="position:absolute;left:0pt;margin-left:326.5pt;margin-top:158.9pt;height:6.65pt;width:0.05pt;z-index:251660288;mso-width-relative:page;mso-height-relative:page;" filled="f" stroked="t" coordsize="21600,21600" o:gfxdata="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ShzW/dkAAAALAQAADwAAAAAAAAABACAAAAAiAAAAZHJzL2Rvd25yZXYueG1sUEsBAhQAFAAAAAgA&#10;h07iQKluYqjrAQAA3wMAAA4AAAAAAAAAAQAgAAAAKAEAAGRycy9lMm9Eb2MueG1sUEsFBgAAAAAG&#10;AAYAWQEAAIUFAAAAAA==&#10;">
                <v:fill on="f" focussize="0,0"/>
                <v:stroke weight="0.25pt" color="#000000" joinstyle="round"/>
                <v:imagedata o:title=""/>
                <o:lock v:ext="edit" aspectratio="f"/>
              </v:line>
            </w:pict>
          </mc:Fallback>
        </mc:AlternateContent>
      </w:r>
      <w:r>
        <w:rPr>
          <w:rFonts w:hint="eastAsia"/>
          <w:b/>
          <w:bCs/>
          <w:lang w:val="en-US" w:eastAsia="zh-CN"/>
        </w:rPr>
        <w:t>2、</w:t>
      </w:r>
      <w:r>
        <w:rPr>
          <w:rFonts w:hint="eastAsia"/>
          <w:b/>
          <w:bCs/>
        </w:rPr>
        <w:t>绿化地形整理</w:t>
      </w:r>
      <w:bookmarkEnd w:id="1386"/>
      <w:bookmarkEnd w:id="1387"/>
      <w:bookmarkEnd w:id="1388"/>
      <w:bookmarkEnd w:id="1389"/>
      <w:bookmarkEnd w:id="1390"/>
      <w:bookmarkEnd w:id="1391"/>
      <w:bookmarkEnd w:id="1392"/>
      <w:bookmarkEnd w:id="1393"/>
    </w:p>
    <w:p w14:paraId="0A44097F">
      <w:pPr>
        <w:ind w:firstLine="480"/>
        <w:rPr>
          <w:rFonts w:hint="eastAsia" w:ascii="宋体" w:hAnsi="宋体" w:eastAsia="宋体" w:cs="宋体"/>
        </w:rPr>
      </w:pPr>
      <w:r>
        <w:rPr>
          <w:rFonts w:hint="eastAsia" w:ascii="宋体" w:hAnsi="宋体" w:eastAsia="宋体" w:cs="宋体"/>
        </w:rPr>
        <w:t>根据建设方提供的施工场地，对照设计施工图进行场地细整。</w:t>
      </w:r>
    </w:p>
    <w:p w14:paraId="2659CD3C">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1</w:t>
      </w:r>
      <w:r>
        <w:rPr>
          <w:rFonts w:hint="eastAsia" w:ascii="宋体" w:hAnsi="宋体" w:cs="宋体"/>
          <w:lang w:eastAsia="zh-CN"/>
        </w:rPr>
        <w:t>）</w:t>
      </w:r>
      <w:r>
        <w:rPr>
          <w:rFonts w:hint="eastAsia" w:ascii="宋体" w:hAnsi="宋体" w:eastAsia="宋体" w:cs="宋体"/>
        </w:rPr>
        <w:t>地形要求，应使整个地形的坡面曲线保持排水通畅，堆筑地形时，根据放样标高，由里向外施工，边造型，边压实，施工过程中始终把握地形骨架，翻松辗压板结土，机械设备不得在栽植表层土上施工。</w:t>
      </w:r>
    </w:p>
    <w:p w14:paraId="02602B1F">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2</w:t>
      </w:r>
      <w:r>
        <w:rPr>
          <w:rFonts w:hint="eastAsia" w:ascii="宋体" w:hAnsi="宋体" w:cs="宋体"/>
          <w:lang w:eastAsia="zh-CN"/>
        </w:rPr>
        <w:t>）</w:t>
      </w:r>
      <w:r>
        <w:rPr>
          <w:rFonts w:hint="eastAsia" w:ascii="宋体" w:hAnsi="宋体" w:eastAsia="宋体" w:cs="宋体"/>
        </w:rPr>
        <w:t>微地形粗整形完成后，人工细做覆盖面层，保持表面土质疏松，并清理杂物。人工平整时从边缘逐步向中间收拢，使整个地形坡面曲线和顺、排水通畅。回填土的含水率应控制在23%左右，不允许含有粒径超过10cm的石块，雨天停止作业，雨后及时修整和拍实边坡。若施工场地有垃圾、渣土、建筑垃圾等要进行清理。</w:t>
      </w:r>
    </w:p>
    <w:p w14:paraId="7B71072D">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3</w:t>
      </w:r>
      <w:r>
        <w:rPr>
          <w:rFonts w:hint="eastAsia" w:ascii="宋体" w:hAnsi="宋体" w:cs="宋体"/>
          <w:lang w:eastAsia="zh-CN"/>
        </w:rPr>
        <w:t>）</w:t>
      </w:r>
      <w:r>
        <w:rPr>
          <w:rFonts w:hint="eastAsia" w:ascii="宋体" w:hAnsi="宋体" w:eastAsia="宋体" w:cs="宋体"/>
        </w:rPr>
        <w:t>必须使场地与四周道路的标高合理衔接，使绿地排水通畅。</w:t>
      </w:r>
    </w:p>
    <w:p w14:paraId="579E6BE3">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4</w:t>
      </w:r>
      <w:r>
        <w:rPr>
          <w:rFonts w:hint="eastAsia" w:ascii="宋体" w:hAnsi="宋体" w:cs="宋体"/>
          <w:lang w:eastAsia="zh-CN"/>
        </w:rPr>
        <w:t>）</w:t>
      </w:r>
      <w:r>
        <w:rPr>
          <w:rFonts w:hint="eastAsia" w:ascii="宋体" w:hAnsi="宋体" w:eastAsia="宋体" w:cs="宋体"/>
        </w:rPr>
        <w:t>种植场地种植土最低厚度必须符合要求。</w:t>
      </w:r>
    </w:p>
    <w:p w14:paraId="2C32A15D">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5</w:t>
      </w:r>
      <w:r>
        <w:rPr>
          <w:rFonts w:hint="eastAsia" w:ascii="宋体" w:hAnsi="宋体" w:cs="宋体"/>
          <w:lang w:eastAsia="zh-CN"/>
        </w:rPr>
        <w:t>）</w:t>
      </w:r>
      <w:r>
        <w:rPr>
          <w:rFonts w:hint="eastAsia" w:ascii="宋体" w:hAnsi="宋体" w:eastAsia="宋体" w:cs="宋体"/>
        </w:rPr>
        <w:t>对场地进行翻挖、松土、对杂草需用锄头、铁锹连根拔除、杂草很多时用除草剂进行消除，以符合植物和设计要求。</w:t>
      </w:r>
    </w:p>
    <w:p w14:paraId="69483BE4">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6</w:t>
      </w:r>
      <w:r>
        <w:rPr>
          <w:rFonts w:hint="eastAsia" w:ascii="宋体" w:hAnsi="宋体" w:cs="宋体"/>
          <w:lang w:eastAsia="zh-CN"/>
        </w:rPr>
        <w:t>）</w:t>
      </w:r>
      <w:r>
        <w:rPr>
          <w:rFonts w:hint="eastAsia" w:ascii="宋体" w:hAnsi="宋体" w:eastAsia="宋体" w:cs="宋体"/>
        </w:rPr>
        <w:t>如果用机械整理地形，应事先与建设单位或相关单位联系，了解是否有地下管线，以免机械施工时造成管线的损坏。</w:t>
      </w:r>
    </w:p>
    <w:p w14:paraId="5DEED6B6">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7</w:t>
      </w:r>
      <w:r>
        <w:rPr>
          <w:rFonts w:hint="eastAsia" w:ascii="宋体" w:hAnsi="宋体" w:cs="宋体"/>
          <w:lang w:eastAsia="zh-CN"/>
        </w:rPr>
        <w:t>）</w:t>
      </w:r>
      <w:r>
        <w:rPr>
          <w:rFonts w:hint="eastAsia" w:ascii="宋体" w:hAnsi="宋体" w:eastAsia="宋体" w:cs="宋体"/>
        </w:rPr>
        <w:t>场地整理时应考虑土壤的压实程度与设计标高的关系，土壤压实后密实度达80%以上，以免种植后，淋水下陷厉害造成场地不平整。</w:t>
      </w:r>
    </w:p>
    <w:p w14:paraId="6D9FBB2D">
      <w:pPr>
        <w:ind w:firstLine="480"/>
        <w:rPr>
          <w:rFonts w:hint="eastAsia" w:ascii="宋体" w:hAnsi="宋体" w:eastAsia="宋体" w:cs="宋体"/>
        </w:rPr>
      </w:pPr>
      <w:r>
        <w:rPr>
          <w:rFonts w:hint="eastAsia" w:ascii="宋体" w:hAnsi="宋体" w:cs="宋体"/>
          <w:lang w:eastAsia="zh-CN"/>
        </w:rPr>
        <w:t>（</w:t>
      </w:r>
      <w:r>
        <w:rPr>
          <w:rFonts w:hint="eastAsia" w:ascii="宋体" w:hAnsi="宋体" w:cs="宋体"/>
          <w:lang w:val="en-US" w:eastAsia="zh-CN"/>
        </w:rPr>
        <w:t>8</w:t>
      </w:r>
      <w:r>
        <w:rPr>
          <w:rFonts w:hint="eastAsia" w:ascii="宋体" w:hAnsi="宋体" w:cs="宋体"/>
          <w:lang w:eastAsia="zh-CN"/>
        </w:rPr>
        <w:t>）</w:t>
      </w:r>
      <w:r>
        <w:rPr>
          <w:rFonts w:hint="eastAsia" w:ascii="宋体" w:hAnsi="宋体" w:eastAsia="宋体" w:cs="宋体"/>
        </w:rPr>
        <w:t>其他要求</w:t>
      </w:r>
    </w:p>
    <w:p w14:paraId="18D21EE3">
      <w:pPr>
        <w:ind w:firstLine="480"/>
        <w:rPr>
          <w:rFonts w:hint="eastAsia" w:ascii="宋体" w:hAnsi="宋体" w:eastAsia="宋体" w:cs="宋体"/>
        </w:rPr>
      </w:pPr>
      <w:r>
        <w:rPr>
          <w:rFonts w:hint="eastAsia" w:ascii="宋体" w:hAnsi="宋体" w:eastAsia="宋体" w:cs="宋体"/>
        </w:rPr>
        <w:t>彻底清除建筑砖头、碎石、混凝土块、沥青等各种建筑和生活垃圾，清除杂草杂物。土壤外表要达到土粒细碎、疏松、无杂物。地形自然流畅，符合景观要求，坡度、坡向应符合排水要求，防止绿地内积水。</w:t>
      </w:r>
    </w:p>
    <w:p w14:paraId="75D07D92">
      <w:pPr>
        <w:pStyle w:val="14"/>
        <w:bidi w:val="0"/>
        <w:rPr>
          <w:rFonts w:hint="eastAsia" w:asciiTheme="minorEastAsia" w:hAnsiTheme="minorEastAsia" w:eastAsiaTheme="minorEastAsia" w:cstheme="minorEastAsia"/>
          <w:b/>
          <w:bCs/>
        </w:rPr>
      </w:pPr>
      <w:bookmarkStart w:id="1394" w:name="_Toc24999"/>
      <w:bookmarkStart w:id="1395" w:name="_Toc6229"/>
      <w:bookmarkStart w:id="1396" w:name="_Toc24825"/>
      <w:bookmarkStart w:id="1397" w:name="_Toc31270"/>
      <w:bookmarkStart w:id="1398" w:name="_Toc26603"/>
      <w:bookmarkStart w:id="1399" w:name="_Toc23637"/>
      <w:bookmarkStart w:id="1400" w:name="_Toc9059"/>
      <w:bookmarkStart w:id="1401" w:name="_Toc3881"/>
      <w:r>
        <w:rPr>
          <w:rFonts w:hint="eastAsia" w:asciiTheme="minorEastAsia" w:hAnsiTheme="minorEastAsia" w:eastAsiaTheme="minorEastAsia" w:cstheme="minorEastAsia"/>
          <w:b/>
          <w:bCs/>
          <w:lang w:val="en-US" w:eastAsia="zh-CN"/>
        </w:rPr>
        <w:t>3.</w:t>
      </w:r>
      <w:r>
        <w:rPr>
          <w:rFonts w:hint="eastAsia" w:asciiTheme="minorEastAsia" w:hAnsiTheme="minorEastAsia" w:eastAsiaTheme="minorEastAsia" w:cstheme="minorEastAsia"/>
          <w:b/>
          <w:bCs/>
        </w:rPr>
        <w:t>绿化栽植</w:t>
      </w:r>
      <w:bookmarkEnd w:id="1394"/>
      <w:bookmarkEnd w:id="1395"/>
      <w:bookmarkEnd w:id="1396"/>
      <w:bookmarkEnd w:id="1397"/>
      <w:bookmarkEnd w:id="1398"/>
      <w:bookmarkEnd w:id="1399"/>
      <w:bookmarkEnd w:id="1400"/>
      <w:bookmarkEnd w:id="1401"/>
    </w:p>
    <w:p w14:paraId="57DF7F5A">
      <w:pPr>
        <w:ind w:firstLine="480"/>
        <w:rPr>
          <w:rFonts w:hint="eastAsia" w:ascii="宋体" w:hAnsi="宋体" w:eastAsia="宋体" w:cs="宋体"/>
        </w:rPr>
      </w:pPr>
      <w:r>
        <w:rPr>
          <w:rFonts w:hint="eastAsia" w:ascii="宋体" w:hAnsi="宋体" w:eastAsia="宋体" w:cs="宋体"/>
        </w:rPr>
        <w:t>土壤改良工作完成后，达到绿化施工条件。</w:t>
      </w:r>
    </w:p>
    <w:p w14:paraId="3ECDF57A">
      <w:pPr>
        <w:ind w:firstLine="480"/>
        <w:rPr>
          <w:rFonts w:hint="eastAsia" w:ascii="宋体" w:hAnsi="宋体" w:eastAsia="宋体" w:cs="宋体"/>
        </w:rPr>
      </w:pPr>
      <w:r>
        <w:rPr>
          <w:rFonts w:hint="eastAsia" w:ascii="宋体" w:hAnsi="宋体" w:eastAsia="宋体" w:cs="宋体"/>
        </w:rPr>
        <w:t>一、绿化苗木种植</w:t>
      </w:r>
    </w:p>
    <w:p w14:paraId="60017529">
      <w:pPr>
        <w:ind w:firstLine="480"/>
        <w:rPr>
          <w:rFonts w:hint="eastAsia" w:ascii="宋体" w:hAnsi="宋体" w:eastAsia="宋体" w:cs="宋体"/>
        </w:rPr>
      </w:pPr>
      <w:r>
        <w:rPr>
          <w:rFonts w:hint="eastAsia" w:ascii="宋体" w:hAnsi="宋体" w:eastAsia="宋体" w:cs="宋体"/>
        </w:rPr>
        <w:t>1、栽植前准备</w:t>
      </w:r>
    </w:p>
    <w:p w14:paraId="25BC4B83">
      <w:pPr>
        <w:ind w:firstLine="480"/>
        <w:rPr>
          <w:rFonts w:hint="eastAsia" w:ascii="宋体" w:hAnsi="宋体" w:eastAsia="宋体" w:cs="宋体"/>
        </w:rPr>
      </w:pPr>
      <w:r>
        <w:rPr>
          <w:rFonts w:hint="eastAsia" w:ascii="宋体" w:hAnsi="宋体" w:eastAsia="宋体" w:cs="宋体"/>
        </w:rPr>
        <w:t>（1）明确设计意图和施工任务量</w:t>
      </w:r>
    </w:p>
    <w:p w14:paraId="5B9DE3F3">
      <w:pPr>
        <w:ind w:firstLine="480"/>
        <w:rPr>
          <w:rFonts w:hint="eastAsia" w:ascii="宋体" w:hAnsi="宋体" w:eastAsia="宋体" w:cs="宋体"/>
        </w:rPr>
      </w:pPr>
      <w:r>
        <w:rPr>
          <w:rFonts w:hint="eastAsia" w:ascii="宋体" w:hAnsi="宋体" w:eastAsia="宋体" w:cs="宋体"/>
        </w:rPr>
        <w:t>2）施工现场准备</w:t>
      </w:r>
    </w:p>
    <w:p w14:paraId="51EA807C">
      <w:pPr>
        <w:ind w:firstLine="480"/>
        <w:rPr>
          <w:rFonts w:hint="eastAsia" w:ascii="宋体" w:hAnsi="宋体" w:eastAsia="宋体" w:cs="宋体"/>
        </w:rPr>
      </w:pPr>
      <w:r>
        <w:rPr>
          <w:rFonts w:hint="eastAsia" w:ascii="宋体" w:hAnsi="宋体" w:eastAsia="宋体" w:cs="宋体"/>
        </w:rPr>
        <w:t>若施工现场有垃圾、渣土、建筑垃圾等要进行清除，一些有碍施工的障碍物要进行拆迁和迁移，然后按照设计图纸进行地形整理，主要使其与四周道路、广场的标高合理衔接，使绿地排水通畅。如果用机械平整土地，则事先应了解是否有地下管线，以免机械施工时造成管线的损坏。</w:t>
      </w:r>
    </w:p>
    <w:p w14:paraId="03B71027">
      <w:pPr>
        <w:ind w:firstLine="480"/>
        <w:rPr>
          <w:rFonts w:hint="eastAsia" w:ascii="宋体" w:hAnsi="宋体" w:eastAsia="宋体" w:cs="宋体"/>
        </w:rPr>
      </w:pPr>
      <w:r>
        <w:rPr>
          <w:rFonts w:hint="eastAsia" w:ascii="宋体" w:hAnsi="宋体" w:eastAsia="宋体" w:cs="宋体"/>
        </w:rPr>
        <w:t>2、定点放线</w:t>
      </w:r>
    </w:p>
    <w:p w14:paraId="28BA0482">
      <w:pPr>
        <w:ind w:firstLine="480"/>
        <w:rPr>
          <w:rFonts w:hint="eastAsia" w:ascii="宋体" w:hAnsi="宋体" w:eastAsia="宋体" w:cs="宋体"/>
        </w:rPr>
      </w:pPr>
      <w:r>
        <w:rPr>
          <w:rFonts w:hint="eastAsia" w:ascii="宋体" w:hAnsi="宋体" w:eastAsia="宋体" w:cs="宋体"/>
        </w:rPr>
        <w:t>定点放线即是在现场测出苗木栽植位置和株行距，由于树木栽植方式各不相同，定位放线常用的有三种：1、自然式配置乔、灌木放线法；2、整形式（行列式）放线法；3、等距弧线放线法。考虑本次工程的特点，采用自然式配置乔、灌木放线法：</w:t>
      </w:r>
    </w:p>
    <w:p w14:paraId="7FEF06C5">
      <w:pPr>
        <w:ind w:firstLine="480"/>
        <w:rPr>
          <w:rFonts w:hint="eastAsia" w:ascii="宋体" w:hAnsi="宋体" w:eastAsia="宋体" w:cs="宋体"/>
        </w:rPr>
      </w:pPr>
      <w:r>
        <w:rPr>
          <w:rFonts w:hint="eastAsia" w:ascii="宋体" w:hAnsi="宋体" w:eastAsia="宋体" w:cs="宋体"/>
        </w:rPr>
        <w:t>1）坐标定点法</w:t>
      </w:r>
    </w:p>
    <w:p w14:paraId="7E44591E">
      <w:pPr>
        <w:ind w:firstLine="480"/>
        <w:rPr>
          <w:rFonts w:hint="eastAsia" w:ascii="宋体" w:hAnsi="宋体" w:eastAsia="宋体" w:cs="宋体"/>
        </w:rPr>
      </w:pPr>
      <w:r>
        <w:rPr>
          <w:rFonts w:hint="eastAsia" w:ascii="宋体" w:hAnsi="宋体" w:eastAsia="宋体" w:cs="宋体"/>
        </w:rPr>
        <w:t>根据植物配置的疏密度，先按一定的比例在设计图及现场分别打好方格，在图上用尺量出树木在某方格的纵横坐标尺寸，再按此位置用皮尺量在现场相应的方格内。</w:t>
      </w:r>
    </w:p>
    <w:p w14:paraId="32C88243">
      <w:pPr>
        <w:ind w:firstLine="480"/>
        <w:rPr>
          <w:rFonts w:hint="eastAsia" w:ascii="宋体" w:hAnsi="宋体" w:eastAsia="宋体" w:cs="宋体"/>
        </w:rPr>
      </w:pPr>
      <w:r>
        <w:rPr>
          <w:rFonts w:hint="eastAsia" w:ascii="宋体" w:hAnsi="宋体" w:eastAsia="宋体" w:cs="宋体"/>
        </w:rPr>
        <w:t>2）仪器测放法</w:t>
      </w:r>
    </w:p>
    <w:p w14:paraId="16A5E2B2">
      <w:pPr>
        <w:ind w:firstLine="480"/>
        <w:rPr>
          <w:rFonts w:hint="eastAsia" w:ascii="宋体" w:hAnsi="宋体" w:eastAsia="宋体" w:cs="宋体"/>
        </w:rPr>
      </w:pPr>
      <w:r>
        <w:rPr>
          <w:rFonts w:hint="eastAsia" w:ascii="宋体" w:hAnsi="宋体" w:eastAsia="宋体" w:cs="宋体"/>
        </w:rPr>
        <w:t>用经纬仪或小平板仪依据地上原有基点或建筑物、道路将树群或孤植树依照设计图上的位置依次定出每株的位置。</w:t>
      </w:r>
    </w:p>
    <w:p w14:paraId="258FD3AB">
      <w:pPr>
        <w:ind w:firstLine="480"/>
        <w:rPr>
          <w:rFonts w:hint="eastAsia" w:ascii="宋体" w:hAnsi="宋体" w:eastAsia="宋体" w:cs="宋体"/>
        </w:rPr>
      </w:pPr>
      <w:r>
        <w:rPr>
          <w:rFonts w:hint="eastAsia" w:ascii="宋体" w:hAnsi="宋体" w:eastAsia="宋体" w:cs="宋体"/>
        </w:rPr>
        <w:t>3、苗木准备</w:t>
      </w:r>
    </w:p>
    <w:p w14:paraId="63F0B865">
      <w:pPr>
        <w:ind w:firstLine="480"/>
        <w:rPr>
          <w:rFonts w:hint="eastAsia" w:ascii="宋体" w:hAnsi="宋体" w:eastAsia="宋体" w:cs="宋体"/>
        </w:rPr>
      </w:pPr>
      <w:r>
        <w:rPr>
          <w:rFonts w:hint="eastAsia" w:ascii="宋体" w:hAnsi="宋体" w:eastAsia="宋体" w:cs="宋体"/>
        </w:rPr>
        <w:t>苗木的选择，除了根据设计提出对规格和树形的要求外，要注意选择长势健旺、无病虫害、无机械损伤、树形端正、根系发达的苗木；尽量选用在育苗期内经过翻栽，根系集中在树蔸的苗木。苗木选好后，要挂牌或在根基部位划出明显标记，以免挖锚。起苗时间和栽植时间最好能紧密配合，做到随起随栽。为了挖掘方便，起苗前1～3天可适当浇水使泥土松软，对起裸根苗来说也便于多带宿土，少伤根系。起苗时，常绿苗应当带有完整的根团土球，土球散落的苗木成活率会降低。土球的大小一般可按树木胸径的10倍左右确定。对于特别难成活的树种要考虑加大土球。土球高度一般可比宽度少5～10cm。一般的落叶树苗也多带有土球，但在秋季起苗移栽时，也可裸根起苗。裸根苗木若运输距离比较远，需要在根蔸里填塞湿草，或在外包塑料薄膜保湿，以免根系失水过多，影响栽植成活率。为了减少树苗水分蒸腾，提高移栽成活率，掘苗后，装车前应进行粗略修剪。</w:t>
      </w:r>
    </w:p>
    <w:p w14:paraId="45C20141">
      <w:pPr>
        <w:ind w:firstLine="480"/>
        <w:rPr>
          <w:rFonts w:hint="eastAsia" w:ascii="宋体" w:hAnsi="宋体" w:eastAsia="宋体" w:cs="宋体"/>
        </w:rPr>
      </w:pPr>
      <w:r>
        <w:rPr>
          <w:rFonts w:hint="eastAsia" w:ascii="宋体" w:hAnsi="宋体" w:eastAsia="宋体" w:cs="宋体"/>
        </w:rPr>
        <w:t>4、苗木假植</w:t>
      </w:r>
    </w:p>
    <w:p w14:paraId="512919D3">
      <w:pPr>
        <w:ind w:firstLine="480"/>
        <w:rPr>
          <w:rFonts w:hint="eastAsia" w:ascii="宋体" w:hAnsi="宋体" w:eastAsia="宋体" w:cs="宋体"/>
        </w:rPr>
      </w:pPr>
      <w:r>
        <w:rPr>
          <w:rFonts w:hint="eastAsia" w:ascii="宋体" w:hAnsi="宋体" w:eastAsia="宋体" w:cs="宋体"/>
        </w:rPr>
        <w:t>凡是苗木运到后在几天以内不能按时栽种，或是栽种后苗木有剩余的，都要进行假植。所谓假植，就是暂时进行的栽植。假植有带土球栽植与裸根栽植两种情况。</w:t>
      </w:r>
    </w:p>
    <w:p w14:paraId="4178D0FF">
      <w:pPr>
        <w:ind w:firstLine="480"/>
        <w:rPr>
          <w:rFonts w:hint="eastAsia" w:ascii="宋体" w:hAnsi="宋体" w:eastAsia="宋体" w:cs="宋体"/>
        </w:rPr>
      </w:pPr>
      <w:r>
        <w:rPr>
          <w:rFonts w:hint="eastAsia" w:ascii="宋体" w:hAnsi="宋体" w:eastAsia="宋体" w:cs="宋体"/>
        </w:rPr>
        <w:t>1）带土球的苗木假植：栽植时，可将苗木的树冠捆扎收缩起来，使每一棵树苗都是土球</w:t>
      </w:r>
    </w:p>
    <w:p w14:paraId="4FCD8B27">
      <w:pPr>
        <w:ind w:firstLine="480"/>
        <w:rPr>
          <w:rFonts w:hint="eastAsia" w:ascii="宋体" w:hAnsi="宋体" w:eastAsia="宋体" w:cs="宋体"/>
        </w:rPr>
      </w:pPr>
      <w:r>
        <w:rPr>
          <w:rFonts w:hint="eastAsia" w:ascii="宋体" w:hAnsi="宋体" w:eastAsia="宋体" w:cs="宋体"/>
        </w:rPr>
        <w:t>挨土球，树冠靠树冠，密集地挤在一起。然后，在土球层上面盖一层壤土，填满土球间的缝隙；再对树冠及土球均匀地洒水，使上面湿透，以后仅保持湿润就可以了，或者，把带着土球地苗木临时性地栽到一块绿化用地上，土球埋入土中l／3～1／2深，株距则视苗木假植时间长短和土球、树冠的大小而定。一般土球与土球之间相距15～30cm即可。苗木成行列式栽好后，浇水保持一定湿度即可。</w:t>
      </w:r>
    </w:p>
    <w:p w14:paraId="61F9293D">
      <w:pPr>
        <w:ind w:firstLine="480"/>
        <w:rPr>
          <w:rFonts w:hint="eastAsia" w:ascii="宋体" w:hAnsi="宋体" w:eastAsia="宋体" w:cs="宋体"/>
        </w:rPr>
      </w:pPr>
      <w:r>
        <w:rPr>
          <w:rFonts w:hint="eastAsia" w:ascii="宋体" w:hAnsi="宋体" w:eastAsia="宋体" w:cs="宋体"/>
        </w:rPr>
        <w:t>2）裸根苗木假植：对裸根苗木，一般采取挖掘假植方式。先要在地面挖浅沟，沟深40～60cm。然后将裸根苗木一棵棵紧靠着呈30度斜栽到沟中，使树梢朝向西边或朝向南边。如树梢向西，开沟的方向为东西向；若树梢向南，则沟的方向为南北向。苗木密集斜栽好以后，在根蔸上分层覆土，层层插实。以后，经常对枝叶喷水，保持湿润。不同的苗木假植时，最好按苗木种类规格分区假植，以方便绿化施工。假植区的土质不宜太泥泞，地面不能积水，在周围边沿地带要挖沟排水。假植区内要留出起运苗木的通道。在太阳特别强烈的日子里，假植苗木上面应该设置遮光网，减弱光照强度。</w:t>
      </w:r>
    </w:p>
    <w:p w14:paraId="303B113B">
      <w:pPr>
        <w:ind w:firstLine="480"/>
        <w:rPr>
          <w:rFonts w:hint="eastAsia" w:ascii="宋体" w:hAnsi="宋体" w:eastAsia="宋体" w:cs="宋体"/>
        </w:rPr>
      </w:pPr>
      <w:r>
        <w:rPr>
          <w:rFonts w:hint="eastAsia" w:ascii="宋体" w:hAnsi="宋体" w:eastAsia="宋体" w:cs="宋体"/>
        </w:rPr>
        <w:t>5、挖种植穴</w:t>
      </w:r>
    </w:p>
    <w:p w14:paraId="40F9C29C">
      <w:pPr>
        <w:ind w:firstLine="480"/>
        <w:rPr>
          <w:rFonts w:hint="eastAsia" w:ascii="宋体" w:hAnsi="宋体" w:eastAsia="宋体" w:cs="宋体"/>
        </w:rPr>
      </w:pPr>
      <w:r>
        <w:rPr>
          <w:rFonts w:hint="eastAsia" w:ascii="宋体" w:hAnsi="宋体" w:eastAsia="宋体" w:cs="宋体"/>
        </w:rPr>
        <w:t>种植穴定点放线应符合设计图纸要求，位置准确，标志明显，同时应标明树种名称（或代号）规格，种植穴的大小，应符合下表的规定：</w:t>
      </w:r>
    </w:p>
    <w:p w14:paraId="1E3697C1">
      <w:pPr>
        <w:ind w:firstLine="480"/>
        <w:rPr>
          <w:rFonts w:hint="eastAsia" w:ascii="宋体" w:hAnsi="宋体" w:eastAsia="宋体" w:cs="宋体"/>
        </w:rPr>
      </w:pPr>
      <w:r>
        <w:rPr>
          <w:rFonts w:hint="eastAsia" w:ascii="宋体" w:hAnsi="宋体" w:eastAsia="宋体" w:cs="宋体"/>
        </w:rPr>
        <w:t>坑、穴的挖掘：</w:t>
      </w:r>
    </w:p>
    <w:p w14:paraId="3E96A497">
      <w:pPr>
        <w:ind w:firstLine="480"/>
        <w:rPr>
          <w:rFonts w:hint="eastAsia" w:ascii="宋体" w:hAnsi="宋体" w:eastAsia="宋体" w:cs="宋体"/>
        </w:rPr>
      </w:pPr>
      <w:r>
        <w:rPr>
          <w:rFonts w:hint="eastAsia" w:ascii="宋体" w:hAnsi="宋体" w:eastAsia="宋体" w:cs="宋体"/>
        </w:rPr>
        <w:t>（1）在所定灰点为中心沿四周向下挖坑，树木的坑穴规格应大于土球规格每边大200mm。花卉、地被的坑穴应大于土球10-15cm，草被厚度为300mm，不具备条件的不得少于150mm；</w:t>
      </w:r>
    </w:p>
    <w:p w14:paraId="05BCEDF3">
      <w:pPr>
        <w:ind w:firstLine="480"/>
        <w:rPr>
          <w:rFonts w:hint="eastAsia" w:ascii="宋体" w:hAnsi="宋体" w:eastAsia="宋体" w:cs="宋体"/>
        </w:rPr>
      </w:pPr>
      <w:r>
        <w:rPr>
          <w:rFonts w:hint="eastAsia" w:ascii="宋体" w:hAnsi="宋体" w:eastAsia="宋体" w:cs="宋体"/>
        </w:rPr>
        <w:t>（2）坑、穴的挖掘应垂直向下，坑底部要锄松150mm。</w:t>
      </w:r>
    </w:p>
    <w:p w14:paraId="09D19425">
      <w:pPr>
        <w:ind w:firstLine="480"/>
        <w:rPr>
          <w:rFonts w:hint="eastAsia" w:ascii="宋体" w:hAnsi="宋体" w:eastAsia="宋体" w:cs="宋体"/>
        </w:rPr>
      </w:pPr>
      <w:r>
        <w:rPr>
          <w:rFonts w:hint="eastAsia" w:ascii="宋体" w:hAnsi="宋体" w:eastAsia="宋体" w:cs="宋体"/>
        </w:rPr>
        <w:t>1）定植前的修剪</w:t>
      </w:r>
    </w:p>
    <w:p w14:paraId="5ED14D44">
      <w:pPr>
        <w:ind w:firstLine="480"/>
        <w:rPr>
          <w:rFonts w:hint="eastAsia" w:ascii="宋体" w:hAnsi="宋体" w:eastAsia="宋体" w:cs="宋体"/>
        </w:rPr>
      </w:pPr>
      <w:r>
        <w:rPr>
          <w:rFonts w:hint="eastAsia" w:ascii="宋体" w:hAnsi="宋体" w:eastAsia="宋体" w:cs="宋体"/>
        </w:rPr>
        <w:t>在定植前，苗木必须经过修剪，其主要目的是减少水分的散发，保证树势平衡以保证树木成活。修剪时其修剪量依不同树种要求而有所不同，一般对常绿针叶树及用于植篱的灌木不多剪，只剪去枯病枝、受伤枝即可。对于较大的落叶乔木，尤其是生长势较强，容易抽出新枝的树木如杨、柳、槐等可进行强修剪，树冠可剪去1</w:t>
      </w:r>
      <w:r>
        <w:rPr>
          <w:rFonts w:hint="eastAsia" w:ascii="宋体" w:hAnsi="宋体" w:eastAsia="宋体" w:cs="宋体"/>
          <w:lang w:val="en-US" w:eastAsia="zh-CN"/>
        </w:rPr>
        <w:t>/</w:t>
      </w:r>
      <w:r>
        <w:rPr>
          <w:rFonts w:hint="eastAsia" w:ascii="宋体" w:hAnsi="宋体" w:eastAsia="宋体" w:cs="宋体"/>
        </w:rPr>
        <w:t>2以上。这样可减轻根系负担，维持树木体内水分平衡，也使得树木栽后稳定，不致招风摇动。对于花灌木及生长较慢的树木可进行疏枝，短截去全部叶或部分叶，去除枯病枝、过密枝，对于过长的枝条可剪1</w:t>
      </w:r>
      <w:r>
        <w:rPr>
          <w:rFonts w:hint="eastAsia" w:ascii="宋体" w:hAnsi="宋体" w:eastAsia="宋体" w:cs="宋体"/>
          <w:lang w:val="en-US" w:eastAsia="zh-CN"/>
        </w:rPr>
        <w:t>/</w:t>
      </w:r>
      <w:r>
        <w:rPr>
          <w:rFonts w:hint="eastAsia" w:ascii="宋体" w:hAnsi="宋体" w:eastAsia="宋体" w:cs="宋体"/>
        </w:rPr>
        <w:t>3～1</w:t>
      </w:r>
      <w:r>
        <w:rPr>
          <w:rFonts w:hint="eastAsia" w:ascii="宋体" w:hAnsi="宋体" w:eastAsia="宋体" w:cs="宋体"/>
          <w:lang w:val="en-US" w:eastAsia="zh-CN"/>
        </w:rPr>
        <w:t>/</w:t>
      </w:r>
      <w:r>
        <w:rPr>
          <w:rFonts w:hint="eastAsia" w:ascii="宋体" w:hAnsi="宋体" w:eastAsia="宋体" w:cs="宋体"/>
        </w:rPr>
        <w:t>2。</w:t>
      </w:r>
    </w:p>
    <w:p w14:paraId="007B9EC5">
      <w:pPr>
        <w:ind w:firstLine="480"/>
        <w:rPr>
          <w:rFonts w:hint="eastAsia" w:ascii="宋体" w:hAnsi="宋体" w:eastAsia="宋体" w:cs="宋体"/>
        </w:rPr>
      </w:pPr>
      <w:r>
        <w:rPr>
          <w:rFonts w:hint="eastAsia" w:ascii="宋体" w:hAnsi="宋体" w:eastAsia="宋体" w:cs="宋体"/>
        </w:rPr>
        <w:t>修剪时要注意分枝点的高度。灌木的修剪要保持其自然树形，短截时应保持外低内高。树木定植之前，还应对根系进行适当修剪，主要是将断根、劈裂根、病虫根和过长的根剪去。修剪时剪口应平而光滑，并及时涂抹防腐剂以防过分蒸发、干旱、冻伤及病虫危害。</w:t>
      </w:r>
    </w:p>
    <w:p w14:paraId="1D440F6D">
      <w:pPr>
        <w:ind w:firstLine="480"/>
        <w:rPr>
          <w:rFonts w:hint="eastAsia" w:ascii="宋体" w:hAnsi="宋体" w:eastAsia="宋体" w:cs="宋体"/>
        </w:rPr>
      </w:pPr>
      <w:r>
        <w:rPr>
          <w:rFonts w:hint="eastAsia" w:ascii="宋体" w:hAnsi="宋体" w:eastAsia="宋体" w:cs="宋体"/>
        </w:rPr>
        <w:t>2）定植方法</w:t>
      </w:r>
    </w:p>
    <w:p w14:paraId="3A44E765">
      <w:pPr>
        <w:ind w:firstLine="480"/>
        <w:rPr>
          <w:rFonts w:hint="eastAsia" w:ascii="宋体" w:hAnsi="宋体" w:eastAsia="宋体" w:cs="宋体"/>
        </w:rPr>
      </w:pPr>
      <w:r>
        <w:rPr>
          <w:rFonts w:hint="eastAsia" w:ascii="宋体" w:hAnsi="宋体" w:eastAsia="宋体" w:cs="宋体"/>
        </w:rPr>
        <w:t>苗木修剪后即可定植，定植的位置应符合设计要求。定植施工的方法是：将苗木的土球或根蔸放入种植穴内，使其居中；再将树干立起，扶正，使其保持垂直；然后分层回填种植土，填土后将树根稍向上一提，使根群舒展开，每填一层土就要用锄把将土插紧实，直到填满穴坑，并使土面能够盖住树木的根茎部位，初步栽好后还应检查一下树干是否仍保持垂直，树冠有无偏斜；若有所偏斜，就要再加扶正。最后，把余下的穴土绕根茎一周进行培土，做成环形的拦水围堰。其围堰的直径应略大于种植穴的直径。堰土要拍压紧实，不能松散。</w:t>
      </w:r>
    </w:p>
    <w:p w14:paraId="42292FA6">
      <w:pPr>
        <w:ind w:firstLine="480"/>
        <w:rPr>
          <w:rFonts w:hint="eastAsia" w:ascii="宋体" w:hAnsi="宋体" w:eastAsia="宋体" w:cs="宋体"/>
          <w:lang w:val="zh-CN"/>
        </w:rPr>
      </w:pPr>
      <w:r>
        <w:rPr>
          <w:rFonts w:hint="eastAsia" w:ascii="宋体" w:hAnsi="宋体" w:eastAsia="宋体" w:cs="宋体"/>
        </w:rPr>
        <w:t>6、</w:t>
      </w:r>
      <w:r>
        <w:rPr>
          <w:rFonts w:hint="eastAsia" w:ascii="宋体" w:hAnsi="宋体" w:eastAsia="宋体" w:cs="宋体"/>
          <w:lang w:val="zh-CN"/>
        </w:rPr>
        <w:t>养护和管理</w:t>
      </w:r>
    </w:p>
    <w:p w14:paraId="3CA6AC59">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1</w:t>
      </w:r>
      <w:r>
        <w:rPr>
          <w:rFonts w:hint="eastAsia" w:ascii="宋体" w:hAnsi="宋体" w:eastAsia="宋体" w:cs="宋体"/>
          <w:lang w:val="zh-CN"/>
        </w:rPr>
        <w:t>）重点养护地块专人负责，一般地块巡回负责。</w:t>
      </w:r>
    </w:p>
    <w:p w14:paraId="0B8B0EAB">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2</w:t>
      </w:r>
      <w:r>
        <w:rPr>
          <w:rFonts w:hint="eastAsia" w:ascii="宋体" w:hAnsi="宋体" w:eastAsia="宋体" w:cs="宋体"/>
          <w:lang w:val="zh-CN"/>
        </w:rPr>
        <w:t>）组织人员对所有地块的绿带进行松土除草，每月结合松土可施基肥，保证土壤的肥力充沛。对新种的大树重点养护，注意树木水分、养分的调节。</w:t>
      </w:r>
    </w:p>
    <w:p w14:paraId="7F7B229A">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3</w:t>
      </w:r>
      <w:r>
        <w:rPr>
          <w:rFonts w:hint="eastAsia" w:ascii="宋体" w:hAnsi="宋体" w:eastAsia="宋体" w:cs="宋体"/>
          <w:lang w:val="zh-CN"/>
        </w:rPr>
        <w:t>）夏季来临注意抗早浇水，大树还应注意树杆喷水，树穴培土。</w:t>
      </w:r>
    </w:p>
    <w:p w14:paraId="1F7ADA43">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4</w:t>
      </w:r>
      <w:r>
        <w:rPr>
          <w:rFonts w:hint="eastAsia" w:ascii="宋体" w:hAnsi="宋体" w:eastAsia="宋体" w:cs="宋体"/>
          <w:lang w:val="zh-CN"/>
        </w:rPr>
        <w:t>）高温时期对大树搭遮荫网，喷水增加空气湿度。新种大树要注意防台防汛，及时收紧支撑和绑扎的铅丝，保护树木根系发育。</w:t>
      </w:r>
    </w:p>
    <w:p w14:paraId="4319B1E1">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5</w:t>
      </w:r>
      <w:r>
        <w:rPr>
          <w:rFonts w:hint="eastAsia" w:ascii="宋体" w:hAnsi="宋体" w:eastAsia="宋体" w:cs="宋体"/>
          <w:lang w:val="zh-CN"/>
        </w:rPr>
        <w:t>）花灌木内膛枝、徒长枝、病枝、枯枝、烂头应及时修剪，确保树形树态完美。</w:t>
      </w:r>
    </w:p>
    <w:p w14:paraId="2153BFE8">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6</w:t>
      </w:r>
      <w:r>
        <w:rPr>
          <w:rFonts w:hint="eastAsia" w:ascii="宋体" w:hAnsi="宋体" w:eastAsia="宋体" w:cs="宋体"/>
          <w:lang w:val="zh-CN"/>
        </w:rPr>
        <w:t>）草坪定期挑草，采用滚动式剪草机修剪，保证剪草高度离地小于4m。</w:t>
      </w:r>
    </w:p>
    <w:p w14:paraId="20B2ECE2">
      <w:pPr>
        <w:ind w:firstLine="480"/>
        <w:rPr>
          <w:rFonts w:hint="eastAsia" w:ascii="宋体" w:hAnsi="宋体" w:eastAsia="宋体" w:cs="宋体"/>
          <w:lang w:val="zh-CN"/>
        </w:rPr>
      </w:pPr>
      <w:r>
        <w:rPr>
          <w:rFonts w:hint="eastAsia" w:ascii="宋体" w:hAnsi="宋体" w:eastAsia="宋体" w:cs="宋体"/>
          <w:lang w:val="zh-CN"/>
        </w:rPr>
        <w:t>（</w:t>
      </w:r>
      <w:r>
        <w:rPr>
          <w:rFonts w:hint="eastAsia" w:ascii="宋体" w:hAnsi="宋体" w:eastAsia="宋体" w:cs="宋体"/>
        </w:rPr>
        <w:t>7</w:t>
      </w:r>
      <w:r>
        <w:rPr>
          <w:rFonts w:hint="eastAsia" w:ascii="宋体" w:hAnsi="宋体" w:eastAsia="宋体" w:cs="宋体"/>
          <w:lang w:val="zh-CN"/>
        </w:rPr>
        <w:t>）做好植物病虫害的预测预报工作，发现病虫害及时防治，将损失降到最低。</w:t>
      </w:r>
    </w:p>
    <w:p w14:paraId="79BCA018">
      <w:pPr>
        <w:ind w:firstLine="480"/>
        <w:rPr>
          <w:rFonts w:hint="eastAsia" w:ascii="宋体" w:hAnsi="宋体" w:eastAsia="宋体" w:cs="宋体"/>
        </w:rPr>
      </w:pPr>
      <w:r>
        <w:rPr>
          <w:rFonts w:hint="eastAsia" w:ascii="宋体" w:hAnsi="宋体" w:eastAsia="宋体" w:cs="宋体"/>
          <w:lang w:val="zh-CN"/>
        </w:rPr>
        <w:t>（</w:t>
      </w:r>
      <w:r>
        <w:rPr>
          <w:rFonts w:hint="eastAsia" w:ascii="宋体" w:hAnsi="宋体" w:eastAsia="宋体" w:cs="宋体"/>
        </w:rPr>
        <w:t>8</w:t>
      </w:r>
      <w:r>
        <w:rPr>
          <w:rFonts w:hint="eastAsia" w:ascii="宋体" w:hAnsi="宋体" w:eastAsia="宋体" w:cs="宋体"/>
          <w:lang w:val="zh-CN"/>
        </w:rPr>
        <w:t>）雨后对绿地进行巡视，及时排去积水，防止涝灾发生。发现苗木死亡应及时补种。</w:t>
      </w:r>
    </w:p>
    <w:bookmarkEnd w:id="1305"/>
    <w:bookmarkEnd w:id="1306"/>
    <w:bookmarkEnd w:id="1307"/>
    <w:bookmarkEnd w:id="1308"/>
    <w:bookmarkEnd w:id="1309"/>
    <w:bookmarkEnd w:id="1310"/>
    <w:bookmarkEnd w:id="1311"/>
    <w:p w14:paraId="734B0817">
      <w:pPr>
        <w:pStyle w:val="2"/>
        <w:numPr>
          <w:ilvl w:val="0"/>
          <w:numId w:val="0"/>
        </w:numPr>
        <w:spacing w:line="360" w:lineRule="auto"/>
        <w:ind w:left="432" w:leftChars="0" w:hanging="432" w:firstLineChars="0"/>
        <w:jc w:val="left"/>
        <w:rPr>
          <w:rFonts w:hint="eastAsia" w:ascii="宋体" w:hAnsi="宋体" w:eastAsia="宋体" w:cs="宋体"/>
          <w:color w:val="auto"/>
        </w:rPr>
      </w:pPr>
      <w:bookmarkStart w:id="1402" w:name="_Toc16980"/>
      <w:bookmarkStart w:id="1403" w:name="_Toc3409"/>
      <w:bookmarkStart w:id="1404" w:name="_Toc12489"/>
      <w:bookmarkStart w:id="1405" w:name="_Toc29450"/>
      <w:bookmarkStart w:id="1406" w:name="_Toc11126"/>
      <w:bookmarkStart w:id="1407" w:name="_Toc2232"/>
      <w:bookmarkStart w:id="1408" w:name="_Toc31810"/>
      <w:bookmarkStart w:id="1409" w:name="_Toc5482"/>
      <w:bookmarkStart w:id="1410" w:name="_Toc10082"/>
      <w:bookmarkStart w:id="1411" w:name="_Toc9010"/>
      <w:bookmarkStart w:id="1412" w:name="_Toc20524"/>
      <w:bookmarkStart w:id="1413" w:name="_Toc1834"/>
      <w:r>
        <w:rPr>
          <w:rFonts w:hint="eastAsia" w:cs="Times New Roman"/>
          <w:b/>
          <w:bCs/>
          <w:color w:val="auto"/>
          <w:kern w:val="36"/>
          <w:sz w:val="36"/>
          <w:szCs w:val="48"/>
          <w:lang w:val="en-US" w:eastAsia="zh-CN" w:bidi="ar-SA"/>
        </w:rPr>
        <w:t xml:space="preserve">第九章 </w:t>
      </w:r>
      <w:r>
        <w:rPr>
          <w:rFonts w:hint="eastAsia" w:ascii="宋体" w:hAnsi="宋体" w:eastAsia="宋体" w:cs="宋体"/>
          <w:color w:val="auto"/>
        </w:rPr>
        <w:t>工期保证体系及保证措施</w:t>
      </w:r>
      <w:bookmarkEnd w:id="1402"/>
      <w:bookmarkEnd w:id="1403"/>
      <w:bookmarkEnd w:id="1404"/>
      <w:bookmarkEnd w:id="1405"/>
      <w:bookmarkEnd w:id="1406"/>
    </w:p>
    <w:p w14:paraId="0E929F4D">
      <w:pPr>
        <w:pStyle w:val="4"/>
        <w:numPr>
          <w:ilvl w:val="1"/>
          <w:numId w:val="0"/>
        </w:numPr>
        <w:spacing w:line="360" w:lineRule="auto"/>
        <w:ind w:firstLine="0" w:firstLineChars="0"/>
        <w:rPr>
          <w:rFonts w:hint="eastAsia" w:ascii="宋体" w:hAnsi="宋体" w:eastAsia="宋体" w:cs="宋体"/>
          <w:color w:val="auto"/>
        </w:rPr>
      </w:pPr>
      <w:bookmarkStart w:id="1414" w:name="_Toc11947"/>
      <w:bookmarkStart w:id="1415" w:name="_Toc3798"/>
      <w:bookmarkStart w:id="1416" w:name="_Toc19816"/>
      <w:bookmarkStart w:id="1417" w:name="_Toc12295"/>
      <w:bookmarkStart w:id="1418" w:name="_Toc25599"/>
      <w:r>
        <w:rPr>
          <w:rFonts w:hint="eastAsia" w:ascii="宋体" w:hAnsi="宋体" w:cs="Times New Roman"/>
          <w:b/>
          <w:bCs/>
          <w:color w:val="auto"/>
          <w:kern w:val="2"/>
          <w:sz w:val="32"/>
          <w:szCs w:val="32"/>
          <w:lang w:val="en-US" w:eastAsia="zh-CN" w:bidi="ar-SA"/>
        </w:rPr>
        <w:t>9</w:t>
      </w:r>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 xml:space="preserve"> </w:t>
      </w:r>
      <w:r>
        <w:rPr>
          <w:rFonts w:hint="eastAsia" w:ascii="宋体" w:hAnsi="宋体" w:eastAsia="宋体" w:cs="宋体"/>
          <w:color w:val="auto"/>
        </w:rPr>
        <w:t>保证工期的组织机构</w:t>
      </w:r>
      <w:bookmarkEnd w:id="1414"/>
      <w:bookmarkEnd w:id="1415"/>
      <w:bookmarkEnd w:id="1416"/>
      <w:bookmarkEnd w:id="1417"/>
      <w:bookmarkEnd w:id="1418"/>
    </w:p>
    <w:p w14:paraId="3C5CCAE0">
      <w:pPr>
        <w:ind w:firstLine="480"/>
        <w:rPr>
          <w:rFonts w:hint="eastAsia" w:ascii="宋体" w:hAnsi="宋体" w:eastAsia="宋体" w:cs="宋体"/>
          <w:szCs w:val="24"/>
        </w:rPr>
      </w:pPr>
      <w:r>
        <w:rPr>
          <w:rFonts w:hint="eastAsia" w:ascii="宋体" w:hAnsi="宋体" w:eastAsia="宋体" w:cs="宋体"/>
          <w:szCs w:val="24"/>
        </w:rPr>
        <w:t>在经理部的领导下，成立由项目经理任组长，相关部门人员参加的领导小组，健全岗位责任制，从组织上、制度上、防范措施上保证总工期的实现。</w:t>
      </w:r>
    </w:p>
    <w:p w14:paraId="279D514D">
      <w:pPr>
        <w:pStyle w:val="22"/>
        <w:ind w:firstLine="431"/>
        <w:rPr>
          <w:rFonts w:hint="eastAsia" w:ascii="宋体" w:hAnsi="宋体" w:eastAsia="宋体" w:cs="宋体"/>
          <w:highlight w:val="yellow"/>
        </w:rPr>
      </w:pPr>
      <w:r>
        <w:rPr>
          <w:rFonts w:hint="eastAsia" w:ascii="宋体" w:hAnsi="宋体" w:eastAsia="宋体" w:cs="宋体"/>
        </w:rPr>
        <mc:AlternateContent>
          <mc:Choice Requires="wpg">
            <w:drawing>
              <wp:anchor distT="0" distB="0" distL="114300" distR="114300" simplePos="0" relativeHeight="251670528" behindDoc="0" locked="0" layoutInCell="1" allowOverlap="1">
                <wp:simplePos x="0" y="0"/>
                <wp:positionH relativeFrom="column">
                  <wp:posOffset>499110</wp:posOffset>
                </wp:positionH>
                <wp:positionV relativeFrom="paragraph">
                  <wp:posOffset>178435</wp:posOffset>
                </wp:positionV>
                <wp:extent cx="5139690" cy="2127250"/>
                <wp:effectExtent l="4445" t="4445" r="6985" b="17145"/>
                <wp:wrapTopAndBottom/>
                <wp:docPr id="922" name="组合 174"/>
                <wp:cNvGraphicFramePr/>
                <a:graphic xmlns:a="http://schemas.openxmlformats.org/drawingml/2006/main">
                  <a:graphicData uri="http://schemas.microsoft.com/office/word/2010/wordprocessingGroup">
                    <wpg:wgp>
                      <wpg:cNvGrpSpPr/>
                      <wpg:grpSpPr>
                        <a:xfrm>
                          <a:off x="0" y="0"/>
                          <a:ext cx="5139879" cy="2127226"/>
                          <a:chOff x="2962" y="2058224"/>
                          <a:chExt cx="7044" cy="3256"/>
                        </a:xfrm>
                      </wpg:grpSpPr>
                      <wpg:grpSp>
                        <wpg:cNvPr id="910" name="组合 176"/>
                        <wpg:cNvGrpSpPr/>
                        <wpg:grpSpPr>
                          <a:xfrm>
                            <a:off x="4057" y="2058224"/>
                            <a:ext cx="5024" cy="2094"/>
                            <a:chOff x="4057" y="2058224"/>
                            <a:chExt cx="5024" cy="2094"/>
                          </a:xfrm>
                        </wpg:grpSpPr>
                        <wpg:grpSp>
                          <wpg:cNvPr id="905" name="组合 177"/>
                          <wpg:cNvGrpSpPr/>
                          <wpg:grpSpPr>
                            <a:xfrm>
                              <a:off x="4975" y="2058224"/>
                              <a:ext cx="3358" cy="1338"/>
                              <a:chOff x="4975" y="2058224"/>
                              <a:chExt cx="3358" cy="1338"/>
                            </a:xfrm>
                          </wpg:grpSpPr>
                          <wps:wsp>
                            <wps:cNvPr id="901" name="文本框 178"/>
                            <wps:cNvSpPr txBox="1"/>
                            <wps:spPr>
                              <a:xfrm>
                                <a:off x="4975" y="2058224"/>
                                <a:ext cx="3358" cy="384"/>
                              </a:xfrm>
                              <a:prstGeom prst="rect">
                                <a:avLst/>
                              </a:prstGeom>
                              <a:solidFill>
                                <a:srgbClr val="C6D9F1"/>
                              </a:solidFill>
                              <a:ln w="9525" cap="flat" cmpd="sng">
                                <a:solidFill>
                                  <a:srgbClr val="000000"/>
                                </a:solidFill>
                                <a:prstDash val="solid"/>
                                <a:miter/>
                                <a:headEnd type="none" w="med" len="med"/>
                                <a:tailEnd type="none" w="sm" len="sm"/>
                              </a:ln>
                            </wps:spPr>
                            <wps:txbx>
                              <w:txbxContent>
                                <w:p w14:paraId="494477E9">
                                  <w:pPr>
                                    <w:ind w:firstLine="0" w:firstLineChars="0"/>
                                    <w:jc w:val="center"/>
                                    <w:rPr>
                                      <w:sz w:val="21"/>
                                    </w:rPr>
                                  </w:pPr>
                                  <w:r>
                                    <w:rPr>
                                      <w:rFonts w:hint="eastAsia"/>
                                      <w:sz w:val="21"/>
                                    </w:rPr>
                                    <w:t>项目经理部工期保证小组</w:t>
                                  </w:r>
                                </w:p>
                              </w:txbxContent>
                            </wps:txbx>
                            <wps:bodyPr lIns="108000" tIns="0" rIns="108000" bIns="0" upright="1"/>
                          </wps:wsp>
                          <wps:wsp>
                            <wps:cNvPr id="902" name="文本框 179"/>
                            <wps:cNvSpPr txBox="1"/>
                            <wps:spPr>
                              <a:xfrm>
                                <a:off x="5381" y="2058894"/>
                                <a:ext cx="2650" cy="384"/>
                              </a:xfrm>
                              <a:prstGeom prst="rect">
                                <a:avLst/>
                              </a:prstGeom>
                              <a:solidFill>
                                <a:srgbClr val="C6D9F1"/>
                              </a:solidFill>
                              <a:ln w="9525" cap="flat" cmpd="sng">
                                <a:solidFill>
                                  <a:srgbClr val="000000"/>
                                </a:solidFill>
                                <a:prstDash val="solid"/>
                                <a:miter/>
                                <a:headEnd type="none" w="med" len="med"/>
                                <a:tailEnd type="none" w="sm" len="sm"/>
                              </a:ln>
                            </wps:spPr>
                            <wps:txbx>
                              <w:txbxContent>
                                <w:p w14:paraId="100BEAF4">
                                  <w:pPr>
                                    <w:ind w:firstLine="0" w:firstLineChars="0"/>
                                    <w:jc w:val="center"/>
                                    <w:rPr>
                                      <w:rFonts w:hint="default" w:eastAsia="宋体"/>
                                      <w:sz w:val="21"/>
                                      <w:lang w:val="en-US" w:eastAsia="zh-CN"/>
                                    </w:rPr>
                                  </w:pPr>
                                  <w:r>
                                    <w:rPr>
                                      <w:rFonts w:hint="eastAsia"/>
                                      <w:sz w:val="21"/>
                                    </w:rPr>
                                    <w:t>项目经理：</w:t>
                                  </w:r>
                                  <w:r>
                                    <w:rPr>
                                      <w:rFonts w:hint="eastAsia"/>
                                      <w:sz w:val="21"/>
                                      <w:lang w:val="en-US" w:eastAsia="zh-CN"/>
                                    </w:rPr>
                                    <w:t>李令举</w:t>
                                  </w:r>
                                </w:p>
                              </w:txbxContent>
                            </wps:txbx>
                            <wps:bodyPr lIns="108000" tIns="0" rIns="108000" bIns="0" upright="1"/>
                          </wps:wsp>
                          <wps:wsp>
                            <wps:cNvPr id="903" name="直线 180"/>
                            <wps:cNvCnPr/>
                            <wps:spPr>
                              <a:xfrm>
                                <a:off x="6677" y="2058603"/>
                                <a:ext cx="0" cy="274"/>
                              </a:xfrm>
                              <a:prstGeom prst="line">
                                <a:avLst/>
                              </a:prstGeom>
                              <a:ln w="9525" cap="flat" cmpd="sng">
                                <a:solidFill>
                                  <a:srgbClr val="000000"/>
                                </a:solidFill>
                                <a:prstDash val="solid"/>
                                <a:headEnd type="none" w="med" len="med"/>
                                <a:tailEnd type="triangle" w="sm" len="sm"/>
                              </a:ln>
                            </wps:spPr>
                            <wps:bodyPr upright="1"/>
                          </wps:wsp>
                          <wps:wsp>
                            <wps:cNvPr id="904" name="直线 181"/>
                            <wps:cNvCnPr/>
                            <wps:spPr>
                              <a:xfrm flipH="1">
                                <a:off x="6692" y="2059274"/>
                                <a:ext cx="0" cy="289"/>
                              </a:xfrm>
                              <a:prstGeom prst="line">
                                <a:avLst/>
                              </a:prstGeom>
                              <a:ln w="9525" cap="flat" cmpd="sng">
                                <a:solidFill>
                                  <a:srgbClr val="000000"/>
                                </a:solidFill>
                                <a:prstDash val="solid"/>
                                <a:headEnd type="none" w="med" len="med"/>
                                <a:tailEnd type="triangle" w="sm" len="sm"/>
                              </a:ln>
                            </wps:spPr>
                            <wps:bodyPr upright="1"/>
                          </wps:wsp>
                        </wpg:grpSp>
                        <wpg:grpSp>
                          <wpg:cNvPr id="909" name="组合 182"/>
                          <wpg:cNvGrpSpPr/>
                          <wpg:grpSpPr>
                            <a:xfrm>
                              <a:off x="4057" y="2059556"/>
                              <a:ext cx="5024" cy="762"/>
                              <a:chOff x="4057" y="2059556"/>
                              <a:chExt cx="5024" cy="762"/>
                            </a:xfrm>
                          </wpg:grpSpPr>
                          <wps:wsp>
                            <wps:cNvPr id="906" name="文本框 183"/>
                            <wps:cNvSpPr txBox="1"/>
                            <wps:spPr>
                              <a:xfrm>
                                <a:off x="5388" y="2059556"/>
                                <a:ext cx="2635" cy="384"/>
                              </a:xfrm>
                              <a:prstGeom prst="rect">
                                <a:avLst/>
                              </a:prstGeom>
                              <a:solidFill>
                                <a:srgbClr val="C6D9F1"/>
                              </a:solidFill>
                              <a:ln w="9525" cap="flat" cmpd="sng">
                                <a:solidFill>
                                  <a:srgbClr val="000000"/>
                                </a:solidFill>
                                <a:prstDash val="solid"/>
                                <a:miter/>
                                <a:headEnd type="none" w="med" len="med"/>
                                <a:tailEnd type="none" w="sm" len="sm"/>
                              </a:ln>
                            </wps:spPr>
                            <wps:txbx>
                              <w:txbxContent>
                                <w:p w14:paraId="1EA0D803">
                                  <w:pPr>
                                    <w:ind w:firstLine="0" w:firstLineChars="0"/>
                                    <w:jc w:val="center"/>
                                    <w:rPr>
                                      <w:rFonts w:hint="eastAsia" w:eastAsia="宋体"/>
                                      <w:sz w:val="21"/>
                                      <w:lang w:val="en-US" w:eastAsia="zh-CN"/>
                                    </w:rPr>
                                  </w:pPr>
                                  <w:r>
                                    <w:rPr>
                                      <w:rFonts w:hint="eastAsia"/>
                                      <w:sz w:val="21"/>
                                    </w:rPr>
                                    <w:t>项目总工程师：</w:t>
                                  </w:r>
                                  <w:r>
                                    <w:rPr>
                                      <w:rFonts w:hint="eastAsia"/>
                                      <w:sz w:val="21"/>
                                      <w:lang w:val="en-US" w:eastAsia="zh-CN"/>
                                    </w:rPr>
                                    <w:t>王 磊</w:t>
                                  </w:r>
                                </w:p>
                              </w:txbxContent>
                            </wps:txbx>
                            <wps:bodyPr lIns="108000" tIns="0" rIns="108000" bIns="0" upright="1"/>
                          </wps:wsp>
                          <wps:wsp>
                            <wps:cNvPr id="907" name="任意多边形 184"/>
                            <wps:cNvSpPr/>
                            <wps:spPr>
                              <a:xfrm>
                                <a:off x="4057" y="2060126"/>
                                <a:ext cx="5024" cy="192"/>
                              </a:xfrm>
                              <a:custGeom>
                                <a:avLst/>
                                <a:gdLst/>
                                <a:ahLst/>
                                <a:cxnLst/>
                                <a:pathLst>
                                  <a:path w="4576" h="210">
                                    <a:moveTo>
                                      <a:pt x="0" y="209"/>
                                    </a:moveTo>
                                    <a:lnTo>
                                      <a:pt x="1" y="0"/>
                                    </a:lnTo>
                                    <a:lnTo>
                                      <a:pt x="4576" y="0"/>
                                    </a:lnTo>
                                    <a:lnTo>
                                      <a:pt x="4576" y="210"/>
                                    </a:lnTo>
                                  </a:path>
                                </a:pathLst>
                              </a:custGeom>
                              <a:solidFill>
                                <a:srgbClr val="C6D9F1"/>
                              </a:solidFill>
                              <a:ln w="9525" cap="flat" cmpd="sng">
                                <a:solidFill>
                                  <a:srgbClr val="000000"/>
                                </a:solidFill>
                                <a:prstDash val="solid"/>
                                <a:headEnd type="triangle" w="sm" len="sm"/>
                                <a:tailEnd type="triangle" w="sm" len="sm"/>
                              </a:ln>
                            </wps:spPr>
                            <wps:bodyPr upright="1"/>
                          </wps:wsp>
                          <wps:wsp>
                            <wps:cNvPr id="908" name="直线 185"/>
                            <wps:cNvCnPr/>
                            <wps:spPr>
                              <a:xfrm>
                                <a:off x="6710" y="2059948"/>
                                <a:ext cx="0" cy="163"/>
                              </a:xfrm>
                              <a:prstGeom prst="line">
                                <a:avLst/>
                              </a:prstGeom>
                              <a:ln w="9525" cap="flat" cmpd="sng">
                                <a:solidFill>
                                  <a:srgbClr val="000000"/>
                                </a:solidFill>
                                <a:prstDash val="solid"/>
                                <a:headEnd type="none" w="med" len="med"/>
                                <a:tailEnd type="none" w="sm" len="sm"/>
                              </a:ln>
                            </wps:spPr>
                            <wps:bodyPr upright="1"/>
                          </wps:wsp>
                        </wpg:grpSp>
                      </wpg:grpSp>
                      <wpg:grpSp>
                        <wpg:cNvPr id="920" name="组合 186"/>
                        <wpg:cNvGrpSpPr/>
                        <wpg:grpSpPr>
                          <a:xfrm>
                            <a:off x="2962" y="2060313"/>
                            <a:ext cx="7044" cy="1167"/>
                            <a:chOff x="2962" y="2060313"/>
                            <a:chExt cx="7044" cy="1167"/>
                          </a:xfrm>
                        </wpg:grpSpPr>
                        <wps:wsp>
                          <wps:cNvPr id="911" name="文本框 187"/>
                          <wps:cNvSpPr txBox="1"/>
                          <wps:spPr>
                            <a:xfrm>
                              <a:off x="7999" y="2060325"/>
                              <a:ext cx="2007" cy="383"/>
                            </a:xfrm>
                            <a:prstGeom prst="rect">
                              <a:avLst/>
                            </a:prstGeom>
                            <a:solidFill>
                              <a:srgbClr val="C6D9F1"/>
                            </a:solidFill>
                            <a:ln w="9525" cap="flat" cmpd="sng">
                              <a:solidFill>
                                <a:srgbClr val="000000"/>
                              </a:solidFill>
                              <a:prstDash val="solid"/>
                              <a:miter/>
                              <a:headEnd type="none" w="med" len="med"/>
                              <a:tailEnd type="none" w="sm" len="sm"/>
                            </a:ln>
                          </wps:spPr>
                          <wps:txbx>
                            <w:txbxContent>
                              <w:p w14:paraId="116FA4F3">
                                <w:pPr>
                                  <w:ind w:firstLine="0" w:firstLineChars="0"/>
                                  <w:jc w:val="center"/>
                                  <w:rPr>
                                    <w:sz w:val="21"/>
                                  </w:rPr>
                                </w:pPr>
                                <w:r>
                                  <w:rPr>
                                    <w:rFonts w:hint="eastAsia"/>
                                    <w:sz w:val="21"/>
                                  </w:rPr>
                                  <w:t>施工技术人员</w:t>
                                </w:r>
                              </w:p>
                            </w:txbxContent>
                          </wps:txbx>
                          <wps:bodyPr lIns="108000" tIns="0" rIns="108000" bIns="0" upright="1"/>
                        </wps:wsp>
                        <wps:wsp>
                          <wps:cNvPr id="912" name="文本框 188"/>
                          <wps:cNvSpPr txBox="1"/>
                          <wps:spPr>
                            <a:xfrm>
                              <a:off x="2962" y="2060313"/>
                              <a:ext cx="2568" cy="384"/>
                            </a:xfrm>
                            <a:prstGeom prst="rect">
                              <a:avLst/>
                            </a:prstGeom>
                            <a:solidFill>
                              <a:srgbClr val="C6D9F1"/>
                            </a:solidFill>
                            <a:ln w="9525" cap="flat" cmpd="sng">
                              <a:solidFill>
                                <a:srgbClr val="000000"/>
                              </a:solidFill>
                              <a:prstDash val="solid"/>
                              <a:miter/>
                              <a:headEnd type="none" w="med" len="med"/>
                              <a:tailEnd type="none" w="sm" len="sm"/>
                            </a:ln>
                          </wps:spPr>
                          <wps:txbx>
                            <w:txbxContent>
                              <w:p w14:paraId="24446A22">
                                <w:pPr>
                                  <w:ind w:firstLine="0" w:firstLineChars="0"/>
                                  <w:jc w:val="center"/>
                                  <w:rPr>
                                    <w:sz w:val="21"/>
                                  </w:rPr>
                                </w:pPr>
                                <w:r>
                                  <w:rPr>
                                    <w:rFonts w:hint="eastAsia"/>
                                    <w:sz w:val="21"/>
                                  </w:rPr>
                                  <w:t>各职能部门负责人</w:t>
                                </w:r>
                              </w:p>
                            </w:txbxContent>
                          </wps:txbx>
                          <wps:bodyPr lIns="108000" tIns="0" rIns="108000" bIns="0" upright="1"/>
                        </wps:wsp>
                        <wps:wsp>
                          <wps:cNvPr id="914" name="文本框 190"/>
                          <wps:cNvSpPr txBox="1"/>
                          <wps:spPr>
                            <a:xfrm>
                              <a:off x="5859" y="2061096"/>
                              <a:ext cx="1761" cy="384"/>
                            </a:xfrm>
                            <a:prstGeom prst="rect">
                              <a:avLst/>
                            </a:prstGeom>
                            <a:solidFill>
                              <a:srgbClr val="C6D9F1"/>
                            </a:solidFill>
                            <a:ln w="9525" cap="flat" cmpd="sng">
                              <a:solidFill>
                                <a:srgbClr val="000000"/>
                              </a:solidFill>
                              <a:prstDash val="solid"/>
                              <a:miter/>
                              <a:headEnd type="none" w="med" len="med"/>
                              <a:tailEnd type="none" w="sm" len="sm"/>
                            </a:ln>
                          </wps:spPr>
                          <wps:txbx>
                            <w:txbxContent>
                              <w:p w14:paraId="4B4D7DF7">
                                <w:pPr>
                                  <w:ind w:firstLine="0" w:firstLineChars="0"/>
                                  <w:rPr>
                                    <w:sz w:val="21"/>
                                  </w:rPr>
                                </w:pPr>
                                <w:r>
                                  <w:rPr>
                                    <w:rFonts w:hint="eastAsia"/>
                                    <w:sz w:val="21"/>
                                  </w:rPr>
                                  <w:t>施工作业层</w:t>
                                </w:r>
                              </w:p>
                            </w:txbxContent>
                          </wps:txbx>
                          <wps:bodyPr lIns="108000" tIns="0" rIns="108000" bIns="0" upright="1"/>
                        </wps:wsp>
                        <wps:wsp>
                          <wps:cNvPr id="916" name="任意多边形 192"/>
                          <wps:cNvSpPr/>
                          <wps:spPr>
                            <a:xfrm>
                              <a:off x="4078" y="2060689"/>
                              <a:ext cx="5025" cy="192"/>
                            </a:xfrm>
                            <a:custGeom>
                              <a:avLst/>
                              <a:gdLst/>
                              <a:ahLst/>
                              <a:cxnLst/>
                              <a:pathLst>
                                <a:path w="4576" h="210">
                                  <a:moveTo>
                                    <a:pt x="0" y="1"/>
                                  </a:moveTo>
                                  <a:lnTo>
                                    <a:pt x="1" y="210"/>
                                  </a:lnTo>
                                  <a:lnTo>
                                    <a:pt x="4576" y="210"/>
                                  </a:lnTo>
                                  <a:lnTo>
                                    <a:pt x="4576" y="0"/>
                                  </a:lnTo>
                                </a:path>
                              </a:pathLst>
                            </a:custGeom>
                            <a:solidFill>
                              <a:srgbClr val="C6D9F1"/>
                            </a:solidFill>
                            <a:ln w="9525" cap="flat" cmpd="sng">
                              <a:solidFill>
                                <a:srgbClr val="000000"/>
                              </a:solidFill>
                              <a:prstDash val="solid"/>
                              <a:headEnd type="none" w="med" len="med"/>
                              <a:tailEnd type="none" w="sm" len="sm"/>
                            </a:ln>
                          </wps:spPr>
                          <wps:bodyPr upright="1"/>
                        </wps:wsp>
                        <wps:wsp>
                          <wps:cNvPr id="917" name="直线 193"/>
                          <wps:cNvCnPr/>
                          <wps:spPr>
                            <a:xfrm>
                              <a:off x="6758" y="2060881"/>
                              <a:ext cx="0" cy="219"/>
                            </a:xfrm>
                            <a:prstGeom prst="line">
                              <a:avLst/>
                            </a:prstGeom>
                            <a:ln w="9525" cap="flat" cmpd="sng">
                              <a:solidFill>
                                <a:srgbClr val="000000"/>
                              </a:solidFill>
                              <a:prstDash val="solid"/>
                              <a:headEnd type="none" w="med" len="med"/>
                              <a:tailEnd type="triangle" w="sm" len="sm"/>
                            </a:ln>
                          </wps:spPr>
                          <wps:bodyPr upright="1"/>
                        </wps:wsp>
                      </wpg:grpSp>
                    </wpg:wgp>
                  </a:graphicData>
                </a:graphic>
              </wp:anchor>
            </w:drawing>
          </mc:Choice>
          <mc:Fallback>
            <w:pict>
              <v:group id="组合 174" o:spid="_x0000_s1026" o:spt="203" style="position:absolute;left:0pt;margin-left:39.3pt;margin-top:14.05pt;height:167.5pt;width:404.7pt;mso-wrap-distance-bottom:0pt;mso-wrap-distance-top:0pt;z-index:251670528;mso-width-relative:page;mso-height-relative:page;" coordorigin="2962,2058224" coordsize="7044,3256" o:gfxdata="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">
                <o:lock v:ext="edit" aspectratio="f"/>
                <v:group id="组合 176" o:spid="_x0000_s1026" o:spt="203" style="position:absolute;left:4057;top:2058224;height:2094;width:5024;" coordorigin="4057,2058224" coordsize="5024,2094" o:gfxdata="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l1SP70AAADcAAAADwAAAAAAAAABACAAAAAiAAAAZHJzL2Rvd25yZXYueG1s&#10;UEsBAhQAFAAAAAgAh07iQDMvBZ47AAAAOQAAABUAAAAAAAAAAQAgAAAADAEAAGRycy9ncm91cHNo&#10;YXBleG1sLnhtbFBLBQYAAAAABgAGAGABAADJAwAAAAA=&#10;">
                  <o:lock v:ext="edit" aspectratio="f"/>
                  <v:group id="组合 177" o:spid="_x0000_s1026" o:spt="203" style="position:absolute;left:4975;top:2058224;height:1338;width:3358;" coordorigin="4975,2058224" coordsize="3358,1338" o:gfxdata="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r82d6vwAAANwAAAAPAAAAAAAAAAEAIAAAACIAAABkcnMvZG93bnJldi54&#10;bWxQSwECFAAUAAAACACHTuJAMy8FnjsAAAA5AAAAFQAAAAAAAAABACAAAAAOAQAAZHJzL2dyb3Vw&#10;c2hhcGV4bWwueG1sUEsFBgAAAAAGAAYAYAEAAMsDAAAAAA==&#10;">
                    <o:lock v:ext="edit" aspectratio="f"/>
                    <v:shape id="文本框 178" o:spid="_x0000_s1026" o:spt="202" type="#_x0000_t202" style="position:absolute;left:4975;top:2058224;height:384;width:3358;" fillcolor="#C6D9F1" filled="t" stroked="t" coordsize="21600,21600" o:gfxdata="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6f36rsAAADc&#10;AAAADwAAAAAAAAABACAAAAAiAAAAZHJzL2Rvd25yZXYueG1sUEsBAhQAFAAAAAgAh07iQDMvBZ47&#10;AAAAOQAAABAAAAAAAAAAAQAgAAAACgEAAGRycy9zaGFwZXhtbC54bWxQSwUGAAAAAAYABgBbAQAA&#10;tAMAAAAA&#10;">
                      <v:fill on="t" focussize="0,0"/>
                      <v:stroke color="#000000" joinstyle="miter" endarrowwidth="narrow" endarrowlength="short"/>
                      <v:imagedata o:title=""/>
                      <o:lock v:ext="edit" aspectratio="f"/>
                      <v:textbox inset="3mm,0mm,3mm,0mm">
                        <w:txbxContent>
                          <w:p w14:paraId="494477E9">
                            <w:pPr>
                              <w:ind w:firstLine="0" w:firstLineChars="0"/>
                              <w:jc w:val="center"/>
                              <w:rPr>
                                <w:sz w:val="21"/>
                              </w:rPr>
                            </w:pPr>
                            <w:r>
                              <w:rPr>
                                <w:rFonts w:hint="eastAsia"/>
                                <w:sz w:val="21"/>
                              </w:rPr>
                              <w:t>项目经理部工期保证小组</w:t>
                            </w:r>
                          </w:p>
                        </w:txbxContent>
                      </v:textbox>
                    </v:shape>
                    <v:shape id="文本框 179" o:spid="_x0000_s1026" o:spt="202" type="#_x0000_t202" style="position:absolute;left:5381;top:2058894;height:384;width:2650;" fillcolor="#C6D9F1" filled="t" stroked="t" coordsize="21600,21600" o:gfxdata="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3VpnbsAAADc&#10;AAAADwAAAAAAAAABACAAAAAiAAAAZHJzL2Rvd25yZXYueG1sUEsBAhQAFAAAAAgAh07iQDMvBZ47&#10;AAAAOQAAABAAAAAAAAAAAQAgAAAACgEAAGRycy9zaGFwZXhtbC54bWxQSwUGAAAAAAYABgBbAQAA&#10;tAMAAAAA&#10;">
                      <v:fill on="t" focussize="0,0"/>
                      <v:stroke color="#000000" joinstyle="miter" endarrowwidth="narrow" endarrowlength="short"/>
                      <v:imagedata o:title=""/>
                      <o:lock v:ext="edit" aspectratio="f"/>
                      <v:textbox inset="3mm,0mm,3mm,0mm">
                        <w:txbxContent>
                          <w:p w14:paraId="100BEAF4">
                            <w:pPr>
                              <w:ind w:firstLine="0" w:firstLineChars="0"/>
                              <w:jc w:val="center"/>
                              <w:rPr>
                                <w:rFonts w:hint="default" w:eastAsia="宋体"/>
                                <w:sz w:val="21"/>
                                <w:lang w:val="en-US" w:eastAsia="zh-CN"/>
                              </w:rPr>
                            </w:pPr>
                            <w:r>
                              <w:rPr>
                                <w:rFonts w:hint="eastAsia"/>
                                <w:sz w:val="21"/>
                              </w:rPr>
                              <w:t>项目经理：</w:t>
                            </w:r>
                            <w:r>
                              <w:rPr>
                                <w:rFonts w:hint="eastAsia"/>
                                <w:sz w:val="21"/>
                                <w:lang w:val="en-US" w:eastAsia="zh-CN"/>
                              </w:rPr>
                              <w:t>李令举</w:t>
                            </w:r>
                          </w:p>
                        </w:txbxContent>
                      </v:textbox>
                    </v:shape>
                    <v:line id="直线 180" o:spid="_x0000_s1026" o:spt="20" style="position:absolute;left:6677;top:2058603;height:274;width:0;" filled="f" stroked="t" coordsize="21600,21600" o:gfxdata="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D5Kq/&#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short"/>
                      <v:imagedata o:title=""/>
                      <o:lock v:ext="edit" aspectratio="f"/>
                    </v:line>
                    <v:line id="直线 181" o:spid="_x0000_s1026" o:spt="20" style="position:absolute;left:6692;top:2059274;flip:x;height:289;width:0;" filled="f" stroked="t" coordsize="21600,21600" o:gfxdata="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bPi6/&#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short"/>
                      <v:imagedata o:title=""/>
                      <o:lock v:ext="edit" aspectratio="f"/>
                    </v:line>
                  </v:group>
                  <v:group id="组合 182" o:spid="_x0000_s1026" o:spt="203" style="position:absolute;left:4057;top:2059556;height:762;width:5024;" coordorigin="4057,2059556" coordsize="5024,762" o:gfxdata="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vm1/vwAAANwAAAAPAAAAAAAAAAEAIAAAACIAAABkcnMvZG93bnJldi54&#10;bWxQSwECFAAUAAAACACHTuJAMy8FnjsAAAA5AAAAFQAAAAAAAAABACAAAAAOAQAAZHJzL2dyb3Vw&#10;c2hhcGV4bWwueG1sUEsFBgAAAAAGAAYAYAEAAMsDAAAAAA==&#10;">
                    <o:lock v:ext="edit" aspectratio="f"/>
                    <v:shape id="文本框 183" o:spid="_x0000_s1026" o:spt="202" type="#_x0000_t202" style="position:absolute;left:5388;top:2059556;height:384;width:2635;" fillcolor="#C6D9F1" filled="t" stroked="t" coordsize="21600,21600" o:gfxdata="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Tm+evQAA&#10;ANwAAAAPAAAAAAAAAAEAIAAAACIAAABkcnMvZG93bnJldi54bWxQSwECFAAUAAAACACHTuJAMy8F&#10;njsAAAA5AAAAEAAAAAAAAAABACAAAAAMAQAAZHJzL3NoYXBleG1sLnhtbFBLBQYAAAAABgAGAFsB&#10;AAC2AwAAAAA=&#10;">
                      <v:fill on="t" focussize="0,0"/>
                      <v:stroke color="#000000" joinstyle="miter" endarrowwidth="narrow" endarrowlength="short"/>
                      <v:imagedata o:title=""/>
                      <o:lock v:ext="edit" aspectratio="f"/>
                      <v:textbox inset="3mm,0mm,3mm,0mm">
                        <w:txbxContent>
                          <w:p w14:paraId="1EA0D803">
                            <w:pPr>
                              <w:ind w:firstLine="0" w:firstLineChars="0"/>
                              <w:jc w:val="center"/>
                              <w:rPr>
                                <w:rFonts w:hint="eastAsia" w:eastAsia="宋体"/>
                                <w:sz w:val="21"/>
                                <w:lang w:val="en-US" w:eastAsia="zh-CN"/>
                              </w:rPr>
                            </w:pPr>
                            <w:r>
                              <w:rPr>
                                <w:rFonts w:hint="eastAsia"/>
                                <w:sz w:val="21"/>
                              </w:rPr>
                              <w:t>项目总工程师：</w:t>
                            </w:r>
                            <w:r>
                              <w:rPr>
                                <w:rFonts w:hint="eastAsia"/>
                                <w:sz w:val="21"/>
                                <w:lang w:val="en-US" w:eastAsia="zh-CN"/>
                              </w:rPr>
                              <w:t>王 磊</w:t>
                            </w:r>
                          </w:p>
                        </w:txbxContent>
                      </v:textbox>
                    </v:shape>
                    <v:shape id="任意多边形 184" o:spid="_x0000_s1026" o:spt="100" style="position:absolute;left:4057;top:2060126;height:192;width:5024;" fillcolor="#C6D9F1" filled="t" stroked="t" coordsize="4576,210" o:gfxdata="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2H+u8AAAA&#10;3AAAAA8AAAAAAAAAAQAgAAAAIgAAAGRycy9kb3ducmV2LnhtbFBLAQIUABQAAAAIAIdO4kAzLwWe&#10;OwAAADkAAAAQAAAAAAAAAAEAIAAAAAsBAABkcnMvc2hhcGV4bWwueG1sUEsFBgAAAAAGAAYAWwEA&#10;ALUDAAAAAA==&#10;" path="m0,209l1,0,4576,0,4576,210e">
                      <v:fill on="t" focussize="0,0"/>
                      <v:stroke color="#000000" joinstyle="round" startarrow="block" startarrowwidth="narrow" startarrowlength="short" endarrow="block" endarrowwidth="narrow" endarrowlength="short"/>
                      <v:imagedata o:title=""/>
                      <o:lock v:ext="edit" aspectratio="f"/>
                    </v:shape>
                    <v:line id="直线 185" o:spid="_x0000_s1026" o:spt="20" style="position:absolute;left:6710;top:2059948;height:163;width:0;" filled="f" stroked="t" coordsize="21600,21600" o:gfxdata="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Kvm0LsAAADc&#10;AAAADwAAAAAAAAABACAAAAAiAAAAZHJzL2Rvd25yZXYueG1sUEsBAhQAFAAAAAgAh07iQDMvBZ47&#10;AAAAOQAAABAAAAAAAAAAAQAgAAAACgEAAGRycy9zaGFwZXhtbC54bWxQSwUGAAAAAAYABgBbAQAA&#10;tAMAAAAA&#10;">
                      <v:fill on="f" focussize="0,0"/>
                      <v:stroke color="#000000" joinstyle="round" endarrowwidth="narrow" endarrowlength="short"/>
                      <v:imagedata o:title=""/>
                      <o:lock v:ext="edit" aspectratio="f"/>
                    </v:line>
                  </v:group>
                </v:group>
                <v:group id="组合 186" o:spid="_x0000_s1026" o:spt="203" style="position:absolute;left:2962;top:2060313;height:1167;width:7044;" coordorigin="2962,2060313" coordsize="7044,1167" o:gfxdata="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wMZiCvAAAANwAAAAPAAAAAAAAAAEAIAAAACIAAABkcnMvZG93bnJldi54bWxQ&#10;SwECFAAUAAAACACHTuJAMy8FnjsAAAA5AAAAFQAAAAAAAAABACAAAAALAQAAZHJzL2dyb3Vwc2hh&#10;cGV4bWwueG1sUEsFBgAAAAAGAAYAYAEAAMgDAAAAAA==&#10;">
                  <o:lock v:ext="edit" aspectratio="f"/>
                  <v:shape id="文本框 187" o:spid="_x0000_s1026" o:spt="202" type="#_x0000_t202" style="position:absolute;left:7999;top:2060325;height:383;width:2007;" fillcolor="#C6D9F1" filled="t" stroked="t" coordsize="21600,21600" o:gfxdata="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n5hN7sAAADc&#10;AAAADwAAAAAAAAABACAAAAAiAAAAZHJzL2Rvd25yZXYueG1sUEsBAhQAFAAAAAgAh07iQDMvBZ47&#10;AAAAOQAAABAAAAAAAAAAAQAgAAAACgEAAGRycy9zaGFwZXhtbC54bWxQSwUGAAAAAAYABgBbAQAA&#10;tAMAAAAA&#10;">
                    <v:fill on="t" focussize="0,0"/>
                    <v:stroke color="#000000" joinstyle="miter" endarrowwidth="narrow" endarrowlength="short"/>
                    <v:imagedata o:title=""/>
                    <o:lock v:ext="edit" aspectratio="f"/>
                    <v:textbox inset="3mm,0mm,3mm,0mm">
                      <w:txbxContent>
                        <w:p w14:paraId="116FA4F3">
                          <w:pPr>
                            <w:ind w:firstLine="0" w:firstLineChars="0"/>
                            <w:jc w:val="center"/>
                            <w:rPr>
                              <w:sz w:val="21"/>
                            </w:rPr>
                          </w:pPr>
                          <w:r>
                            <w:rPr>
                              <w:rFonts w:hint="eastAsia"/>
                              <w:sz w:val="21"/>
                            </w:rPr>
                            <w:t>施工技术人员</w:t>
                          </w:r>
                        </w:p>
                      </w:txbxContent>
                    </v:textbox>
                  </v:shape>
                  <v:shape id="文本框 188" o:spid="_x0000_s1026" o:spt="202" type="#_x0000_t202" style="position:absolute;left:2962;top:2060313;height:384;width:2568;" fillcolor="#C6D9F1" filled="t" stroked="t" coordsize="21600,21600" o:gfxdata="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rP9AvQAA&#10;ANwAAAAPAAAAAAAAAAEAIAAAACIAAABkcnMvZG93bnJldi54bWxQSwECFAAUAAAACACHTuJAMy8F&#10;njsAAAA5AAAAEAAAAAAAAAABACAAAAAMAQAAZHJzL3NoYXBleG1sLnhtbFBLBQYAAAAABgAGAFsB&#10;AAC2AwAAAAA=&#10;">
                    <v:fill on="t" focussize="0,0"/>
                    <v:stroke color="#000000" joinstyle="miter" endarrowwidth="narrow" endarrowlength="short"/>
                    <v:imagedata o:title=""/>
                    <o:lock v:ext="edit" aspectratio="f"/>
                    <v:textbox inset="3mm,0mm,3mm,0mm">
                      <w:txbxContent>
                        <w:p w14:paraId="24446A22">
                          <w:pPr>
                            <w:ind w:firstLine="0" w:firstLineChars="0"/>
                            <w:jc w:val="center"/>
                            <w:rPr>
                              <w:sz w:val="21"/>
                            </w:rPr>
                          </w:pPr>
                          <w:r>
                            <w:rPr>
                              <w:rFonts w:hint="eastAsia"/>
                              <w:sz w:val="21"/>
                            </w:rPr>
                            <w:t>各职能部门负责人</w:t>
                          </w:r>
                        </w:p>
                      </w:txbxContent>
                    </v:textbox>
                  </v:shape>
                  <v:shape id="文本框 190" o:spid="_x0000_s1026" o:spt="202" type="#_x0000_t202" style="position:absolute;left:5859;top:2061096;height:384;width:1761;" fillcolor="#C6D9F1" filled="t" stroked="t" coordsize="21600,21600" o:gfxdata="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CcKvvQAA&#10;ANwAAAAPAAAAAAAAAAEAIAAAACIAAABkcnMvZG93bnJldi54bWxQSwECFAAUAAAACACHTuJAMy8F&#10;njsAAAA5AAAAEAAAAAAAAAABACAAAAAMAQAAZHJzL3NoYXBleG1sLnhtbFBLBQYAAAAABgAGAFsB&#10;AAC2AwAAAAA=&#10;">
                    <v:fill on="t" focussize="0,0"/>
                    <v:stroke color="#000000" joinstyle="miter" endarrowwidth="narrow" endarrowlength="short"/>
                    <v:imagedata o:title=""/>
                    <o:lock v:ext="edit" aspectratio="f"/>
                    <v:textbox inset="3mm,0mm,3mm,0mm">
                      <w:txbxContent>
                        <w:p w14:paraId="4B4D7DF7">
                          <w:pPr>
                            <w:ind w:firstLine="0" w:firstLineChars="0"/>
                            <w:rPr>
                              <w:sz w:val="21"/>
                            </w:rPr>
                          </w:pPr>
                          <w:r>
                            <w:rPr>
                              <w:rFonts w:hint="eastAsia"/>
                              <w:sz w:val="21"/>
                            </w:rPr>
                            <w:t>施工作业层</w:t>
                          </w:r>
                        </w:p>
                      </w:txbxContent>
                    </v:textbox>
                  </v:shape>
                  <v:shape id="任意多边形 192" o:spid="_x0000_s1026" o:spt="100" style="position:absolute;left:4078;top:2060689;height:192;width:5025;" fillcolor="#C6D9F1" filled="t" stroked="t" coordsize="4576,210" o:gfxdata="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Uyv4rsAAADc&#10;AAAADwAAAAAAAAABACAAAAAiAAAAZHJzL2Rvd25yZXYueG1sUEsBAhQAFAAAAAgAh07iQDMvBZ47&#10;AAAAOQAAABAAAAAAAAAAAQAgAAAACgEAAGRycy9zaGFwZXhtbC54bWxQSwUGAAAAAAYABgBbAQAA&#10;tAMAAAAA&#10;" path="m0,1l1,210,4576,210,4576,0e">
                    <v:fill on="t" focussize="0,0"/>
                    <v:stroke color="#000000" joinstyle="round" endarrowwidth="narrow" endarrowlength="short"/>
                    <v:imagedata o:title=""/>
                    <o:lock v:ext="edit" aspectratio="f"/>
                  </v:shape>
                  <v:line id="直线 193" o:spid="_x0000_s1026" o:spt="20" style="position:absolute;left:6758;top:2060881;height:219;width:0;" filled="f" stroked="t" coordsize="21600,21600" o:gfxdata="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hdHS/&#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short"/>
                    <v:imagedata o:title=""/>
                    <o:lock v:ext="edit" aspectratio="f"/>
                  </v:line>
                </v:group>
                <w10:wrap type="topAndBottom"/>
              </v:group>
            </w:pict>
          </mc:Fallback>
        </mc:AlternateContent>
      </w:r>
    </w:p>
    <w:p w14:paraId="152F812B">
      <w:pPr>
        <w:ind w:firstLine="3600" w:firstLineChars="1500"/>
        <w:rPr>
          <w:rFonts w:hint="eastAsia" w:ascii="宋体" w:hAnsi="宋体" w:eastAsia="宋体" w:cs="宋体"/>
          <w:szCs w:val="24"/>
          <w:highlight w:val="none"/>
          <w:u w:val="double"/>
        </w:rPr>
      </w:pPr>
      <w:r>
        <w:rPr>
          <w:rFonts w:hint="eastAsia" w:ascii="宋体" w:hAnsi="宋体" w:eastAsia="宋体" w:cs="宋体"/>
          <w:highlight w:val="none"/>
          <w:u w:val="double"/>
        </w:rPr>
        <w:t>工期保证组织机构图</w:t>
      </w:r>
    </w:p>
    <w:p w14:paraId="1E7988EF">
      <w:pPr>
        <w:pStyle w:val="14"/>
        <w:bidi w:val="0"/>
        <w:rPr>
          <w:rFonts w:hint="default"/>
          <w:lang w:val="en-US" w:eastAsia="zh-CN"/>
        </w:rPr>
      </w:pPr>
      <w:bookmarkStart w:id="1419" w:name="_Toc13968"/>
      <w:bookmarkStart w:id="1420" w:name="_Toc15444"/>
      <w:bookmarkStart w:id="1421" w:name="_Toc24899"/>
      <w:bookmarkStart w:id="1422" w:name="_Toc30257"/>
    </w:p>
    <w:p w14:paraId="3B93E148">
      <w:pPr>
        <w:pStyle w:val="4"/>
        <w:numPr>
          <w:ilvl w:val="1"/>
          <w:numId w:val="0"/>
        </w:numPr>
        <w:spacing w:line="360" w:lineRule="auto"/>
        <w:ind w:firstLine="0" w:firstLineChars="0"/>
        <w:rPr>
          <w:rFonts w:hint="eastAsia" w:ascii="宋体" w:hAnsi="宋体" w:eastAsia="宋体" w:cs="宋体"/>
          <w:color w:val="auto"/>
        </w:rPr>
      </w:pPr>
      <w:bookmarkStart w:id="1423" w:name="_Toc25654"/>
      <w:r>
        <w:rPr>
          <w:rFonts w:hint="eastAsia" w:ascii="宋体" w:hAnsi="宋体" w:cs="Times New Roman"/>
          <w:b/>
          <w:bCs/>
          <w:color w:val="auto"/>
          <w:kern w:val="2"/>
          <w:sz w:val="32"/>
          <w:szCs w:val="32"/>
          <w:lang w:val="en-US" w:eastAsia="zh-CN" w:bidi="ar-SA"/>
        </w:rPr>
        <w:t>9</w:t>
      </w:r>
      <w:r>
        <w:rPr>
          <w:rFonts w:hint="default" w:ascii="宋体" w:hAnsi="宋体" w:eastAsia="宋体" w:cs="Times New Roman"/>
          <w:b/>
          <w:bCs/>
          <w:color w:val="auto"/>
          <w:kern w:val="2"/>
          <w:sz w:val="32"/>
          <w:szCs w:val="32"/>
          <w:lang w:val="en-US" w:eastAsia="zh-CN" w:bidi="ar-SA"/>
        </w:rPr>
        <w:t>.2.</w:t>
      </w:r>
      <w:r>
        <w:rPr>
          <w:rFonts w:hint="eastAsia" w:ascii="宋体" w:hAnsi="宋体" w:eastAsia="宋体" w:cs="宋体"/>
          <w:color w:val="auto"/>
        </w:rPr>
        <w:t>工期保证体系</w:t>
      </w:r>
      <w:bookmarkEnd w:id="1419"/>
      <w:bookmarkEnd w:id="1420"/>
      <w:bookmarkEnd w:id="1421"/>
      <w:bookmarkEnd w:id="1422"/>
      <w:bookmarkEnd w:id="1423"/>
    </w:p>
    <w:p w14:paraId="3080C148">
      <w:pPr>
        <w:ind w:firstLine="480"/>
        <w:rPr>
          <w:rFonts w:hint="eastAsia" w:ascii="宋体" w:hAnsi="宋体" w:eastAsia="宋体" w:cs="宋体"/>
        </w:rPr>
      </w:pPr>
      <w:r>
        <w:rPr>
          <w:rFonts w:hint="eastAsia" w:ascii="宋体" w:hAnsi="宋体" w:eastAsia="宋体" w:cs="宋体"/>
        </w:rPr>
        <w:t>组建强有力的指挥机构,实行经理部、工程队二级管理体系，工期保证体系详见下页体系图。</w:t>
      </w:r>
    </w:p>
    <w:p w14:paraId="577D09B0">
      <w:pPr>
        <w:pStyle w:val="4"/>
        <w:numPr>
          <w:ilvl w:val="1"/>
          <w:numId w:val="0"/>
        </w:numPr>
        <w:spacing w:line="360" w:lineRule="auto"/>
        <w:ind w:firstLine="0" w:firstLineChars="0"/>
        <w:rPr>
          <w:rFonts w:hint="eastAsia" w:ascii="宋体" w:hAnsi="宋体" w:eastAsia="宋体" w:cs="宋体"/>
          <w:color w:val="auto"/>
        </w:rPr>
      </w:pPr>
      <w:bookmarkStart w:id="1424" w:name="_Toc26648"/>
      <w:bookmarkStart w:id="1425" w:name="_Toc21297"/>
      <w:bookmarkStart w:id="1426" w:name="_Toc10685"/>
      <w:bookmarkStart w:id="1427" w:name="_Toc20500"/>
      <w:bookmarkStart w:id="1428" w:name="_Toc15194"/>
      <w:bookmarkStart w:id="1429" w:name="_Toc4504"/>
      <w:bookmarkStart w:id="1430" w:name="_Toc12139"/>
      <w:bookmarkStart w:id="1431" w:name="_Toc19393"/>
      <w:bookmarkStart w:id="1432" w:name="_Toc27815"/>
      <w:bookmarkStart w:id="1433" w:name="_Toc25692"/>
      <w:bookmarkStart w:id="1434" w:name="_Toc23431"/>
      <w:bookmarkStart w:id="1435" w:name="_Toc32525"/>
      <w:r>
        <w:rPr>
          <w:rFonts w:hint="eastAsia" w:ascii="宋体" w:hAnsi="宋体" w:cs="Times New Roman"/>
          <w:b/>
          <w:bCs/>
          <w:color w:val="auto"/>
          <w:kern w:val="2"/>
          <w:sz w:val="32"/>
          <w:szCs w:val="32"/>
          <w:lang w:val="en-US" w:eastAsia="zh-CN" w:bidi="ar-SA"/>
        </w:rPr>
        <w:t>9</w:t>
      </w:r>
      <w:r>
        <w:rPr>
          <w:rFonts w:hint="default" w:ascii="宋体" w:hAnsi="宋体" w:eastAsia="宋体" w:cs="Times New Roman"/>
          <w:b/>
          <w:bCs/>
          <w:color w:val="auto"/>
          <w:kern w:val="2"/>
          <w:sz w:val="32"/>
          <w:szCs w:val="32"/>
          <w:lang w:val="en-US" w:eastAsia="zh-CN" w:bidi="ar-SA"/>
        </w:rPr>
        <w:t>.3.</w:t>
      </w:r>
      <w:r>
        <w:rPr>
          <w:rFonts w:hint="eastAsia" w:ascii="宋体" w:hAnsi="宋体" w:eastAsia="宋体" w:cs="宋体"/>
          <w:color w:val="auto"/>
        </w:rPr>
        <w:t>保证工期的一般措施</w:t>
      </w:r>
      <w:bookmarkEnd w:id="1424"/>
      <w:bookmarkEnd w:id="1425"/>
      <w:bookmarkEnd w:id="1426"/>
      <w:bookmarkEnd w:id="1427"/>
      <w:bookmarkEnd w:id="1428"/>
      <w:bookmarkEnd w:id="1429"/>
      <w:bookmarkEnd w:id="1430"/>
      <w:bookmarkEnd w:id="1431"/>
      <w:bookmarkEnd w:id="1432"/>
      <w:bookmarkEnd w:id="1433"/>
      <w:bookmarkEnd w:id="1434"/>
      <w:bookmarkEnd w:id="1435"/>
    </w:p>
    <w:p w14:paraId="2EAA9FAD">
      <w:pPr>
        <w:ind w:firstLine="480"/>
        <w:rPr>
          <w:rFonts w:hint="eastAsia" w:ascii="宋体" w:hAnsi="宋体" w:eastAsia="宋体" w:cs="宋体"/>
        </w:rPr>
      </w:pPr>
      <w:r>
        <w:rPr>
          <w:rFonts w:hint="eastAsia" w:ascii="宋体" w:hAnsi="宋体" w:eastAsia="宋体" w:cs="宋体"/>
        </w:rPr>
        <w:t>为确保本标段工程顺利施工，我们将严格按照业主的要求，组织强有力的施工队伍、精良的设备、有类似工程施工经验管理人员，用成功的施工新技术、新工艺、新方法，合理安排工期，编制切实可行的施工计划，优质高效地按计划完成工程任务。</w:t>
      </w:r>
    </w:p>
    <w:p w14:paraId="501F4016">
      <w:pPr>
        <w:numPr>
          <w:ilvl w:val="0"/>
          <w:numId w:val="16"/>
        </w:numPr>
        <w:ind w:firstLine="482"/>
        <w:rPr>
          <w:rFonts w:hint="eastAsia" w:ascii="宋体" w:hAnsi="宋体" w:eastAsia="宋体" w:cs="宋体"/>
          <w:b/>
          <w:bCs/>
        </w:rPr>
      </w:pPr>
      <w:r>
        <w:rPr>
          <w:rFonts w:hint="eastAsia" w:ascii="宋体" w:hAnsi="宋体" w:eastAsia="宋体" w:cs="宋体"/>
          <w:b/>
          <w:bCs/>
        </w:rPr>
        <w:t>工期总体目标</w:t>
      </w:r>
    </w:p>
    <w:p w14:paraId="4A8D25E5">
      <w:pPr>
        <w:ind w:firstLine="480"/>
        <w:rPr>
          <w:rFonts w:hint="eastAsia" w:ascii="宋体" w:hAnsi="宋体" w:eastAsia="宋体" w:cs="宋体"/>
        </w:rPr>
      </w:pPr>
      <w:r>
        <w:rPr>
          <w:rFonts w:hint="eastAsia" w:ascii="宋体" w:hAnsi="宋体" w:eastAsia="宋体" w:cs="宋体"/>
        </w:rPr>
        <w:t>本工期控制总体目标：招标文件要求工期为</w:t>
      </w:r>
      <w:r>
        <w:rPr>
          <w:rFonts w:hint="eastAsia" w:ascii="宋体" w:hAnsi="宋体" w:cs="宋体"/>
          <w:lang w:val="en-US" w:eastAsia="zh-CN"/>
        </w:rPr>
        <w:t>30</w:t>
      </w:r>
      <w:r>
        <w:rPr>
          <w:rFonts w:hint="eastAsia" w:ascii="宋体" w:hAnsi="宋体" w:eastAsia="宋体" w:cs="宋体"/>
        </w:rPr>
        <w:t>个月，我单位计划在</w:t>
      </w:r>
      <w:r>
        <w:rPr>
          <w:rFonts w:hint="eastAsia" w:ascii="宋体" w:hAnsi="宋体" w:cs="宋体"/>
          <w:lang w:val="en-US" w:eastAsia="zh-CN"/>
        </w:rPr>
        <w:t>30</w:t>
      </w:r>
      <w:r>
        <w:rPr>
          <w:rFonts w:hint="eastAsia" w:ascii="宋体" w:hAnsi="宋体" w:eastAsia="宋体" w:cs="宋体"/>
        </w:rPr>
        <w:t>个月内完成所有工程项目，并办理交工验收手续和交付使用。</w:t>
      </w:r>
    </w:p>
    <w:p w14:paraId="1DD10415">
      <w:pPr>
        <w:ind w:firstLine="480"/>
        <w:rPr>
          <w:rFonts w:hint="eastAsia" w:ascii="宋体" w:hAnsi="宋体" w:eastAsia="宋体" w:cs="宋体"/>
        </w:rPr>
      </w:pPr>
      <w:r>
        <w:rPr>
          <w:rFonts w:hint="eastAsia" w:ascii="宋体" w:hAnsi="宋体" w:eastAsia="宋体" w:cs="宋体"/>
        </w:rPr>
        <w:t>（1）编写施工进度计划</w:t>
      </w:r>
    </w:p>
    <w:p w14:paraId="6EDA8A6D">
      <w:pPr>
        <w:ind w:firstLine="480"/>
        <w:rPr>
          <w:rFonts w:hint="eastAsia" w:ascii="宋体" w:hAnsi="宋体" w:eastAsia="宋体" w:cs="宋体"/>
        </w:rPr>
      </w:pPr>
      <w:r>
        <w:rPr>
          <w:rFonts w:hint="eastAsia" w:ascii="宋体" w:hAnsi="宋体" w:eastAsia="宋体" w:cs="宋体"/>
        </w:rPr>
        <w:t>①工序之间的合理衔接。</w:t>
      </w:r>
    </w:p>
    <w:p w14:paraId="31B117BD">
      <w:pPr>
        <w:ind w:firstLine="480"/>
        <w:rPr>
          <w:rFonts w:hint="eastAsia" w:ascii="宋体" w:hAnsi="宋体" w:eastAsia="宋体" w:cs="宋体"/>
        </w:rPr>
      </w:pPr>
      <w:r>
        <w:rPr>
          <w:rFonts w:hint="eastAsia" w:ascii="宋体" w:hAnsi="宋体" w:eastAsia="宋体" w:cs="宋体"/>
        </w:rPr>
        <w:t>②施工方法的可靠性以及与施工经验、施工实际水平的适应性。</w:t>
      </w:r>
    </w:p>
    <w:p w14:paraId="6DA0E2F0">
      <w:pPr>
        <w:ind w:firstLine="480"/>
        <w:rPr>
          <w:rFonts w:hint="eastAsia" w:ascii="宋体" w:hAnsi="宋体" w:eastAsia="宋体" w:cs="宋体"/>
        </w:rPr>
      </w:pPr>
      <w:r>
        <w:rPr>
          <w:rFonts w:hint="eastAsia" w:ascii="宋体" w:hAnsi="宋体" w:eastAsia="宋体" w:cs="宋体"/>
        </w:rPr>
        <w:t>③关键线路上劳力、设备安排是否妥当。</w:t>
      </w:r>
    </w:p>
    <w:p w14:paraId="23EB3D16">
      <w:pPr>
        <w:ind w:firstLine="480"/>
        <w:rPr>
          <w:rFonts w:hint="eastAsia" w:ascii="宋体" w:hAnsi="宋体" w:eastAsia="宋体" w:cs="宋体"/>
        </w:rPr>
      </w:pPr>
      <w:r>
        <w:rPr>
          <w:rFonts w:hint="eastAsia" w:ascii="宋体" w:hAnsi="宋体" w:eastAsia="宋体" w:cs="宋体"/>
        </w:rPr>
        <w:t>④进度计划是否留有余地，计划调节的可能性。</w:t>
      </w:r>
    </w:p>
    <w:p w14:paraId="71D96D01">
      <w:pPr>
        <w:ind w:firstLine="480"/>
        <w:rPr>
          <w:rFonts w:hint="eastAsia" w:ascii="宋体" w:hAnsi="宋体" w:eastAsia="宋体" w:cs="宋体"/>
        </w:rPr>
      </w:pPr>
      <w:r>
        <w:rPr>
          <w:rFonts w:hint="eastAsia" w:ascii="宋体" w:hAnsi="宋体" w:eastAsia="宋体" w:cs="宋体"/>
        </w:rPr>
        <w:t>⑤做好冬季、雨季施工安排。</w:t>
      </w:r>
    </w:p>
    <w:p w14:paraId="58A35E66">
      <w:pPr>
        <w:ind w:firstLine="480"/>
        <w:rPr>
          <w:rFonts w:hint="eastAsia" w:ascii="宋体" w:hAnsi="宋体" w:eastAsia="宋体" w:cs="宋体"/>
        </w:rPr>
      </w:pPr>
      <w:r>
        <w:rPr>
          <w:rFonts w:hint="eastAsia" w:ascii="宋体" w:hAnsi="宋体" w:eastAsia="宋体" w:cs="宋体"/>
        </w:rPr>
        <w:t>（2）制定材料、设备的采购、供应计划</w:t>
      </w:r>
    </w:p>
    <w:p w14:paraId="446FF5FC">
      <w:pPr>
        <w:ind w:firstLine="480"/>
        <w:rPr>
          <w:rFonts w:hint="eastAsia" w:ascii="宋体" w:hAnsi="宋体" w:eastAsia="宋体" w:cs="宋体"/>
        </w:rPr>
      </w:pPr>
      <w:r>
        <w:rPr>
          <w:rFonts w:hint="eastAsia" w:ascii="宋体" w:hAnsi="宋体" w:eastAsia="宋体" w:cs="宋体"/>
        </w:rPr>
        <w:t>项目部下设的计划合同部、设备物资部、工程部，按照工程工期计划，制定详细地需要数量，特别是专用设备的质量状况和数量、特殊材料的需要计划等。</w:t>
      </w:r>
    </w:p>
    <w:p w14:paraId="05011097">
      <w:pPr>
        <w:ind w:firstLine="0" w:firstLineChars="0"/>
        <w:rPr>
          <w:rFonts w:ascii="宋体" w:cs="宋体"/>
          <w:highlight w:val="yellow"/>
        </w:rPr>
      </w:pPr>
      <w:r>
        <mc:AlternateContent>
          <mc:Choice Requires="wpg">
            <w:drawing>
              <wp:anchor distT="0" distB="0" distL="114300" distR="114300" simplePos="0" relativeHeight="251671552" behindDoc="0" locked="0" layoutInCell="1" allowOverlap="1">
                <wp:simplePos x="0" y="0"/>
                <wp:positionH relativeFrom="column">
                  <wp:posOffset>109855</wp:posOffset>
                </wp:positionH>
                <wp:positionV relativeFrom="paragraph">
                  <wp:posOffset>64135</wp:posOffset>
                </wp:positionV>
                <wp:extent cx="6106160" cy="7670800"/>
                <wp:effectExtent l="4445" t="5080" r="15875" b="5080"/>
                <wp:wrapTopAndBottom/>
                <wp:docPr id="984" name="组合 197"/>
                <wp:cNvGraphicFramePr/>
                <a:graphic xmlns:a="http://schemas.openxmlformats.org/drawingml/2006/main">
                  <a:graphicData uri="http://schemas.microsoft.com/office/word/2010/wordprocessingGroup">
                    <wpg:wgp>
                      <wpg:cNvGrpSpPr/>
                      <wpg:grpSpPr>
                        <a:xfrm>
                          <a:off x="0" y="0"/>
                          <a:ext cx="6106160" cy="7670800"/>
                          <a:chOff x="2268" y="3260"/>
                          <a:chExt cx="8160" cy="11405"/>
                        </a:xfrm>
                      </wpg:grpSpPr>
                      <wps:wsp>
                        <wps:cNvPr id="923" name="文本框 198"/>
                        <wps:cNvSpPr txBox="1"/>
                        <wps:spPr>
                          <a:xfrm>
                            <a:off x="3492" y="4097"/>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0E44B335">
                              <w:pPr>
                                <w:ind w:firstLine="0" w:firstLineChars="0"/>
                                <w:jc w:val="center"/>
                                <w:rPr>
                                  <w:sz w:val="18"/>
                                </w:rPr>
                              </w:pPr>
                              <w:r>
                                <w:rPr>
                                  <w:rFonts w:hint="eastAsia"/>
                                  <w:sz w:val="18"/>
                                </w:rPr>
                                <w:t>施工组织保证</w:t>
                              </w:r>
                            </w:p>
                          </w:txbxContent>
                        </wps:txbx>
                        <wps:bodyPr vert="eaVert" upright="1"/>
                      </wps:wsp>
                      <wps:wsp>
                        <wps:cNvPr id="924" name="矩形 199"/>
                        <wps:cNvSpPr/>
                        <wps:spPr>
                          <a:xfrm>
                            <a:off x="4897" y="3260"/>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00008894">
                              <w:pPr>
                                <w:spacing w:line="240" w:lineRule="atLeast"/>
                                <w:ind w:firstLine="0" w:firstLineChars="0"/>
                                <w:jc w:val="center"/>
                                <w:rPr>
                                  <w:spacing w:val="-2"/>
                                  <w:sz w:val="18"/>
                                </w:rPr>
                              </w:pPr>
                              <w:r>
                                <w:rPr>
                                  <w:rFonts w:hint="eastAsia"/>
                                  <w:spacing w:val="-2"/>
                                  <w:sz w:val="18"/>
                                </w:rPr>
                                <w:t>施工准备做到“三快”，</w:t>
                              </w:r>
                            </w:p>
                            <w:p w14:paraId="60264CA5">
                              <w:pPr>
                                <w:spacing w:line="240" w:lineRule="atLeast"/>
                                <w:ind w:firstLine="0" w:firstLineChars="0"/>
                                <w:jc w:val="center"/>
                                <w:rPr>
                                  <w:spacing w:val="-2"/>
                                  <w:sz w:val="18"/>
                                </w:rPr>
                              </w:pPr>
                              <w:r>
                                <w:rPr>
                                  <w:rFonts w:hint="eastAsia"/>
                                  <w:spacing w:val="-2"/>
                                  <w:sz w:val="18"/>
                                </w:rPr>
                                <w:t>进场快、安家快、开工快</w:t>
                              </w:r>
                            </w:p>
                          </w:txbxContent>
                        </wps:txbx>
                        <wps:bodyPr upright="1"/>
                      </wps:wsp>
                      <wps:wsp>
                        <wps:cNvPr id="925" name="文本框 200"/>
                        <wps:cNvSpPr txBox="1"/>
                        <wps:spPr>
                          <a:xfrm>
                            <a:off x="8568" y="4061"/>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16CCCD0">
                              <w:pPr>
                                <w:ind w:firstLine="0" w:firstLineChars="0"/>
                                <w:jc w:val="center"/>
                                <w:rPr>
                                  <w:sz w:val="18"/>
                                </w:rPr>
                              </w:pPr>
                              <w:r>
                                <w:rPr>
                                  <w:rFonts w:hint="eastAsia"/>
                                  <w:sz w:val="18"/>
                                </w:rPr>
                                <w:t>以管理做根本</w:t>
                              </w:r>
                            </w:p>
                          </w:txbxContent>
                        </wps:txbx>
                        <wps:bodyPr vert="eaVert" upright="1"/>
                      </wps:wsp>
                      <wps:wsp>
                        <wps:cNvPr id="926" name="矩形 201"/>
                        <wps:cNvSpPr/>
                        <wps:spPr>
                          <a:xfrm>
                            <a:off x="4897" y="4244"/>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7946FB7B">
                              <w:pPr>
                                <w:spacing w:line="240" w:lineRule="atLeast"/>
                                <w:ind w:firstLine="0" w:firstLineChars="0"/>
                                <w:jc w:val="center"/>
                                <w:rPr>
                                  <w:spacing w:val="-2"/>
                                  <w:sz w:val="18"/>
                                </w:rPr>
                              </w:pPr>
                              <w:r>
                                <w:rPr>
                                  <w:rFonts w:hint="eastAsia"/>
                                  <w:spacing w:val="-2"/>
                                  <w:sz w:val="18"/>
                                </w:rPr>
                                <w:t>实行网络计划管理，</w:t>
                              </w:r>
                            </w:p>
                            <w:p w14:paraId="2A4687C5">
                              <w:pPr>
                                <w:spacing w:line="240" w:lineRule="atLeast"/>
                                <w:ind w:firstLine="0" w:firstLineChars="0"/>
                                <w:jc w:val="center"/>
                                <w:rPr>
                                  <w:spacing w:val="-2"/>
                                  <w:sz w:val="18"/>
                                </w:rPr>
                              </w:pPr>
                              <w:r>
                                <w:rPr>
                                  <w:rFonts w:hint="eastAsia"/>
                                  <w:spacing w:val="-2"/>
                                  <w:sz w:val="18"/>
                                </w:rPr>
                                <w:t>及时动态调整各种施工力量</w:t>
                              </w:r>
                            </w:p>
                          </w:txbxContent>
                        </wps:txbx>
                        <wps:bodyPr upright="1"/>
                      </wps:wsp>
                      <wps:wsp>
                        <wps:cNvPr id="927" name="矩形 202"/>
                        <wps:cNvSpPr/>
                        <wps:spPr>
                          <a:xfrm>
                            <a:off x="4897" y="5288"/>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457FA93A">
                              <w:pPr>
                                <w:spacing w:line="240" w:lineRule="auto"/>
                                <w:ind w:firstLine="0" w:firstLineChars="0"/>
                                <w:jc w:val="center"/>
                                <w:rPr>
                                  <w:spacing w:val="-2"/>
                                  <w:sz w:val="18"/>
                                </w:rPr>
                              </w:pPr>
                              <w:r>
                                <w:rPr>
                                  <w:rFonts w:hint="eastAsia"/>
                                  <w:spacing w:val="-2"/>
                                  <w:sz w:val="18"/>
                                </w:rPr>
                                <w:t>与各方建立友好关系，</w:t>
                              </w:r>
                            </w:p>
                            <w:p w14:paraId="58A88C5F">
                              <w:pPr>
                                <w:spacing w:line="240" w:lineRule="auto"/>
                                <w:ind w:firstLine="0" w:firstLineChars="0"/>
                                <w:jc w:val="center"/>
                                <w:rPr>
                                  <w:spacing w:val="-2"/>
                                  <w:sz w:val="18"/>
                                </w:rPr>
                              </w:pPr>
                              <w:r>
                                <w:rPr>
                                  <w:rFonts w:hint="eastAsia"/>
                                  <w:spacing w:val="-2"/>
                                  <w:sz w:val="18"/>
                                </w:rPr>
                                <w:t>创造良好的施工外部环境</w:t>
                              </w:r>
                            </w:p>
                            <w:p w14:paraId="339D7BDF">
                              <w:pPr>
                                <w:pStyle w:val="22"/>
                                <w:ind w:firstLine="31680"/>
                                <w:rPr>
                                  <w:spacing w:val="-2"/>
                                  <w:sz w:val="18"/>
                                </w:rPr>
                              </w:pPr>
                            </w:p>
                            <w:p w14:paraId="22694400">
                              <w:pPr>
                                <w:ind w:firstLine="31680"/>
                              </w:pPr>
                            </w:p>
                          </w:txbxContent>
                        </wps:txbx>
                        <wps:bodyPr upright="1"/>
                      </wps:wsp>
                      <wps:wsp>
                        <wps:cNvPr id="928" name="矩形 203"/>
                        <wps:cNvSpPr/>
                        <wps:spPr>
                          <a:xfrm>
                            <a:off x="4897" y="6272"/>
                            <a:ext cx="2920" cy="417"/>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4518DD07">
                              <w:pPr>
                                <w:spacing w:line="240" w:lineRule="atLeast"/>
                                <w:ind w:firstLine="0" w:firstLineChars="0"/>
                                <w:jc w:val="center"/>
                                <w:rPr>
                                  <w:spacing w:val="-2"/>
                                  <w:sz w:val="18"/>
                                </w:rPr>
                              </w:pPr>
                              <w:r>
                                <w:rPr>
                                  <w:rFonts w:hint="eastAsia"/>
                                  <w:spacing w:val="-2"/>
                                  <w:sz w:val="18"/>
                                </w:rPr>
                                <w:t>适时组织劳动竞赛</w:t>
                              </w:r>
                            </w:p>
                          </w:txbxContent>
                        </wps:txbx>
                        <wps:bodyPr upright="1"/>
                      </wps:wsp>
                      <wps:wsp>
                        <wps:cNvPr id="929" name="直线 204"/>
                        <wps:cNvCnPr/>
                        <wps:spPr>
                          <a:xfrm flipH="1">
                            <a:off x="4680" y="3601"/>
                            <a:ext cx="216" cy="0"/>
                          </a:xfrm>
                          <a:prstGeom prst="line">
                            <a:avLst/>
                          </a:prstGeom>
                          <a:ln w="9525" cap="flat" cmpd="sng">
                            <a:solidFill>
                              <a:srgbClr val="000000"/>
                            </a:solidFill>
                            <a:prstDash val="solid"/>
                            <a:headEnd type="none" w="med" len="med"/>
                            <a:tailEnd type="none" w="med" len="med"/>
                          </a:ln>
                        </wps:spPr>
                        <wps:bodyPr upright="1"/>
                      </wps:wsp>
                      <wps:wsp>
                        <wps:cNvPr id="930" name="直线 205"/>
                        <wps:cNvCnPr/>
                        <wps:spPr>
                          <a:xfrm flipH="1">
                            <a:off x="4680" y="4609"/>
                            <a:ext cx="216" cy="0"/>
                          </a:xfrm>
                          <a:prstGeom prst="line">
                            <a:avLst/>
                          </a:prstGeom>
                          <a:ln w="9525" cap="flat" cmpd="sng">
                            <a:solidFill>
                              <a:srgbClr val="000000"/>
                            </a:solidFill>
                            <a:prstDash val="solid"/>
                            <a:headEnd type="none" w="med" len="med"/>
                            <a:tailEnd type="none" w="med" len="med"/>
                          </a:ln>
                        </wps:spPr>
                        <wps:bodyPr upright="1"/>
                      </wps:wsp>
                      <wps:wsp>
                        <wps:cNvPr id="931" name="直线 206"/>
                        <wps:cNvCnPr/>
                        <wps:spPr>
                          <a:xfrm flipH="1">
                            <a:off x="4680" y="5617"/>
                            <a:ext cx="216" cy="0"/>
                          </a:xfrm>
                          <a:prstGeom prst="line">
                            <a:avLst/>
                          </a:prstGeom>
                          <a:ln w="9525" cap="flat" cmpd="sng">
                            <a:solidFill>
                              <a:srgbClr val="000000"/>
                            </a:solidFill>
                            <a:prstDash val="solid"/>
                            <a:headEnd type="none" w="med" len="med"/>
                            <a:tailEnd type="none" w="med" len="med"/>
                          </a:ln>
                        </wps:spPr>
                        <wps:bodyPr upright="1"/>
                      </wps:wsp>
                      <wps:wsp>
                        <wps:cNvPr id="932" name="直线 207"/>
                        <wps:cNvCnPr/>
                        <wps:spPr>
                          <a:xfrm flipH="1">
                            <a:off x="4680" y="6481"/>
                            <a:ext cx="216" cy="0"/>
                          </a:xfrm>
                          <a:prstGeom prst="line">
                            <a:avLst/>
                          </a:prstGeom>
                          <a:ln w="9525" cap="flat" cmpd="sng">
                            <a:solidFill>
                              <a:srgbClr val="000000"/>
                            </a:solidFill>
                            <a:prstDash val="solid"/>
                            <a:headEnd type="none" w="med" len="med"/>
                            <a:tailEnd type="none" w="med" len="med"/>
                          </a:ln>
                        </wps:spPr>
                        <wps:bodyPr upright="1"/>
                      </wps:wsp>
                      <wps:wsp>
                        <wps:cNvPr id="933" name="直线 208"/>
                        <wps:cNvCnPr/>
                        <wps:spPr>
                          <a:xfrm flipH="1">
                            <a:off x="7812" y="6481"/>
                            <a:ext cx="216" cy="0"/>
                          </a:xfrm>
                          <a:prstGeom prst="line">
                            <a:avLst/>
                          </a:prstGeom>
                          <a:ln w="9525" cap="flat" cmpd="sng">
                            <a:solidFill>
                              <a:srgbClr val="000000"/>
                            </a:solidFill>
                            <a:prstDash val="solid"/>
                            <a:headEnd type="none" w="med" len="med"/>
                            <a:tailEnd type="none" w="med" len="med"/>
                          </a:ln>
                        </wps:spPr>
                        <wps:bodyPr upright="1"/>
                      </wps:wsp>
                      <wps:wsp>
                        <wps:cNvPr id="934" name="直线 209"/>
                        <wps:cNvCnPr/>
                        <wps:spPr>
                          <a:xfrm flipH="1">
                            <a:off x="7812" y="5629"/>
                            <a:ext cx="216" cy="0"/>
                          </a:xfrm>
                          <a:prstGeom prst="line">
                            <a:avLst/>
                          </a:prstGeom>
                          <a:ln w="9525" cap="flat" cmpd="sng">
                            <a:solidFill>
                              <a:srgbClr val="000000"/>
                            </a:solidFill>
                            <a:prstDash val="solid"/>
                            <a:headEnd type="none" w="med" len="med"/>
                            <a:tailEnd type="none" w="med" len="med"/>
                          </a:ln>
                        </wps:spPr>
                        <wps:bodyPr upright="1"/>
                      </wps:wsp>
                      <wps:wsp>
                        <wps:cNvPr id="935" name="直线 210"/>
                        <wps:cNvCnPr/>
                        <wps:spPr>
                          <a:xfrm flipH="1">
                            <a:off x="7812" y="4657"/>
                            <a:ext cx="216" cy="0"/>
                          </a:xfrm>
                          <a:prstGeom prst="line">
                            <a:avLst/>
                          </a:prstGeom>
                          <a:ln w="9525" cap="flat" cmpd="sng">
                            <a:solidFill>
                              <a:srgbClr val="000000"/>
                            </a:solidFill>
                            <a:prstDash val="solid"/>
                            <a:headEnd type="none" w="med" len="med"/>
                            <a:tailEnd type="none" w="med" len="med"/>
                          </a:ln>
                        </wps:spPr>
                        <wps:bodyPr upright="1"/>
                      </wps:wsp>
                      <wps:wsp>
                        <wps:cNvPr id="936" name="直线 211"/>
                        <wps:cNvCnPr/>
                        <wps:spPr>
                          <a:xfrm flipH="1">
                            <a:off x="7812" y="3613"/>
                            <a:ext cx="216" cy="0"/>
                          </a:xfrm>
                          <a:prstGeom prst="line">
                            <a:avLst/>
                          </a:prstGeom>
                          <a:ln w="9525" cap="flat" cmpd="sng">
                            <a:solidFill>
                              <a:srgbClr val="000000"/>
                            </a:solidFill>
                            <a:prstDash val="solid"/>
                            <a:headEnd type="none" w="med" len="med"/>
                            <a:tailEnd type="none" w="med" len="med"/>
                          </a:ln>
                        </wps:spPr>
                        <wps:bodyPr upright="1"/>
                      </wps:wsp>
                      <wps:wsp>
                        <wps:cNvPr id="937" name="直线 212"/>
                        <wps:cNvCnPr/>
                        <wps:spPr>
                          <a:xfrm flipV="1">
                            <a:off x="4680" y="3601"/>
                            <a:ext cx="0" cy="2880"/>
                          </a:xfrm>
                          <a:prstGeom prst="line">
                            <a:avLst/>
                          </a:prstGeom>
                          <a:ln w="9525" cap="flat" cmpd="sng">
                            <a:solidFill>
                              <a:srgbClr val="000000"/>
                            </a:solidFill>
                            <a:prstDash val="solid"/>
                            <a:headEnd type="none" w="med" len="med"/>
                            <a:tailEnd type="none" w="med" len="med"/>
                          </a:ln>
                        </wps:spPr>
                        <wps:bodyPr upright="1"/>
                      </wps:wsp>
                      <wps:wsp>
                        <wps:cNvPr id="938" name="直线 213"/>
                        <wps:cNvCnPr/>
                        <wps:spPr>
                          <a:xfrm flipV="1">
                            <a:off x="8040" y="3601"/>
                            <a:ext cx="0" cy="2880"/>
                          </a:xfrm>
                          <a:prstGeom prst="line">
                            <a:avLst/>
                          </a:prstGeom>
                          <a:ln w="9525" cap="flat" cmpd="sng">
                            <a:solidFill>
                              <a:srgbClr val="000000"/>
                            </a:solidFill>
                            <a:prstDash val="solid"/>
                            <a:headEnd type="none" w="med" len="med"/>
                            <a:tailEnd type="none" w="med" len="med"/>
                          </a:ln>
                        </wps:spPr>
                        <wps:bodyPr upright="1"/>
                      </wps:wsp>
                      <wps:wsp>
                        <wps:cNvPr id="939" name="直线 214"/>
                        <wps:cNvCnPr/>
                        <wps:spPr>
                          <a:xfrm>
                            <a:off x="4152" y="5065"/>
                            <a:ext cx="540" cy="0"/>
                          </a:xfrm>
                          <a:prstGeom prst="line">
                            <a:avLst/>
                          </a:prstGeom>
                          <a:ln w="9525" cap="flat" cmpd="sng">
                            <a:solidFill>
                              <a:srgbClr val="000000"/>
                            </a:solidFill>
                            <a:prstDash val="solid"/>
                            <a:headEnd type="none" w="med" len="med"/>
                            <a:tailEnd type="none" w="med" len="med"/>
                          </a:ln>
                        </wps:spPr>
                        <wps:bodyPr upright="1"/>
                      </wps:wsp>
                      <wps:wsp>
                        <wps:cNvPr id="940" name="直线 215"/>
                        <wps:cNvCnPr/>
                        <wps:spPr>
                          <a:xfrm>
                            <a:off x="8028" y="5065"/>
                            <a:ext cx="540" cy="0"/>
                          </a:xfrm>
                          <a:prstGeom prst="line">
                            <a:avLst/>
                          </a:prstGeom>
                          <a:ln w="9525" cap="flat" cmpd="sng">
                            <a:solidFill>
                              <a:srgbClr val="000000"/>
                            </a:solidFill>
                            <a:prstDash val="solid"/>
                            <a:headEnd type="none" w="med" len="med"/>
                            <a:tailEnd type="none" w="med" len="med"/>
                          </a:ln>
                        </wps:spPr>
                        <wps:bodyPr upright="1"/>
                      </wps:wsp>
                      <wps:wsp>
                        <wps:cNvPr id="941" name="文本框 216"/>
                        <wps:cNvSpPr txBox="1"/>
                        <wps:spPr>
                          <a:xfrm>
                            <a:off x="3492" y="8489"/>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3D904402">
                              <w:pPr>
                                <w:ind w:firstLine="0" w:firstLineChars="0"/>
                                <w:jc w:val="center"/>
                                <w:rPr>
                                  <w:sz w:val="18"/>
                                </w:rPr>
                              </w:pPr>
                              <w:r>
                                <w:rPr>
                                  <w:rFonts w:hint="eastAsia"/>
                                  <w:sz w:val="18"/>
                                </w:rPr>
                                <w:t>人员设备材料保证</w:t>
                              </w:r>
                            </w:p>
                          </w:txbxContent>
                        </wps:txbx>
                        <wps:bodyPr vert="eaVert" upright="1"/>
                      </wps:wsp>
                      <wps:wsp>
                        <wps:cNvPr id="942" name="矩形 217"/>
                        <wps:cNvSpPr/>
                        <wps:spPr>
                          <a:xfrm>
                            <a:off x="4897" y="7652"/>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7972084">
                              <w:pPr>
                                <w:spacing w:line="240" w:lineRule="atLeast"/>
                                <w:ind w:firstLine="0" w:firstLineChars="0"/>
                                <w:jc w:val="center"/>
                                <w:rPr>
                                  <w:spacing w:val="-2"/>
                                  <w:sz w:val="18"/>
                                </w:rPr>
                              </w:pPr>
                              <w:r>
                                <w:rPr>
                                  <w:rFonts w:hint="eastAsia"/>
                                  <w:spacing w:val="-2"/>
                                  <w:sz w:val="18"/>
                                </w:rPr>
                                <w:t>高素质人员组成的精干</w:t>
                              </w:r>
                            </w:p>
                            <w:p w14:paraId="35AF17C5">
                              <w:pPr>
                                <w:spacing w:line="240" w:lineRule="atLeast"/>
                                <w:ind w:firstLine="0" w:firstLineChars="0"/>
                                <w:jc w:val="center"/>
                                <w:rPr>
                                  <w:spacing w:val="-2"/>
                                  <w:sz w:val="18"/>
                                </w:rPr>
                              </w:pPr>
                              <w:r>
                                <w:rPr>
                                  <w:rFonts w:hint="eastAsia"/>
                                  <w:spacing w:val="-2"/>
                                  <w:sz w:val="18"/>
                                </w:rPr>
                                <w:t>高效的项目经理部</w:t>
                              </w:r>
                            </w:p>
                          </w:txbxContent>
                        </wps:txbx>
                        <wps:bodyPr upright="1"/>
                      </wps:wsp>
                      <wps:wsp>
                        <wps:cNvPr id="943" name="文本框 218"/>
                        <wps:cNvSpPr txBox="1"/>
                        <wps:spPr>
                          <a:xfrm>
                            <a:off x="8568" y="8453"/>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4D08E0E5">
                              <w:pPr>
                                <w:ind w:firstLine="0" w:firstLineChars="0"/>
                                <w:jc w:val="center"/>
                                <w:rPr>
                                  <w:sz w:val="18"/>
                                </w:rPr>
                              </w:pPr>
                              <w:r>
                                <w:rPr>
                                  <w:rFonts w:hint="eastAsia"/>
                                  <w:sz w:val="18"/>
                                </w:rPr>
                                <w:t>确保施工顺利进行</w:t>
                              </w:r>
                            </w:p>
                          </w:txbxContent>
                        </wps:txbx>
                        <wps:bodyPr vert="eaVert" upright="1"/>
                      </wps:wsp>
                      <wps:wsp>
                        <wps:cNvPr id="944" name="矩形 219"/>
                        <wps:cNvSpPr/>
                        <wps:spPr>
                          <a:xfrm>
                            <a:off x="4897" y="8756"/>
                            <a:ext cx="2920" cy="46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6D58D61">
                              <w:pPr>
                                <w:spacing w:line="240" w:lineRule="atLeast"/>
                                <w:ind w:firstLine="0" w:firstLineChars="0"/>
                                <w:jc w:val="center"/>
                                <w:rPr>
                                  <w:spacing w:val="-2"/>
                                  <w:sz w:val="18"/>
                                </w:rPr>
                              </w:pPr>
                              <w:r>
                                <w:rPr>
                                  <w:rFonts w:hint="eastAsia"/>
                                  <w:spacing w:val="-2"/>
                                  <w:sz w:val="18"/>
                                </w:rPr>
                                <w:t>施工经验丰富的专业化施工队伍</w:t>
                              </w:r>
                            </w:p>
                          </w:txbxContent>
                        </wps:txbx>
                        <wps:bodyPr upright="1"/>
                      </wps:wsp>
                      <wps:wsp>
                        <wps:cNvPr id="945" name="矩形 220"/>
                        <wps:cNvSpPr/>
                        <wps:spPr>
                          <a:xfrm>
                            <a:off x="4897" y="9464"/>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7830AAE8">
                              <w:pPr>
                                <w:spacing w:line="240" w:lineRule="atLeast"/>
                                <w:ind w:firstLine="0" w:firstLineChars="0"/>
                                <w:jc w:val="center"/>
                                <w:rPr>
                                  <w:spacing w:val="-2"/>
                                  <w:sz w:val="18"/>
                                </w:rPr>
                              </w:pPr>
                              <w:r>
                                <w:rPr>
                                  <w:rFonts w:hint="eastAsia"/>
                                  <w:spacing w:val="-2"/>
                                  <w:sz w:val="18"/>
                                </w:rPr>
                                <w:t>性能优良数量充足的</w:t>
                              </w:r>
                            </w:p>
                            <w:p w14:paraId="5F67640B">
                              <w:pPr>
                                <w:spacing w:line="240" w:lineRule="atLeast"/>
                                <w:ind w:firstLine="0" w:firstLineChars="0"/>
                                <w:jc w:val="center"/>
                                <w:rPr>
                                  <w:spacing w:val="-2"/>
                                  <w:sz w:val="18"/>
                                </w:rPr>
                              </w:pPr>
                              <w:r>
                                <w:rPr>
                                  <w:rFonts w:hint="eastAsia"/>
                                  <w:spacing w:val="-2"/>
                                  <w:sz w:val="18"/>
                                </w:rPr>
                                <w:t>配套机械设备</w:t>
                              </w:r>
                            </w:p>
                          </w:txbxContent>
                        </wps:txbx>
                        <wps:bodyPr upright="1"/>
                      </wps:wsp>
                      <wps:wsp>
                        <wps:cNvPr id="946" name="矩形 221"/>
                        <wps:cNvSpPr/>
                        <wps:spPr>
                          <a:xfrm>
                            <a:off x="4897" y="10472"/>
                            <a:ext cx="2920" cy="717"/>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4A90F5FF">
                              <w:pPr>
                                <w:spacing w:line="240" w:lineRule="atLeast"/>
                                <w:ind w:firstLine="0" w:firstLineChars="0"/>
                                <w:jc w:val="center"/>
                                <w:rPr>
                                  <w:spacing w:val="-2"/>
                                  <w:sz w:val="18"/>
                                </w:rPr>
                              </w:pPr>
                              <w:r>
                                <w:rPr>
                                  <w:rFonts w:hint="eastAsia"/>
                                  <w:spacing w:val="-2"/>
                                  <w:sz w:val="18"/>
                                </w:rPr>
                                <w:t>畅通的材料供货渠道，</w:t>
                              </w:r>
                            </w:p>
                            <w:p w14:paraId="0974B9EE">
                              <w:pPr>
                                <w:spacing w:line="240" w:lineRule="atLeast"/>
                                <w:ind w:firstLine="0" w:firstLineChars="0"/>
                                <w:jc w:val="center"/>
                                <w:rPr>
                                  <w:spacing w:val="-2"/>
                                  <w:sz w:val="18"/>
                                </w:rPr>
                              </w:pPr>
                              <w:r>
                                <w:rPr>
                                  <w:rFonts w:hint="eastAsia"/>
                                  <w:spacing w:val="-2"/>
                                  <w:sz w:val="18"/>
                                </w:rPr>
                                <w:t>充足的材料供应</w:t>
                              </w:r>
                            </w:p>
                          </w:txbxContent>
                        </wps:txbx>
                        <wps:bodyPr upright="1"/>
                      </wps:wsp>
                      <wps:wsp>
                        <wps:cNvPr id="947" name="直线 222"/>
                        <wps:cNvCnPr/>
                        <wps:spPr>
                          <a:xfrm flipH="1">
                            <a:off x="4680" y="7993"/>
                            <a:ext cx="216" cy="0"/>
                          </a:xfrm>
                          <a:prstGeom prst="line">
                            <a:avLst/>
                          </a:prstGeom>
                          <a:ln w="9525" cap="flat" cmpd="sng">
                            <a:solidFill>
                              <a:srgbClr val="000000"/>
                            </a:solidFill>
                            <a:prstDash val="solid"/>
                            <a:headEnd type="none" w="med" len="med"/>
                            <a:tailEnd type="none" w="med" len="med"/>
                          </a:ln>
                        </wps:spPr>
                        <wps:bodyPr upright="1"/>
                      </wps:wsp>
                      <wps:wsp>
                        <wps:cNvPr id="948" name="直线 223"/>
                        <wps:cNvCnPr/>
                        <wps:spPr>
                          <a:xfrm flipH="1">
                            <a:off x="4680" y="9001"/>
                            <a:ext cx="216" cy="0"/>
                          </a:xfrm>
                          <a:prstGeom prst="line">
                            <a:avLst/>
                          </a:prstGeom>
                          <a:ln w="9525" cap="flat" cmpd="sng">
                            <a:solidFill>
                              <a:srgbClr val="000000"/>
                            </a:solidFill>
                            <a:prstDash val="solid"/>
                            <a:headEnd type="none" w="med" len="med"/>
                            <a:tailEnd type="none" w="med" len="med"/>
                          </a:ln>
                        </wps:spPr>
                        <wps:bodyPr upright="1"/>
                      </wps:wsp>
                      <wps:wsp>
                        <wps:cNvPr id="949" name="直线 224"/>
                        <wps:cNvCnPr/>
                        <wps:spPr>
                          <a:xfrm flipH="1">
                            <a:off x="4680" y="10009"/>
                            <a:ext cx="216" cy="0"/>
                          </a:xfrm>
                          <a:prstGeom prst="line">
                            <a:avLst/>
                          </a:prstGeom>
                          <a:ln w="9525" cap="flat" cmpd="sng">
                            <a:solidFill>
                              <a:srgbClr val="000000"/>
                            </a:solidFill>
                            <a:prstDash val="solid"/>
                            <a:headEnd type="none" w="med" len="med"/>
                            <a:tailEnd type="none" w="med" len="med"/>
                          </a:ln>
                        </wps:spPr>
                        <wps:bodyPr upright="1"/>
                      </wps:wsp>
                      <wps:wsp>
                        <wps:cNvPr id="950" name="直线 225"/>
                        <wps:cNvCnPr/>
                        <wps:spPr>
                          <a:xfrm flipH="1">
                            <a:off x="4680" y="10873"/>
                            <a:ext cx="216" cy="0"/>
                          </a:xfrm>
                          <a:prstGeom prst="line">
                            <a:avLst/>
                          </a:prstGeom>
                          <a:ln w="9525" cap="flat" cmpd="sng">
                            <a:solidFill>
                              <a:srgbClr val="000000"/>
                            </a:solidFill>
                            <a:prstDash val="solid"/>
                            <a:headEnd type="none" w="med" len="med"/>
                            <a:tailEnd type="none" w="med" len="med"/>
                          </a:ln>
                        </wps:spPr>
                        <wps:bodyPr upright="1"/>
                      </wps:wsp>
                      <wps:wsp>
                        <wps:cNvPr id="951" name="直线 226"/>
                        <wps:cNvCnPr/>
                        <wps:spPr>
                          <a:xfrm flipH="1">
                            <a:off x="7812" y="10873"/>
                            <a:ext cx="216" cy="0"/>
                          </a:xfrm>
                          <a:prstGeom prst="line">
                            <a:avLst/>
                          </a:prstGeom>
                          <a:ln w="9525" cap="flat" cmpd="sng">
                            <a:solidFill>
                              <a:srgbClr val="000000"/>
                            </a:solidFill>
                            <a:prstDash val="solid"/>
                            <a:headEnd type="none" w="med" len="med"/>
                            <a:tailEnd type="none" w="med" len="med"/>
                          </a:ln>
                        </wps:spPr>
                        <wps:bodyPr upright="1"/>
                      </wps:wsp>
                      <wps:wsp>
                        <wps:cNvPr id="952" name="直线 227"/>
                        <wps:cNvCnPr/>
                        <wps:spPr>
                          <a:xfrm flipH="1">
                            <a:off x="7812" y="10021"/>
                            <a:ext cx="216" cy="0"/>
                          </a:xfrm>
                          <a:prstGeom prst="line">
                            <a:avLst/>
                          </a:prstGeom>
                          <a:ln w="9525" cap="flat" cmpd="sng">
                            <a:solidFill>
                              <a:srgbClr val="000000"/>
                            </a:solidFill>
                            <a:prstDash val="solid"/>
                            <a:headEnd type="none" w="med" len="med"/>
                            <a:tailEnd type="none" w="med" len="med"/>
                          </a:ln>
                        </wps:spPr>
                        <wps:bodyPr upright="1"/>
                      </wps:wsp>
                      <wps:wsp>
                        <wps:cNvPr id="953" name="直线 228"/>
                        <wps:cNvCnPr/>
                        <wps:spPr>
                          <a:xfrm flipH="1">
                            <a:off x="7812" y="9049"/>
                            <a:ext cx="216" cy="0"/>
                          </a:xfrm>
                          <a:prstGeom prst="line">
                            <a:avLst/>
                          </a:prstGeom>
                          <a:ln w="9525" cap="flat" cmpd="sng">
                            <a:solidFill>
                              <a:srgbClr val="000000"/>
                            </a:solidFill>
                            <a:prstDash val="solid"/>
                            <a:headEnd type="none" w="med" len="med"/>
                            <a:tailEnd type="none" w="med" len="med"/>
                          </a:ln>
                        </wps:spPr>
                        <wps:bodyPr upright="1"/>
                      </wps:wsp>
                      <wps:wsp>
                        <wps:cNvPr id="954" name="直线 229"/>
                        <wps:cNvCnPr/>
                        <wps:spPr>
                          <a:xfrm flipH="1">
                            <a:off x="7812" y="8005"/>
                            <a:ext cx="216" cy="0"/>
                          </a:xfrm>
                          <a:prstGeom prst="line">
                            <a:avLst/>
                          </a:prstGeom>
                          <a:ln w="9525" cap="flat" cmpd="sng">
                            <a:solidFill>
                              <a:srgbClr val="000000"/>
                            </a:solidFill>
                            <a:prstDash val="solid"/>
                            <a:headEnd type="none" w="med" len="med"/>
                            <a:tailEnd type="none" w="med" len="med"/>
                          </a:ln>
                        </wps:spPr>
                        <wps:bodyPr upright="1"/>
                      </wps:wsp>
                      <wps:wsp>
                        <wps:cNvPr id="955" name="直线 230"/>
                        <wps:cNvCnPr/>
                        <wps:spPr>
                          <a:xfrm flipV="1">
                            <a:off x="4680" y="7993"/>
                            <a:ext cx="0" cy="2880"/>
                          </a:xfrm>
                          <a:prstGeom prst="line">
                            <a:avLst/>
                          </a:prstGeom>
                          <a:ln w="9525" cap="flat" cmpd="sng">
                            <a:solidFill>
                              <a:srgbClr val="000000"/>
                            </a:solidFill>
                            <a:prstDash val="solid"/>
                            <a:headEnd type="none" w="med" len="med"/>
                            <a:tailEnd type="none" w="med" len="med"/>
                          </a:ln>
                        </wps:spPr>
                        <wps:bodyPr upright="1"/>
                      </wps:wsp>
                      <wps:wsp>
                        <wps:cNvPr id="956" name="直线 231"/>
                        <wps:cNvCnPr/>
                        <wps:spPr>
                          <a:xfrm flipV="1">
                            <a:off x="8040" y="7993"/>
                            <a:ext cx="0" cy="2880"/>
                          </a:xfrm>
                          <a:prstGeom prst="line">
                            <a:avLst/>
                          </a:prstGeom>
                          <a:ln w="9525" cap="flat" cmpd="sng">
                            <a:solidFill>
                              <a:srgbClr val="000000"/>
                            </a:solidFill>
                            <a:prstDash val="solid"/>
                            <a:headEnd type="none" w="med" len="med"/>
                            <a:tailEnd type="none" w="med" len="med"/>
                          </a:ln>
                        </wps:spPr>
                        <wps:bodyPr upright="1"/>
                      </wps:wsp>
                      <wps:wsp>
                        <wps:cNvPr id="957" name="直线 232"/>
                        <wps:cNvCnPr/>
                        <wps:spPr>
                          <a:xfrm>
                            <a:off x="4152" y="9457"/>
                            <a:ext cx="540" cy="0"/>
                          </a:xfrm>
                          <a:prstGeom prst="line">
                            <a:avLst/>
                          </a:prstGeom>
                          <a:ln w="9525" cap="flat" cmpd="sng">
                            <a:solidFill>
                              <a:srgbClr val="000000"/>
                            </a:solidFill>
                            <a:prstDash val="solid"/>
                            <a:headEnd type="none" w="med" len="med"/>
                            <a:tailEnd type="none" w="med" len="med"/>
                          </a:ln>
                        </wps:spPr>
                        <wps:bodyPr upright="1"/>
                      </wps:wsp>
                      <wps:wsp>
                        <wps:cNvPr id="958" name="直线 233"/>
                        <wps:cNvCnPr/>
                        <wps:spPr>
                          <a:xfrm>
                            <a:off x="8028" y="9457"/>
                            <a:ext cx="540" cy="0"/>
                          </a:xfrm>
                          <a:prstGeom prst="line">
                            <a:avLst/>
                          </a:prstGeom>
                          <a:ln w="9525" cap="flat" cmpd="sng">
                            <a:solidFill>
                              <a:srgbClr val="000000"/>
                            </a:solidFill>
                            <a:prstDash val="solid"/>
                            <a:headEnd type="none" w="med" len="med"/>
                            <a:tailEnd type="none" w="med" len="med"/>
                          </a:ln>
                        </wps:spPr>
                        <wps:bodyPr upright="1"/>
                      </wps:wsp>
                      <wps:wsp>
                        <wps:cNvPr id="959" name="文本框 234"/>
                        <wps:cNvSpPr txBox="1"/>
                        <wps:spPr>
                          <a:xfrm>
                            <a:off x="3492" y="12361"/>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0DC34B8E">
                              <w:pPr>
                                <w:ind w:firstLine="0" w:firstLineChars="0"/>
                                <w:jc w:val="center"/>
                                <w:rPr>
                                  <w:sz w:val="18"/>
                                </w:rPr>
                              </w:pPr>
                              <w:r>
                                <w:rPr>
                                  <w:rFonts w:hint="eastAsia"/>
                                  <w:sz w:val="18"/>
                                </w:rPr>
                                <w:t>技术保证</w:t>
                              </w:r>
                            </w:p>
                          </w:txbxContent>
                        </wps:txbx>
                        <wps:bodyPr vert="eaVert" upright="1"/>
                      </wps:wsp>
                      <wps:wsp>
                        <wps:cNvPr id="960" name="矩形 235"/>
                        <wps:cNvSpPr/>
                        <wps:spPr>
                          <a:xfrm>
                            <a:off x="4897" y="11932"/>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62A7C30A">
                              <w:pPr>
                                <w:spacing w:line="240" w:lineRule="atLeast"/>
                                <w:ind w:firstLine="0" w:firstLineChars="0"/>
                                <w:jc w:val="center"/>
                                <w:rPr>
                                  <w:spacing w:val="-2"/>
                                  <w:sz w:val="18"/>
                                </w:rPr>
                              </w:pPr>
                              <w:r>
                                <w:rPr>
                                  <w:rFonts w:hint="eastAsia"/>
                                  <w:spacing w:val="-2"/>
                                  <w:sz w:val="18"/>
                                </w:rPr>
                                <w:t>编制完善的实施性</w:t>
                              </w:r>
                            </w:p>
                            <w:p w14:paraId="42A63E1B">
                              <w:pPr>
                                <w:spacing w:line="240" w:lineRule="atLeast"/>
                                <w:ind w:firstLine="31680"/>
                                <w:jc w:val="center"/>
                                <w:rPr>
                                  <w:spacing w:val="-2"/>
                                  <w:sz w:val="18"/>
                                </w:rPr>
                              </w:pPr>
                              <w:r>
                                <w:rPr>
                                  <w:rFonts w:hint="eastAsia"/>
                                  <w:spacing w:val="-2"/>
                                  <w:sz w:val="18"/>
                                </w:rPr>
                                <w:t>施工组织设计指导施工</w:t>
                              </w:r>
                            </w:p>
                          </w:txbxContent>
                        </wps:txbx>
                        <wps:bodyPr upright="1"/>
                      </wps:wsp>
                      <wps:wsp>
                        <wps:cNvPr id="961" name="文本框 236"/>
                        <wps:cNvSpPr txBox="1"/>
                        <wps:spPr>
                          <a:xfrm>
                            <a:off x="8568" y="12325"/>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587C28BA">
                              <w:pPr>
                                <w:ind w:firstLine="0" w:firstLineChars="0"/>
                                <w:jc w:val="center"/>
                                <w:rPr>
                                  <w:sz w:val="18"/>
                                </w:rPr>
                              </w:pPr>
                              <w:r>
                                <w:rPr>
                                  <w:rFonts w:hint="eastAsia"/>
                                  <w:sz w:val="18"/>
                                </w:rPr>
                                <w:t>提高工效</w:t>
                              </w:r>
                            </w:p>
                          </w:txbxContent>
                        </wps:txbx>
                        <wps:bodyPr vert="eaVert" upright="1"/>
                      </wps:wsp>
                      <wps:wsp>
                        <wps:cNvPr id="962" name="矩形 237"/>
                        <wps:cNvSpPr/>
                        <wps:spPr>
                          <a:xfrm>
                            <a:off x="4897" y="12916"/>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EBC4215">
                              <w:pPr>
                                <w:spacing w:line="240" w:lineRule="atLeast"/>
                                <w:ind w:firstLine="0" w:firstLineChars="0"/>
                                <w:jc w:val="center"/>
                                <w:rPr>
                                  <w:spacing w:val="-2"/>
                                  <w:sz w:val="18"/>
                                </w:rPr>
                              </w:pPr>
                              <w:r>
                                <w:rPr>
                                  <w:rFonts w:hint="eastAsia"/>
                                  <w:spacing w:val="-2"/>
                                  <w:sz w:val="18"/>
                                </w:rPr>
                                <w:t>健全的质量保证</w:t>
                              </w:r>
                            </w:p>
                            <w:p w14:paraId="6E22A047">
                              <w:pPr>
                                <w:spacing w:line="240" w:lineRule="atLeast"/>
                                <w:ind w:firstLine="0" w:firstLineChars="0"/>
                                <w:jc w:val="center"/>
                                <w:rPr>
                                  <w:spacing w:val="-2"/>
                                  <w:sz w:val="18"/>
                                </w:rPr>
                              </w:pPr>
                              <w:r>
                                <w:rPr>
                                  <w:rFonts w:hint="eastAsia"/>
                                  <w:spacing w:val="-2"/>
                                  <w:sz w:val="18"/>
                                </w:rPr>
                                <w:t>体系，避免返工</w:t>
                              </w:r>
                            </w:p>
                          </w:txbxContent>
                        </wps:txbx>
                        <wps:bodyPr upright="1"/>
                      </wps:wsp>
                      <wps:wsp>
                        <wps:cNvPr id="963" name="矩形 238"/>
                        <wps:cNvSpPr/>
                        <wps:spPr>
                          <a:xfrm>
                            <a:off x="4897" y="13960"/>
                            <a:ext cx="2920" cy="705"/>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66CB8435">
                              <w:pPr>
                                <w:spacing w:line="240" w:lineRule="atLeast"/>
                                <w:ind w:firstLine="0" w:firstLineChars="0"/>
                                <w:jc w:val="center"/>
                                <w:rPr>
                                  <w:spacing w:val="-2"/>
                                  <w:sz w:val="18"/>
                                </w:rPr>
                              </w:pPr>
                              <w:r>
                                <w:rPr>
                                  <w:rFonts w:hint="eastAsia"/>
                                  <w:spacing w:val="-2"/>
                                  <w:sz w:val="18"/>
                                </w:rPr>
                                <w:t>积极推广“四新”，</w:t>
                              </w:r>
                            </w:p>
                            <w:p w14:paraId="51BB198C">
                              <w:pPr>
                                <w:spacing w:line="240" w:lineRule="atLeast"/>
                                <w:ind w:firstLine="0" w:firstLineChars="0"/>
                                <w:jc w:val="center"/>
                                <w:rPr>
                                  <w:spacing w:val="-2"/>
                                  <w:sz w:val="18"/>
                                </w:rPr>
                              </w:pPr>
                              <w:r>
                                <w:rPr>
                                  <w:rFonts w:hint="eastAsia"/>
                                  <w:spacing w:val="-2"/>
                                  <w:sz w:val="18"/>
                                </w:rPr>
                                <w:t>开展“五小”创新工作</w:t>
                              </w:r>
                            </w:p>
                          </w:txbxContent>
                        </wps:txbx>
                        <wps:bodyPr upright="1"/>
                      </wps:wsp>
                      <wps:wsp>
                        <wps:cNvPr id="964" name="直线 239"/>
                        <wps:cNvCnPr/>
                        <wps:spPr>
                          <a:xfrm flipH="1">
                            <a:off x="4680" y="12273"/>
                            <a:ext cx="216" cy="0"/>
                          </a:xfrm>
                          <a:prstGeom prst="line">
                            <a:avLst/>
                          </a:prstGeom>
                          <a:ln w="9525" cap="flat" cmpd="sng">
                            <a:solidFill>
                              <a:srgbClr val="000000"/>
                            </a:solidFill>
                            <a:prstDash val="solid"/>
                            <a:headEnd type="none" w="med" len="med"/>
                            <a:tailEnd type="none" w="med" len="med"/>
                          </a:ln>
                        </wps:spPr>
                        <wps:bodyPr upright="1"/>
                      </wps:wsp>
                      <wps:wsp>
                        <wps:cNvPr id="965" name="直线 240"/>
                        <wps:cNvCnPr/>
                        <wps:spPr>
                          <a:xfrm flipH="1">
                            <a:off x="4680" y="13281"/>
                            <a:ext cx="216" cy="0"/>
                          </a:xfrm>
                          <a:prstGeom prst="line">
                            <a:avLst/>
                          </a:prstGeom>
                          <a:ln w="9525" cap="flat" cmpd="sng">
                            <a:solidFill>
                              <a:srgbClr val="000000"/>
                            </a:solidFill>
                            <a:prstDash val="solid"/>
                            <a:headEnd type="none" w="med" len="med"/>
                            <a:tailEnd type="none" w="med" len="med"/>
                          </a:ln>
                        </wps:spPr>
                        <wps:bodyPr upright="1"/>
                      </wps:wsp>
                      <wps:wsp>
                        <wps:cNvPr id="966" name="直线 241"/>
                        <wps:cNvCnPr/>
                        <wps:spPr>
                          <a:xfrm flipH="1">
                            <a:off x="4680" y="14325"/>
                            <a:ext cx="216" cy="0"/>
                          </a:xfrm>
                          <a:prstGeom prst="line">
                            <a:avLst/>
                          </a:prstGeom>
                          <a:ln w="9525" cap="flat" cmpd="sng">
                            <a:solidFill>
                              <a:srgbClr val="000000"/>
                            </a:solidFill>
                            <a:prstDash val="solid"/>
                            <a:headEnd type="none" w="med" len="med"/>
                            <a:tailEnd type="none" w="med" len="med"/>
                          </a:ln>
                        </wps:spPr>
                        <wps:bodyPr upright="1"/>
                      </wps:wsp>
                      <wps:wsp>
                        <wps:cNvPr id="967" name="直线 242"/>
                        <wps:cNvCnPr/>
                        <wps:spPr>
                          <a:xfrm flipH="1">
                            <a:off x="7812" y="14325"/>
                            <a:ext cx="216" cy="0"/>
                          </a:xfrm>
                          <a:prstGeom prst="line">
                            <a:avLst/>
                          </a:prstGeom>
                          <a:ln w="9525" cap="flat" cmpd="sng">
                            <a:solidFill>
                              <a:srgbClr val="000000"/>
                            </a:solidFill>
                            <a:prstDash val="solid"/>
                            <a:headEnd type="none" w="med" len="med"/>
                            <a:tailEnd type="none" w="med" len="med"/>
                          </a:ln>
                        </wps:spPr>
                        <wps:bodyPr upright="1"/>
                      </wps:wsp>
                      <wps:wsp>
                        <wps:cNvPr id="968" name="直线 243"/>
                        <wps:cNvCnPr/>
                        <wps:spPr>
                          <a:xfrm flipH="1">
                            <a:off x="7812" y="13329"/>
                            <a:ext cx="216" cy="0"/>
                          </a:xfrm>
                          <a:prstGeom prst="line">
                            <a:avLst/>
                          </a:prstGeom>
                          <a:ln w="9525" cap="flat" cmpd="sng">
                            <a:solidFill>
                              <a:srgbClr val="000000"/>
                            </a:solidFill>
                            <a:prstDash val="solid"/>
                            <a:headEnd type="none" w="med" len="med"/>
                            <a:tailEnd type="none" w="med" len="med"/>
                          </a:ln>
                        </wps:spPr>
                        <wps:bodyPr upright="1"/>
                      </wps:wsp>
                      <wps:wsp>
                        <wps:cNvPr id="969" name="直线 244"/>
                        <wps:cNvCnPr/>
                        <wps:spPr>
                          <a:xfrm flipH="1">
                            <a:off x="7812" y="12285"/>
                            <a:ext cx="216" cy="0"/>
                          </a:xfrm>
                          <a:prstGeom prst="line">
                            <a:avLst/>
                          </a:prstGeom>
                          <a:ln w="9525" cap="flat" cmpd="sng">
                            <a:solidFill>
                              <a:srgbClr val="000000"/>
                            </a:solidFill>
                            <a:prstDash val="solid"/>
                            <a:headEnd type="none" w="med" len="med"/>
                            <a:tailEnd type="none" w="med" len="med"/>
                          </a:ln>
                        </wps:spPr>
                        <wps:bodyPr upright="1"/>
                      </wps:wsp>
                      <wps:wsp>
                        <wps:cNvPr id="970" name="直线 245"/>
                        <wps:cNvCnPr/>
                        <wps:spPr>
                          <a:xfrm flipV="1">
                            <a:off x="4680" y="12273"/>
                            <a:ext cx="0" cy="2052"/>
                          </a:xfrm>
                          <a:prstGeom prst="line">
                            <a:avLst/>
                          </a:prstGeom>
                          <a:ln w="9525" cap="flat" cmpd="sng">
                            <a:solidFill>
                              <a:srgbClr val="000000"/>
                            </a:solidFill>
                            <a:prstDash val="solid"/>
                            <a:headEnd type="none" w="med" len="med"/>
                            <a:tailEnd type="none" w="med" len="med"/>
                          </a:ln>
                        </wps:spPr>
                        <wps:bodyPr upright="1"/>
                      </wps:wsp>
                      <wps:wsp>
                        <wps:cNvPr id="971" name="直线 246"/>
                        <wps:cNvCnPr/>
                        <wps:spPr>
                          <a:xfrm flipV="1">
                            <a:off x="8040" y="12273"/>
                            <a:ext cx="0" cy="2052"/>
                          </a:xfrm>
                          <a:prstGeom prst="line">
                            <a:avLst/>
                          </a:prstGeom>
                          <a:ln w="9525" cap="flat" cmpd="sng">
                            <a:solidFill>
                              <a:srgbClr val="000000"/>
                            </a:solidFill>
                            <a:prstDash val="solid"/>
                            <a:headEnd type="none" w="med" len="med"/>
                            <a:tailEnd type="none" w="med" len="med"/>
                          </a:ln>
                        </wps:spPr>
                        <wps:bodyPr upright="1"/>
                      </wps:wsp>
                      <wps:wsp>
                        <wps:cNvPr id="972" name="直线 247"/>
                        <wps:cNvCnPr/>
                        <wps:spPr>
                          <a:xfrm>
                            <a:off x="4152" y="13281"/>
                            <a:ext cx="540" cy="0"/>
                          </a:xfrm>
                          <a:prstGeom prst="line">
                            <a:avLst/>
                          </a:prstGeom>
                          <a:ln w="9525" cap="flat" cmpd="sng">
                            <a:solidFill>
                              <a:srgbClr val="000000"/>
                            </a:solidFill>
                            <a:prstDash val="solid"/>
                            <a:headEnd type="none" w="med" len="med"/>
                            <a:tailEnd type="none" w="med" len="med"/>
                          </a:ln>
                        </wps:spPr>
                        <wps:bodyPr upright="1"/>
                      </wps:wsp>
                      <wps:wsp>
                        <wps:cNvPr id="973" name="直线 248"/>
                        <wps:cNvCnPr/>
                        <wps:spPr>
                          <a:xfrm>
                            <a:off x="8028" y="13329"/>
                            <a:ext cx="540" cy="0"/>
                          </a:xfrm>
                          <a:prstGeom prst="line">
                            <a:avLst/>
                          </a:prstGeom>
                          <a:ln w="9525" cap="flat" cmpd="sng">
                            <a:solidFill>
                              <a:srgbClr val="000000"/>
                            </a:solidFill>
                            <a:prstDash val="solid"/>
                            <a:headEnd type="none" w="med" len="med"/>
                            <a:tailEnd type="none" w="med" len="med"/>
                          </a:ln>
                        </wps:spPr>
                        <wps:bodyPr upright="1"/>
                      </wps:wsp>
                      <wps:wsp>
                        <wps:cNvPr id="974" name="文本框 249"/>
                        <wps:cNvSpPr txBox="1"/>
                        <wps:spPr>
                          <a:xfrm>
                            <a:off x="2268" y="8489"/>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0188505">
                              <w:pPr>
                                <w:ind w:firstLine="0" w:firstLineChars="0"/>
                                <w:jc w:val="center"/>
                                <w:rPr>
                                  <w:b/>
                                  <w:bCs/>
                                </w:rPr>
                              </w:pPr>
                              <w:r>
                                <w:rPr>
                                  <w:rFonts w:hint="eastAsia"/>
                                  <w:b/>
                                  <w:bCs/>
                                </w:rPr>
                                <w:t>工期保证体系</w:t>
                              </w:r>
                            </w:p>
                          </w:txbxContent>
                        </wps:txbx>
                        <wps:bodyPr vert="eaVert" upright="1"/>
                      </wps:wsp>
                      <wps:wsp>
                        <wps:cNvPr id="975" name="文本框 250"/>
                        <wps:cNvSpPr txBox="1"/>
                        <wps:spPr>
                          <a:xfrm>
                            <a:off x="9768" y="8489"/>
                            <a:ext cx="660" cy="1908"/>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C1BAC6C">
                              <w:pPr>
                                <w:ind w:firstLine="0" w:firstLineChars="0"/>
                                <w:jc w:val="center"/>
                                <w:rPr>
                                  <w:b/>
                                  <w:bCs/>
                                </w:rPr>
                              </w:pPr>
                              <w:r>
                                <w:rPr>
                                  <w:rFonts w:hint="eastAsia"/>
                                  <w:b/>
                                  <w:bCs/>
                                </w:rPr>
                                <w:t>实现工期目标</w:t>
                              </w:r>
                            </w:p>
                          </w:txbxContent>
                        </wps:txbx>
                        <wps:bodyPr vert="eaVert" upright="1"/>
                      </wps:wsp>
                      <wps:wsp>
                        <wps:cNvPr id="976" name="直线 251"/>
                        <wps:cNvCnPr/>
                        <wps:spPr>
                          <a:xfrm>
                            <a:off x="2940" y="9457"/>
                            <a:ext cx="540" cy="0"/>
                          </a:xfrm>
                          <a:prstGeom prst="line">
                            <a:avLst/>
                          </a:prstGeom>
                          <a:ln w="9525" cap="flat" cmpd="sng">
                            <a:solidFill>
                              <a:srgbClr val="000000"/>
                            </a:solidFill>
                            <a:prstDash val="solid"/>
                            <a:headEnd type="none" w="med" len="med"/>
                            <a:tailEnd type="none" w="med" len="med"/>
                          </a:ln>
                        </wps:spPr>
                        <wps:bodyPr upright="1"/>
                      </wps:wsp>
                      <wps:wsp>
                        <wps:cNvPr id="977" name="直线 252"/>
                        <wps:cNvCnPr/>
                        <wps:spPr>
                          <a:xfrm>
                            <a:off x="9228" y="9457"/>
                            <a:ext cx="540" cy="0"/>
                          </a:xfrm>
                          <a:prstGeom prst="line">
                            <a:avLst/>
                          </a:prstGeom>
                          <a:ln w="9525" cap="flat" cmpd="sng">
                            <a:solidFill>
                              <a:srgbClr val="000000"/>
                            </a:solidFill>
                            <a:prstDash val="solid"/>
                            <a:headEnd type="none" w="med" len="med"/>
                            <a:tailEnd type="none" w="med" len="med"/>
                          </a:ln>
                        </wps:spPr>
                        <wps:bodyPr upright="1"/>
                      </wps:wsp>
                      <wps:wsp>
                        <wps:cNvPr id="978" name="直线 253"/>
                        <wps:cNvCnPr/>
                        <wps:spPr>
                          <a:xfrm>
                            <a:off x="3264" y="5065"/>
                            <a:ext cx="252" cy="0"/>
                          </a:xfrm>
                          <a:prstGeom prst="line">
                            <a:avLst/>
                          </a:prstGeom>
                          <a:ln w="9525" cap="flat" cmpd="sng">
                            <a:solidFill>
                              <a:srgbClr val="000000"/>
                            </a:solidFill>
                            <a:prstDash val="solid"/>
                            <a:headEnd type="none" w="med" len="med"/>
                            <a:tailEnd type="none" w="med" len="med"/>
                          </a:ln>
                        </wps:spPr>
                        <wps:bodyPr upright="1"/>
                      </wps:wsp>
                      <wps:wsp>
                        <wps:cNvPr id="979" name="直线 254"/>
                        <wps:cNvCnPr/>
                        <wps:spPr>
                          <a:xfrm>
                            <a:off x="9252" y="5065"/>
                            <a:ext cx="252" cy="0"/>
                          </a:xfrm>
                          <a:prstGeom prst="line">
                            <a:avLst/>
                          </a:prstGeom>
                          <a:ln w="9525" cap="flat" cmpd="sng">
                            <a:solidFill>
                              <a:srgbClr val="000000"/>
                            </a:solidFill>
                            <a:prstDash val="solid"/>
                            <a:headEnd type="none" w="med" len="med"/>
                            <a:tailEnd type="none" w="med" len="med"/>
                          </a:ln>
                        </wps:spPr>
                        <wps:bodyPr upright="1"/>
                      </wps:wsp>
                      <wps:wsp>
                        <wps:cNvPr id="980" name="直线 255"/>
                        <wps:cNvCnPr/>
                        <wps:spPr>
                          <a:xfrm>
                            <a:off x="3264" y="13261"/>
                            <a:ext cx="252" cy="0"/>
                          </a:xfrm>
                          <a:prstGeom prst="line">
                            <a:avLst/>
                          </a:prstGeom>
                          <a:ln w="9525" cap="flat" cmpd="sng">
                            <a:solidFill>
                              <a:srgbClr val="000000"/>
                            </a:solidFill>
                            <a:prstDash val="solid"/>
                            <a:headEnd type="none" w="med" len="med"/>
                            <a:tailEnd type="none" w="med" len="med"/>
                          </a:ln>
                        </wps:spPr>
                        <wps:bodyPr upright="1"/>
                      </wps:wsp>
                      <wps:wsp>
                        <wps:cNvPr id="981" name="直线 256"/>
                        <wps:cNvCnPr/>
                        <wps:spPr>
                          <a:xfrm flipV="1">
                            <a:off x="3264" y="5065"/>
                            <a:ext cx="0" cy="8196"/>
                          </a:xfrm>
                          <a:prstGeom prst="line">
                            <a:avLst/>
                          </a:prstGeom>
                          <a:ln w="9525" cap="flat" cmpd="sng">
                            <a:solidFill>
                              <a:srgbClr val="000000"/>
                            </a:solidFill>
                            <a:prstDash val="solid"/>
                            <a:headEnd type="none" w="med" len="med"/>
                            <a:tailEnd type="none" w="med" len="med"/>
                          </a:ln>
                        </wps:spPr>
                        <wps:bodyPr upright="1"/>
                      </wps:wsp>
                      <wps:wsp>
                        <wps:cNvPr id="982" name="直线 257"/>
                        <wps:cNvCnPr/>
                        <wps:spPr>
                          <a:xfrm flipV="1">
                            <a:off x="9492" y="5065"/>
                            <a:ext cx="0" cy="8196"/>
                          </a:xfrm>
                          <a:prstGeom prst="line">
                            <a:avLst/>
                          </a:prstGeom>
                          <a:ln w="9525" cap="flat" cmpd="sng">
                            <a:solidFill>
                              <a:srgbClr val="000000"/>
                            </a:solidFill>
                            <a:prstDash val="solid"/>
                            <a:headEnd type="none" w="med" len="med"/>
                            <a:tailEnd type="none" w="med" len="med"/>
                          </a:ln>
                        </wps:spPr>
                        <wps:bodyPr upright="1"/>
                      </wps:wsp>
                      <wps:wsp>
                        <wps:cNvPr id="983" name="直线 258"/>
                        <wps:cNvCnPr/>
                        <wps:spPr>
                          <a:xfrm>
                            <a:off x="9252" y="13261"/>
                            <a:ext cx="252" cy="0"/>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组合 197" o:spid="_x0000_s1026" o:spt="203" style="position:absolute;left:0pt;margin-left:8.65pt;margin-top:5.05pt;height:604pt;width:480.8pt;mso-wrap-distance-bottom:0pt;mso-wrap-distance-top:0pt;z-index:251671552;mso-width-relative:page;mso-height-relative:page;" coordorigin="2268,3260" coordsize="8160,11405" o:gfxdata="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">
                <o:lock v:ext="edit" aspectratio="f"/>
                <v:shape id="文本框 198" o:spid="_x0000_s1026" o:spt="202" type="#_x0000_t202" style="position:absolute;left:3492;top:4097;height:1908;width:660;" fillcolor="#C6D9F1" filled="t" stroked="t" coordsize="21600,21600" o:gfxdata="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IK/Q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layout-flow:vertical-ideographic;">
                    <w:txbxContent>
                      <w:p w14:paraId="0E44B335">
                        <w:pPr>
                          <w:ind w:firstLine="0" w:firstLineChars="0"/>
                          <w:jc w:val="center"/>
                          <w:rPr>
                            <w:sz w:val="18"/>
                          </w:rPr>
                        </w:pPr>
                        <w:r>
                          <w:rPr>
                            <w:rFonts w:hint="eastAsia"/>
                            <w:sz w:val="18"/>
                          </w:rPr>
                          <w:t>施工组织保证</w:t>
                        </w:r>
                      </w:p>
                    </w:txbxContent>
                  </v:textbox>
                </v:shape>
                <v:rect id="矩形 199" o:spid="_x0000_s1026" o:spt="1" style="position:absolute;left:4897;top:3260;height:705;width:2920;" fillcolor="#C6D9F1" filled="t" stroked="t" coordsize="21600,21600" o:gfxdata="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2Dz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00008894">
                        <w:pPr>
                          <w:spacing w:line="240" w:lineRule="atLeast"/>
                          <w:ind w:firstLine="0" w:firstLineChars="0"/>
                          <w:jc w:val="center"/>
                          <w:rPr>
                            <w:spacing w:val="-2"/>
                            <w:sz w:val="18"/>
                          </w:rPr>
                        </w:pPr>
                        <w:r>
                          <w:rPr>
                            <w:rFonts w:hint="eastAsia"/>
                            <w:spacing w:val="-2"/>
                            <w:sz w:val="18"/>
                          </w:rPr>
                          <w:t>施工准备做到“三快”，</w:t>
                        </w:r>
                      </w:p>
                      <w:p w14:paraId="60264CA5">
                        <w:pPr>
                          <w:spacing w:line="240" w:lineRule="atLeast"/>
                          <w:ind w:firstLine="0" w:firstLineChars="0"/>
                          <w:jc w:val="center"/>
                          <w:rPr>
                            <w:spacing w:val="-2"/>
                            <w:sz w:val="18"/>
                          </w:rPr>
                        </w:pPr>
                        <w:r>
                          <w:rPr>
                            <w:rFonts w:hint="eastAsia"/>
                            <w:spacing w:val="-2"/>
                            <w:sz w:val="18"/>
                          </w:rPr>
                          <w:t>进场快、安家快、开工快</w:t>
                        </w:r>
                      </w:p>
                    </w:txbxContent>
                  </v:textbox>
                </v:rect>
                <v:shape id="文本框 200" o:spid="_x0000_s1026" o:spt="202" type="#_x0000_t202" style="position:absolute;left:8568;top:4061;height:1908;width:660;" fillcolor="#C6D9F1" filled="t" stroked="t" coordsize="21600,21600" o:gfxdata="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hZI/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layout-flow:vertical-ideographic;">
                    <w:txbxContent>
                      <w:p w14:paraId="116CCCD0">
                        <w:pPr>
                          <w:ind w:firstLine="0" w:firstLineChars="0"/>
                          <w:jc w:val="center"/>
                          <w:rPr>
                            <w:sz w:val="18"/>
                          </w:rPr>
                        </w:pPr>
                        <w:r>
                          <w:rPr>
                            <w:rFonts w:hint="eastAsia"/>
                            <w:sz w:val="18"/>
                          </w:rPr>
                          <w:t>以管理做根本</w:t>
                        </w:r>
                      </w:p>
                    </w:txbxContent>
                  </v:textbox>
                </v:shape>
                <v:rect id="矩形 201" o:spid="_x0000_s1026" o:spt="1" style="position:absolute;left:4897;top:4244;height:705;width:2920;" fillcolor="#C6D9F1" filled="t" stroked="t" coordsize="21600,21600" o:gfxdata="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Sg03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946FB7B">
                        <w:pPr>
                          <w:spacing w:line="240" w:lineRule="atLeast"/>
                          <w:ind w:firstLine="0" w:firstLineChars="0"/>
                          <w:jc w:val="center"/>
                          <w:rPr>
                            <w:spacing w:val="-2"/>
                            <w:sz w:val="18"/>
                          </w:rPr>
                        </w:pPr>
                        <w:r>
                          <w:rPr>
                            <w:rFonts w:hint="eastAsia"/>
                            <w:spacing w:val="-2"/>
                            <w:sz w:val="18"/>
                          </w:rPr>
                          <w:t>实行网络计划管理，</w:t>
                        </w:r>
                      </w:p>
                      <w:p w14:paraId="2A4687C5">
                        <w:pPr>
                          <w:spacing w:line="240" w:lineRule="atLeast"/>
                          <w:ind w:firstLine="0" w:firstLineChars="0"/>
                          <w:jc w:val="center"/>
                          <w:rPr>
                            <w:spacing w:val="-2"/>
                            <w:sz w:val="18"/>
                          </w:rPr>
                        </w:pPr>
                        <w:r>
                          <w:rPr>
                            <w:rFonts w:hint="eastAsia"/>
                            <w:spacing w:val="-2"/>
                            <w:sz w:val="18"/>
                          </w:rPr>
                          <w:t>及时动态调整各种施工力量</w:t>
                        </w:r>
                      </w:p>
                    </w:txbxContent>
                  </v:textbox>
                </v:rect>
                <v:rect id="矩形 202" o:spid="_x0000_s1026" o:spt="1" style="position:absolute;left:4897;top:5288;height:705;width:2920;" fillcolor="#C6D9F1" filled="t" stroked="t" coordsize="21600,21600" o:gfxdata="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SRR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57FA93A">
                        <w:pPr>
                          <w:spacing w:line="240" w:lineRule="auto"/>
                          <w:ind w:firstLine="0" w:firstLineChars="0"/>
                          <w:jc w:val="center"/>
                          <w:rPr>
                            <w:spacing w:val="-2"/>
                            <w:sz w:val="18"/>
                          </w:rPr>
                        </w:pPr>
                        <w:r>
                          <w:rPr>
                            <w:rFonts w:hint="eastAsia"/>
                            <w:spacing w:val="-2"/>
                            <w:sz w:val="18"/>
                          </w:rPr>
                          <w:t>与各方建立友好关系，</w:t>
                        </w:r>
                      </w:p>
                      <w:p w14:paraId="58A88C5F">
                        <w:pPr>
                          <w:spacing w:line="240" w:lineRule="auto"/>
                          <w:ind w:firstLine="0" w:firstLineChars="0"/>
                          <w:jc w:val="center"/>
                          <w:rPr>
                            <w:spacing w:val="-2"/>
                            <w:sz w:val="18"/>
                          </w:rPr>
                        </w:pPr>
                        <w:r>
                          <w:rPr>
                            <w:rFonts w:hint="eastAsia"/>
                            <w:spacing w:val="-2"/>
                            <w:sz w:val="18"/>
                          </w:rPr>
                          <w:t>创造良好的施工外部环境</w:t>
                        </w:r>
                      </w:p>
                      <w:p w14:paraId="339D7BDF">
                        <w:pPr>
                          <w:pStyle w:val="22"/>
                          <w:ind w:firstLine="31680"/>
                          <w:rPr>
                            <w:spacing w:val="-2"/>
                            <w:sz w:val="18"/>
                          </w:rPr>
                        </w:pPr>
                      </w:p>
                      <w:p w14:paraId="22694400">
                        <w:pPr>
                          <w:ind w:firstLine="31680"/>
                        </w:pPr>
                      </w:p>
                    </w:txbxContent>
                  </v:textbox>
                </v:rect>
                <v:rect id="矩形 203" o:spid="_x0000_s1026" o:spt="1" style="position:absolute;left:4897;top:6272;height:417;width:2920;" fillcolor="#C6D9F1" filled="t" stroked="t" coordsize="21600,21600" o:gfxdata="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wU3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4518DD07">
                        <w:pPr>
                          <w:spacing w:line="240" w:lineRule="atLeast"/>
                          <w:ind w:firstLine="0" w:firstLineChars="0"/>
                          <w:jc w:val="center"/>
                          <w:rPr>
                            <w:spacing w:val="-2"/>
                            <w:sz w:val="18"/>
                          </w:rPr>
                        </w:pPr>
                        <w:r>
                          <w:rPr>
                            <w:rFonts w:hint="eastAsia"/>
                            <w:spacing w:val="-2"/>
                            <w:sz w:val="18"/>
                          </w:rPr>
                          <w:t>适时组织劳动竞赛</w:t>
                        </w:r>
                      </w:p>
                    </w:txbxContent>
                  </v:textbox>
                </v:rect>
                <v:line id="直线 204" o:spid="_x0000_s1026" o:spt="20" style="position:absolute;left:4680;top:3601;flip:x;height:0;width:216;" filled="f" stroked="t" coordsize="21600,21600" o:gfxdata="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UsG4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05" o:spid="_x0000_s1026" o:spt="20" style="position:absolute;left:4680;top:4609;flip:x;height:0;width:216;" filled="f" stroked="t" coordsize="21600,21600" o:gfxdata="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sf74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206" o:spid="_x0000_s1026" o:spt="20" style="position:absolute;left:4680;top:5617;flip:x;height:0;width:216;" filled="f" stroked="t" coordsize="21600,21600" o:gfxdata="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Vt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07" o:spid="_x0000_s1026" o:spt="20" style="position:absolute;left:4680;top:6481;flip:x;height:0;width:216;" filled="f" stroked="t" coordsize="21600,21600" o:gfxdata="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y/FF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08" o:spid="_x0000_s1026" o:spt="20" style="position:absolute;left:7812;top:6481;flip:x;height:0;width:216;" filled="f" stroked="t" coordsize="21600,21600" o:gfxdata="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Y2CP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09" o:spid="_x0000_s1026" o:spt="20" style="position:absolute;left:7812;top:5629;flip:x;height:0;width:216;" filled="f" stroked="t" coordsize="21600,21600" o:gfxdata="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4r4+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10" o:spid="_x0000_s1026" o:spt="20" style="position:absolute;left:7812;top:4657;flip:x;height:0;width:216;" filled="f" stroked="t" coordsize="21600,21600" o:gfxdata="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ZdY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11" o:spid="_x0000_s1026" o:spt="20" style="position:absolute;left:7812;top:3613;flip:x;height:0;width:216;" filled="f" stroked="t" coordsize="21600,21600" o:gfxdata="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BTDF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12" o:spid="_x0000_s1026" o:spt="20" style="position:absolute;left:4680;top:3601;flip:y;height:2880;width:0;" filled="f" stroked="t" coordsize="21600,21600" o:gfxdata="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1hmj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13" o:spid="_x0000_s1026" o:spt="20" style="position:absolute;left:8040;top:3601;flip:y;height:2880;width:0;" filled="f" stroked="t" coordsize="21600,21600" o:gfxdata="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x/L+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214" o:spid="_x0000_s1026" o:spt="20" style="position:absolute;left:4152;top:5065;height:0;width:540;" filled="f" stroked="t" coordsize="21600,21600" o:gfxdata="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taM0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15" o:spid="_x0000_s1026" o:spt="20" style="position:absolute;left:8028;top:5065;height:0;width:540;" filled="f" stroked="t" coordsize="21600,21600" o:gfxdata="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Jed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文本框 216" o:spid="_x0000_s1026" o:spt="202" type="#_x0000_t202" style="position:absolute;left:3492;top:8489;height:1908;width:660;" fillcolor="#C6D9F1" filled="t" stroked="t" coordsize="21600,21600" o:gfxdata="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YXGc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layout-flow:vertical-ideographic;">
                    <w:txbxContent>
                      <w:p w14:paraId="3D904402">
                        <w:pPr>
                          <w:ind w:firstLine="0" w:firstLineChars="0"/>
                          <w:jc w:val="center"/>
                          <w:rPr>
                            <w:sz w:val="18"/>
                          </w:rPr>
                        </w:pPr>
                        <w:r>
                          <w:rPr>
                            <w:rFonts w:hint="eastAsia"/>
                            <w:sz w:val="18"/>
                          </w:rPr>
                          <w:t>人员设备材料保证</w:t>
                        </w:r>
                      </w:p>
                    </w:txbxContent>
                  </v:textbox>
                </v:shape>
                <v:rect id="矩形 217" o:spid="_x0000_s1026" o:spt="1" style="position:absolute;left:4897;top:7652;height:705;width:2920;" fillcolor="#C6D9F1" filled="t" stroked="t" coordsize="21600,21600" o:gfxdata="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M13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17972084">
                        <w:pPr>
                          <w:spacing w:line="240" w:lineRule="atLeast"/>
                          <w:ind w:firstLine="0" w:firstLineChars="0"/>
                          <w:jc w:val="center"/>
                          <w:rPr>
                            <w:spacing w:val="-2"/>
                            <w:sz w:val="18"/>
                          </w:rPr>
                        </w:pPr>
                        <w:r>
                          <w:rPr>
                            <w:rFonts w:hint="eastAsia"/>
                            <w:spacing w:val="-2"/>
                            <w:sz w:val="18"/>
                          </w:rPr>
                          <w:t>高素质人员组成的精干</w:t>
                        </w:r>
                      </w:p>
                      <w:p w14:paraId="35AF17C5">
                        <w:pPr>
                          <w:spacing w:line="240" w:lineRule="atLeast"/>
                          <w:ind w:firstLine="0" w:firstLineChars="0"/>
                          <w:jc w:val="center"/>
                          <w:rPr>
                            <w:spacing w:val="-2"/>
                            <w:sz w:val="18"/>
                          </w:rPr>
                        </w:pPr>
                        <w:r>
                          <w:rPr>
                            <w:rFonts w:hint="eastAsia"/>
                            <w:spacing w:val="-2"/>
                            <w:sz w:val="18"/>
                          </w:rPr>
                          <w:t>高效的项目经理部</w:t>
                        </w:r>
                      </w:p>
                    </w:txbxContent>
                  </v:textbox>
                </v:rect>
                <v:shape id="文本框 218" o:spid="_x0000_s1026" o:spt="202" type="#_x0000_t202" style="position:absolute;left:8568;top:8453;height:1908;width:660;" fillcolor="#C6D9F1" filled="t" stroked="t" coordsize="21600,21600" o:gfxdata="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0pw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layout-flow:vertical-ideographic;">
                    <w:txbxContent>
                      <w:p w14:paraId="4D08E0E5">
                        <w:pPr>
                          <w:ind w:firstLine="0" w:firstLineChars="0"/>
                          <w:jc w:val="center"/>
                          <w:rPr>
                            <w:sz w:val="18"/>
                          </w:rPr>
                        </w:pPr>
                        <w:r>
                          <w:rPr>
                            <w:rFonts w:hint="eastAsia"/>
                            <w:sz w:val="18"/>
                          </w:rPr>
                          <w:t>确保施工顺利进行</w:t>
                        </w:r>
                      </w:p>
                    </w:txbxContent>
                  </v:textbox>
                </v:shape>
                <v:rect id="矩形 219" o:spid="_x0000_s1026" o:spt="1" style="position:absolute;left:4897;top:8756;height:465;width:2920;" fillcolor="#C6D9F1" filled="t" stroked="t" coordsize="21600,21600" o:gfxdata="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aeqS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6D58D61">
                        <w:pPr>
                          <w:spacing w:line="240" w:lineRule="atLeast"/>
                          <w:ind w:firstLine="0" w:firstLineChars="0"/>
                          <w:jc w:val="center"/>
                          <w:rPr>
                            <w:spacing w:val="-2"/>
                            <w:sz w:val="18"/>
                          </w:rPr>
                        </w:pPr>
                        <w:r>
                          <w:rPr>
                            <w:rFonts w:hint="eastAsia"/>
                            <w:spacing w:val="-2"/>
                            <w:sz w:val="18"/>
                          </w:rPr>
                          <w:t>施工经验丰富的专业化施工队伍</w:t>
                        </w:r>
                      </w:p>
                    </w:txbxContent>
                  </v:textbox>
                </v:rect>
                <v:rect id="矩形 220" o:spid="_x0000_s1026" o:spt="1" style="position:absolute;left:4897;top:9464;height:705;width:2920;" fillcolor="#C6D9F1" filled="t" stroked="t" coordsize="21600,21600" o:gfxdata="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CVPC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7830AAE8">
                        <w:pPr>
                          <w:spacing w:line="240" w:lineRule="atLeast"/>
                          <w:ind w:firstLine="0" w:firstLineChars="0"/>
                          <w:jc w:val="center"/>
                          <w:rPr>
                            <w:spacing w:val="-2"/>
                            <w:sz w:val="18"/>
                          </w:rPr>
                        </w:pPr>
                        <w:r>
                          <w:rPr>
                            <w:rFonts w:hint="eastAsia"/>
                            <w:spacing w:val="-2"/>
                            <w:sz w:val="18"/>
                          </w:rPr>
                          <w:t>性能优良数量充足的</w:t>
                        </w:r>
                      </w:p>
                      <w:p w14:paraId="5F67640B">
                        <w:pPr>
                          <w:spacing w:line="240" w:lineRule="atLeast"/>
                          <w:ind w:firstLine="0" w:firstLineChars="0"/>
                          <w:jc w:val="center"/>
                          <w:rPr>
                            <w:spacing w:val="-2"/>
                            <w:sz w:val="18"/>
                          </w:rPr>
                        </w:pPr>
                        <w:r>
                          <w:rPr>
                            <w:rFonts w:hint="eastAsia"/>
                            <w:spacing w:val="-2"/>
                            <w:sz w:val="18"/>
                          </w:rPr>
                          <w:t>配套机械设备</w:t>
                        </w:r>
                      </w:p>
                    </w:txbxContent>
                  </v:textbox>
                </v:rect>
                <v:rect id="矩形 221" o:spid="_x0000_s1026" o:spt="1" style="position:absolute;left:4897;top:10472;height:717;width:2920;" fillcolor="#C6D9F1" filled="t" stroked="t" coordsize="21600,21600" o:gfxdata="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fRf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A90F5FF">
                        <w:pPr>
                          <w:spacing w:line="240" w:lineRule="atLeast"/>
                          <w:ind w:firstLine="0" w:firstLineChars="0"/>
                          <w:jc w:val="center"/>
                          <w:rPr>
                            <w:spacing w:val="-2"/>
                            <w:sz w:val="18"/>
                          </w:rPr>
                        </w:pPr>
                        <w:r>
                          <w:rPr>
                            <w:rFonts w:hint="eastAsia"/>
                            <w:spacing w:val="-2"/>
                            <w:sz w:val="18"/>
                          </w:rPr>
                          <w:t>畅通的材料供货渠道，</w:t>
                        </w:r>
                      </w:p>
                      <w:p w14:paraId="0974B9EE">
                        <w:pPr>
                          <w:spacing w:line="240" w:lineRule="atLeast"/>
                          <w:ind w:firstLine="0" w:firstLineChars="0"/>
                          <w:jc w:val="center"/>
                          <w:rPr>
                            <w:spacing w:val="-2"/>
                            <w:sz w:val="18"/>
                          </w:rPr>
                        </w:pPr>
                        <w:r>
                          <w:rPr>
                            <w:rFonts w:hint="eastAsia"/>
                            <w:spacing w:val="-2"/>
                            <w:sz w:val="18"/>
                          </w:rPr>
                          <w:t>充足的材料供应</w:t>
                        </w:r>
                      </w:p>
                    </w:txbxContent>
                  </v:textbox>
                </v:rect>
                <v:line id="直线 222" o:spid="_x0000_s1026" o:spt="20" style="position:absolute;left:4680;top:7993;flip:x;height:0;width:216;" filled="f" stroked="t" coordsize="21600,21600" o:gfxdata="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4V8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3" o:spid="_x0000_s1026" o:spt="20" style="position:absolute;left:4680;top:9001;flip:x;height:0;width:216;" filled="f" stroked="t" coordsize="21600,21600" o:gfxdata="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sGBg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24" o:spid="_x0000_s1026" o:spt="20" style="position:absolute;left:4680;top:10009;flip:x;height:0;width:216;" filled="f" stroked="t" coordsize="21600,21600" o:gfxdata="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Y0kG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5" o:spid="_x0000_s1026" o:spt="20" style="position:absolute;left:4680;top:10873;flip:x;height:0;width:216;" filled="f" stroked="t" coordsize="21600,21600" o:gfxdata="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W4bW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26" o:spid="_x0000_s1026" o:spt="20" style="position:absolute;left:7812;top:10873;flip:x;height:0;width:216;" filled="f" stroked="t" coordsize="21600,21600" o:gfxdata="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iK+w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7" o:spid="_x0000_s1026" o:spt="20" style="position:absolute;left:7812;top:10021;flip:x;height:0;width:216;" filled="f" stroked="t" coordsize="21600,21600" o:gfxdata="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8CC0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28" o:spid="_x0000_s1026" o:spt="20" style="position:absolute;left:7812;top:9049;flip:x;height:0;width:216;" filled="f" stroked="t" coordsize="21600,21600" o:gfxdata="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yFL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9" o:spid="_x0000_s1026" o:spt="20" style="position:absolute;left:7812;top:8005;flip:x;height:0;width:216;" filled="f" stroked="t" coordsize="21600,21600" o:gfxdata="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UdW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30" o:spid="_x0000_s1026" o:spt="20" style="position:absolute;left:4680;top:7993;flip:y;height:2880;width:0;" filled="f" stroked="t" coordsize="21600,21600" o:gfxdata="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GbjA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31" o:spid="_x0000_s1026" o:spt="20" style="position:absolute;left:8040;top:7993;flip:y;height:2880;width:0;" filled="f" stroked="t" coordsize="21600,21600" o:gfxdata="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smt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32" o:spid="_x0000_s1026" o:spt="20" style="position:absolute;left:4152;top:9457;height:0;width:540;" filled="f" stroked="t" coordsize="21600,21600" o:gfxdata="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rl3f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33" o:spid="_x0000_s1026" o:spt="20" style="position:absolute;left:8028;top:9457;height:0;width:540;" filled="f" stroked="t" coordsize="21600,21600" o:gfxdata="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8m4w+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文本框 234" o:spid="_x0000_s1026" o:spt="202" type="#_x0000_t202" style="position:absolute;left:3492;top:12361;height:1908;width:660;" fillcolor="#C6D9F1" filled="t" stroked="t" coordsize="21600,21600" o:gfxdata="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zutH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layout-flow:vertical-ideographic;">
                    <w:txbxContent>
                      <w:p w14:paraId="0DC34B8E">
                        <w:pPr>
                          <w:ind w:firstLine="0" w:firstLineChars="0"/>
                          <w:jc w:val="center"/>
                          <w:rPr>
                            <w:sz w:val="18"/>
                          </w:rPr>
                        </w:pPr>
                        <w:r>
                          <w:rPr>
                            <w:rFonts w:hint="eastAsia"/>
                            <w:sz w:val="18"/>
                          </w:rPr>
                          <w:t>技术保证</w:t>
                        </w:r>
                      </w:p>
                    </w:txbxContent>
                  </v:textbox>
                </v:shape>
                <v:rect id="矩形 235" o:spid="_x0000_s1026" o:spt="1" style="position:absolute;left:4897;top:11932;height:705;width:2920;" fillcolor="#C6D9F1" filled="t" stroked="t" coordsize="21600,21600" o:gfxdata="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nsP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62A7C30A">
                        <w:pPr>
                          <w:spacing w:line="240" w:lineRule="atLeast"/>
                          <w:ind w:firstLine="0" w:firstLineChars="0"/>
                          <w:jc w:val="center"/>
                          <w:rPr>
                            <w:spacing w:val="-2"/>
                            <w:sz w:val="18"/>
                          </w:rPr>
                        </w:pPr>
                        <w:r>
                          <w:rPr>
                            <w:rFonts w:hint="eastAsia"/>
                            <w:spacing w:val="-2"/>
                            <w:sz w:val="18"/>
                          </w:rPr>
                          <w:t>编制完善的实施性</w:t>
                        </w:r>
                      </w:p>
                      <w:p w14:paraId="42A63E1B">
                        <w:pPr>
                          <w:spacing w:line="240" w:lineRule="atLeast"/>
                          <w:ind w:firstLine="31680"/>
                          <w:jc w:val="center"/>
                          <w:rPr>
                            <w:spacing w:val="-2"/>
                            <w:sz w:val="18"/>
                          </w:rPr>
                        </w:pPr>
                        <w:r>
                          <w:rPr>
                            <w:rFonts w:hint="eastAsia"/>
                            <w:spacing w:val="-2"/>
                            <w:sz w:val="18"/>
                          </w:rPr>
                          <w:t>施工组织设计指导施工</w:t>
                        </w:r>
                      </w:p>
                    </w:txbxContent>
                  </v:textbox>
                </v:rect>
                <v:shape id="文本框 236" o:spid="_x0000_s1026" o:spt="202" type="#_x0000_t202" style="position:absolute;left:8568;top:12325;height:1908;width:660;" fillcolor="#C6D9F1" filled="t" stroked="t" coordsize="21600,21600" o:gfxdata="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bULf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14:paraId="587C28BA">
                        <w:pPr>
                          <w:ind w:firstLine="0" w:firstLineChars="0"/>
                          <w:jc w:val="center"/>
                          <w:rPr>
                            <w:sz w:val="18"/>
                          </w:rPr>
                        </w:pPr>
                        <w:r>
                          <w:rPr>
                            <w:rFonts w:hint="eastAsia"/>
                            <w:sz w:val="18"/>
                          </w:rPr>
                          <w:t>提高工效</w:t>
                        </w:r>
                      </w:p>
                    </w:txbxContent>
                  </v:textbox>
                </v:shape>
                <v:rect id="矩形 237" o:spid="_x0000_s1026" o:spt="1" style="position:absolute;left:4897;top:12916;height:705;width:2920;" fillcolor="#C6D9F1" filled="t" stroked="t" coordsize="21600,21600" o:gfxdata="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HmLH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1EBC4215">
                        <w:pPr>
                          <w:spacing w:line="240" w:lineRule="atLeast"/>
                          <w:ind w:firstLine="0" w:firstLineChars="0"/>
                          <w:jc w:val="center"/>
                          <w:rPr>
                            <w:spacing w:val="-2"/>
                            <w:sz w:val="18"/>
                          </w:rPr>
                        </w:pPr>
                        <w:r>
                          <w:rPr>
                            <w:rFonts w:hint="eastAsia"/>
                            <w:spacing w:val="-2"/>
                            <w:sz w:val="18"/>
                          </w:rPr>
                          <w:t>健全的质量保证</w:t>
                        </w:r>
                      </w:p>
                      <w:p w14:paraId="6E22A047">
                        <w:pPr>
                          <w:spacing w:line="240" w:lineRule="atLeast"/>
                          <w:ind w:firstLine="0" w:firstLineChars="0"/>
                          <w:jc w:val="center"/>
                          <w:rPr>
                            <w:spacing w:val="-2"/>
                            <w:sz w:val="18"/>
                          </w:rPr>
                        </w:pPr>
                        <w:r>
                          <w:rPr>
                            <w:rFonts w:hint="eastAsia"/>
                            <w:spacing w:val="-2"/>
                            <w:sz w:val="18"/>
                          </w:rPr>
                          <w:t>体系，避免返工</w:t>
                        </w:r>
                      </w:p>
                    </w:txbxContent>
                  </v:textbox>
                </v:rect>
                <v:rect id="矩形 238" o:spid="_x0000_s1026" o:spt="1" style="position:absolute;left:4897;top:13960;height:705;width:2920;" fillcolor="#C6D9F1" filled="t" stroked="t" coordsize="21600,21600" o:gfxdata="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Uuh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66CB8435">
                        <w:pPr>
                          <w:spacing w:line="240" w:lineRule="atLeast"/>
                          <w:ind w:firstLine="0" w:firstLineChars="0"/>
                          <w:jc w:val="center"/>
                          <w:rPr>
                            <w:spacing w:val="-2"/>
                            <w:sz w:val="18"/>
                          </w:rPr>
                        </w:pPr>
                        <w:r>
                          <w:rPr>
                            <w:rFonts w:hint="eastAsia"/>
                            <w:spacing w:val="-2"/>
                            <w:sz w:val="18"/>
                          </w:rPr>
                          <w:t>积极推广“四新”，</w:t>
                        </w:r>
                      </w:p>
                      <w:p w14:paraId="51BB198C">
                        <w:pPr>
                          <w:spacing w:line="240" w:lineRule="atLeast"/>
                          <w:ind w:firstLine="0" w:firstLineChars="0"/>
                          <w:jc w:val="center"/>
                          <w:rPr>
                            <w:spacing w:val="-2"/>
                            <w:sz w:val="18"/>
                          </w:rPr>
                        </w:pPr>
                        <w:r>
                          <w:rPr>
                            <w:rFonts w:hint="eastAsia"/>
                            <w:spacing w:val="-2"/>
                            <w:sz w:val="18"/>
                          </w:rPr>
                          <w:t>开展“五小”创新工作</w:t>
                        </w:r>
                      </w:p>
                    </w:txbxContent>
                  </v:textbox>
                </v:rect>
                <v:line id="直线 239" o:spid="_x0000_s1026" o:spt="20" style="position:absolute;left:4680;top:12273;flip:x;height:0;width:216;" filled="f" stroked="t" coordsize="21600,21600" o:gfxdata="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DnX5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40" o:spid="_x0000_s1026" o:spt="20" style="position:absolute;left:4680;top:13281;flip:x;height:0;width:216;" filled="f" stroked="t" coordsize="21600,21600" o:gfxdata="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3Vyf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41" o:spid="_x0000_s1026" o:spt="20" style="position:absolute;left:4680;top:14325;flip:x;height:0;width:216;" filled="f" stroked="t" coordsize="21600,21600" o:gfxdata="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6fsC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42" o:spid="_x0000_s1026" o:spt="20" style="position:absolute;left:7812;top:14325;flip:x;height:0;width:216;" filled="f" stroked="t" coordsize="21600,21600" o:gfxdata="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60mR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43" o:spid="_x0000_s1026" o:spt="20" style="position:absolute;left:7812;top:13329;flip:x;height:0;width:216;" filled="f" stroked="t" coordsize="21600,21600" o:gfxdata="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Td4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44" o:spid="_x0000_s1026" o:spt="20" style="position:absolute;left:7812;top:12285;flip:x;height:0;width:216;" filled="f" stroked="t" coordsize="21600,21600" o:gfxdata="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jh4e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45" o:spid="_x0000_s1026" o:spt="20" style="position:absolute;left:4680;top:12273;flip:y;height:2052;width:0;" filled="f" stroked="t" coordsize="21600,21600" o:gfxdata="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ttHO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46" o:spid="_x0000_s1026" o:spt="20" style="position:absolute;left:8040;top:12273;flip:y;height:2052;width:0;" filled="f" stroked="t" coordsize="21600,21600" o:gfxdata="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Zfio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47" o:spid="_x0000_s1026" o:spt="20" style="position:absolute;left:4152;top:13281;height:0;width:540;" filled="f" stroked="t" coordsize="21600,21600" o:gfxdata="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7iIW/&#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48" o:spid="_x0000_s1026" o:spt="20" style="position:absolute;left:8028;top:13329;height:0;width:540;" filled="f" stroked="t" coordsize="21600,21600" o:gfxdata="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Ny0e&#10;wAAAANwAAAAPAAAAAAAAAAEAIAAAACIAAABkcnMvZG93bnJldi54bWxQSwECFAAUAAAACACHTuJA&#10;My8FnjsAAAA5AAAAEAAAAAAAAAABACAAAAAPAQAAZHJzL3NoYXBleG1sLnhtbFBLBQYAAAAABgAG&#10;AFsBAAC5AwAAAAA=&#10;">
                  <v:fill on="f" focussize="0,0"/>
                  <v:stroke color="#000000" joinstyle="round"/>
                  <v:imagedata o:title=""/>
                  <o:lock v:ext="edit" aspectratio="f"/>
                </v:line>
                <v:shape id="文本框 249" o:spid="_x0000_s1026" o:spt="202" type="#_x0000_t202" style="position:absolute;left:2268;top:8489;height:1908;width:660;" fillcolor="#C6D9F1" filled="t" stroked="t" coordsize="21600,21600" o:gfxdata="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3oYu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layout-flow:vertical-ideographic;">
                    <w:txbxContent>
                      <w:p w14:paraId="10188505">
                        <w:pPr>
                          <w:ind w:firstLine="0" w:firstLineChars="0"/>
                          <w:jc w:val="center"/>
                          <w:rPr>
                            <w:b/>
                            <w:bCs/>
                          </w:rPr>
                        </w:pPr>
                        <w:r>
                          <w:rPr>
                            <w:rFonts w:hint="eastAsia"/>
                            <w:b/>
                            <w:bCs/>
                          </w:rPr>
                          <w:t>工期保证体系</w:t>
                        </w:r>
                      </w:p>
                    </w:txbxContent>
                  </v:textbox>
                </v:shape>
                <v:shape id="文本框 250" o:spid="_x0000_s1026" o:spt="202" type="#_x0000_t202" style="position:absolute;left:9768;top:8489;height:1908;width:660;" fillcolor="#C6D9F1" filled="t" stroked="t" coordsize="21600,21600" o:gfxdata="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Da9I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layout-flow:vertical-ideographic;">
                    <w:txbxContent>
                      <w:p w14:paraId="1C1BAC6C">
                        <w:pPr>
                          <w:ind w:firstLine="0" w:firstLineChars="0"/>
                          <w:jc w:val="center"/>
                          <w:rPr>
                            <w:b/>
                            <w:bCs/>
                          </w:rPr>
                        </w:pPr>
                        <w:r>
                          <w:rPr>
                            <w:rFonts w:hint="eastAsia"/>
                            <w:b/>
                            <w:bCs/>
                          </w:rPr>
                          <w:t>实现工期目标</w:t>
                        </w:r>
                      </w:p>
                    </w:txbxContent>
                  </v:textbox>
                </v:shape>
                <v:line id="直线 251" o:spid="_x0000_s1026" o:spt="20" style="position:absolute;left:2940;top:9457;height:0;width:540;" filled="f" stroked="t" coordsize="21600,21600" o:gfxdata="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Ajoa/&#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52" o:spid="_x0000_s1026" o:spt="20" style="position:absolute;left:9228;top:9457;height:0;width:540;" filled="f" stroked="t" coordsize="21600,21600" o:gfxdata="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MKx2/&#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53" o:spid="_x0000_s1026" o:spt="20" style="position:absolute;left:3264;top:5065;height:0;width:252;" filled="f" stroked="t" coordsize="21600,21600" o:gfxdata="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Tv2+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254" o:spid="_x0000_s1026" o:spt="20" style="position:absolute;left:9252;top:5065;height:0;width:252;" filled="f" stroked="t" coordsize="21600,21600" o:gfxdata="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vfGvS/&#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55" o:spid="_x0000_s1026" o:spt="20" style="position:absolute;left:3264;top:13261;height:0;width:252;" filled="f" stroked="t" coordsize="21600,21600" o:gfxdata="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zDDTr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56" o:spid="_x0000_s1026" o:spt="20" style="position:absolute;left:3264;top:5065;flip:y;height:8196;width:0;" filled="f" stroked="t" coordsize="21600,21600" o:gfxdata="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QpKE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57" o:spid="_x0000_s1026" o:spt="20" style="position:absolute;left:9492;top:5065;flip:y;height:8196;width:0;" filled="f" stroked="t" coordsize="21600,21600" o:gfxdata="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kAzz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58" o:spid="_x0000_s1026" o:spt="20" style="position:absolute;left:9252;top:13261;height:0;width:252;" filled="f" stroked="t" coordsize="21600,21600" o:gfxdata="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4l05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w10:wrap type="topAndBottom"/>
              </v:group>
            </w:pict>
          </mc:Fallback>
        </mc:AlternateContent>
      </w:r>
    </w:p>
    <w:p w14:paraId="3F7B1CE6">
      <w:pPr>
        <w:ind w:firstLine="480"/>
        <w:jc w:val="center"/>
        <w:rPr>
          <w:rFonts w:ascii="宋体" w:cs="宋体"/>
          <w:b/>
          <w:bCs/>
          <w:highlight w:val="none"/>
          <w:u w:val="double"/>
        </w:rPr>
      </w:pPr>
      <w:r>
        <w:rPr>
          <w:rFonts w:hint="eastAsia"/>
          <w:highlight w:val="none"/>
          <w:u w:val="double"/>
        </w:rPr>
        <w:t>工期保证体系框图</w:t>
      </w:r>
    </w:p>
    <w:p w14:paraId="37F57499">
      <w:pPr>
        <w:ind w:firstLine="482"/>
        <w:rPr>
          <w:rFonts w:ascii="宋体" w:cs="宋体"/>
          <w:b/>
          <w:bCs/>
        </w:rPr>
      </w:pPr>
      <w:r>
        <w:rPr>
          <w:rFonts w:ascii="宋体" w:cs="宋体"/>
          <w:b/>
          <w:bCs/>
        </w:rPr>
        <w:t>2</w:t>
      </w:r>
      <w:r>
        <w:rPr>
          <w:rFonts w:hint="eastAsia" w:ascii="宋体" w:cs="宋体"/>
          <w:b/>
          <w:bCs/>
        </w:rPr>
        <w:t>）运用动态控制原理控制施工进度</w:t>
      </w:r>
    </w:p>
    <w:p w14:paraId="43B248A1">
      <w:pPr>
        <w:ind w:firstLine="480"/>
        <w:rPr>
          <w:rFonts w:ascii="宋体" w:cs="宋体"/>
        </w:rPr>
      </w:pPr>
      <w:r>
        <w:rPr>
          <w:rFonts w:hint="eastAsia" w:ascii="宋体" w:cs="宋体"/>
        </w:rPr>
        <w:t>（</w:t>
      </w:r>
      <w:r>
        <w:rPr>
          <w:rFonts w:ascii="宋体" w:cs="宋体"/>
        </w:rPr>
        <w:t>1</w:t>
      </w:r>
      <w:r>
        <w:rPr>
          <w:rFonts w:hint="eastAsia" w:ascii="宋体" w:cs="宋体"/>
        </w:rPr>
        <w:t>）通过编制施工总进度规划、施工总进度计划、项目各子系统和各子项目施工进度计划等进行项目施工进度目标的逐层分解。</w:t>
      </w:r>
    </w:p>
    <w:p w14:paraId="0BE55491">
      <w:pPr>
        <w:ind w:firstLine="480"/>
        <w:rPr>
          <w:rFonts w:ascii="宋体" w:cs="宋体"/>
        </w:rPr>
      </w:pPr>
      <w:r>
        <w:rPr>
          <w:rFonts w:hint="eastAsia" w:ascii="宋体" w:cs="宋体"/>
        </w:rPr>
        <w:t>（</w:t>
      </w:r>
      <w:r>
        <w:rPr>
          <w:rFonts w:ascii="宋体" w:cs="宋体"/>
        </w:rPr>
        <w:t>2</w:t>
      </w:r>
      <w:r>
        <w:rPr>
          <w:rFonts w:hint="eastAsia" w:ascii="宋体" w:cs="宋体"/>
        </w:rPr>
        <w:t>）按照进度控制的要求，收集施工进度实际值，并定期对施工进度的计划值和实际值进行比较。一般的项目控制周期为一个月，对于重要的项目可定为一旬或一周，进度的计划值和实际值的比较应是定量的数据比较，比较的成果是进度跟踪和控制报告，如编制进度控制的旬、月、季半年和年度报告，对进度计划的实施情况予以书面分析、评价。</w:t>
      </w:r>
    </w:p>
    <w:p w14:paraId="5B571A89">
      <w:pPr>
        <w:ind w:firstLine="480"/>
        <w:rPr>
          <w:rFonts w:ascii="宋体" w:cs="宋体"/>
        </w:rPr>
      </w:pPr>
      <w:r>
        <w:rPr>
          <w:rFonts w:hint="eastAsia" w:ascii="宋体" w:cs="宋体"/>
        </w:rPr>
        <w:t>（</w:t>
      </w:r>
      <w:r>
        <w:rPr>
          <w:rFonts w:ascii="宋体" w:cs="宋体"/>
        </w:rPr>
        <w:t>3</w:t>
      </w:r>
      <w:r>
        <w:rPr>
          <w:rFonts w:hint="eastAsia" w:ascii="宋体" w:cs="宋体"/>
        </w:rPr>
        <w:t>）计划合同部收集进度资料进行整理和统计，从中发现是否出现进度偏差，一旦发生进度偏差，应及时分析产生的原因，并提出工期调整的措施和方案，要求重新调整施工计划。</w:t>
      </w:r>
    </w:p>
    <w:p w14:paraId="06C4911E">
      <w:pPr>
        <w:ind w:firstLine="480"/>
        <w:rPr>
          <w:rFonts w:ascii="宋体" w:cs="宋体"/>
        </w:rPr>
      </w:pPr>
      <w:r>
        <w:rPr>
          <w:rFonts w:hint="eastAsia" w:ascii="宋体" w:cs="宋体"/>
        </w:rPr>
        <w:t>（</w:t>
      </w:r>
      <w:r>
        <w:rPr>
          <w:rFonts w:ascii="宋体" w:cs="宋体"/>
        </w:rPr>
        <w:t>4</w:t>
      </w:r>
      <w:r>
        <w:rPr>
          <w:rFonts w:hint="eastAsia" w:ascii="宋体" w:cs="宋体"/>
        </w:rPr>
        <w:t>）定期分析影响本工程工期的关键环节，进行计划工期与实际工期的比较，分析超前或滞后因素，及时指出可能引起工期延误的隐患，科学地对工期进行调整和优化，制定总工期不突破的对策措施。</w:t>
      </w:r>
    </w:p>
    <w:p w14:paraId="501EC094">
      <w:pPr>
        <w:ind w:firstLine="480"/>
        <w:rPr>
          <w:rFonts w:ascii="宋体" w:cs="宋体"/>
        </w:rPr>
      </w:pPr>
      <w:r>
        <w:rPr>
          <w:rFonts w:hint="eastAsia" w:ascii="宋体" w:cs="宋体"/>
        </w:rPr>
        <w:t>（</w:t>
      </w:r>
      <w:r>
        <w:rPr>
          <w:rFonts w:ascii="宋体" w:cs="宋体"/>
        </w:rPr>
        <w:t>5</w:t>
      </w:r>
      <w:r>
        <w:rPr>
          <w:rFonts w:hint="eastAsia" w:ascii="宋体" w:cs="宋体"/>
        </w:rPr>
        <w:t>）检查落实材料、物资按计划供应。</w:t>
      </w:r>
    </w:p>
    <w:p w14:paraId="153BA44E">
      <w:pPr>
        <w:ind w:firstLine="480"/>
        <w:rPr>
          <w:rFonts w:ascii="宋体" w:cs="宋体"/>
        </w:rPr>
      </w:pPr>
      <w:r>
        <w:rPr>
          <w:rFonts w:hint="eastAsia" w:ascii="宋体" w:cs="宋体"/>
        </w:rPr>
        <w:t>（</w:t>
      </w:r>
      <w:r>
        <w:rPr>
          <w:rFonts w:ascii="宋体" w:cs="宋体"/>
        </w:rPr>
        <w:t>6</w:t>
      </w:r>
      <w:r>
        <w:rPr>
          <w:rFonts w:hint="eastAsia" w:ascii="宋体" w:cs="宋体"/>
        </w:rPr>
        <w:t>）积极提出有利于工程进度的合理化建议，采用新技术、新材料和新工艺，缩短工期。</w:t>
      </w:r>
    </w:p>
    <w:p w14:paraId="55CA62DA">
      <w:pPr>
        <w:ind w:firstLine="480"/>
        <w:rPr>
          <w:rFonts w:ascii="宋体" w:cs="宋体"/>
        </w:rPr>
      </w:pPr>
      <w:r>
        <w:rPr>
          <w:rFonts w:hint="eastAsia" w:ascii="宋体" w:cs="宋体"/>
        </w:rPr>
        <w:t>（</w:t>
      </w:r>
      <w:r>
        <w:rPr>
          <w:rFonts w:ascii="宋体" w:cs="宋体"/>
        </w:rPr>
        <w:t>7</w:t>
      </w:r>
      <w:r>
        <w:rPr>
          <w:rFonts w:hint="eastAsia" w:ascii="宋体" w:cs="宋体"/>
        </w:rPr>
        <w:t>）组织召开现场进度专门协调会，解决影响进度的问题。</w:t>
      </w:r>
    </w:p>
    <w:p w14:paraId="3F6050DF">
      <w:pPr>
        <w:ind w:firstLine="480"/>
        <w:rPr>
          <w:rFonts w:ascii="宋体" w:cs="宋体"/>
        </w:rPr>
      </w:pPr>
      <w:r>
        <w:rPr>
          <w:rFonts w:hint="eastAsia" w:ascii="宋体" w:cs="宋体"/>
        </w:rPr>
        <w:t>（</w:t>
      </w:r>
      <w:r>
        <w:rPr>
          <w:rFonts w:ascii="宋体" w:cs="宋体"/>
        </w:rPr>
        <w:t>8</w:t>
      </w:r>
      <w:r>
        <w:rPr>
          <w:rFonts w:hint="eastAsia" w:ascii="宋体" w:cs="宋体"/>
        </w:rPr>
        <w:t>）检查、督促工程进度计划的落实。</w:t>
      </w:r>
    </w:p>
    <w:p w14:paraId="35F19C46">
      <w:pPr>
        <w:ind w:firstLine="480"/>
        <w:rPr>
          <w:rFonts w:ascii="宋体" w:cs="宋体"/>
        </w:rPr>
      </w:pPr>
      <w:r>
        <w:rPr>
          <w:rFonts w:hint="eastAsia" w:ascii="宋体" w:cs="宋体"/>
        </w:rPr>
        <w:t>（</w:t>
      </w:r>
      <w:r>
        <w:rPr>
          <w:rFonts w:ascii="宋体" w:cs="宋体"/>
        </w:rPr>
        <w:t>9</w:t>
      </w:r>
      <w:r>
        <w:rPr>
          <w:rFonts w:hint="eastAsia" w:ascii="宋体" w:cs="宋体"/>
        </w:rPr>
        <w:t>）建立工程进度控制信息档案。</w:t>
      </w:r>
    </w:p>
    <w:p w14:paraId="6F6F20C3">
      <w:pPr>
        <w:ind w:firstLine="480"/>
        <w:rPr>
          <w:rFonts w:ascii="宋体" w:cs="宋体"/>
        </w:rPr>
      </w:pPr>
      <w:r>
        <w:rPr>
          <w:rFonts w:hint="eastAsia" w:ascii="宋体" w:cs="宋体"/>
        </w:rPr>
        <w:t>（</w:t>
      </w:r>
      <w:r>
        <w:rPr>
          <w:rFonts w:ascii="宋体" w:cs="宋体"/>
        </w:rPr>
        <w:t>10</w:t>
      </w:r>
      <w:r>
        <w:rPr>
          <w:rFonts w:hint="eastAsia" w:ascii="宋体" w:cs="宋体"/>
        </w:rPr>
        <w:t>）工程进度控制切忌单纯从进度上着眼、从计划上修补、从赶工上下手，进度问题实际上是一个综合因素作用下的结果，因此在工程进度控制上，应同时注意实际施工中影响进度的诸多因素，改进施工工艺和施工方法，从新技术上着眼，从提高劳动生产率上下手，才能真正确保合同工期的如期实现。</w:t>
      </w:r>
    </w:p>
    <w:p w14:paraId="52B129E1">
      <w:pPr>
        <w:ind w:firstLine="480"/>
        <w:rPr>
          <w:rFonts w:ascii="宋体" w:cs="宋体"/>
        </w:rPr>
      </w:pPr>
      <w:r>
        <w:rPr>
          <w:rFonts w:hint="eastAsia" w:ascii="宋体" w:cs="宋体"/>
        </w:rPr>
        <w:t>（</w:t>
      </w:r>
      <w:r>
        <w:rPr>
          <w:rFonts w:ascii="宋体" w:cs="宋体"/>
        </w:rPr>
        <w:t>11</w:t>
      </w:r>
      <w:r>
        <w:rPr>
          <w:rFonts w:hint="eastAsia" w:ascii="宋体" w:cs="宋体"/>
        </w:rPr>
        <w:t>）加强物资供应进度控制。</w:t>
      </w:r>
    </w:p>
    <w:p w14:paraId="54C5F88B">
      <w:pPr>
        <w:ind w:firstLine="480"/>
        <w:rPr>
          <w:rFonts w:ascii="宋体" w:cs="宋体"/>
        </w:rPr>
      </w:pPr>
      <w:r>
        <w:rPr>
          <w:rFonts w:hint="eastAsia" w:ascii="宋体" w:cs="宋体"/>
        </w:rPr>
        <w:t>（</w:t>
      </w:r>
      <w:r>
        <w:rPr>
          <w:rFonts w:ascii="宋体" w:cs="宋体"/>
        </w:rPr>
        <w:t>12</w:t>
      </w:r>
      <w:r>
        <w:rPr>
          <w:rFonts w:hint="eastAsia" w:ascii="宋体" w:cs="宋体"/>
        </w:rPr>
        <w:t>）健全内部管理体制建立从经理部到各施工处的调度指挥系统、全面、及时掌握并迅速、准确地处理影响施工进度的各种问题。对工程交叉和施工干扰应加强指挥和协调，对重大关键工序总是超前研究，制定措施，做到及时调整工序和调动人、财、物、机，保证工程的连续性和均衡性。</w:t>
      </w:r>
    </w:p>
    <w:p w14:paraId="2AEAD537">
      <w:pPr>
        <w:ind w:firstLine="482"/>
        <w:rPr>
          <w:rFonts w:ascii="宋体" w:cs="宋体"/>
          <w:b/>
          <w:bCs/>
          <w:szCs w:val="24"/>
        </w:rPr>
      </w:pPr>
      <w:r>
        <w:rPr>
          <w:rFonts w:ascii="宋体" w:cs="宋体"/>
          <w:b/>
          <w:bCs/>
          <w:szCs w:val="24"/>
        </w:rPr>
        <w:t>3</w:t>
      </w:r>
      <w:r>
        <w:rPr>
          <w:rFonts w:hint="eastAsia" w:ascii="宋体" w:cs="宋体"/>
          <w:b/>
          <w:bCs/>
          <w:szCs w:val="24"/>
        </w:rPr>
        <w:t>）保证工期的协调措施</w:t>
      </w:r>
    </w:p>
    <w:p w14:paraId="7A77CC51">
      <w:pPr>
        <w:ind w:firstLine="480"/>
        <w:rPr>
          <w:rFonts w:ascii="宋体" w:cs="宋体"/>
          <w:szCs w:val="24"/>
        </w:rPr>
      </w:pPr>
      <w:r>
        <w:rPr>
          <w:rFonts w:hint="eastAsia" w:ascii="宋体" w:cs="宋体"/>
          <w:szCs w:val="24"/>
        </w:rPr>
        <w:t>施工过程中及时进行生产计划协调、材料协调、劳动力协调、机具设备协调、作业面之间的协调等，做好协调工作才能保证进度。项目领导组织主要技术人员及施工班组在每周一召开施工协调会（或生产调度会），进行一周工作的布置，安排任务，明确目标，落实措施。</w:t>
      </w:r>
    </w:p>
    <w:p w14:paraId="574F2A0F">
      <w:pPr>
        <w:ind w:firstLine="480"/>
        <w:rPr>
          <w:rFonts w:ascii="宋体" w:cs="宋体"/>
          <w:szCs w:val="24"/>
        </w:rPr>
      </w:pPr>
      <w:r>
        <w:rPr>
          <w:rFonts w:hint="eastAsia" w:ascii="宋体" w:cs="宋体"/>
          <w:szCs w:val="24"/>
        </w:rPr>
        <w:t>及时与业主沟通，施工中发现的新问题、新情况由项目经理向业主代表提出并通过业主代表向业主汇报，尊重业主的决定，积极并按时参加业主组织召开的会议。</w:t>
      </w:r>
    </w:p>
    <w:p w14:paraId="715226C2">
      <w:pPr>
        <w:ind w:firstLine="480"/>
        <w:rPr>
          <w:rFonts w:ascii="宋体" w:cs="宋体"/>
        </w:rPr>
      </w:pPr>
      <w:r>
        <w:rPr>
          <w:rFonts w:hint="eastAsia" w:ascii="宋体" w:cs="宋体"/>
        </w:rPr>
        <w:t>工程施工过程中需要与地方各部门联系，施工过程中主要由项目书记处理与地方单位的关系，做好协调工作，确保工程顺利进行。</w:t>
      </w:r>
    </w:p>
    <w:p w14:paraId="194401D4">
      <w:pPr>
        <w:ind w:firstLine="480"/>
        <w:rPr>
          <w:rFonts w:ascii="宋体" w:cs="宋体"/>
        </w:rPr>
      </w:pPr>
      <w:r>
        <w:rPr>
          <w:rFonts w:hint="eastAsia" w:ascii="宋体" w:cs="宋体"/>
        </w:rPr>
        <w:t>监理是工程顺利完成的重要协作伙伴，与监理及时沟通，并处理好与监理的关系是工程顺利完成的重要保证。</w:t>
      </w:r>
    </w:p>
    <w:p w14:paraId="74FDB4E8">
      <w:pPr>
        <w:ind w:firstLine="480"/>
        <w:rPr>
          <w:rFonts w:ascii="宋体" w:cs="宋体"/>
        </w:rPr>
      </w:pPr>
      <w:r>
        <w:rPr>
          <w:rFonts w:hint="eastAsia" w:ascii="宋体" w:cs="宋体"/>
        </w:rPr>
        <w:t>在设计图纸会审和交底阶段，是施工单位理解图纸，熟悉设计意图的重要阶段，因此要随时与设计人员进行沟通，有不明白或图纸有疏漏的地方要及时咨询，彻底吃透图纸。同时在具体施工过程中遇到的新问题和新情况，需要优化设计方案时，及时与设计单位沟通。</w:t>
      </w:r>
    </w:p>
    <w:p w14:paraId="19F7AA2E">
      <w:pPr>
        <w:ind w:firstLine="482"/>
        <w:rPr>
          <w:rFonts w:ascii="宋体" w:cs="宋体"/>
          <w:b/>
          <w:bCs/>
        </w:rPr>
      </w:pPr>
      <w:r>
        <w:rPr>
          <w:rFonts w:ascii="宋体" w:cs="宋体"/>
          <w:b/>
          <w:bCs/>
        </w:rPr>
        <w:t>4</w:t>
      </w:r>
      <w:r>
        <w:rPr>
          <w:rFonts w:hint="eastAsia" w:ascii="宋体" w:cs="宋体"/>
          <w:b/>
          <w:bCs/>
        </w:rPr>
        <w:t>）保证工期的制度措施</w:t>
      </w:r>
    </w:p>
    <w:p w14:paraId="56F16CBF">
      <w:pPr>
        <w:ind w:firstLine="480"/>
        <w:rPr>
          <w:rFonts w:ascii="宋体" w:cs="宋体"/>
        </w:rPr>
      </w:pPr>
      <w:r>
        <w:rPr>
          <w:rFonts w:hint="eastAsia" w:ascii="宋体" w:cs="宋体"/>
        </w:rPr>
        <w:t>为了打好每一仗，必须使整个工程管理工作制度化、规范化，做到有章可循，有法可依，保证整个集体强大的战斗力。现场制定严格的岗位责任制度、质量和安全保证制度以及作息时间制度、分配制度、综合治理制度等，将岗位责任、分项进度具体落实到个人，现场副经理定期检查落实。</w:t>
      </w:r>
    </w:p>
    <w:p w14:paraId="7B50FE09">
      <w:pPr>
        <w:ind w:firstLine="482"/>
        <w:rPr>
          <w:rFonts w:ascii="宋体" w:cs="宋体"/>
          <w:b/>
          <w:bCs/>
        </w:rPr>
      </w:pPr>
      <w:r>
        <w:rPr>
          <w:rFonts w:ascii="宋体" w:cs="宋体"/>
          <w:b/>
          <w:bCs/>
        </w:rPr>
        <w:t>5</w:t>
      </w:r>
      <w:r>
        <w:rPr>
          <w:rFonts w:hint="eastAsia" w:ascii="宋体" w:cs="宋体"/>
          <w:b/>
          <w:bCs/>
        </w:rPr>
        <w:t>）保证工期的设备措施</w:t>
      </w:r>
    </w:p>
    <w:p w14:paraId="57CF44DA">
      <w:pPr>
        <w:ind w:firstLine="480"/>
        <w:rPr>
          <w:rFonts w:ascii="宋体" w:cs="宋体"/>
        </w:rPr>
      </w:pPr>
      <w:r>
        <w:rPr>
          <w:rFonts w:hint="eastAsia" w:ascii="宋体" w:cs="宋体"/>
        </w:rPr>
        <w:t>根据施工需要组织数量足够、性能良好的施工机械设备进场，并配备一定数量的备用设备，凡投入本工程的施工机械设备在进场前均需进行维护、保养，以确保所有进场设备的完好，保证设备在本工程施工中的正常运行使用。</w:t>
      </w:r>
    </w:p>
    <w:p w14:paraId="4757E341">
      <w:pPr>
        <w:ind w:firstLine="480"/>
        <w:rPr>
          <w:rFonts w:ascii="宋体" w:cs="宋体"/>
        </w:rPr>
      </w:pPr>
      <w:r>
        <w:rPr>
          <w:rFonts w:hint="eastAsia" w:ascii="宋体" w:cs="宋体"/>
        </w:rPr>
        <w:t>由专业的机械工程师对各种施工机械实行统一管理、合理组织，配备数量足够、技术全面、工种齐全的修理力量，加强施工中机械设备的日常维护与保养，各类机械设备均实行机长负责制，并制定奖惩措施，以保证机械设备完好率和利用率分别达到</w:t>
      </w:r>
      <w:r>
        <w:rPr>
          <w:rFonts w:ascii="宋体" w:cs="宋体"/>
        </w:rPr>
        <w:t>90%</w:t>
      </w:r>
      <w:r>
        <w:rPr>
          <w:rFonts w:hint="eastAsia" w:ascii="宋体" w:cs="宋体"/>
        </w:rPr>
        <w:t>和</w:t>
      </w:r>
      <w:r>
        <w:rPr>
          <w:rFonts w:ascii="宋体" w:cs="宋体"/>
        </w:rPr>
        <w:t>80%</w:t>
      </w:r>
      <w:r>
        <w:rPr>
          <w:rFonts w:hint="eastAsia" w:ascii="宋体" w:cs="宋体"/>
        </w:rPr>
        <w:t>以上。</w:t>
      </w:r>
    </w:p>
    <w:p w14:paraId="6A338003">
      <w:pPr>
        <w:ind w:firstLine="480"/>
        <w:rPr>
          <w:rFonts w:ascii="宋体" w:cs="宋体"/>
        </w:rPr>
      </w:pPr>
      <w:r>
        <w:rPr>
          <w:rFonts w:hint="eastAsia" w:ascii="宋体" w:cs="宋体"/>
        </w:rPr>
        <w:t>对一些采购困难、采购周期长的设备配件预先准备一定数量存放在现场，一旦修理需要能够立即配备。</w:t>
      </w:r>
    </w:p>
    <w:p w14:paraId="01F0630E">
      <w:pPr>
        <w:ind w:firstLine="482"/>
        <w:rPr>
          <w:rFonts w:ascii="宋体" w:cs="宋体"/>
          <w:b/>
          <w:bCs/>
        </w:rPr>
      </w:pPr>
      <w:r>
        <w:rPr>
          <w:rFonts w:ascii="宋体" w:cs="宋体"/>
          <w:b/>
          <w:bCs/>
        </w:rPr>
        <w:t>6</w:t>
      </w:r>
      <w:r>
        <w:rPr>
          <w:rFonts w:hint="eastAsia" w:ascii="宋体" w:cs="宋体"/>
          <w:b/>
          <w:bCs/>
        </w:rPr>
        <w:t>）保证工期的资金、材料措施</w:t>
      </w:r>
    </w:p>
    <w:p w14:paraId="0AA94B35">
      <w:pPr>
        <w:ind w:firstLine="480"/>
        <w:rPr>
          <w:rFonts w:ascii="宋体" w:cs="宋体"/>
        </w:rPr>
      </w:pPr>
      <w:r>
        <w:rPr>
          <w:rFonts w:hint="eastAsia" w:ascii="宋体" w:cs="宋体"/>
        </w:rPr>
        <w:t>本工程执行专款专用，以防止施工中因为资金问题而影响工程的进展，充分保证劳动力、机械的充足配备，材料的及时进场。随着工程各阶段控制日期的完成及时兑现各专业队伍的劳务费用，为施工作业人员的充足准备提供保证；积极做好已完工程的验工计量工作，必须使已完工程的计价率达到</w:t>
      </w:r>
      <w:r>
        <w:rPr>
          <w:rFonts w:ascii="宋体" w:cs="宋体"/>
        </w:rPr>
        <w:t>85%</w:t>
      </w:r>
      <w:r>
        <w:rPr>
          <w:rFonts w:hint="eastAsia" w:ascii="宋体" w:cs="宋体"/>
        </w:rPr>
        <w:t>以上，同时积极申报各项工程变更资料，有专人负责变更资料签认的跟踪工作，及早完成变更工程项目的计量工作，及时支付各种人员材料的各项费用，保证人员、设备的充足数量，为工程顺利完成提供基本保障。</w:t>
      </w:r>
    </w:p>
    <w:p w14:paraId="301C4F29">
      <w:pPr>
        <w:ind w:firstLine="480"/>
        <w:rPr>
          <w:rFonts w:ascii="宋体" w:cs="宋体"/>
        </w:rPr>
      </w:pPr>
      <w:r>
        <w:rPr>
          <w:rFonts w:hint="eastAsia" w:ascii="宋体" w:cs="宋体"/>
        </w:rPr>
        <w:t>对工程进展影响的关键材料，如钢材、地材、水泥等供应做到提前有计划、材料供应商供应及时、施工场地内有富余备料，对施工材料中周转材料要周密安排，超前计划，供应及时，满足施工所需。并根据计量款的到位情况，及时支付材料费用。根据招标文件及施工承包合同的要求进行材料物资采购，项目部将与业主密切配合，并严格按照物资采购程序来操作，以保证进场材料的质量。</w:t>
      </w:r>
    </w:p>
    <w:p w14:paraId="28C4419C">
      <w:pPr>
        <w:pStyle w:val="4"/>
        <w:numPr>
          <w:ilvl w:val="1"/>
          <w:numId w:val="0"/>
        </w:numPr>
        <w:spacing w:line="360" w:lineRule="auto"/>
        <w:ind w:firstLine="0" w:firstLineChars="0"/>
        <w:rPr>
          <w:color w:val="auto"/>
        </w:rPr>
      </w:pPr>
      <w:bookmarkStart w:id="1436" w:name="_Toc6465"/>
      <w:bookmarkStart w:id="1437" w:name="_Toc6781"/>
      <w:bookmarkStart w:id="1438" w:name="_Toc22611"/>
      <w:bookmarkStart w:id="1439" w:name="_Toc21439"/>
      <w:bookmarkStart w:id="1440" w:name="_Toc26500"/>
      <w:bookmarkStart w:id="1441" w:name="_Toc885"/>
      <w:bookmarkStart w:id="1442" w:name="_Toc18876"/>
      <w:bookmarkStart w:id="1443" w:name="_Toc13466"/>
      <w:bookmarkStart w:id="1444" w:name="_Toc29697"/>
      <w:bookmarkStart w:id="1445" w:name="_Toc25278"/>
      <w:bookmarkStart w:id="1446" w:name="_Toc27135"/>
      <w:bookmarkStart w:id="1447" w:name="_Toc20804"/>
      <w:r>
        <w:rPr>
          <w:rFonts w:hint="eastAsia" w:cs="Times New Roman"/>
          <w:b/>
          <w:bCs/>
          <w:color w:val="auto"/>
          <w:kern w:val="2"/>
          <w:sz w:val="32"/>
          <w:szCs w:val="32"/>
          <w:lang w:val="en-US" w:eastAsia="zh-CN" w:bidi="ar-SA"/>
        </w:rPr>
        <w:t>9</w:t>
      </w:r>
      <w:r>
        <w:rPr>
          <w:rFonts w:hint="default" w:ascii="Arial" w:hAnsi="Arial" w:eastAsia="宋体" w:cs="Times New Roman"/>
          <w:b/>
          <w:bCs/>
          <w:color w:val="auto"/>
          <w:kern w:val="2"/>
          <w:sz w:val="32"/>
          <w:szCs w:val="32"/>
          <w:lang w:val="en-US" w:eastAsia="zh-CN" w:bidi="ar-SA"/>
        </w:rPr>
        <w:t>.4.</w:t>
      </w:r>
      <w:r>
        <w:rPr>
          <w:rFonts w:hint="eastAsia"/>
          <w:color w:val="auto"/>
        </w:rPr>
        <w:t>控制项目工期的具体措施</w:t>
      </w:r>
      <w:bookmarkEnd w:id="1436"/>
      <w:bookmarkEnd w:id="1437"/>
      <w:bookmarkEnd w:id="1438"/>
      <w:bookmarkEnd w:id="1439"/>
      <w:bookmarkEnd w:id="1440"/>
      <w:bookmarkEnd w:id="1441"/>
      <w:bookmarkEnd w:id="1442"/>
      <w:bookmarkEnd w:id="1443"/>
      <w:bookmarkEnd w:id="1444"/>
      <w:bookmarkEnd w:id="1445"/>
      <w:bookmarkEnd w:id="1446"/>
      <w:bookmarkEnd w:id="1447"/>
    </w:p>
    <w:p w14:paraId="58C39EE6">
      <w:pPr>
        <w:pStyle w:val="5"/>
        <w:numPr>
          <w:ilvl w:val="2"/>
          <w:numId w:val="0"/>
        </w:numPr>
        <w:spacing w:line="360" w:lineRule="auto"/>
        <w:ind w:left="720" w:leftChars="0" w:hanging="720" w:firstLineChars="0"/>
        <w:rPr>
          <w:color w:val="auto"/>
        </w:rPr>
      </w:pPr>
      <w:bookmarkStart w:id="1448" w:name="_Toc20093"/>
      <w:bookmarkStart w:id="1449" w:name="_Toc16364"/>
      <w:bookmarkStart w:id="1450" w:name="_Toc414398546"/>
      <w:bookmarkStart w:id="1451" w:name="_Toc3762"/>
      <w:bookmarkStart w:id="1452" w:name="_Toc18919"/>
      <w:bookmarkStart w:id="1453" w:name="_Toc4945"/>
      <w:bookmarkStart w:id="1454" w:name="_Toc23975"/>
      <w:bookmarkStart w:id="1455" w:name="_Toc17429"/>
      <w:bookmarkStart w:id="1456" w:name="_Toc19173"/>
      <w:bookmarkStart w:id="1457" w:name="_Toc32611"/>
      <w:bookmarkStart w:id="1458" w:name="_Toc22626"/>
      <w:bookmarkStart w:id="1459" w:name="_Toc21207"/>
      <w:bookmarkStart w:id="1460" w:name="_Toc65225276"/>
      <w:bookmarkStart w:id="1461" w:name="_Toc514828768"/>
      <w:bookmarkStart w:id="1462" w:name="_Toc64961273"/>
      <w:bookmarkStart w:id="1463" w:name="_Toc65169612"/>
      <w:bookmarkStart w:id="1464" w:name="_Toc514780732"/>
      <w:bookmarkStart w:id="1465" w:name="_Toc514150311"/>
      <w:bookmarkStart w:id="1466" w:name="_Toc17274797"/>
      <w:bookmarkStart w:id="1467" w:name="_Toc80518668"/>
      <w:bookmarkStart w:id="1468" w:name="_Toc64961813"/>
      <w:bookmarkStart w:id="1469" w:name="_Toc79910578"/>
      <w:bookmarkStart w:id="1470" w:name="_Toc60871787"/>
      <w:bookmarkStart w:id="1471" w:name="_Toc79509129"/>
      <w:bookmarkStart w:id="1472" w:name="_Toc13999418"/>
      <w:bookmarkStart w:id="1473" w:name="_Toc10294769"/>
      <w:bookmarkStart w:id="1474" w:name="_Toc79480342"/>
      <w:bookmarkStart w:id="1475" w:name="_Toc65051559"/>
      <w:bookmarkStart w:id="1476" w:name="_Toc66774543"/>
      <w:bookmarkStart w:id="1477" w:name="_Toc64690746"/>
      <w:bookmarkStart w:id="1478" w:name="_Toc65125476"/>
      <w:bookmarkStart w:id="1479" w:name="_Toc512579139"/>
      <w:bookmarkStart w:id="1480" w:name="_Toc514156185"/>
      <w:bookmarkStart w:id="1481" w:name="_Toc64617879"/>
      <w:bookmarkStart w:id="1482" w:name="_Toc64961649"/>
      <w:bookmarkStart w:id="1483" w:name="_Toc514163272"/>
      <w:bookmarkStart w:id="1484" w:name="_Toc514166797"/>
      <w:bookmarkStart w:id="1485" w:name="_Toc511468508"/>
      <w:bookmarkStart w:id="1486" w:name="_Toc26265661"/>
      <w:bookmarkStart w:id="1487" w:name="_Toc64951358"/>
      <w:bookmarkStart w:id="1488" w:name="_Toc64886656"/>
      <w:r>
        <w:rPr>
          <w:rFonts w:hint="eastAsia" w:cs="Times New Roman"/>
          <w:b/>
          <w:bCs/>
          <w:color w:val="auto"/>
          <w:kern w:val="2"/>
          <w:sz w:val="30"/>
          <w:szCs w:val="32"/>
          <w:lang w:val="en-US" w:eastAsia="zh-CN" w:bidi="ar-SA"/>
        </w:rPr>
        <w:t>9</w:t>
      </w:r>
      <w:r>
        <w:rPr>
          <w:rFonts w:hint="default" w:ascii="Times New Roman" w:hAnsi="Times New Roman" w:eastAsia="宋体" w:cs="Times New Roman"/>
          <w:b/>
          <w:bCs/>
          <w:color w:val="auto"/>
          <w:kern w:val="2"/>
          <w:sz w:val="30"/>
          <w:szCs w:val="32"/>
          <w:lang w:val="en-US" w:eastAsia="zh-CN" w:bidi="ar-SA"/>
        </w:rPr>
        <w:t>.4.1.</w:t>
      </w:r>
      <w:r>
        <w:rPr>
          <w:rFonts w:hint="eastAsia"/>
          <w:color w:val="auto"/>
        </w:rPr>
        <w:t>组织措施</w:t>
      </w:r>
      <w:bookmarkEnd w:id="1448"/>
      <w:bookmarkEnd w:id="1449"/>
      <w:bookmarkEnd w:id="1450"/>
      <w:bookmarkEnd w:id="1451"/>
      <w:bookmarkEnd w:id="1452"/>
      <w:bookmarkEnd w:id="1453"/>
      <w:bookmarkEnd w:id="1454"/>
      <w:bookmarkEnd w:id="1455"/>
      <w:bookmarkEnd w:id="1456"/>
      <w:bookmarkEnd w:id="1457"/>
      <w:bookmarkEnd w:id="1458"/>
      <w:bookmarkEnd w:id="1459"/>
    </w:p>
    <w:p w14:paraId="28552321">
      <w:pPr>
        <w:ind w:firstLine="480"/>
        <w:rPr>
          <w:rFonts w:ascii="宋体" w:cs="宋体"/>
        </w:rPr>
      </w:pPr>
      <w:r>
        <w:rPr>
          <w:rFonts w:hint="eastAsia" w:ascii="宋体" w:cs="宋体"/>
        </w:rPr>
        <w:t>施工中加强组织领导，挑选本单位优秀的管理及技术人才，组建精干高效的项目经理部，并抽调整体素质高，作业能力强，有突出业绩的各专业队伍进场施工。</w:t>
      </w:r>
    </w:p>
    <w:p w14:paraId="064FF59A">
      <w:pPr>
        <w:ind w:firstLine="480"/>
        <w:rPr>
          <w:rFonts w:hint="eastAsia" w:ascii="宋体" w:eastAsia="宋体" w:cs="宋体"/>
          <w:lang w:val="en-US" w:eastAsia="zh-CN"/>
        </w:rPr>
      </w:pPr>
      <w:r>
        <w:rPr>
          <w:rFonts w:hint="eastAsia" w:ascii="宋体" w:cs="宋体"/>
        </w:rPr>
        <w:t>做好思想动员和教育工作，激发职工的施工热情和干劲，树立职工吃苦耐劳、连续作战的精神、不怕困难、迎难而上的作风，以战斗的姿态投入工程施工。</w:t>
      </w:r>
      <w:r>
        <w:rPr>
          <w:rFonts w:hint="eastAsia" w:ascii="宋体" w:cs="宋体"/>
          <w:lang w:val="en-US" w:eastAsia="zh-CN"/>
        </w:rPr>
        <w:t xml:space="preserve"> </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800"/>
        <w:gridCol w:w="6782"/>
      </w:tblGrid>
      <w:tr w14:paraId="4B5FC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877" w:type="dxa"/>
            <w:tcBorders>
              <w:top w:val="dotted" w:color="auto" w:sz="4" w:space="0"/>
              <w:left w:val="dotted" w:color="auto" w:sz="4" w:space="0"/>
              <w:bottom w:val="dotted" w:color="auto" w:sz="4" w:space="0"/>
              <w:right w:val="dotted" w:color="auto" w:sz="4" w:space="0"/>
            </w:tcBorders>
            <w:shd w:val="clear" w:color="auto" w:fill="FFFFFF"/>
          </w:tcPr>
          <w:p w14:paraId="6EA174F1">
            <w:pPr>
              <w:pStyle w:val="105"/>
              <w:spacing w:line="360" w:lineRule="auto"/>
            </w:pPr>
            <w:r>
              <w:rPr>
                <w:rFonts w:hint="eastAsia"/>
              </w:rPr>
              <w:t>编号</w:t>
            </w:r>
          </w:p>
        </w:tc>
        <w:tc>
          <w:tcPr>
            <w:tcW w:w="1800" w:type="dxa"/>
            <w:tcBorders>
              <w:top w:val="dotted" w:color="auto" w:sz="4" w:space="0"/>
              <w:left w:val="dotted" w:color="auto" w:sz="4" w:space="0"/>
              <w:bottom w:val="dotted" w:color="auto" w:sz="4" w:space="0"/>
              <w:right w:val="dotted" w:color="auto" w:sz="4" w:space="0"/>
            </w:tcBorders>
            <w:shd w:val="clear" w:color="auto" w:fill="FFFFFF"/>
          </w:tcPr>
          <w:p w14:paraId="28EC17CC">
            <w:pPr>
              <w:pStyle w:val="105"/>
              <w:spacing w:line="360" w:lineRule="auto"/>
            </w:pPr>
            <w:r>
              <w:rPr>
                <w:rFonts w:hint="eastAsia"/>
              </w:rPr>
              <w:t>措施</w:t>
            </w:r>
          </w:p>
        </w:tc>
        <w:tc>
          <w:tcPr>
            <w:tcW w:w="6782" w:type="dxa"/>
            <w:tcBorders>
              <w:top w:val="dotted" w:color="auto" w:sz="4" w:space="0"/>
              <w:left w:val="dotted" w:color="auto" w:sz="4" w:space="0"/>
              <w:bottom w:val="dotted" w:color="auto" w:sz="4" w:space="0"/>
              <w:right w:val="dotted" w:color="auto" w:sz="4" w:space="0"/>
            </w:tcBorders>
            <w:shd w:val="clear" w:color="auto" w:fill="FFFFFF"/>
          </w:tcPr>
          <w:p w14:paraId="3F4780EB">
            <w:pPr>
              <w:pStyle w:val="105"/>
              <w:spacing w:line="360" w:lineRule="auto"/>
            </w:pPr>
            <w:r>
              <w:rPr>
                <w:rFonts w:hint="eastAsia"/>
              </w:rPr>
              <w:t>措施内容</w:t>
            </w:r>
          </w:p>
        </w:tc>
      </w:tr>
      <w:tr w14:paraId="17267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trPr>
        <w:tc>
          <w:tcPr>
            <w:tcW w:w="877" w:type="dxa"/>
            <w:tcBorders>
              <w:top w:val="dotted" w:color="auto" w:sz="4" w:space="0"/>
              <w:left w:val="dotted" w:color="auto" w:sz="4" w:space="0"/>
              <w:bottom w:val="dotted" w:color="auto" w:sz="4" w:space="0"/>
              <w:right w:val="dotted" w:color="auto" w:sz="4" w:space="0"/>
            </w:tcBorders>
            <w:shd w:val="clear" w:color="auto" w:fill="FFFFFF"/>
            <w:vAlign w:val="center"/>
          </w:tcPr>
          <w:p w14:paraId="72FFE5A1">
            <w:pPr>
              <w:pStyle w:val="105"/>
              <w:spacing w:line="360" w:lineRule="auto"/>
              <w:jc w:val="center"/>
            </w:pPr>
            <w:r>
              <w:t>1</w:t>
            </w:r>
          </w:p>
        </w:tc>
        <w:tc>
          <w:tcPr>
            <w:tcW w:w="1800" w:type="dxa"/>
            <w:tcBorders>
              <w:top w:val="dotted" w:color="auto" w:sz="4" w:space="0"/>
              <w:left w:val="dotted" w:color="auto" w:sz="4" w:space="0"/>
              <w:bottom w:val="dotted" w:color="auto" w:sz="4" w:space="0"/>
              <w:right w:val="dotted" w:color="auto" w:sz="4" w:space="0"/>
            </w:tcBorders>
            <w:shd w:val="clear" w:color="auto" w:fill="FFFFFF"/>
            <w:vAlign w:val="center"/>
          </w:tcPr>
          <w:p w14:paraId="22292FE5">
            <w:pPr>
              <w:pStyle w:val="105"/>
              <w:spacing w:line="360" w:lineRule="auto"/>
            </w:pPr>
            <w:r>
              <w:rPr>
                <w:rFonts w:hint="eastAsia"/>
              </w:rPr>
              <w:t>专题会制度</w:t>
            </w:r>
          </w:p>
        </w:tc>
        <w:tc>
          <w:tcPr>
            <w:tcW w:w="6782" w:type="dxa"/>
            <w:tcBorders>
              <w:top w:val="dotted" w:color="auto" w:sz="4" w:space="0"/>
              <w:left w:val="dotted" w:color="auto" w:sz="4" w:space="0"/>
              <w:bottom w:val="dotted" w:color="auto" w:sz="4" w:space="0"/>
              <w:right w:val="dotted" w:color="auto" w:sz="4" w:space="0"/>
            </w:tcBorders>
            <w:shd w:val="clear" w:color="auto" w:fill="FFFFFF"/>
          </w:tcPr>
          <w:p w14:paraId="66A086D6">
            <w:pPr>
              <w:pStyle w:val="105"/>
              <w:spacing w:line="360" w:lineRule="auto"/>
              <w:jc w:val="left"/>
            </w:pPr>
            <w:r>
              <w:t>1</w:t>
            </w:r>
            <w:r>
              <w:rPr>
                <w:rFonts w:hint="eastAsia"/>
              </w:rPr>
              <w:t>）总结前一阶段工期管理方面的经验教训，提交并协调解决各类问题；</w:t>
            </w:r>
            <w:r>
              <w:t>2</w:t>
            </w:r>
            <w:r>
              <w:rPr>
                <w:rFonts w:hint="eastAsia"/>
              </w:rPr>
              <w:t>）根据前期完成情况和其他预测变化情况，及时调整后期计划并下达部署；</w:t>
            </w:r>
            <w:r>
              <w:t>3</w:t>
            </w:r>
            <w:r>
              <w:rPr>
                <w:rFonts w:hint="eastAsia"/>
              </w:rPr>
              <w:t>）兑现工期奖罚；</w:t>
            </w:r>
          </w:p>
        </w:tc>
      </w:tr>
      <w:tr w14:paraId="05CE9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trPr>
        <w:tc>
          <w:tcPr>
            <w:tcW w:w="877" w:type="dxa"/>
            <w:tcBorders>
              <w:top w:val="dotted" w:color="auto" w:sz="4" w:space="0"/>
              <w:left w:val="dotted" w:color="auto" w:sz="4" w:space="0"/>
              <w:bottom w:val="dotted" w:color="auto" w:sz="4" w:space="0"/>
              <w:right w:val="dotted" w:color="auto" w:sz="4" w:space="0"/>
            </w:tcBorders>
            <w:shd w:val="clear" w:color="auto" w:fill="FFFFFF"/>
            <w:vAlign w:val="center"/>
          </w:tcPr>
          <w:p w14:paraId="092828EC">
            <w:pPr>
              <w:pStyle w:val="105"/>
              <w:spacing w:line="360" w:lineRule="auto"/>
              <w:jc w:val="center"/>
            </w:pPr>
            <w:r>
              <w:t>2</w:t>
            </w:r>
          </w:p>
        </w:tc>
        <w:tc>
          <w:tcPr>
            <w:tcW w:w="1800" w:type="dxa"/>
            <w:tcBorders>
              <w:top w:val="dotted" w:color="auto" w:sz="4" w:space="0"/>
              <w:left w:val="dotted" w:color="auto" w:sz="4" w:space="0"/>
              <w:bottom w:val="dotted" w:color="auto" w:sz="4" w:space="0"/>
              <w:right w:val="dotted" w:color="auto" w:sz="4" w:space="0"/>
            </w:tcBorders>
            <w:shd w:val="clear" w:color="auto" w:fill="FFFFFF"/>
            <w:vAlign w:val="center"/>
          </w:tcPr>
          <w:p w14:paraId="02882E09">
            <w:pPr>
              <w:pStyle w:val="105"/>
              <w:spacing w:line="360" w:lineRule="auto"/>
            </w:pPr>
            <w:r>
              <w:rPr>
                <w:rFonts w:hint="eastAsia"/>
              </w:rPr>
              <w:t>强化外围保障</w:t>
            </w:r>
          </w:p>
        </w:tc>
        <w:tc>
          <w:tcPr>
            <w:tcW w:w="6782" w:type="dxa"/>
            <w:tcBorders>
              <w:top w:val="dotted" w:color="auto" w:sz="4" w:space="0"/>
              <w:left w:val="dotted" w:color="auto" w:sz="4" w:space="0"/>
              <w:bottom w:val="dotted" w:color="auto" w:sz="4" w:space="0"/>
              <w:right w:val="dotted" w:color="auto" w:sz="4" w:space="0"/>
            </w:tcBorders>
            <w:shd w:val="clear" w:color="auto" w:fill="FFFFFF"/>
          </w:tcPr>
          <w:p w14:paraId="71A42311">
            <w:pPr>
              <w:pStyle w:val="105"/>
              <w:spacing w:line="360" w:lineRule="auto"/>
              <w:jc w:val="left"/>
            </w:pPr>
            <w:r>
              <w:rPr>
                <w:rFonts w:hint="eastAsia"/>
              </w:rPr>
              <w:t>加强同业主、交通、消防、环保、公安、保卫及政府相关职能部分的联系沟通，尽力避免或减少由于外围保障不同、事故等对施工造成的干扰，创造良好的施工环境和条件，确保施工能够不间断地快速进行；</w:t>
            </w:r>
          </w:p>
        </w:tc>
      </w:tr>
      <w:tr w14:paraId="32D0E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6" w:hRule="atLeast"/>
        </w:trPr>
        <w:tc>
          <w:tcPr>
            <w:tcW w:w="877" w:type="dxa"/>
            <w:tcBorders>
              <w:top w:val="dotted" w:color="auto" w:sz="4" w:space="0"/>
              <w:left w:val="dotted" w:color="auto" w:sz="4" w:space="0"/>
              <w:bottom w:val="dotted" w:color="auto" w:sz="4" w:space="0"/>
              <w:right w:val="dotted" w:color="auto" w:sz="4" w:space="0"/>
            </w:tcBorders>
            <w:shd w:val="clear" w:color="auto" w:fill="FFFFFF"/>
            <w:vAlign w:val="center"/>
          </w:tcPr>
          <w:p w14:paraId="0673DE50">
            <w:pPr>
              <w:pStyle w:val="105"/>
              <w:spacing w:line="360" w:lineRule="auto"/>
              <w:jc w:val="center"/>
            </w:pPr>
            <w:r>
              <w:t>3</w:t>
            </w:r>
          </w:p>
        </w:tc>
        <w:tc>
          <w:tcPr>
            <w:tcW w:w="1800" w:type="dxa"/>
            <w:tcBorders>
              <w:top w:val="dotted" w:color="auto" w:sz="4" w:space="0"/>
              <w:left w:val="dotted" w:color="auto" w:sz="4" w:space="0"/>
              <w:bottom w:val="dotted" w:color="auto" w:sz="4" w:space="0"/>
              <w:right w:val="dotted" w:color="auto" w:sz="4" w:space="0"/>
            </w:tcBorders>
            <w:shd w:val="clear" w:color="auto" w:fill="FFFFFF"/>
            <w:vAlign w:val="center"/>
          </w:tcPr>
          <w:p w14:paraId="39C498FA">
            <w:pPr>
              <w:pStyle w:val="105"/>
              <w:spacing w:line="360" w:lineRule="auto"/>
            </w:pPr>
            <w:r>
              <w:rPr>
                <w:rFonts w:hint="eastAsia"/>
              </w:rPr>
              <w:t>特殊保障</w:t>
            </w:r>
          </w:p>
        </w:tc>
        <w:tc>
          <w:tcPr>
            <w:tcW w:w="6782" w:type="dxa"/>
            <w:tcBorders>
              <w:top w:val="dotted" w:color="auto" w:sz="4" w:space="0"/>
              <w:left w:val="dotted" w:color="auto" w:sz="4" w:space="0"/>
              <w:bottom w:val="dotted" w:color="auto" w:sz="4" w:space="0"/>
              <w:right w:val="dotted" w:color="auto" w:sz="4" w:space="0"/>
            </w:tcBorders>
            <w:shd w:val="clear" w:color="auto" w:fill="FFFFFF"/>
          </w:tcPr>
          <w:p w14:paraId="43D2E86E">
            <w:pPr>
              <w:pStyle w:val="105"/>
              <w:spacing w:line="360" w:lineRule="auto"/>
              <w:jc w:val="left"/>
            </w:pPr>
            <w:r>
              <w:t>1</w:t>
            </w:r>
            <w:r>
              <w:rPr>
                <w:rFonts w:hint="eastAsia"/>
              </w:rPr>
              <w:t>）轮流安排项目部领导（项目经理、项目副经理、项目总工程师）驻守现场值班，负责协调处理夜间施工的工作，项目部其他人员保持</w:t>
            </w:r>
            <w:r>
              <w:t>24h</w:t>
            </w:r>
            <w:r>
              <w:rPr>
                <w:rFonts w:hint="eastAsia"/>
              </w:rPr>
              <w:t>的通讯畅通；</w:t>
            </w:r>
            <w:r>
              <w:t>2</w:t>
            </w:r>
            <w:r>
              <w:rPr>
                <w:rFonts w:hint="eastAsia"/>
              </w:rPr>
              <w:t>）设置夜间施工监督员，对夜间施工进行巡视，确保夜间施工的工作效率；</w:t>
            </w:r>
            <w:r>
              <w:t>3</w:t>
            </w:r>
            <w:r>
              <w:rPr>
                <w:rFonts w:hint="eastAsia"/>
              </w:rPr>
              <w:t>）现场配备足够的电工，及时配合施工队照明的需要，如移动光源灯，办公区到生产区的沿途及作业面事先假设足够的照明设施；</w:t>
            </w:r>
            <w:r>
              <w:t>4</w:t>
            </w:r>
            <w:r>
              <w:rPr>
                <w:rFonts w:hint="eastAsia"/>
              </w:rPr>
              <w:t>）在现场临边、洞口等事故易发位置，严格按照有关规定设置警戒灯，并由专职安全员负责维护；</w:t>
            </w:r>
            <w:r>
              <w:t>5</w:t>
            </w:r>
            <w:r>
              <w:rPr>
                <w:rFonts w:hint="eastAsia"/>
              </w:rPr>
              <w:t>）事先做好机械设备的维护保养，防止机械设备夜间出现故障；</w:t>
            </w:r>
          </w:p>
        </w:tc>
      </w:tr>
      <w:tr w14:paraId="3CFC0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77" w:type="dxa"/>
            <w:tcBorders>
              <w:top w:val="dotted" w:color="auto" w:sz="4" w:space="0"/>
              <w:left w:val="dotted" w:color="auto" w:sz="4" w:space="0"/>
              <w:bottom w:val="dotted" w:color="auto" w:sz="4" w:space="0"/>
              <w:right w:val="dotted" w:color="auto" w:sz="4" w:space="0"/>
            </w:tcBorders>
            <w:shd w:val="clear" w:color="auto" w:fill="FFFFFF"/>
          </w:tcPr>
          <w:p w14:paraId="5032AA74">
            <w:pPr>
              <w:pStyle w:val="105"/>
              <w:spacing w:line="360" w:lineRule="auto"/>
            </w:pPr>
            <w:r>
              <w:t>4</w:t>
            </w:r>
          </w:p>
        </w:tc>
        <w:tc>
          <w:tcPr>
            <w:tcW w:w="1800" w:type="dxa"/>
            <w:tcBorders>
              <w:top w:val="dotted" w:color="auto" w:sz="4" w:space="0"/>
              <w:left w:val="dotted" w:color="auto" w:sz="4" w:space="0"/>
              <w:bottom w:val="dotted" w:color="auto" w:sz="4" w:space="0"/>
              <w:right w:val="dotted" w:color="auto" w:sz="4" w:space="0"/>
            </w:tcBorders>
            <w:shd w:val="clear" w:color="auto" w:fill="FFFFFF"/>
          </w:tcPr>
          <w:p w14:paraId="141E7A60">
            <w:pPr>
              <w:pStyle w:val="105"/>
              <w:spacing w:line="360" w:lineRule="auto"/>
            </w:pPr>
            <w:r>
              <w:rPr>
                <w:rFonts w:hint="eastAsia"/>
              </w:rPr>
              <w:t>相互协调</w:t>
            </w:r>
          </w:p>
        </w:tc>
        <w:tc>
          <w:tcPr>
            <w:tcW w:w="6782" w:type="dxa"/>
            <w:tcBorders>
              <w:top w:val="dotted" w:color="auto" w:sz="4" w:space="0"/>
              <w:left w:val="dotted" w:color="auto" w:sz="4" w:space="0"/>
              <w:bottom w:val="dotted" w:color="auto" w:sz="4" w:space="0"/>
              <w:right w:val="dotted" w:color="auto" w:sz="4" w:space="0"/>
            </w:tcBorders>
            <w:shd w:val="clear" w:color="auto" w:fill="FFFFFF"/>
          </w:tcPr>
          <w:p w14:paraId="56965832">
            <w:pPr>
              <w:pStyle w:val="105"/>
              <w:spacing w:line="360" w:lineRule="auto"/>
            </w:pPr>
            <w:r>
              <w:rPr>
                <w:rFonts w:hint="eastAsia"/>
              </w:rPr>
              <w:t>施工队共同配合，商定配合方案，按配合要求施工，为施工创造条件。</w:t>
            </w:r>
          </w:p>
        </w:tc>
      </w:tr>
    </w:tbl>
    <w:p w14:paraId="5067C68C">
      <w:pPr>
        <w:pStyle w:val="5"/>
        <w:numPr>
          <w:ilvl w:val="2"/>
          <w:numId w:val="0"/>
        </w:numPr>
        <w:spacing w:line="360" w:lineRule="auto"/>
        <w:ind w:left="720" w:leftChars="0" w:hanging="720" w:firstLineChars="0"/>
        <w:rPr>
          <w:color w:val="auto"/>
        </w:rPr>
      </w:pPr>
      <w:bookmarkStart w:id="1489" w:name="_Toc414398547"/>
      <w:bookmarkStart w:id="1490" w:name="_Toc16566"/>
      <w:bookmarkStart w:id="1491" w:name="_Toc3739"/>
      <w:bookmarkStart w:id="1492" w:name="_Toc24984"/>
      <w:bookmarkStart w:id="1493" w:name="_Toc30272"/>
      <w:bookmarkStart w:id="1494" w:name="_Toc8740"/>
      <w:bookmarkStart w:id="1495" w:name="_Toc11271"/>
      <w:bookmarkStart w:id="1496" w:name="_Toc13064"/>
      <w:bookmarkStart w:id="1497" w:name="_Toc8586"/>
      <w:bookmarkStart w:id="1498" w:name="_Toc16706"/>
      <w:bookmarkStart w:id="1499" w:name="_Toc26034"/>
      <w:bookmarkStart w:id="1500" w:name="_Toc1062"/>
      <w:r>
        <w:rPr>
          <w:rFonts w:hint="eastAsia" w:cs="Times New Roman"/>
          <w:b/>
          <w:bCs/>
          <w:color w:val="auto"/>
          <w:kern w:val="2"/>
          <w:sz w:val="30"/>
          <w:szCs w:val="32"/>
          <w:lang w:val="en-US" w:eastAsia="zh-CN" w:bidi="ar-SA"/>
        </w:rPr>
        <w:t>9</w:t>
      </w:r>
      <w:r>
        <w:rPr>
          <w:rFonts w:hint="default" w:ascii="Times New Roman" w:hAnsi="Times New Roman" w:eastAsia="宋体" w:cs="Times New Roman"/>
          <w:b/>
          <w:bCs/>
          <w:color w:val="auto"/>
          <w:kern w:val="2"/>
          <w:sz w:val="30"/>
          <w:szCs w:val="32"/>
          <w:lang w:val="en-US" w:eastAsia="zh-CN" w:bidi="ar-SA"/>
        </w:rPr>
        <w:t>.4.2.</w:t>
      </w:r>
      <w:r>
        <w:rPr>
          <w:rFonts w:hint="eastAsia"/>
          <w:color w:val="auto"/>
        </w:rPr>
        <w:t>管理措施</w:t>
      </w:r>
      <w:bookmarkEnd w:id="1489"/>
      <w:bookmarkEnd w:id="1490"/>
      <w:bookmarkEnd w:id="1491"/>
      <w:bookmarkEnd w:id="1492"/>
      <w:bookmarkEnd w:id="1493"/>
      <w:bookmarkEnd w:id="1494"/>
      <w:bookmarkEnd w:id="1495"/>
      <w:bookmarkEnd w:id="1496"/>
      <w:bookmarkEnd w:id="1497"/>
      <w:bookmarkEnd w:id="1498"/>
      <w:bookmarkEnd w:id="1499"/>
      <w:bookmarkEnd w:id="1500"/>
    </w:p>
    <w:p w14:paraId="386C597C">
      <w:pPr>
        <w:ind w:firstLine="480"/>
        <w:rPr>
          <w:rFonts w:ascii="宋体" w:cs="宋体"/>
        </w:rPr>
      </w:pPr>
      <w:r>
        <w:rPr>
          <w:rFonts w:hint="eastAsia" w:ascii="宋体" w:cs="宋体"/>
        </w:rPr>
        <w:t>施工中及时分析控制工期的关键线路，合理调剂人力、物力、财力和施工机械，使施工进度紧跟计划。</w:t>
      </w:r>
    </w:p>
    <w:p w14:paraId="4ACE64AB">
      <w:pPr>
        <w:ind w:firstLine="480"/>
        <w:rPr>
          <w:rFonts w:ascii="宋体" w:cs="宋体"/>
        </w:rPr>
      </w:pPr>
      <w:r>
        <w:rPr>
          <w:rFonts w:hint="eastAsia" w:ascii="宋体" w:cs="宋体"/>
        </w:rPr>
        <w:t>项目部配备专职人员和车辆配合业主进行征地拆迁工作，以尽快具备开工条件。加强调度统计，充分利用各个工作面，避免窝工。各业务部室加强协作配合，理顺上下层关系，及时解决现场问题。</w:t>
      </w:r>
    </w:p>
    <w:p w14:paraId="3C776B51">
      <w:pPr>
        <w:ind w:firstLine="480"/>
        <w:rPr>
          <w:rFonts w:ascii="宋体" w:cs="宋体"/>
        </w:rPr>
      </w:pPr>
      <w:r>
        <w:rPr>
          <w:rFonts w:hint="eastAsia" w:ascii="宋体" w:cs="宋体"/>
        </w:rPr>
        <w:t>项目部成立调度中心，对施工进度实行动态管理。对工程交叉和施工干扰严重的工程超前研究对策，制定措施，保证施工生产均衡连续进行。</w:t>
      </w:r>
    </w:p>
    <w:p w14:paraId="3DFCE06E">
      <w:pPr>
        <w:ind w:firstLine="480"/>
        <w:rPr>
          <w:rFonts w:ascii="宋体" w:cs="宋体"/>
        </w:rPr>
      </w:pPr>
      <w:r>
        <w:rPr>
          <w:rFonts w:hint="eastAsia" w:ascii="宋体" w:cs="宋体"/>
        </w:rPr>
        <w:t>采用项目管理软件信息化管理，全面及时了解工程进展情况，采取相应的对策措施。采用新工艺、新技术、新材料等，不断优化施工方案，以“四新”技术保工期。</w:t>
      </w:r>
    </w:p>
    <w:p w14:paraId="2CE03631">
      <w:pPr>
        <w:ind w:firstLine="480"/>
        <w:rPr>
          <w:rFonts w:ascii="宋体" w:cs="宋体"/>
        </w:rPr>
      </w:pPr>
      <w:r>
        <w:rPr>
          <w:rFonts w:hint="eastAsia" w:ascii="宋体" w:cs="宋体"/>
        </w:rPr>
        <w:t>适时开展劳动生产竞赛活动，加强思想教育，采取合理的奖罚措施等手段，振奋职工精神，加快施工进度。</w:t>
      </w:r>
    </w:p>
    <w:p w14:paraId="67F197AA">
      <w:pPr>
        <w:ind w:firstLine="480"/>
        <w:rPr>
          <w:rFonts w:ascii="宋体" w:cs="宋体"/>
        </w:rPr>
      </w:pPr>
      <w:bookmarkStart w:id="1501" w:name="_Toc95962744"/>
      <w:bookmarkStart w:id="1502" w:name="_Toc95321525"/>
      <w:bookmarkStart w:id="1503" w:name="_Toc96589842"/>
      <w:bookmarkStart w:id="1504" w:name="_Toc96954274"/>
      <w:bookmarkStart w:id="1505" w:name="_Toc96404455"/>
      <w:bookmarkStart w:id="1506" w:name="_Toc95297424"/>
      <w:bookmarkStart w:id="1507" w:name="_Toc98753406"/>
      <w:bookmarkStart w:id="1508" w:name="_Toc96588109"/>
      <w:bookmarkStart w:id="1509" w:name="_Toc96588898"/>
      <w:bookmarkStart w:id="1510" w:name="_Toc94690195"/>
      <w:r>
        <w:rPr>
          <w:rFonts w:hint="eastAsia" w:ascii="宋体" w:cs="宋体"/>
        </w:rPr>
        <w:t>配备先进、适用、充足的施工机械，发挥机械化程度高的优势，严格执行设备管理和维修保养制度，确保机械设备的完好率和利用率。</w:t>
      </w:r>
    </w:p>
    <w:p w14:paraId="611896F6">
      <w:pPr>
        <w:ind w:firstLine="480"/>
        <w:rPr>
          <w:rFonts w:ascii="宋体" w:cs="宋体"/>
        </w:rPr>
      </w:pPr>
      <w:r>
        <w:rPr>
          <w:rFonts w:hint="eastAsia" w:ascii="宋体" w:cs="宋体"/>
        </w:rPr>
        <w:t>建立物资设备保障体系，保证各种物资、设备按时到位，满足工程要求。</w:t>
      </w:r>
    </w:p>
    <w:bookmarkEnd w:id="1501"/>
    <w:bookmarkEnd w:id="1502"/>
    <w:bookmarkEnd w:id="1503"/>
    <w:bookmarkEnd w:id="1504"/>
    <w:bookmarkEnd w:id="1505"/>
    <w:bookmarkEnd w:id="1506"/>
    <w:bookmarkEnd w:id="1507"/>
    <w:bookmarkEnd w:id="1508"/>
    <w:bookmarkEnd w:id="1509"/>
    <w:bookmarkEnd w:id="1510"/>
    <w:p w14:paraId="1872F34F">
      <w:pPr>
        <w:ind w:firstLine="480"/>
        <w:rPr>
          <w:rFonts w:ascii="宋体" w:cs="宋体"/>
        </w:rPr>
      </w:pPr>
      <w:r>
        <w:rPr>
          <w:rFonts w:hint="eastAsia" w:ascii="宋体" w:cs="宋体"/>
        </w:rPr>
        <w:t>加强资金调度，确保重点工程的资金正常使用，保证重点工程按计划顺利进行。</w:t>
      </w:r>
    </w:p>
    <w:p w14:paraId="0108DCF8">
      <w:pPr>
        <w:ind w:firstLine="480"/>
        <w:rPr>
          <w:rFonts w:ascii="宋体" w:cs="宋体"/>
        </w:rPr>
      </w:pPr>
      <w:r>
        <w:rPr>
          <w:rFonts w:hint="eastAsia" w:ascii="宋体" w:cs="宋体"/>
        </w:rPr>
        <w:t>交工验收后立即按交通部及当地省市文件要求整理本合同段的竣工资料，并上交业主。</w:t>
      </w:r>
    </w:p>
    <w:tbl>
      <w:tblPr>
        <w:tblStyle w:val="47"/>
        <w:tblpPr w:leftFromText="180" w:rightFromText="180" w:vertAnchor="text" w:horzAnchor="page" w:tblpX="1584" w:tblpY="14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770"/>
        <w:gridCol w:w="6667"/>
      </w:tblGrid>
      <w:tr w14:paraId="23E93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862" w:type="dxa"/>
            <w:tcBorders>
              <w:top w:val="dotted" w:color="auto" w:sz="4" w:space="0"/>
              <w:left w:val="dotted" w:color="auto" w:sz="4" w:space="0"/>
              <w:bottom w:val="dotted" w:color="auto" w:sz="4" w:space="0"/>
              <w:right w:val="dotted" w:color="auto" w:sz="4" w:space="0"/>
            </w:tcBorders>
            <w:shd w:val="clear" w:color="auto" w:fill="FFFFFF"/>
          </w:tcPr>
          <w:p w14:paraId="14E98952">
            <w:pPr>
              <w:pStyle w:val="105"/>
              <w:spacing w:line="360" w:lineRule="auto"/>
              <w:rPr>
                <w:sz w:val="21"/>
                <w:szCs w:val="21"/>
              </w:rPr>
            </w:pPr>
            <w:r>
              <w:rPr>
                <w:rFonts w:hint="eastAsia"/>
                <w:sz w:val="21"/>
                <w:szCs w:val="21"/>
              </w:rPr>
              <w:t>编号</w:t>
            </w:r>
          </w:p>
        </w:tc>
        <w:tc>
          <w:tcPr>
            <w:tcW w:w="1770" w:type="dxa"/>
            <w:tcBorders>
              <w:top w:val="dotted" w:color="auto" w:sz="4" w:space="0"/>
              <w:left w:val="dotted" w:color="auto" w:sz="4" w:space="0"/>
              <w:bottom w:val="dotted" w:color="auto" w:sz="4" w:space="0"/>
              <w:right w:val="dotted" w:color="auto" w:sz="4" w:space="0"/>
            </w:tcBorders>
            <w:shd w:val="clear" w:color="auto" w:fill="FFFFFF"/>
          </w:tcPr>
          <w:p w14:paraId="1DE259EB">
            <w:pPr>
              <w:pStyle w:val="105"/>
              <w:spacing w:line="360" w:lineRule="auto"/>
              <w:rPr>
                <w:sz w:val="21"/>
                <w:szCs w:val="21"/>
              </w:rPr>
            </w:pPr>
            <w:r>
              <w:rPr>
                <w:rFonts w:hint="eastAsia"/>
                <w:sz w:val="21"/>
                <w:szCs w:val="21"/>
              </w:rPr>
              <w:t>项目</w:t>
            </w:r>
          </w:p>
        </w:tc>
        <w:tc>
          <w:tcPr>
            <w:tcW w:w="6667" w:type="dxa"/>
            <w:tcBorders>
              <w:top w:val="dotted" w:color="auto" w:sz="4" w:space="0"/>
              <w:left w:val="dotted" w:color="auto" w:sz="4" w:space="0"/>
              <w:bottom w:val="dotted" w:color="auto" w:sz="4" w:space="0"/>
              <w:right w:val="dotted" w:color="auto" w:sz="4" w:space="0"/>
            </w:tcBorders>
            <w:shd w:val="clear" w:color="auto" w:fill="FFFFFF"/>
          </w:tcPr>
          <w:p w14:paraId="130BA0BA">
            <w:pPr>
              <w:pStyle w:val="105"/>
              <w:spacing w:line="360" w:lineRule="auto"/>
              <w:rPr>
                <w:sz w:val="21"/>
                <w:szCs w:val="21"/>
              </w:rPr>
            </w:pPr>
            <w:r>
              <w:rPr>
                <w:rFonts w:hint="eastAsia"/>
                <w:sz w:val="21"/>
                <w:szCs w:val="21"/>
              </w:rPr>
              <w:t>措施内容</w:t>
            </w:r>
          </w:p>
        </w:tc>
      </w:tr>
      <w:tr w14:paraId="4DBE3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7" w:hRule="atLeast"/>
        </w:trPr>
        <w:tc>
          <w:tcPr>
            <w:tcW w:w="862" w:type="dxa"/>
            <w:tcBorders>
              <w:top w:val="dotted" w:color="auto" w:sz="4" w:space="0"/>
              <w:left w:val="dotted" w:color="auto" w:sz="4" w:space="0"/>
              <w:bottom w:val="dotted" w:color="auto" w:sz="4" w:space="0"/>
              <w:right w:val="dotted" w:color="auto" w:sz="4" w:space="0"/>
            </w:tcBorders>
            <w:shd w:val="clear" w:color="auto" w:fill="FFFFFF"/>
          </w:tcPr>
          <w:p w14:paraId="79A4BD4D">
            <w:pPr>
              <w:pStyle w:val="105"/>
              <w:spacing w:line="360" w:lineRule="auto"/>
              <w:rPr>
                <w:sz w:val="21"/>
                <w:szCs w:val="21"/>
              </w:rPr>
            </w:pPr>
            <w:r>
              <w:rPr>
                <w:sz w:val="21"/>
                <w:szCs w:val="21"/>
              </w:rPr>
              <w:t>1</w:t>
            </w:r>
          </w:p>
        </w:tc>
        <w:tc>
          <w:tcPr>
            <w:tcW w:w="1770" w:type="dxa"/>
            <w:tcBorders>
              <w:top w:val="dotted" w:color="auto" w:sz="4" w:space="0"/>
              <w:left w:val="dotted" w:color="auto" w:sz="4" w:space="0"/>
              <w:bottom w:val="dotted" w:color="auto" w:sz="4" w:space="0"/>
              <w:right w:val="dotted" w:color="auto" w:sz="4" w:space="0"/>
            </w:tcBorders>
            <w:shd w:val="clear" w:color="auto" w:fill="FFFFFF"/>
            <w:vAlign w:val="center"/>
          </w:tcPr>
          <w:p w14:paraId="441D7968">
            <w:pPr>
              <w:pStyle w:val="105"/>
              <w:spacing w:line="360" w:lineRule="auto"/>
              <w:rPr>
                <w:sz w:val="21"/>
                <w:szCs w:val="21"/>
              </w:rPr>
            </w:pPr>
            <w:r>
              <w:rPr>
                <w:rFonts w:hint="eastAsia"/>
                <w:sz w:val="21"/>
                <w:szCs w:val="21"/>
              </w:rPr>
              <w:t>工期计划</w:t>
            </w:r>
          </w:p>
        </w:tc>
        <w:tc>
          <w:tcPr>
            <w:tcW w:w="6667" w:type="dxa"/>
            <w:tcBorders>
              <w:top w:val="dotted" w:color="auto" w:sz="4" w:space="0"/>
              <w:left w:val="dotted" w:color="auto" w:sz="4" w:space="0"/>
              <w:bottom w:val="dotted" w:color="auto" w:sz="4" w:space="0"/>
              <w:right w:val="dotted" w:color="auto" w:sz="4" w:space="0"/>
            </w:tcBorders>
            <w:shd w:val="clear" w:color="auto" w:fill="FFFFFF"/>
          </w:tcPr>
          <w:p w14:paraId="5EB00421">
            <w:pPr>
              <w:pStyle w:val="105"/>
              <w:spacing w:line="360" w:lineRule="auto"/>
              <w:jc w:val="left"/>
              <w:rPr>
                <w:sz w:val="21"/>
                <w:szCs w:val="21"/>
              </w:rPr>
            </w:pPr>
            <w:r>
              <w:rPr>
                <w:rFonts w:hint="eastAsia"/>
                <w:sz w:val="21"/>
                <w:szCs w:val="21"/>
              </w:rPr>
              <w:t>总承包依据合同总工期要求编排合理的总进度计划，对生产诸要素（人力、机具、材料）及各工种进行计划安排，在空间上按照一定的位置，在时间上按照先后的顺序，在数量上按照不同的比例，合理地组织起来，在总体工期统一的指挥下，有序计地进行，确保达到预定的目的。总进度控制计划由总承包依据与业主签定的施工承包合同，以整个工程为对象，综合考虑各方面的情况，对施工过程作出战略性的部署，确定主要施工阶段的开始时间及关键线路、工序，明确施工的主攻方向。</w:t>
            </w:r>
          </w:p>
        </w:tc>
      </w:tr>
      <w:tr w14:paraId="32A87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3" w:hRule="atLeast"/>
        </w:trPr>
        <w:tc>
          <w:tcPr>
            <w:tcW w:w="862" w:type="dxa"/>
            <w:tcBorders>
              <w:top w:val="dotted" w:color="auto" w:sz="4" w:space="0"/>
              <w:left w:val="dotted" w:color="auto" w:sz="4" w:space="0"/>
              <w:bottom w:val="dotted" w:color="auto" w:sz="4" w:space="0"/>
              <w:right w:val="dotted" w:color="auto" w:sz="4" w:space="0"/>
            </w:tcBorders>
            <w:shd w:val="clear" w:color="auto" w:fill="FFFFFF"/>
          </w:tcPr>
          <w:p w14:paraId="1233400A">
            <w:pPr>
              <w:pStyle w:val="105"/>
              <w:spacing w:line="360" w:lineRule="auto"/>
              <w:rPr>
                <w:sz w:val="21"/>
                <w:szCs w:val="21"/>
              </w:rPr>
            </w:pPr>
            <w:r>
              <w:rPr>
                <w:sz w:val="21"/>
                <w:szCs w:val="21"/>
              </w:rPr>
              <w:t>2</w:t>
            </w:r>
          </w:p>
        </w:tc>
        <w:tc>
          <w:tcPr>
            <w:tcW w:w="1770" w:type="dxa"/>
            <w:tcBorders>
              <w:top w:val="dotted" w:color="auto" w:sz="4" w:space="0"/>
              <w:left w:val="dotted" w:color="auto" w:sz="4" w:space="0"/>
              <w:bottom w:val="dotted" w:color="auto" w:sz="4" w:space="0"/>
              <w:right w:val="dotted" w:color="auto" w:sz="4" w:space="0"/>
            </w:tcBorders>
            <w:shd w:val="clear" w:color="auto" w:fill="FFFFFF"/>
            <w:vAlign w:val="center"/>
          </w:tcPr>
          <w:p w14:paraId="2457C9B0">
            <w:pPr>
              <w:pStyle w:val="105"/>
              <w:spacing w:line="360" w:lineRule="auto"/>
              <w:rPr>
                <w:sz w:val="21"/>
                <w:szCs w:val="21"/>
              </w:rPr>
            </w:pPr>
            <w:r>
              <w:rPr>
                <w:rFonts w:hint="eastAsia"/>
                <w:sz w:val="21"/>
                <w:szCs w:val="21"/>
              </w:rPr>
              <w:t>计划编制</w:t>
            </w:r>
          </w:p>
        </w:tc>
        <w:tc>
          <w:tcPr>
            <w:tcW w:w="6667" w:type="dxa"/>
            <w:tcBorders>
              <w:top w:val="dotted" w:color="auto" w:sz="4" w:space="0"/>
              <w:left w:val="dotted" w:color="auto" w:sz="4" w:space="0"/>
              <w:bottom w:val="dotted" w:color="auto" w:sz="4" w:space="0"/>
              <w:right w:val="dotted" w:color="auto" w:sz="4" w:space="0"/>
            </w:tcBorders>
            <w:shd w:val="clear" w:color="auto" w:fill="FFFFFF"/>
          </w:tcPr>
          <w:p w14:paraId="3CC11A80">
            <w:pPr>
              <w:pStyle w:val="105"/>
              <w:spacing w:line="360" w:lineRule="auto"/>
              <w:ind w:firstLine="420" w:firstLineChars="200"/>
              <w:jc w:val="left"/>
              <w:rPr>
                <w:sz w:val="21"/>
                <w:szCs w:val="21"/>
              </w:rPr>
            </w:pPr>
            <w:r>
              <w:rPr>
                <w:rFonts w:hint="eastAsia"/>
                <w:sz w:val="21"/>
                <w:szCs w:val="21"/>
              </w:rPr>
              <w:t>根据总进度计划要求，编制所施工专业的分部、分项工程进度计划，在工序划的安排上服从施工总进度计划的要求和规定，时间上既保证又留有余地，确保施工总目标（合同工期）的实现</w:t>
            </w:r>
          </w:p>
        </w:tc>
      </w:tr>
      <w:tr w14:paraId="39608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862" w:type="dxa"/>
            <w:tcBorders>
              <w:top w:val="dotted" w:color="auto" w:sz="4" w:space="0"/>
              <w:left w:val="dotted" w:color="auto" w:sz="4" w:space="0"/>
              <w:bottom w:val="dotted" w:color="auto" w:sz="4" w:space="0"/>
              <w:right w:val="dotted" w:color="auto" w:sz="4" w:space="0"/>
            </w:tcBorders>
            <w:shd w:val="clear" w:color="auto" w:fill="FFFFFF"/>
          </w:tcPr>
          <w:p w14:paraId="649C2E0D">
            <w:pPr>
              <w:pStyle w:val="105"/>
              <w:spacing w:line="360" w:lineRule="auto"/>
              <w:rPr>
                <w:sz w:val="21"/>
                <w:szCs w:val="21"/>
              </w:rPr>
            </w:pPr>
            <w:r>
              <w:rPr>
                <w:sz w:val="21"/>
                <w:szCs w:val="21"/>
              </w:rPr>
              <w:t>3</w:t>
            </w:r>
          </w:p>
        </w:tc>
        <w:tc>
          <w:tcPr>
            <w:tcW w:w="1770" w:type="dxa"/>
            <w:tcBorders>
              <w:top w:val="dotted" w:color="auto" w:sz="4" w:space="0"/>
              <w:left w:val="dotted" w:color="auto" w:sz="4" w:space="0"/>
              <w:bottom w:val="dotted" w:color="auto" w:sz="4" w:space="0"/>
              <w:right w:val="dotted" w:color="auto" w:sz="4" w:space="0"/>
            </w:tcBorders>
            <w:shd w:val="clear" w:color="auto" w:fill="FFFFFF"/>
            <w:vAlign w:val="center"/>
          </w:tcPr>
          <w:p w14:paraId="2C572625">
            <w:pPr>
              <w:pStyle w:val="105"/>
              <w:spacing w:line="360" w:lineRule="auto"/>
              <w:rPr>
                <w:sz w:val="21"/>
                <w:szCs w:val="21"/>
              </w:rPr>
            </w:pPr>
            <w:r>
              <w:rPr>
                <w:rFonts w:hint="eastAsia"/>
                <w:sz w:val="21"/>
                <w:szCs w:val="21"/>
              </w:rPr>
              <w:t>工期月报</w:t>
            </w:r>
          </w:p>
        </w:tc>
        <w:tc>
          <w:tcPr>
            <w:tcW w:w="6667" w:type="dxa"/>
            <w:tcBorders>
              <w:top w:val="dotted" w:color="auto" w:sz="4" w:space="0"/>
              <w:left w:val="dotted" w:color="auto" w:sz="4" w:space="0"/>
              <w:bottom w:val="dotted" w:color="auto" w:sz="4" w:space="0"/>
              <w:right w:val="dotted" w:color="auto" w:sz="4" w:space="0"/>
            </w:tcBorders>
            <w:shd w:val="clear" w:color="auto" w:fill="FFFFFF"/>
          </w:tcPr>
          <w:p w14:paraId="669D8121">
            <w:pPr>
              <w:pStyle w:val="105"/>
              <w:spacing w:line="360" w:lineRule="auto"/>
              <w:jc w:val="left"/>
              <w:rPr>
                <w:sz w:val="21"/>
                <w:szCs w:val="21"/>
              </w:rPr>
            </w:pPr>
            <w:r>
              <w:rPr>
                <w:rFonts w:hint="eastAsia"/>
                <w:sz w:val="21"/>
                <w:szCs w:val="21"/>
              </w:rPr>
              <w:t>每月</w:t>
            </w:r>
            <w:r>
              <w:rPr>
                <w:sz w:val="21"/>
                <w:szCs w:val="21"/>
              </w:rPr>
              <w:t>25</w:t>
            </w:r>
            <w:r>
              <w:rPr>
                <w:rFonts w:hint="eastAsia"/>
                <w:sz w:val="21"/>
                <w:szCs w:val="21"/>
              </w:rPr>
              <w:t>日提供经监理确认的当月工程执行情况每月</w:t>
            </w:r>
            <w:r>
              <w:rPr>
                <w:sz w:val="21"/>
                <w:szCs w:val="21"/>
              </w:rPr>
              <w:t>25</w:t>
            </w:r>
            <w:r>
              <w:rPr>
                <w:rFonts w:hint="eastAsia"/>
                <w:sz w:val="21"/>
                <w:szCs w:val="21"/>
              </w:rPr>
              <w:t>日提供经监理确认的下月施工进度计划每月</w:t>
            </w:r>
            <w:r>
              <w:rPr>
                <w:sz w:val="21"/>
                <w:szCs w:val="21"/>
              </w:rPr>
              <w:t>25</w:t>
            </w:r>
            <w:r>
              <w:rPr>
                <w:rFonts w:hint="eastAsia"/>
                <w:sz w:val="21"/>
                <w:szCs w:val="21"/>
              </w:rPr>
              <w:t>日提供经监理确认的各种资源与进度配合调度</w:t>
            </w:r>
          </w:p>
          <w:p w14:paraId="4CB04DC0">
            <w:pPr>
              <w:pStyle w:val="105"/>
              <w:spacing w:line="360" w:lineRule="auto"/>
              <w:jc w:val="left"/>
              <w:rPr>
                <w:sz w:val="21"/>
                <w:szCs w:val="21"/>
              </w:rPr>
            </w:pPr>
          </w:p>
        </w:tc>
      </w:tr>
      <w:tr w14:paraId="60D41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7" w:hRule="atLeast"/>
        </w:trPr>
        <w:tc>
          <w:tcPr>
            <w:tcW w:w="862" w:type="dxa"/>
            <w:tcBorders>
              <w:top w:val="dotted" w:color="auto" w:sz="4" w:space="0"/>
              <w:left w:val="dotted" w:color="auto" w:sz="4" w:space="0"/>
              <w:bottom w:val="dotted" w:color="auto" w:sz="4" w:space="0"/>
              <w:right w:val="dotted" w:color="auto" w:sz="4" w:space="0"/>
            </w:tcBorders>
            <w:shd w:val="clear" w:color="auto" w:fill="FFFFFF"/>
          </w:tcPr>
          <w:p w14:paraId="7605867A">
            <w:pPr>
              <w:pStyle w:val="105"/>
              <w:spacing w:line="360" w:lineRule="auto"/>
              <w:rPr>
                <w:sz w:val="21"/>
                <w:szCs w:val="21"/>
              </w:rPr>
            </w:pPr>
            <w:r>
              <w:rPr>
                <w:sz w:val="21"/>
                <w:szCs w:val="21"/>
              </w:rPr>
              <w:t>4</w:t>
            </w:r>
          </w:p>
        </w:tc>
        <w:tc>
          <w:tcPr>
            <w:tcW w:w="1770" w:type="dxa"/>
            <w:tcBorders>
              <w:top w:val="dotted" w:color="auto" w:sz="4" w:space="0"/>
              <w:left w:val="dotted" w:color="auto" w:sz="4" w:space="0"/>
              <w:bottom w:val="dotted" w:color="auto" w:sz="4" w:space="0"/>
              <w:right w:val="dotted" w:color="auto" w:sz="4" w:space="0"/>
            </w:tcBorders>
            <w:shd w:val="clear" w:color="auto" w:fill="FFFFFF"/>
            <w:vAlign w:val="center"/>
          </w:tcPr>
          <w:p w14:paraId="1CCA0FA1">
            <w:pPr>
              <w:pStyle w:val="105"/>
              <w:spacing w:line="360" w:lineRule="auto"/>
              <w:rPr>
                <w:sz w:val="21"/>
                <w:szCs w:val="21"/>
              </w:rPr>
            </w:pPr>
            <w:r>
              <w:rPr>
                <w:rFonts w:hint="eastAsia"/>
                <w:sz w:val="21"/>
                <w:szCs w:val="21"/>
              </w:rPr>
              <w:t>设计变更</w:t>
            </w:r>
          </w:p>
        </w:tc>
        <w:tc>
          <w:tcPr>
            <w:tcW w:w="6667" w:type="dxa"/>
            <w:tcBorders>
              <w:top w:val="dotted" w:color="auto" w:sz="4" w:space="0"/>
              <w:left w:val="dotted" w:color="auto" w:sz="4" w:space="0"/>
              <w:bottom w:val="dotted" w:color="auto" w:sz="4" w:space="0"/>
              <w:right w:val="dotted" w:color="auto" w:sz="4" w:space="0"/>
            </w:tcBorders>
            <w:shd w:val="clear" w:color="auto" w:fill="FFFFFF"/>
          </w:tcPr>
          <w:p w14:paraId="07FDBBCF">
            <w:pPr>
              <w:pStyle w:val="105"/>
              <w:spacing w:line="360" w:lineRule="auto"/>
              <w:jc w:val="left"/>
              <w:rPr>
                <w:sz w:val="21"/>
                <w:szCs w:val="21"/>
              </w:rPr>
            </w:pPr>
            <w:r>
              <w:rPr>
                <w:rFonts w:hint="eastAsia"/>
                <w:sz w:val="21"/>
                <w:szCs w:val="21"/>
              </w:rPr>
              <w:t>施工阶段就深入研究招标图纸，统计掌握潜在设计变更项目，进场后立即同业主、设计沟通，督促尽早实施变更对于某些工艺复杂、技术不成熟、材料成本高的设计项目或材料，在本着降低造价、缩短工期的原则，建议业主尽早变更为工艺成熟、施工速度快的设计方案</w:t>
            </w:r>
          </w:p>
        </w:tc>
      </w:tr>
    </w:tbl>
    <w:p w14:paraId="1B28637D">
      <w:pPr>
        <w:pStyle w:val="5"/>
        <w:numPr>
          <w:ilvl w:val="2"/>
          <w:numId w:val="0"/>
        </w:numPr>
        <w:spacing w:line="360" w:lineRule="auto"/>
        <w:ind w:left="720" w:leftChars="0" w:hanging="720" w:firstLineChars="0"/>
        <w:rPr>
          <w:color w:val="auto"/>
        </w:rPr>
      </w:pPr>
      <w:bookmarkStart w:id="1511" w:name="_Toc147"/>
      <w:bookmarkStart w:id="1512" w:name="_Toc31845"/>
      <w:bookmarkStart w:id="1513" w:name="_Toc3204"/>
      <w:bookmarkStart w:id="1514" w:name="_Toc23300"/>
      <w:bookmarkStart w:id="1515" w:name="_Toc5827"/>
      <w:bookmarkStart w:id="1516" w:name="_Toc414398548"/>
      <w:bookmarkStart w:id="1517" w:name="_Toc12568"/>
      <w:bookmarkStart w:id="1518" w:name="_Toc23421"/>
      <w:bookmarkStart w:id="1519" w:name="_Toc32057"/>
      <w:bookmarkStart w:id="1520" w:name="_Toc7599"/>
      <w:bookmarkStart w:id="1521" w:name="_Toc19693"/>
      <w:bookmarkStart w:id="1522" w:name="_Toc12816"/>
      <w:r>
        <w:rPr>
          <w:rFonts w:hint="eastAsia" w:cs="Times New Roman"/>
          <w:b/>
          <w:bCs/>
          <w:color w:val="auto"/>
          <w:kern w:val="2"/>
          <w:sz w:val="30"/>
          <w:szCs w:val="32"/>
          <w:lang w:val="en-US" w:eastAsia="zh-CN" w:bidi="ar-SA"/>
        </w:rPr>
        <w:t>9</w:t>
      </w:r>
      <w:r>
        <w:rPr>
          <w:rFonts w:hint="default" w:ascii="Times New Roman" w:hAnsi="Times New Roman" w:eastAsia="宋体" w:cs="Times New Roman"/>
          <w:b/>
          <w:bCs/>
          <w:color w:val="auto"/>
          <w:kern w:val="2"/>
          <w:sz w:val="30"/>
          <w:szCs w:val="32"/>
          <w:lang w:val="en-US" w:eastAsia="zh-CN" w:bidi="ar-SA"/>
        </w:rPr>
        <w:t>.4.3.</w:t>
      </w:r>
      <w:r>
        <w:rPr>
          <w:rFonts w:hint="eastAsia"/>
          <w:color w:val="auto"/>
        </w:rPr>
        <w:t>技术措施</w:t>
      </w:r>
      <w:bookmarkEnd w:id="1511"/>
      <w:bookmarkEnd w:id="1512"/>
      <w:bookmarkEnd w:id="1513"/>
      <w:bookmarkEnd w:id="1514"/>
      <w:bookmarkEnd w:id="1515"/>
      <w:bookmarkEnd w:id="1516"/>
      <w:bookmarkEnd w:id="1517"/>
      <w:bookmarkEnd w:id="1518"/>
      <w:bookmarkEnd w:id="1519"/>
      <w:bookmarkEnd w:id="1520"/>
      <w:bookmarkEnd w:id="1521"/>
      <w:bookmarkEnd w:id="1522"/>
    </w:p>
    <w:p w14:paraId="4EEE4332">
      <w:pPr>
        <w:ind w:firstLine="480"/>
        <w:rPr>
          <w:rFonts w:ascii="宋体" w:cs="宋体"/>
        </w:rPr>
      </w:pPr>
      <w:r>
        <w:rPr>
          <w:rFonts w:hint="eastAsia" w:ascii="宋体" w:cs="宋体"/>
        </w:rPr>
        <w:t>施工前，结合现场情况核对设计文件，提前发现问题，及时报告和纠正，保证施工用图的准确性；基础开挖时，地质资料与设计资料不符时，及时与监理和建设单位联系，提出变更处理方案；水上作业时采用有丰富的水上作业经验的专业队进行施工，以加快施工进度；桥梁墩身混凝土采用大块组合整体钢模浇筑底段，一次立模，整体灌注；然后采用翻模施工；</w:t>
      </w:r>
      <w:r>
        <w:rPr>
          <w:rFonts w:hint="eastAsia" w:ascii="宋体" w:cs="宋体"/>
          <w:lang w:val="en-US" w:eastAsia="zh-CN"/>
        </w:rPr>
        <w:t>自建两台HZS120</w:t>
      </w:r>
      <w:r>
        <w:rPr>
          <w:rFonts w:hint="eastAsia" w:ascii="宋体" w:cs="宋体"/>
        </w:rPr>
        <w:t>混凝土</w:t>
      </w:r>
      <w:r>
        <w:rPr>
          <w:rFonts w:hint="eastAsia" w:ascii="宋体" w:cs="宋体"/>
          <w:lang w:val="en-US" w:eastAsia="zh-CN"/>
        </w:rPr>
        <w:t>拌合站</w:t>
      </w:r>
      <w:r>
        <w:rPr>
          <w:rFonts w:hint="eastAsia" w:ascii="宋体" w:cs="宋体"/>
        </w:rPr>
        <w:t>，混凝土搅拌运输车运输，混凝土输送泵浇筑，确保灌注质量和速度。</w:t>
      </w:r>
    </w:p>
    <w:p w14:paraId="5BD78746">
      <w:pPr>
        <w:ind w:firstLine="480"/>
        <w:rPr>
          <w:rFonts w:ascii="宋体" w:cs="宋体"/>
        </w:rPr>
      </w:pPr>
      <w:r>
        <w:rPr>
          <w:rFonts w:hint="eastAsia" w:ascii="宋体" w:cs="宋体"/>
        </w:rPr>
        <w:t>合理安排施工，尽量避免或减少夜间施工，但需要连续作业的工程项目，夜间施工执行夜间值班制度，做好周密的组织和技术交底，配备足够的物资、机具；设立专职巡视、现场检查人员，安排领导跟班作业、协调指挥，遇特殊情况及时处理；做好夜间施工防护，在作业地点附近设置警示标志，悬挂红色灯，以提醒行人和司机注意，并安排专人看守；要有足够的照明设施，保证施工现场的亮度。</w:t>
      </w:r>
    </w:p>
    <w:p w14:paraId="6AD27094">
      <w:pPr>
        <w:ind w:firstLine="482"/>
        <w:rPr>
          <w:b/>
          <w:bCs/>
        </w:rPr>
      </w:pPr>
      <w:r>
        <w:rPr>
          <w:b/>
          <w:bCs/>
        </w:rPr>
        <w:t>1</w:t>
      </w:r>
      <w:r>
        <w:rPr>
          <w:rFonts w:hint="eastAsia"/>
          <w:b/>
          <w:bCs/>
        </w:rPr>
        <w:t>）从施工工艺：</w:t>
      </w:r>
    </w:p>
    <w:p w14:paraId="7F59CE64">
      <w:pPr>
        <w:ind w:firstLine="480"/>
      </w:pPr>
      <w:r>
        <w:rPr>
          <w:rFonts w:hint="eastAsia"/>
        </w:rPr>
        <w:t>采用优化的施工方案和先进的施工方法和施工工艺。对关键工序，特殊部位工程项目，推广新技术、新工艺采用新建的施工方法，做到各分部分项工程协调配合，灵活采用平行、流水、交叉等作业方式，保证工程整体均衡发展。</w:t>
      </w:r>
    </w:p>
    <w:p w14:paraId="33BD852B">
      <w:pPr>
        <w:ind w:firstLine="482"/>
        <w:rPr>
          <w:b/>
          <w:bCs/>
        </w:rPr>
      </w:pPr>
      <w:r>
        <w:rPr>
          <w:b/>
          <w:bCs/>
        </w:rPr>
        <w:t>2</w:t>
      </w:r>
      <w:r>
        <w:rPr>
          <w:rFonts w:hint="eastAsia"/>
          <w:b/>
          <w:bCs/>
        </w:rPr>
        <w:t>）施工方法</w:t>
      </w:r>
    </w:p>
    <w:p w14:paraId="01CE6FF5">
      <w:pPr>
        <w:ind w:firstLine="480"/>
      </w:pPr>
      <w:r>
        <w:rPr>
          <w:rFonts w:hint="eastAsia"/>
        </w:rPr>
        <w:t>认真编制好施工组织设计和进度计划。中标后，将认真研究、优化施工方案，并立即编制详细的综合性施工组织设计和分项工程施工组织设计，并按总工期的要求，精心、科学地编制网络计划，找出影响工期的关键路线，对影响工期的关键工序实行专项控制，加强管理力度以确保关键工序的工期。</w:t>
      </w:r>
    </w:p>
    <w:p w14:paraId="7725B9A3">
      <w:pPr>
        <w:numPr>
          <w:ilvl w:val="0"/>
          <w:numId w:val="17"/>
        </w:numPr>
        <w:ind w:firstLine="482"/>
        <w:rPr>
          <w:rFonts w:hint="eastAsia" w:ascii="宋体" w:hAnsi="宋体" w:eastAsia="宋体" w:cs="宋体"/>
          <w:b/>
          <w:bCs/>
        </w:rPr>
      </w:pPr>
      <w:r>
        <w:rPr>
          <w:rFonts w:hint="eastAsia" w:ascii="宋体" w:hAnsi="宋体" w:eastAsia="宋体" w:cs="宋体"/>
          <w:b/>
          <w:bCs/>
        </w:rPr>
        <w:t>上下相承工序协调</w:t>
      </w:r>
    </w:p>
    <w:p w14:paraId="317F8018">
      <w:pPr>
        <w:ind w:firstLine="480"/>
        <w:rPr>
          <w:rFonts w:hint="eastAsia" w:ascii="宋体" w:hAnsi="宋体" w:eastAsia="宋体" w:cs="宋体"/>
        </w:rPr>
      </w:pPr>
      <w:r>
        <w:rPr>
          <w:rFonts w:hint="eastAsia" w:ascii="宋体" w:hAnsi="宋体" w:eastAsia="宋体" w:cs="宋体"/>
        </w:rPr>
        <w:t>上部工序交给下部工序之前，每道工序完成后，必须经过内部检查合格后，两道工序的作业班长共同自检，确认无问题后签署工序交验合格单（隐蔽工序还需监理工程师检验合格），下部工序才能进行施工；若有问题及时通知上部工序进行整改，整改合格后，两道工序自检确认无误后，下部工序再接受施工。特别是隐蔽工程要认真实行检查签证制度，任何人不得擅自做主隐瞒不报。未经检验评定或经检验不合格的工序，应按有关规定进行处置、整改，并将处置、整改后的结果进行验证记录档案。</w:t>
      </w:r>
    </w:p>
    <w:p w14:paraId="4AF47C7E">
      <w:pPr>
        <w:ind w:firstLine="480"/>
        <w:rPr>
          <w:rFonts w:hint="eastAsia" w:ascii="宋体" w:hAnsi="宋体" w:eastAsia="宋体" w:cs="宋体"/>
        </w:rPr>
      </w:pPr>
      <w:r>
        <w:rPr>
          <w:rFonts w:hint="eastAsia" w:ascii="宋体" w:hAnsi="宋体" w:eastAsia="宋体" w:cs="宋体"/>
        </w:rPr>
        <w:t>对影响交通、周围环境的工序，要坚持原则，加强控制，优化于其他工序。实验、检测手段合格后，各种措施可行到位后，方可进行下道工序的开。上道工序对下道工序带来生产危害或隐患时，严禁下道工序的开工。</w:t>
      </w:r>
    </w:p>
    <w:p w14:paraId="5A13E0F4">
      <w:pPr>
        <w:ind w:firstLine="480"/>
        <w:rPr>
          <w:rFonts w:hint="eastAsia" w:ascii="宋体" w:hAnsi="宋体" w:eastAsia="宋体" w:cs="宋体"/>
        </w:rPr>
      </w:pPr>
      <w:r>
        <w:rPr>
          <w:rFonts w:hint="eastAsia" w:ascii="宋体" w:hAnsi="宋体" w:eastAsia="宋体" w:cs="宋体"/>
        </w:rPr>
        <w:t>对“关键工序”、“特殊工序”要加强管理，积极配合监理工程师实施全方位、全天候的“旁站”制度。在开工前必须列出“关键工序”、“特殊工序”的名称，要落实采取各种措施加强控制。</w:t>
      </w:r>
    </w:p>
    <w:p w14:paraId="53613A61">
      <w:pPr>
        <w:pStyle w:val="5"/>
        <w:numPr>
          <w:ilvl w:val="2"/>
          <w:numId w:val="0"/>
        </w:numPr>
        <w:spacing w:line="360" w:lineRule="auto"/>
        <w:ind w:left="720" w:leftChars="0" w:hanging="720" w:firstLineChars="0"/>
        <w:rPr>
          <w:rFonts w:hint="eastAsia" w:ascii="宋体" w:hAnsi="宋体" w:eastAsia="宋体" w:cs="宋体"/>
          <w:color w:val="auto"/>
        </w:rPr>
      </w:pPr>
      <w:bookmarkStart w:id="1523" w:name="_Toc3318"/>
      <w:bookmarkStart w:id="1524" w:name="_Toc29474"/>
      <w:bookmarkStart w:id="1525" w:name="_Toc26088"/>
      <w:bookmarkStart w:id="1526" w:name="_Toc11160"/>
      <w:bookmarkStart w:id="1527" w:name="_Toc6474"/>
      <w:bookmarkStart w:id="1528" w:name="_Toc18508"/>
      <w:bookmarkStart w:id="1529" w:name="_Toc16411"/>
      <w:bookmarkStart w:id="1530" w:name="_Toc11053"/>
      <w:bookmarkStart w:id="1531" w:name="_Toc18071"/>
      <w:bookmarkStart w:id="1532" w:name="_Toc19700"/>
      <w:bookmarkStart w:id="1533" w:name="_Toc30460"/>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.4.4.</w:t>
      </w:r>
      <w:r>
        <w:rPr>
          <w:rFonts w:hint="eastAsia" w:ascii="宋体" w:hAnsi="宋体" w:eastAsia="宋体" w:cs="宋体"/>
          <w:color w:val="auto"/>
        </w:rPr>
        <w:t>并行工序协调措施</w:t>
      </w:r>
      <w:bookmarkEnd w:id="1523"/>
      <w:bookmarkEnd w:id="1524"/>
      <w:bookmarkEnd w:id="1525"/>
      <w:bookmarkEnd w:id="1526"/>
      <w:bookmarkEnd w:id="1527"/>
      <w:bookmarkEnd w:id="1528"/>
      <w:bookmarkEnd w:id="1529"/>
      <w:bookmarkEnd w:id="1530"/>
      <w:bookmarkEnd w:id="1531"/>
      <w:bookmarkEnd w:id="1532"/>
      <w:bookmarkEnd w:id="1533"/>
    </w:p>
    <w:p w14:paraId="3B1BDC3C">
      <w:pPr>
        <w:ind w:firstLine="480"/>
        <w:rPr>
          <w:rFonts w:hint="eastAsia" w:ascii="宋体" w:hAnsi="宋体" w:eastAsia="宋体" w:cs="宋体"/>
        </w:rPr>
      </w:pPr>
      <w:r>
        <w:rPr>
          <w:rFonts w:hint="eastAsia" w:ascii="宋体" w:hAnsi="宋体" w:eastAsia="宋体" w:cs="宋体"/>
        </w:rPr>
        <w:t>各道工序要严格按照施工组织设计进行实施和开展工作，严禁盲目的赶工期指挥，造成各工序、施工现场的混乱。两道普通并行工序施工在施工时有干扰现象时，两道工序作业负责人和项目总工共同协商施工方案和作业程序，排除施工干扰。次要工序与主要工序：两者相互干扰时，两个工序负责人相互协商解决，不能解决时，次要工序要保证主要工序的施工。</w:t>
      </w:r>
    </w:p>
    <w:p w14:paraId="1B1CD1CC">
      <w:pPr>
        <w:pStyle w:val="5"/>
        <w:numPr>
          <w:ilvl w:val="2"/>
          <w:numId w:val="0"/>
        </w:numPr>
        <w:spacing w:line="360" w:lineRule="auto"/>
        <w:ind w:left="720" w:leftChars="0" w:hanging="720" w:firstLineChars="0"/>
        <w:rPr>
          <w:rFonts w:hint="eastAsia" w:ascii="宋体" w:hAnsi="宋体" w:eastAsia="宋体" w:cs="宋体"/>
          <w:color w:val="auto"/>
        </w:rPr>
      </w:pPr>
      <w:bookmarkStart w:id="1534" w:name="_Toc22024"/>
      <w:bookmarkStart w:id="1535" w:name="_Toc21046"/>
      <w:bookmarkStart w:id="1536" w:name="_Toc4178"/>
      <w:bookmarkStart w:id="1537" w:name="_Toc9794"/>
      <w:bookmarkStart w:id="1538" w:name="_Toc10718"/>
      <w:bookmarkStart w:id="1539" w:name="_Toc17564"/>
      <w:bookmarkStart w:id="1540" w:name="_Toc1022"/>
      <w:bookmarkStart w:id="1541" w:name="_Toc8656"/>
      <w:bookmarkStart w:id="1542" w:name="_Toc8231"/>
      <w:bookmarkStart w:id="1543" w:name="_Toc11904"/>
      <w:bookmarkStart w:id="1544" w:name="_Toc16298"/>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.4.5.</w:t>
      </w:r>
      <w:r>
        <w:rPr>
          <w:rFonts w:hint="eastAsia" w:ascii="宋体" w:hAnsi="宋体" w:eastAsia="宋体" w:cs="宋体"/>
          <w:color w:val="auto"/>
        </w:rPr>
        <w:t>材料选用措施</w:t>
      </w:r>
      <w:bookmarkEnd w:id="1534"/>
      <w:bookmarkEnd w:id="1535"/>
      <w:bookmarkEnd w:id="1536"/>
      <w:bookmarkEnd w:id="1537"/>
      <w:bookmarkEnd w:id="1538"/>
      <w:bookmarkEnd w:id="1539"/>
      <w:bookmarkEnd w:id="1540"/>
      <w:bookmarkEnd w:id="1541"/>
      <w:bookmarkEnd w:id="1542"/>
      <w:bookmarkEnd w:id="1543"/>
      <w:bookmarkEnd w:id="1544"/>
    </w:p>
    <w:p w14:paraId="6298C0B3">
      <w:pPr>
        <w:ind w:firstLine="480"/>
        <w:rPr>
          <w:rFonts w:hint="eastAsia" w:ascii="宋体" w:hAnsi="宋体" w:eastAsia="宋体" w:cs="宋体"/>
        </w:rPr>
      </w:pPr>
      <w:r>
        <w:rPr>
          <w:rFonts w:hint="eastAsia" w:ascii="宋体" w:hAnsi="宋体" w:eastAsia="宋体" w:cs="宋体"/>
        </w:rPr>
        <w:t>加强材料管理，保证合格材料供应。设立专业材料供应系统，负责全部材料的采购、验收、运输、供应、管理，并保证材料质量，在进入冬季和农忙季节前要尽量备足施工用料，避免发生停工待料，影响工期。</w:t>
      </w:r>
    </w:p>
    <w:p w14:paraId="1330C950">
      <w:pPr>
        <w:pStyle w:val="22"/>
        <w:ind w:firstLine="431"/>
        <w:rPr>
          <w:rFonts w:hint="eastAsia" w:ascii="宋体" w:hAnsi="宋体" w:eastAsia="宋体" w:cs="宋体"/>
        </w:rPr>
      </w:pP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1767"/>
        <w:gridCol w:w="6629"/>
      </w:tblGrid>
      <w:tr w14:paraId="2CA4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dxa"/>
            <w:tcBorders>
              <w:top w:val="dotted" w:color="auto" w:sz="4" w:space="0"/>
              <w:left w:val="dotted" w:color="auto" w:sz="4" w:space="0"/>
              <w:bottom w:val="dotted" w:color="auto" w:sz="4" w:space="0"/>
              <w:right w:val="dotted" w:color="auto" w:sz="4" w:space="0"/>
            </w:tcBorders>
            <w:shd w:val="clear" w:color="auto" w:fill="FFFFFF"/>
          </w:tcPr>
          <w:p w14:paraId="5FCB0F59">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编号</w:t>
            </w:r>
          </w:p>
        </w:tc>
        <w:tc>
          <w:tcPr>
            <w:tcW w:w="1767" w:type="dxa"/>
            <w:tcBorders>
              <w:top w:val="dotted" w:color="auto" w:sz="4" w:space="0"/>
              <w:left w:val="dotted" w:color="auto" w:sz="4" w:space="0"/>
              <w:bottom w:val="dotted" w:color="auto" w:sz="4" w:space="0"/>
              <w:right w:val="dotted" w:color="auto" w:sz="4" w:space="0"/>
            </w:tcBorders>
            <w:shd w:val="clear" w:color="auto" w:fill="FFFFFF"/>
          </w:tcPr>
          <w:p w14:paraId="51003F26">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材料类别</w:t>
            </w:r>
          </w:p>
        </w:tc>
        <w:tc>
          <w:tcPr>
            <w:tcW w:w="6629" w:type="dxa"/>
            <w:tcBorders>
              <w:top w:val="dotted" w:color="auto" w:sz="4" w:space="0"/>
              <w:left w:val="dotted" w:color="auto" w:sz="4" w:space="0"/>
              <w:bottom w:val="dotted" w:color="auto" w:sz="4" w:space="0"/>
              <w:right w:val="dotted" w:color="auto" w:sz="4" w:space="0"/>
            </w:tcBorders>
            <w:shd w:val="clear" w:color="auto" w:fill="FFFFFF"/>
          </w:tcPr>
          <w:p w14:paraId="41201AB1">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供应保障措施</w:t>
            </w:r>
          </w:p>
        </w:tc>
      </w:tr>
      <w:tr w14:paraId="3CF37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dxa"/>
            <w:tcBorders>
              <w:top w:val="dotted" w:color="auto" w:sz="4" w:space="0"/>
              <w:left w:val="dotted" w:color="auto" w:sz="4" w:space="0"/>
              <w:bottom w:val="dotted" w:color="auto" w:sz="4" w:space="0"/>
              <w:right w:val="dotted" w:color="auto" w:sz="4" w:space="0"/>
            </w:tcBorders>
            <w:shd w:val="clear" w:color="auto" w:fill="FFFFFF"/>
          </w:tcPr>
          <w:p w14:paraId="03F3B60D">
            <w:pPr>
              <w:pStyle w:val="105"/>
              <w:spacing w:line="360" w:lineRule="auto"/>
              <w:ind w:firstLine="420" w:firstLineChars="200"/>
              <w:jc w:val="both"/>
              <w:rPr>
                <w:rFonts w:hint="eastAsia" w:ascii="宋体" w:hAnsi="宋体" w:eastAsia="宋体" w:cs="宋体"/>
                <w:sz w:val="21"/>
                <w:szCs w:val="21"/>
              </w:rPr>
            </w:pPr>
            <w:r>
              <w:rPr>
                <w:rFonts w:hint="eastAsia" w:ascii="宋体" w:hAnsi="宋体" w:eastAsia="宋体" w:cs="宋体"/>
                <w:sz w:val="21"/>
                <w:szCs w:val="21"/>
              </w:rPr>
              <w:t>1</w:t>
            </w:r>
          </w:p>
        </w:tc>
        <w:tc>
          <w:tcPr>
            <w:tcW w:w="1767" w:type="dxa"/>
            <w:tcBorders>
              <w:top w:val="dotted" w:color="auto" w:sz="4" w:space="0"/>
              <w:left w:val="dotted" w:color="auto" w:sz="4" w:space="0"/>
              <w:bottom w:val="dotted" w:color="auto" w:sz="4" w:space="0"/>
              <w:right w:val="dotted" w:color="auto" w:sz="4" w:space="0"/>
            </w:tcBorders>
            <w:shd w:val="clear" w:color="auto" w:fill="FFFFFF"/>
            <w:vAlign w:val="center"/>
          </w:tcPr>
          <w:p w14:paraId="55443592">
            <w:pPr>
              <w:pStyle w:val="105"/>
              <w:spacing w:line="360" w:lineRule="auto"/>
              <w:ind w:firstLine="210" w:firstLineChars="100"/>
              <w:jc w:val="both"/>
              <w:rPr>
                <w:rFonts w:hint="eastAsia" w:ascii="宋体" w:hAnsi="宋体" w:eastAsia="宋体" w:cs="宋体"/>
                <w:sz w:val="21"/>
                <w:szCs w:val="21"/>
              </w:rPr>
            </w:pPr>
            <w:r>
              <w:rPr>
                <w:rFonts w:hint="eastAsia" w:ascii="宋体" w:hAnsi="宋体" w:eastAsia="宋体" w:cs="宋体"/>
                <w:sz w:val="21"/>
                <w:szCs w:val="21"/>
              </w:rPr>
              <w:t>周转材料</w:t>
            </w:r>
          </w:p>
        </w:tc>
        <w:tc>
          <w:tcPr>
            <w:tcW w:w="6629" w:type="dxa"/>
            <w:tcBorders>
              <w:top w:val="dotted" w:color="auto" w:sz="4" w:space="0"/>
              <w:left w:val="dotted" w:color="auto" w:sz="4" w:space="0"/>
              <w:bottom w:val="dotted" w:color="auto" w:sz="4" w:space="0"/>
              <w:right w:val="dotted" w:color="auto" w:sz="4" w:space="0"/>
            </w:tcBorders>
            <w:shd w:val="clear" w:color="auto" w:fill="FFFFFF"/>
          </w:tcPr>
          <w:p w14:paraId="45DF00E2">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根据周转材料投入计划和工程进度计划，结合工程实际情况，按计划组织分批进场，确保周转材料供应及时、足量。</w:t>
            </w:r>
          </w:p>
        </w:tc>
      </w:tr>
      <w:tr w14:paraId="602D4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1" w:type="dxa"/>
            <w:tcBorders>
              <w:top w:val="dotted" w:color="auto" w:sz="4" w:space="0"/>
              <w:left w:val="dotted" w:color="auto" w:sz="4" w:space="0"/>
              <w:bottom w:val="dotted" w:color="auto" w:sz="4" w:space="0"/>
              <w:right w:val="dotted" w:color="auto" w:sz="4" w:space="0"/>
            </w:tcBorders>
            <w:shd w:val="clear" w:color="auto" w:fill="FFFFFF"/>
          </w:tcPr>
          <w:p w14:paraId="1AF87DD9">
            <w:pPr>
              <w:pStyle w:val="105"/>
              <w:spacing w:line="360" w:lineRule="auto"/>
              <w:rPr>
                <w:rFonts w:hint="eastAsia" w:ascii="宋体" w:hAnsi="宋体" w:eastAsia="宋体" w:cs="宋体"/>
                <w:sz w:val="21"/>
                <w:szCs w:val="21"/>
              </w:rPr>
            </w:pPr>
          </w:p>
          <w:p w14:paraId="32DEC2A9">
            <w:pPr>
              <w:pStyle w:val="105"/>
              <w:spacing w:line="360" w:lineRule="auto"/>
              <w:rPr>
                <w:rFonts w:hint="eastAsia" w:ascii="宋体" w:hAnsi="宋体" w:eastAsia="宋体" w:cs="宋体"/>
                <w:sz w:val="21"/>
                <w:szCs w:val="21"/>
              </w:rPr>
            </w:pPr>
          </w:p>
          <w:p w14:paraId="64B7717A">
            <w:pPr>
              <w:pStyle w:val="105"/>
              <w:spacing w:line="360" w:lineRule="auto"/>
              <w:rPr>
                <w:rFonts w:hint="eastAsia" w:ascii="宋体" w:hAnsi="宋体" w:eastAsia="宋体" w:cs="宋体"/>
                <w:sz w:val="21"/>
                <w:szCs w:val="21"/>
              </w:rPr>
            </w:pPr>
          </w:p>
          <w:p w14:paraId="2A565761">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2</w:t>
            </w:r>
          </w:p>
        </w:tc>
        <w:tc>
          <w:tcPr>
            <w:tcW w:w="1767" w:type="dxa"/>
            <w:tcBorders>
              <w:top w:val="dotted" w:color="auto" w:sz="4" w:space="0"/>
              <w:left w:val="dotted" w:color="auto" w:sz="4" w:space="0"/>
              <w:bottom w:val="dotted" w:color="auto" w:sz="4" w:space="0"/>
              <w:right w:val="dotted" w:color="auto" w:sz="4" w:space="0"/>
            </w:tcBorders>
            <w:shd w:val="clear" w:color="auto" w:fill="FFFFFF"/>
            <w:vAlign w:val="center"/>
          </w:tcPr>
          <w:p w14:paraId="36459B89">
            <w:pPr>
              <w:pStyle w:val="105"/>
              <w:spacing w:line="360" w:lineRule="auto"/>
              <w:jc w:val="both"/>
              <w:rPr>
                <w:rFonts w:hint="eastAsia" w:ascii="宋体" w:hAnsi="宋体" w:eastAsia="宋体" w:cs="宋体"/>
                <w:sz w:val="21"/>
                <w:szCs w:val="21"/>
              </w:rPr>
            </w:pPr>
          </w:p>
          <w:p w14:paraId="33639092">
            <w:pPr>
              <w:pStyle w:val="105"/>
              <w:spacing w:line="360" w:lineRule="auto"/>
              <w:ind w:firstLine="210" w:firstLineChars="100"/>
              <w:jc w:val="both"/>
              <w:rPr>
                <w:rFonts w:hint="eastAsia" w:ascii="宋体" w:hAnsi="宋体" w:eastAsia="宋体" w:cs="宋体"/>
                <w:sz w:val="21"/>
                <w:szCs w:val="21"/>
              </w:rPr>
            </w:pPr>
            <w:r>
              <w:rPr>
                <w:rFonts w:hint="eastAsia" w:ascii="宋体" w:hAnsi="宋体" w:eastAsia="宋体" w:cs="宋体"/>
                <w:sz w:val="21"/>
                <w:szCs w:val="21"/>
              </w:rPr>
              <w:t>周转材料</w:t>
            </w:r>
          </w:p>
        </w:tc>
        <w:tc>
          <w:tcPr>
            <w:tcW w:w="6629" w:type="dxa"/>
            <w:tcBorders>
              <w:top w:val="dotted" w:color="auto" w:sz="4" w:space="0"/>
              <w:left w:val="dotted" w:color="auto" w:sz="4" w:space="0"/>
              <w:bottom w:val="dotted" w:color="auto" w:sz="4" w:space="0"/>
              <w:right w:val="dotted" w:color="auto" w:sz="4" w:space="0"/>
            </w:tcBorders>
            <w:shd w:val="clear" w:color="auto" w:fill="FFFFFF"/>
          </w:tcPr>
          <w:p w14:paraId="5A2220FE">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1）项目自购材料：1）在全国范围查询大宗材料信息，不断充实更新供应商档案；2）随施工进度不断完善材料需用计划，严把材料采购过程、进场验收的质量关，避免因材料质量问题影响工期；3）按照“就近采购”的原则选择供应商，尽量变短运输时间，确保短期内大宗材料的采购进场。2非周转材料2）分包商采购材料：1）协助业主、分包商超前编制准确的材料、设备计划，明确细化进场时间、质量标准等；2）及时细致做好采购材料、设备的质量验收工作，填写开条记录，办理交接手续；3）做好材料、设备的保管工作，对于露天堆放的材料、设备采取遮盖、搭棚等保护措施。</w:t>
            </w:r>
          </w:p>
        </w:tc>
      </w:tr>
    </w:tbl>
    <w:p w14:paraId="58C2DF1B">
      <w:pPr>
        <w:pStyle w:val="5"/>
        <w:numPr>
          <w:ilvl w:val="2"/>
          <w:numId w:val="0"/>
        </w:numPr>
        <w:spacing w:line="360" w:lineRule="auto"/>
        <w:ind w:left="720" w:leftChars="0" w:hanging="720" w:firstLineChars="0"/>
        <w:rPr>
          <w:rFonts w:hint="eastAsia" w:ascii="宋体" w:hAnsi="宋体" w:eastAsia="宋体" w:cs="宋体"/>
          <w:color w:val="auto"/>
        </w:rPr>
      </w:pPr>
      <w:bookmarkStart w:id="1545" w:name="_Toc28506"/>
      <w:bookmarkStart w:id="1546" w:name="_Toc31394"/>
      <w:bookmarkStart w:id="1547" w:name="_Toc31770"/>
      <w:bookmarkStart w:id="1548" w:name="_Toc29032"/>
      <w:bookmarkStart w:id="1549" w:name="_Toc23693"/>
      <w:bookmarkStart w:id="1550" w:name="_Toc11397"/>
      <w:bookmarkStart w:id="1551" w:name="_Toc10100"/>
      <w:bookmarkStart w:id="1552" w:name="_Toc22376"/>
      <w:bookmarkStart w:id="1553" w:name="_Toc12193"/>
      <w:bookmarkStart w:id="1554" w:name="_Toc120"/>
      <w:bookmarkStart w:id="1555" w:name="_Toc26086"/>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.4.6.</w:t>
      </w:r>
      <w:r>
        <w:rPr>
          <w:rFonts w:hint="eastAsia" w:ascii="宋体" w:hAnsi="宋体" w:eastAsia="宋体" w:cs="宋体"/>
          <w:color w:val="auto"/>
        </w:rPr>
        <w:t>劳动力安排</w:t>
      </w:r>
      <w:bookmarkEnd w:id="1545"/>
      <w:bookmarkEnd w:id="1546"/>
      <w:bookmarkEnd w:id="1547"/>
      <w:bookmarkEnd w:id="1548"/>
      <w:bookmarkEnd w:id="1549"/>
      <w:bookmarkEnd w:id="1550"/>
      <w:bookmarkEnd w:id="1551"/>
      <w:bookmarkEnd w:id="1552"/>
      <w:bookmarkEnd w:id="1553"/>
      <w:bookmarkEnd w:id="1554"/>
      <w:bookmarkEnd w:id="1555"/>
    </w:p>
    <w:p w14:paraId="7A0746FA">
      <w:pPr>
        <w:ind w:firstLine="480"/>
        <w:rPr>
          <w:rFonts w:hint="eastAsia" w:ascii="宋体" w:hAnsi="宋体" w:eastAsia="宋体" w:cs="宋体"/>
        </w:rPr>
      </w:pPr>
      <w:r>
        <w:rPr>
          <w:rFonts w:hint="eastAsia" w:ascii="宋体" w:hAnsi="宋体" w:eastAsia="宋体" w:cs="宋体"/>
        </w:rPr>
        <w:t>本工程将列为我单位重点项目，将选派优秀的、管理能力强的、技术过硬的、具有丰富公路施工经验和有良好信誉的管理干部、工程技术人员和专业施工队伍参加施工。据工程进展情况，必要时在全单位范围内调配机械设备和施工人员，确保各分项工程按时完工。</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4"/>
        <w:gridCol w:w="1756"/>
        <w:gridCol w:w="6589"/>
      </w:tblGrid>
      <w:tr w14:paraId="3A8D7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054" w:type="dxa"/>
            <w:tcBorders>
              <w:top w:val="dotted" w:color="auto" w:sz="4" w:space="0"/>
              <w:left w:val="dotted" w:color="auto" w:sz="4" w:space="0"/>
              <w:bottom w:val="dotted" w:color="auto" w:sz="4" w:space="0"/>
              <w:right w:val="dotted" w:color="auto" w:sz="4" w:space="0"/>
            </w:tcBorders>
            <w:shd w:val="clear" w:color="auto" w:fill="FFFFFF"/>
          </w:tcPr>
          <w:p w14:paraId="41694170">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编号</w:t>
            </w:r>
          </w:p>
        </w:tc>
        <w:tc>
          <w:tcPr>
            <w:tcW w:w="1756" w:type="dxa"/>
            <w:tcBorders>
              <w:top w:val="dotted" w:color="auto" w:sz="4" w:space="0"/>
              <w:left w:val="dotted" w:color="auto" w:sz="4" w:space="0"/>
              <w:bottom w:val="dotted" w:color="auto" w:sz="4" w:space="0"/>
              <w:right w:val="dotted" w:color="auto" w:sz="4" w:space="0"/>
            </w:tcBorders>
            <w:shd w:val="clear" w:color="auto" w:fill="FFFFFF"/>
          </w:tcPr>
          <w:p w14:paraId="1B3B2BB0">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类别</w:t>
            </w:r>
          </w:p>
        </w:tc>
        <w:tc>
          <w:tcPr>
            <w:tcW w:w="6589" w:type="dxa"/>
            <w:tcBorders>
              <w:top w:val="dotted" w:color="auto" w:sz="4" w:space="0"/>
              <w:left w:val="dotted" w:color="auto" w:sz="4" w:space="0"/>
              <w:bottom w:val="dotted" w:color="auto" w:sz="4" w:space="0"/>
              <w:right w:val="dotted" w:color="auto" w:sz="4" w:space="0"/>
            </w:tcBorders>
            <w:shd w:val="clear" w:color="auto" w:fill="FFFFFF"/>
          </w:tcPr>
          <w:p w14:paraId="3D40B345">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措施内容</w:t>
            </w:r>
          </w:p>
        </w:tc>
      </w:tr>
      <w:tr w14:paraId="53DF2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3" w:hRule="atLeast"/>
        </w:trPr>
        <w:tc>
          <w:tcPr>
            <w:tcW w:w="1054" w:type="dxa"/>
            <w:tcBorders>
              <w:top w:val="dotted" w:color="auto" w:sz="4" w:space="0"/>
              <w:left w:val="dotted" w:color="auto" w:sz="4" w:space="0"/>
              <w:bottom w:val="dotted" w:color="auto" w:sz="4" w:space="0"/>
              <w:right w:val="dotted" w:color="auto" w:sz="4" w:space="0"/>
            </w:tcBorders>
            <w:shd w:val="clear" w:color="auto" w:fill="FFFFFF"/>
            <w:vAlign w:val="center"/>
          </w:tcPr>
          <w:p w14:paraId="16772332">
            <w:pPr>
              <w:pStyle w:val="105"/>
              <w:spacing w:line="360" w:lineRule="auto"/>
              <w:ind w:firstLine="420" w:firstLineChars="200"/>
              <w:jc w:val="both"/>
              <w:rPr>
                <w:rFonts w:hint="eastAsia" w:ascii="宋体" w:hAnsi="宋体" w:eastAsia="宋体" w:cs="宋体"/>
                <w:sz w:val="21"/>
                <w:szCs w:val="21"/>
              </w:rPr>
            </w:pPr>
            <w:r>
              <w:rPr>
                <w:rFonts w:hint="eastAsia" w:ascii="宋体" w:hAnsi="宋体" w:eastAsia="宋体" w:cs="宋体"/>
                <w:sz w:val="21"/>
                <w:szCs w:val="21"/>
              </w:rPr>
              <w:t>1</w:t>
            </w:r>
          </w:p>
        </w:tc>
        <w:tc>
          <w:tcPr>
            <w:tcW w:w="1756" w:type="dxa"/>
            <w:tcBorders>
              <w:top w:val="dotted" w:color="auto" w:sz="4" w:space="0"/>
              <w:left w:val="dotted" w:color="auto" w:sz="4" w:space="0"/>
              <w:bottom w:val="dotted" w:color="auto" w:sz="4" w:space="0"/>
              <w:right w:val="dotted" w:color="auto" w:sz="4" w:space="0"/>
            </w:tcBorders>
            <w:shd w:val="clear" w:color="auto" w:fill="FFFFFF"/>
            <w:vAlign w:val="center"/>
          </w:tcPr>
          <w:p w14:paraId="548A2931">
            <w:pPr>
              <w:pStyle w:val="105"/>
              <w:spacing w:line="360" w:lineRule="auto"/>
              <w:ind w:firstLine="420" w:firstLineChars="200"/>
              <w:jc w:val="both"/>
              <w:rPr>
                <w:rFonts w:hint="eastAsia" w:ascii="宋体" w:hAnsi="宋体" w:eastAsia="宋体" w:cs="宋体"/>
                <w:sz w:val="21"/>
                <w:szCs w:val="21"/>
              </w:rPr>
            </w:pPr>
            <w:r>
              <w:rPr>
                <w:rFonts w:hint="eastAsia" w:ascii="宋体" w:hAnsi="宋体" w:eastAsia="宋体" w:cs="宋体"/>
                <w:sz w:val="21"/>
                <w:szCs w:val="21"/>
              </w:rPr>
              <w:t>数量保障</w:t>
            </w:r>
          </w:p>
        </w:tc>
        <w:tc>
          <w:tcPr>
            <w:tcW w:w="6589" w:type="dxa"/>
            <w:tcBorders>
              <w:top w:val="dotted" w:color="auto" w:sz="4" w:space="0"/>
              <w:left w:val="dotted" w:color="auto" w:sz="4" w:space="0"/>
              <w:bottom w:val="dotted" w:color="auto" w:sz="4" w:space="0"/>
              <w:right w:val="dotted" w:color="auto" w:sz="4" w:space="0"/>
            </w:tcBorders>
            <w:shd w:val="clear" w:color="auto" w:fill="FFFFFF"/>
          </w:tcPr>
          <w:p w14:paraId="040275E5">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1）按照“足够且略有区域”的原则，选择多家劳务分包商并略作数量储备以应对施工中的诸多不确定因素。2）劳务分包合同中明确约定：1）不因节假日及季节性影响导致人员流失，确保现场作业人员的长期国定性；2）要求劳务分包商根据总包单位的总体、分阶段进度计划、劳动力供应计划等，编制各工种劳动力平衡计划，分解细化各阶段的劳动力投入量；3）充分发挥经济杠村作用，定期开展工期竞赛，进行工期考核，奖优罚劣，激发各劳务分包商保证劳动力投入的自觉性。</w:t>
            </w:r>
          </w:p>
          <w:p w14:paraId="527D78D4">
            <w:pPr>
              <w:pStyle w:val="105"/>
              <w:spacing w:line="360" w:lineRule="auto"/>
              <w:jc w:val="left"/>
              <w:rPr>
                <w:rFonts w:hint="eastAsia" w:ascii="宋体" w:hAnsi="宋体" w:eastAsia="宋体" w:cs="宋体"/>
                <w:sz w:val="21"/>
                <w:szCs w:val="21"/>
              </w:rPr>
            </w:pPr>
          </w:p>
        </w:tc>
      </w:tr>
      <w:tr w14:paraId="6F47D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2" w:hRule="atLeast"/>
        </w:trPr>
        <w:tc>
          <w:tcPr>
            <w:tcW w:w="1054" w:type="dxa"/>
            <w:tcBorders>
              <w:top w:val="dotted" w:color="auto" w:sz="4" w:space="0"/>
              <w:left w:val="dotted" w:color="auto" w:sz="4" w:space="0"/>
              <w:bottom w:val="dotted" w:color="auto" w:sz="4" w:space="0"/>
              <w:right w:val="dotted" w:color="auto" w:sz="4" w:space="0"/>
            </w:tcBorders>
            <w:shd w:val="clear" w:color="auto" w:fill="FFFFFF"/>
            <w:vAlign w:val="center"/>
          </w:tcPr>
          <w:p w14:paraId="62D85824">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2</w:t>
            </w:r>
          </w:p>
        </w:tc>
        <w:tc>
          <w:tcPr>
            <w:tcW w:w="1756" w:type="dxa"/>
            <w:tcBorders>
              <w:top w:val="dotted" w:color="auto" w:sz="4" w:space="0"/>
              <w:left w:val="dotted" w:color="auto" w:sz="4" w:space="0"/>
              <w:bottom w:val="dotted" w:color="auto" w:sz="4" w:space="0"/>
              <w:right w:val="dotted" w:color="auto" w:sz="4" w:space="0"/>
            </w:tcBorders>
            <w:shd w:val="clear" w:color="auto" w:fill="FFFFFF"/>
            <w:vAlign w:val="center"/>
          </w:tcPr>
          <w:p w14:paraId="28FC5969">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素质保障</w:t>
            </w:r>
          </w:p>
        </w:tc>
        <w:tc>
          <w:tcPr>
            <w:tcW w:w="6589" w:type="dxa"/>
            <w:tcBorders>
              <w:top w:val="dotted" w:color="auto" w:sz="4" w:space="0"/>
              <w:left w:val="dotted" w:color="auto" w:sz="4" w:space="0"/>
              <w:bottom w:val="dotted" w:color="auto" w:sz="4" w:space="0"/>
              <w:right w:val="dotted" w:color="auto" w:sz="4" w:space="0"/>
            </w:tcBorders>
            <w:shd w:val="clear" w:color="auto" w:fill="FFFFFF"/>
          </w:tcPr>
          <w:p w14:paraId="51B69085">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1、严格执行企业TS09001认证体系运行文件要求，在企业的合格分包商名录中择优选择劳务分包队伍。2、劳务分包合同中明确约定：进场人员必须持有各类《岗位资格证书》，其中高、中级工所占比例不少于90%。3、劳务分包商进场后，及时组织工期、技术、施工质量标准交底，进行安全教育培训等。4、施工中，定期组织工人素质考核、再教育。</w:t>
            </w:r>
          </w:p>
        </w:tc>
      </w:tr>
    </w:tbl>
    <w:p w14:paraId="354083F3">
      <w:pPr>
        <w:pStyle w:val="5"/>
        <w:numPr>
          <w:ilvl w:val="2"/>
          <w:numId w:val="0"/>
        </w:numPr>
        <w:spacing w:line="360" w:lineRule="auto"/>
        <w:ind w:left="720" w:leftChars="0" w:hanging="720" w:firstLineChars="0"/>
        <w:rPr>
          <w:rFonts w:hint="eastAsia" w:ascii="宋体" w:hAnsi="宋体" w:eastAsia="宋体" w:cs="宋体"/>
          <w:color w:val="auto"/>
        </w:rPr>
      </w:pPr>
      <w:bookmarkStart w:id="1556" w:name="_Toc10260"/>
      <w:bookmarkStart w:id="1557" w:name="_Toc4899"/>
      <w:bookmarkStart w:id="1558" w:name="_Toc32753"/>
      <w:bookmarkStart w:id="1559" w:name="_Toc30759"/>
      <w:bookmarkStart w:id="1560" w:name="_Toc12294"/>
      <w:bookmarkStart w:id="1561" w:name="_Toc28084"/>
      <w:bookmarkStart w:id="1562" w:name="_Toc12322"/>
      <w:bookmarkStart w:id="1563" w:name="_Toc5993"/>
      <w:bookmarkStart w:id="1564" w:name="_Toc19246"/>
      <w:bookmarkStart w:id="1565" w:name="_Toc9752"/>
      <w:bookmarkStart w:id="1566" w:name="_Toc9147"/>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.4.7.</w:t>
      </w:r>
      <w:r>
        <w:rPr>
          <w:rFonts w:hint="eastAsia" w:ascii="宋体" w:hAnsi="宋体" w:eastAsia="宋体" w:cs="宋体"/>
          <w:color w:val="auto"/>
        </w:rPr>
        <w:t>机械安排</w:t>
      </w:r>
      <w:bookmarkEnd w:id="1556"/>
      <w:bookmarkEnd w:id="1557"/>
      <w:bookmarkEnd w:id="1558"/>
      <w:bookmarkEnd w:id="1559"/>
      <w:bookmarkEnd w:id="1560"/>
      <w:bookmarkEnd w:id="1561"/>
      <w:bookmarkEnd w:id="1562"/>
      <w:bookmarkEnd w:id="1563"/>
      <w:bookmarkEnd w:id="1564"/>
      <w:bookmarkEnd w:id="1565"/>
      <w:bookmarkEnd w:id="1566"/>
    </w:p>
    <w:p w14:paraId="200D0576">
      <w:pPr>
        <w:ind w:firstLine="480"/>
        <w:rPr>
          <w:rFonts w:hint="eastAsia" w:ascii="宋体" w:hAnsi="宋体" w:eastAsia="宋体" w:cs="宋体"/>
        </w:rPr>
      </w:pPr>
      <w:r>
        <w:rPr>
          <w:rFonts w:hint="eastAsia" w:ascii="宋体" w:hAnsi="宋体" w:eastAsia="宋体" w:cs="宋体"/>
        </w:rPr>
        <w:t>各种施工用仪器和机具要功能齐备，新旧程度必须满足施工的需求。在数量上要充足，不同种类的仪器和机具要配置合理。在施工高峰期，一方面要考虑满足数量的因素，另一方面要考虑有效的周转使用。要保证重要工序和重要部位的施工用仪器和机具。配置必要的维修工具，在施工期间对各种仪器和设备进行合理的保养和维修。</w:t>
      </w:r>
    </w:p>
    <w:p w14:paraId="167D30DB">
      <w:pPr>
        <w:pStyle w:val="46"/>
        <w:rPr>
          <w:rFonts w:hint="eastAsia" w:ascii="宋体" w:hAnsi="宋体" w:eastAsia="宋体" w:cs="宋体"/>
        </w:rPr>
      </w:pP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1796"/>
        <w:gridCol w:w="6743"/>
      </w:tblGrid>
      <w:tr w14:paraId="149FD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079" w:type="dxa"/>
            <w:tcBorders>
              <w:top w:val="dotted" w:color="auto" w:sz="4" w:space="0"/>
              <w:left w:val="dotted" w:color="auto" w:sz="4" w:space="0"/>
              <w:bottom w:val="dotted" w:color="auto" w:sz="4" w:space="0"/>
              <w:right w:val="dotted" w:color="auto" w:sz="4" w:space="0"/>
            </w:tcBorders>
            <w:shd w:val="clear" w:color="auto" w:fill="FFFFFF"/>
          </w:tcPr>
          <w:p w14:paraId="48D775AC">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编号</w:t>
            </w:r>
          </w:p>
        </w:tc>
        <w:tc>
          <w:tcPr>
            <w:tcW w:w="1796" w:type="dxa"/>
            <w:tcBorders>
              <w:top w:val="dotted" w:color="auto" w:sz="4" w:space="0"/>
              <w:left w:val="dotted" w:color="auto" w:sz="4" w:space="0"/>
              <w:bottom w:val="dotted" w:color="auto" w:sz="4" w:space="0"/>
              <w:right w:val="dotted" w:color="auto" w:sz="4" w:space="0"/>
            </w:tcBorders>
            <w:shd w:val="clear" w:color="auto" w:fill="FFFFFF"/>
          </w:tcPr>
          <w:p w14:paraId="5770D3EF">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类别</w:t>
            </w:r>
          </w:p>
        </w:tc>
        <w:tc>
          <w:tcPr>
            <w:tcW w:w="6743" w:type="dxa"/>
            <w:tcBorders>
              <w:top w:val="dotted" w:color="auto" w:sz="4" w:space="0"/>
              <w:left w:val="dotted" w:color="auto" w:sz="4" w:space="0"/>
              <w:bottom w:val="dotted" w:color="auto" w:sz="4" w:space="0"/>
              <w:right w:val="dotted" w:color="auto" w:sz="4" w:space="0"/>
            </w:tcBorders>
            <w:shd w:val="clear" w:color="auto" w:fill="FFFFFF"/>
          </w:tcPr>
          <w:p w14:paraId="344CCA45">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措施内容</w:t>
            </w:r>
          </w:p>
        </w:tc>
      </w:tr>
      <w:tr w14:paraId="2D340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7" w:hRule="atLeast"/>
        </w:trPr>
        <w:tc>
          <w:tcPr>
            <w:tcW w:w="1079" w:type="dxa"/>
            <w:tcBorders>
              <w:top w:val="dotted" w:color="auto" w:sz="4" w:space="0"/>
              <w:left w:val="dotted" w:color="auto" w:sz="4" w:space="0"/>
              <w:bottom w:val="dotted" w:color="auto" w:sz="4" w:space="0"/>
              <w:right w:val="dotted" w:color="auto" w:sz="4" w:space="0"/>
            </w:tcBorders>
            <w:shd w:val="clear" w:color="auto" w:fill="FFFFFF"/>
          </w:tcPr>
          <w:p w14:paraId="4493C50F">
            <w:pPr>
              <w:pStyle w:val="105"/>
              <w:spacing w:line="360" w:lineRule="auto"/>
              <w:rPr>
                <w:rFonts w:hint="eastAsia" w:ascii="宋体" w:hAnsi="宋体" w:eastAsia="宋体" w:cs="宋体"/>
                <w:sz w:val="21"/>
                <w:szCs w:val="21"/>
              </w:rPr>
            </w:pPr>
          </w:p>
          <w:p w14:paraId="5F12C331">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1</w:t>
            </w:r>
          </w:p>
        </w:tc>
        <w:tc>
          <w:tcPr>
            <w:tcW w:w="1796" w:type="dxa"/>
            <w:tcBorders>
              <w:top w:val="dotted" w:color="auto" w:sz="4" w:space="0"/>
              <w:left w:val="dotted" w:color="auto" w:sz="4" w:space="0"/>
              <w:bottom w:val="dotted" w:color="auto" w:sz="4" w:space="0"/>
              <w:right w:val="dotted" w:color="auto" w:sz="4" w:space="0"/>
            </w:tcBorders>
            <w:shd w:val="clear" w:color="auto" w:fill="FFFFFF"/>
          </w:tcPr>
          <w:p w14:paraId="71AA14B2">
            <w:pPr>
              <w:pStyle w:val="105"/>
              <w:spacing w:line="360" w:lineRule="auto"/>
              <w:rPr>
                <w:rFonts w:hint="eastAsia" w:ascii="宋体" w:hAnsi="宋体" w:eastAsia="宋体" w:cs="宋体"/>
                <w:sz w:val="21"/>
                <w:szCs w:val="21"/>
              </w:rPr>
            </w:pPr>
          </w:p>
          <w:p w14:paraId="0021520D">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数量保障</w:t>
            </w:r>
          </w:p>
        </w:tc>
        <w:tc>
          <w:tcPr>
            <w:tcW w:w="6743" w:type="dxa"/>
            <w:tcBorders>
              <w:top w:val="dotted" w:color="auto" w:sz="4" w:space="0"/>
              <w:left w:val="dotted" w:color="auto" w:sz="4" w:space="0"/>
              <w:bottom w:val="dotted" w:color="auto" w:sz="4" w:space="0"/>
              <w:right w:val="dotted" w:color="auto" w:sz="4" w:space="0"/>
            </w:tcBorders>
            <w:shd w:val="clear" w:color="auto" w:fill="FFFFFF"/>
          </w:tcPr>
          <w:p w14:paraId="4B9C16F3">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1）调集：发挥企业在经营布局方面的雄厚综合实力优势，迅速调集能满足施工需要的各类机械设备及器具；2）新购或租赁：必要时实施就地采购或租赁。</w:t>
            </w:r>
          </w:p>
        </w:tc>
      </w:tr>
      <w:tr w14:paraId="5DD13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2" w:hRule="atLeast"/>
        </w:trPr>
        <w:tc>
          <w:tcPr>
            <w:tcW w:w="1079" w:type="dxa"/>
            <w:tcBorders>
              <w:top w:val="dotted" w:color="auto" w:sz="4" w:space="0"/>
              <w:left w:val="dotted" w:color="auto" w:sz="4" w:space="0"/>
              <w:bottom w:val="dotted" w:color="auto" w:sz="4" w:space="0"/>
              <w:right w:val="dotted" w:color="auto" w:sz="4" w:space="0"/>
            </w:tcBorders>
            <w:shd w:val="clear" w:color="auto" w:fill="FFFFFF"/>
          </w:tcPr>
          <w:p w14:paraId="54B144AA">
            <w:pPr>
              <w:pStyle w:val="105"/>
              <w:spacing w:line="360" w:lineRule="auto"/>
              <w:rPr>
                <w:rFonts w:hint="eastAsia" w:ascii="宋体" w:hAnsi="宋体" w:eastAsia="宋体" w:cs="宋体"/>
                <w:sz w:val="21"/>
                <w:szCs w:val="21"/>
              </w:rPr>
            </w:pPr>
          </w:p>
          <w:p w14:paraId="5ADB1A2A">
            <w:pPr>
              <w:pStyle w:val="105"/>
              <w:spacing w:line="360" w:lineRule="auto"/>
              <w:rPr>
                <w:rFonts w:hint="eastAsia" w:ascii="宋体" w:hAnsi="宋体" w:eastAsia="宋体" w:cs="宋体"/>
                <w:sz w:val="21"/>
                <w:szCs w:val="21"/>
              </w:rPr>
            </w:pPr>
          </w:p>
          <w:p w14:paraId="50A393E6">
            <w:pPr>
              <w:pStyle w:val="105"/>
              <w:spacing w:line="360" w:lineRule="auto"/>
              <w:rPr>
                <w:rFonts w:hint="eastAsia" w:ascii="宋体" w:hAnsi="宋体" w:eastAsia="宋体" w:cs="宋体"/>
                <w:sz w:val="21"/>
                <w:szCs w:val="21"/>
              </w:rPr>
            </w:pPr>
          </w:p>
          <w:p w14:paraId="1EB9739D">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2</w:t>
            </w:r>
          </w:p>
        </w:tc>
        <w:tc>
          <w:tcPr>
            <w:tcW w:w="1796" w:type="dxa"/>
            <w:tcBorders>
              <w:top w:val="dotted" w:color="auto" w:sz="4" w:space="0"/>
              <w:left w:val="dotted" w:color="auto" w:sz="4" w:space="0"/>
              <w:bottom w:val="dotted" w:color="auto" w:sz="4" w:space="0"/>
              <w:right w:val="dotted" w:color="auto" w:sz="4" w:space="0"/>
            </w:tcBorders>
            <w:shd w:val="clear" w:color="auto" w:fill="FFFFFF"/>
          </w:tcPr>
          <w:p w14:paraId="17E3E59C">
            <w:pPr>
              <w:pStyle w:val="105"/>
              <w:spacing w:line="360" w:lineRule="auto"/>
              <w:rPr>
                <w:rFonts w:hint="eastAsia" w:ascii="宋体" w:hAnsi="宋体" w:eastAsia="宋体" w:cs="宋体"/>
                <w:sz w:val="21"/>
                <w:szCs w:val="21"/>
              </w:rPr>
            </w:pPr>
          </w:p>
          <w:p w14:paraId="77C039BE">
            <w:pPr>
              <w:pStyle w:val="105"/>
              <w:spacing w:line="360" w:lineRule="auto"/>
              <w:rPr>
                <w:rFonts w:hint="eastAsia" w:ascii="宋体" w:hAnsi="宋体" w:eastAsia="宋体" w:cs="宋体"/>
                <w:sz w:val="21"/>
                <w:szCs w:val="21"/>
              </w:rPr>
            </w:pPr>
          </w:p>
          <w:p w14:paraId="7F777A93">
            <w:pPr>
              <w:pStyle w:val="105"/>
              <w:spacing w:line="360" w:lineRule="auto"/>
              <w:rPr>
                <w:rFonts w:hint="eastAsia" w:ascii="宋体" w:hAnsi="宋体" w:eastAsia="宋体" w:cs="宋体"/>
                <w:sz w:val="21"/>
                <w:szCs w:val="21"/>
              </w:rPr>
            </w:pPr>
          </w:p>
          <w:p w14:paraId="138D901E">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性能维护</w:t>
            </w:r>
          </w:p>
        </w:tc>
        <w:tc>
          <w:tcPr>
            <w:tcW w:w="6743" w:type="dxa"/>
            <w:tcBorders>
              <w:top w:val="dotted" w:color="auto" w:sz="4" w:space="0"/>
              <w:left w:val="dotted" w:color="auto" w:sz="4" w:space="0"/>
              <w:bottom w:val="dotted" w:color="auto" w:sz="4" w:space="0"/>
              <w:right w:val="dotted" w:color="auto" w:sz="4" w:space="0"/>
            </w:tcBorders>
            <w:shd w:val="clear" w:color="auto" w:fill="FFFFFF"/>
          </w:tcPr>
          <w:p w14:paraId="4607F527">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1）设备进场验收：对所有投入使用的施工机械设备或器具，在进场时严格按照企业有关管理程序，结合工程实际情况进行性能验收，对不符合要求的设备及时采取维修或清退更换处理；2）施工中维护：根据“专业、专人、专机”的“三专”原则，安排专业维护人员对机械实施全天候跟班维护作业，确保其始终处在最佳性能状态；3）检定：对测量器具等精密仪器，按国家或企业相关规定，定期送检。</w:t>
            </w:r>
          </w:p>
        </w:tc>
      </w:tr>
    </w:tbl>
    <w:p w14:paraId="1A7D6FBA">
      <w:pPr>
        <w:pStyle w:val="5"/>
        <w:numPr>
          <w:ilvl w:val="2"/>
          <w:numId w:val="0"/>
        </w:numPr>
        <w:spacing w:line="360" w:lineRule="auto"/>
        <w:ind w:left="720" w:leftChars="0" w:hanging="720" w:firstLineChars="0"/>
        <w:rPr>
          <w:rFonts w:hint="eastAsia" w:ascii="宋体" w:hAnsi="宋体" w:eastAsia="宋体" w:cs="宋体"/>
          <w:color w:val="auto"/>
        </w:rPr>
      </w:pPr>
      <w:bookmarkStart w:id="1567" w:name="_Toc22644"/>
      <w:bookmarkStart w:id="1568" w:name="_Toc9553"/>
      <w:bookmarkStart w:id="1569" w:name="_Toc13782"/>
      <w:bookmarkStart w:id="1570" w:name="_Toc19373"/>
      <w:bookmarkStart w:id="1571" w:name="_Toc3728"/>
      <w:bookmarkStart w:id="1572" w:name="_Toc848"/>
      <w:bookmarkStart w:id="1573" w:name="_Toc3426"/>
      <w:bookmarkStart w:id="1574" w:name="_Toc414398549"/>
      <w:bookmarkStart w:id="1575" w:name="_Toc25074"/>
      <w:bookmarkStart w:id="1576" w:name="_Toc12877"/>
      <w:bookmarkStart w:id="1577" w:name="_Toc17462"/>
      <w:bookmarkStart w:id="1578" w:name="_Toc12019"/>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.4.8.</w:t>
      </w:r>
      <w:r>
        <w:rPr>
          <w:rFonts w:hint="eastAsia" w:ascii="宋体" w:hAnsi="宋体" w:eastAsia="宋体" w:cs="宋体"/>
          <w:color w:val="auto"/>
        </w:rPr>
        <w:t>经济措施</w:t>
      </w:r>
      <w:bookmarkEnd w:id="1567"/>
      <w:bookmarkEnd w:id="1568"/>
      <w:bookmarkEnd w:id="1569"/>
      <w:bookmarkEnd w:id="1570"/>
      <w:bookmarkEnd w:id="1571"/>
      <w:bookmarkEnd w:id="1572"/>
      <w:bookmarkEnd w:id="1573"/>
      <w:bookmarkEnd w:id="1574"/>
      <w:bookmarkEnd w:id="1575"/>
      <w:bookmarkEnd w:id="1576"/>
      <w:bookmarkEnd w:id="1577"/>
      <w:bookmarkEnd w:id="1578"/>
    </w:p>
    <w:p w14:paraId="6A9B0A24">
      <w:pPr>
        <w:ind w:firstLine="480"/>
        <w:rPr>
          <w:rFonts w:hint="eastAsia" w:ascii="宋体" w:hAnsi="宋体" w:eastAsia="宋体" w:cs="宋体"/>
        </w:rPr>
      </w:pPr>
      <w:r>
        <w:rPr>
          <w:rFonts w:hint="eastAsia" w:ascii="宋体" w:hAnsi="宋体" w:eastAsia="宋体" w:cs="宋体"/>
        </w:rPr>
        <w:t>本工程推行工期奖励基金制度，项目部与各施工队签订工期包保责任状，从每次验工计价中提留0.5%作为奖励基金，奖励基金用于重奖提前完成进度计划的施工队，否则全额扣除奖励基金，以经济手段保证工期。</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1819"/>
        <w:gridCol w:w="6827"/>
      </w:tblGrid>
      <w:tr w14:paraId="21BD5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1092" w:type="dxa"/>
            <w:tcBorders>
              <w:top w:val="dotted" w:color="auto" w:sz="4" w:space="0"/>
              <w:left w:val="dotted" w:color="auto" w:sz="4" w:space="0"/>
              <w:bottom w:val="dotted" w:color="auto" w:sz="4" w:space="0"/>
              <w:right w:val="dotted" w:color="auto" w:sz="4" w:space="0"/>
            </w:tcBorders>
            <w:shd w:val="clear" w:color="auto" w:fill="FFFFFF"/>
          </w:tcPr>
          <w:p w14:paraId="5F4539FE">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编号</w:t>
            </w:r>
          </w:p>
        </w:tc>
        <w:tc>
          <w:tcPr>
            <w:tcW w:w="1819" w:type="dxa"/>
            <w:tcBorders>
              <w:top w:val="dotted" w:color="auto" w:sz="4" w:space="0"/>
              <w:left w:val="dotted" w:color="auto" w:sz="4" w:space="0"/>
              <w:bottom w:val="dotted" w:color="auto" w:sz="4" w:space="0"/>
              <w:right w:val="dotted" w:color="auto" w:sz="4" w:space="0"/>
            </w:tcBorders>
            <w:shd w:val="clear" w:color="auto" w:fill="FFFFFF"/>
          </w:tcPr>
          <w:p w14:paraId="0CEE6391">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类别</w:t>
            </w:r>
          </w:p>
        </w:tc>
        <w:tc>
          <w:tcPr>
            <w:tcW w:w="6827" w:type="dxa"/>
            <w:tcBorders>
              <w:top w:val="dotted" w:color="auto" w:sz="4" w:space="0"/>
              <w:left w:val="dotted" w:color="auto" w:sz="4" w:space="0"/>
              <w:bottom w:val="dotted" w:color="auto" w:sz="4" w:space="0"/>
              <w:right w:val="dotted" w:color="auto" w:sz="4" w:space="0"/>
            </w:tcBorders>
            <w:shd w:val="clear" w:color="auto" w:fill="FFFFFF"/>
          </w:tcPr>
          <w:p w14:paraId="283D91CB">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措施内容</w:t>
            </w:r>
          </w:p>
        </w:tc>
      </w:tr>
      <w:tr w14:paraId="402D9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8" w:hRule="atLeast"/>
        </w:trPr>
        <w:tc>
          <w:tcPr>
            <w:tcW w:w="1092" w:type="dxa"/>
            <w:tcBorders>
              <w:top w:val="dotted" w:color="auto" w:sz="4" w:space="0"/>
              <w:left w:val="dotted" w:color="auto" w:sz="4" w:space="0"/>
              <w:bottom w:val="dotted" w:color="auto" w:sz="4" w:space="0"/>
              <w:right w:val="dotted" w:color="auto" w:sz="4" w:space="0"/>
            </w:tcBorders>
            <w:shd w:val="clear" w:color="auto" w:fill="FFFFFF"/>
          </w:tcPr>
          <w:p w14:paraId="525113B0">
            <w:pPr>
              <w:pStyle w:val="105"/>
              <w:spacing w:line="360" w:lineRule="auto"/>
              <w:rPr>
                <w:rFonts w:hint="eastAsia" w:ascii="宋体" w:hAnsi="宋体" w:eastAsia="宋体" w:cs="宋体"/>
                <w:sz w:val="21"/>
                <w:szCs w:val="21"/>
              </w:rPr>
            </w:pPr>
          </w:p>
          <w:p w14:paraId="22F62CAE">
            <w:pPr>
              <w:pStyle w:val="105"/>
              <w:spacing w:line="360" w:lineRule="auto"/>
              <w:rPr>
                <w:rFonts w:hint="eastAsia" w:ascii="宋体" w:hAnsi="宋体" w:eastAsia="宋体" w:cs="宋体"/>
                <w:sz w:val="21"/>
                <w:szCs w:val="21"/>
              </w:rPr>
            </w:pPr>
          </w:p>
          <w:p w14:paraId="5A3B0B79">
            <w:pPr>
              <w:pStyle w:val="105"/>
              <w:spacing w:line="360" w:lineRule="auto"/>
              <w:rPr>
                <w:rFonts w:hint="eastAsia" w:ascii="宋体" w:hAnsi="宋体" w:eastAsia="宋体" w:cs="宋体"/>
                <w:sz w:val="21"/>
                <w:szCs w:val="21"/>
              </w:rPr>
            </w:pPr>
          </w:p>
          <w:p w14:paraId="4CF9CFE4">
            <w:pPr>
              <w:pStyle w:val="105"/>
              <w:spacing w:line="360" w:lineRule="auto"/>
              <w:rPr>
                <w:rFonts w:hint="eastAsia" w:ascii="宋体" w:hAnsi="宋体" w:eastAsia="宋体" w:cs="宋体"/>
                <w:sz w:val="21"/>
                <w:szCs w:val="21"/>
              </w:rPr>
            </w:pPr>
          </w:p>
          <w:p w14:paraId="11C8EE9F">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1</w:t>
            </w:r>
          </w:p>
        </w:tc>
        <w:tc>
          <w:tcPr>
            <w:tcW w:w="1819" w:type="dxa"/>
            <w:tcBorders>
              <w:top w:val="dotted" w:color="auto" w:sz="4" w:space="0"/>
              <w:left w:val="dotted" w:color="auto" w:sz="4" w:space="0"/>
              <w:bottom w:val="dotted" w:color="auto" w:sz="4" w:space="0"/>
              <w:right w:val="dotted" w:color="auto" w:sz="4" w:space="0"/>
            </w:tcBorders>
            <w:shd w:val="clear" w:color="auto" w:fill="FFFFFF"/>
          </w:tcPr>
          <w:p w14:paraId="286A6048">
            <w:pPr>
              <w:pStyle w:val="105"/>
              <w:spacing w:line="360" w:lineRule="auto"/>
              <w:rPr>
                <w:rFonts w:hint="eastAsia" w:ascii="宋体" w:hAnsi="宋体" w:eastAsia="宋体" w:cs="宋体"/>
                <w:sz w:val="21"/>
                <w:szCs w:val="21"/>
              </w:rPr>
            </w:pPr>
          </w:p>
          <w:p w14:paraId="1C7C4ABF">
            <w:pPr>
              <w:pStyle w:val="105"/>
              <w:spacing w:line="360" w:lineRule="auto"/>
              <w:rPr>
                <w:rFonts w:hint="eastAsia" w:ascii="宋体" w:hAnsi="宋体" w:eastAsia="宋体" w:cs="宋体"/>
                <w:sz w:val="21"/>
                <w:szCs w:val="21"/>
              </w:rPr>
            </w:pPr>
          </w:p>
          <w:p w14:paraId="246E711C">
            <w:pPr>
              <w:pStyle w:val="105"/>
              <w:spacing w:line="360" w:lineRule="auto"/>
              <w:rPr>
                <w:rFonts w:hint="eastAsia" w:ascii="宋体" w:hAnsi="宋体" w:eastAsia="宋体" w:cs="宋体"/>
                <w:sz w:val="21"/>
                <w:szCs w:val="21"/>
              </w:rPr>
            </w:pPr>
          </w:p>
          <w:p w14:paraId="6BC4F322">
            <w:pPr>
              <w:pStyle w:val="105"/>
              <w:spacing w:line="360" w:lineRule="auto"/>
              <w:rPr>
                <w:rFonts w:hint="eastAsia" w:ascii="宋体" w:hAnsi="宋体" w:eastAsia="宋体" w:cs="宋体"/>
                <w:sz w:val="21"/>
                <w:szCs w:val="21"/>
              </w:rPr>
            </w:pPr>
          </w:p>
          <w:p w14:paraId="41D3BF2F">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资金管理</w:t>
            </w:r>
          </w:p>
        </w:tc>
        <w:tc>
          <w:tcPr>
            <w:tcW w:w="6827" w:type="dxa"/>
            <w:tcBorders>
              <w:top w:val="dotted" w:color="auto" w:sz="4" w:space="0"/>
              <w:left w:val="dotted" w:color="auto" w:sz="4" w:space="0"/>
              <w:bottom w:val="dotted" w:color="auto" w:sz="4" w:space="0"/>
              <w:right w:val="dotted" w:color="auto" w:sz="4" w:space="0"/>
            </w:tcBorders>
            <w:shd w:val="clear" w:color="auto" w:fill="FFFFFF"/>
          </w:tcPr>
          <w:p w14:paraId="5CE0C1C9">
            <w:pPr>
              <w:pStyle w:val="105"/>
              <w:numPr>
                <w:ilvl w:val="0"/>
                <w:numId w:val="18"/>
              </w:numPr>
              <w:spacing w:line="360" w:lineRule="auto"/>
              <w:jc w:val="left"/>
              <w:rPr>
                <w:rFonts w:hint="eastAsia" w:ascii="宋体" w:hAnsi="宋体" w:eastAsia="宋体" w:cs="宋体"/>
                <w:sz w:val="21"/>
                <w:szCs w:val="21"/>
              </w:rPr>
            </w:pPr>
            <w:r>
              <w:rPr>
                <w:rFonts w:hint="eastAsia" w:ascii="宋体" w:hAnsi="宋体" w:eastAsia="宋体" w:cs="宋体"/>
                <w:sz w:val="21"/>
                <w:szCs w:val="21"/>
              </w:rPr>
              <w:t>执行专款专用制建立专门的工程资金账户，随着工程各阶段控制日期的完成，及时支付专业队伍的劳务费用，防止施工中因为资金问题而影响工程的进展，充分保证劳动力、机械、材料的及时进场；2）执行严格的预算管理施工准备期间，编制项目全过程现金流量表，预测项目的现金流，对资金做到平衡使用，以丰补缺，避免资金的无计划管理；3）资金压力分解在选择分包商、材料供应商时，提出部分支付的条件，向同意部分支付又相对资金雄厚的合格分包商、供应商进行倾斜。</w:t>
            </w:r>
          </w:p>
          <w:p w14:paraId="2618754C">
            <w:pPr>
              <w:pStyle w:val="105"/>
              <w:spacing w:line="360" w:lineRule="auto"/>
              <w:jc w:val="left"/>
              <w:rPr>
                <w:rFonts w:hint="eastAsia" w:ascii="宋体" w:hAnsi="宋体" w:eastAsia="宋体" w:cs="宋体"/>
                <w:sz w:val="21"/>
                <w:szCs w:val="21"/>
              </w:rPr>
            </w:pPr>
          </w:p>
        </w:tc>
      </w:tr>
      <w:tr w14:paraId="09144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4" w:hRule="atLeast"/>
        </w:trPr>
        <w:tc>
          <w:tcPr>
            <w:tcW w:w="1092" w:type="dxa"/>
            <w:tcBorders>
              <w:top w:val="dotted" w:color="auto" w:sz="4" w:space="0"/>
              <w:left w:val="dotted" w:color="auto" w:sz="4" w:space="0"/>
              <w:bottom w:val="dotted" w:color="auto" w:sz="4" w:space="0"/>
              <w:right w:val="dotted" w:color="auto" w:sz="4" w:space="0"/>
            </w:tcBorders>
            <w:shd w:val="clear" w:color="auto" w:fill="FFFFFF"/>
          </w:tcPr>
          <w:p w14:paraId="417E57AF">
            <w:pPr>
              <w:pStyle w:val="105"/>
              <w:spacing w:line="360" w:lineRule="auto"/>
              <w:rPr>
                <w:rFonts w:hint="eastAsia" w:ascii="宋体" w:hAnsi="宋体" w:eastAsia="宋体" w:cs="宋体"/>
                <w:sz w:val="21"/>
                <w:szCs w:val="21"/>
              </w:rPr>
            </w:pPr>
          </w:p>
          <w:p w14:paraId="3177B8C7">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2</w:t>
            </w:r>
          </w:p>
        </w:tc>
        <w:tc>
          <w:tcPr>
            <w:tcW w:w="1819" w:type="dxa"/>
            <w:tcBorders>
              <w:top w:val="dotted" w:color="auto" w:sz="4" w:space="0"/>
              <w:left w:val="dotted" w:color="auto" w:sz="4" w:space="0"/>
              <w:bottom w:val="dotted" w:color="auto" w:sz="4" w:space="0"/>
              <w:right w:val="dotted" w:color="auto" w:sz="4" w:space="0"/>
            </w:tcBorders>
            <w:shd w:val="clear" w:color="auto" w:fill="FFFFFF"/>
          </w:tcPr>
          <w:p w14:paraId="27B4AE5A">
            <w:pPr>
              <w:pStyle w:val="105"/>
              <w:spacing w:line="360" w:lineRule="auto"/>
              <w:rPr>
                <w:rFonts w:hint="eastAsia" w:ascii="宋体" w:hAnsi="宋体" w:eastAsia="宋体" w:cs="宋体"/>
                <w:sz w:val="21"/>
                <w:szCs w:val="21"/>
              </w:rPr>
            </w:pPr>
          </w:p>
          <w:p w14:paraId="6F6EBA07">
            <w:pPr>
              <w:pStyle w:val="105"/>
              <w:spacing w:line="360" w:lineRule="auto"/>
              <w:rPr>
                <w:rFonts w:hint="eastAsia" w:ascii="宋体" w:hAnsi="宋体" w:eastAsia="宋体" w:cs="宋体"/>
                <w:sz w:val="21"/>
                <w:szCs w:val="21"/>
              </w:rPr>
            </w:pPr>
            <w:r>
              <w:rPr>
                <w:rFonts w:hint="eastAsia" w:ascii="宋体" w:hAnsi="宋体" w:eastAsia="宋体" w:cs="宋体"/>
                <w:sz w:val="21"/>
                <w:szCs w:val="21"/>
              </w:rPr>
              <w:t>资金投入</w:t>
            </w:r>
          </w:p>
        </w:tc>
        <w:tc>
          <w:tcPr>
            <w:tcW w:w="6827" w:type="dxa"/>
            <w:tcBorders>
              <w:top w:val="dotted" w:color="auto" w:sz="4" w:space="0"/>
              <w:left w:val="dotted" w:color="auto" w:sz="4" w:space="0"/>
              <w:bottom w:val="dotted" w:color="auto" w:sz="4" w:space="0"/>
              <w:right w:val="dotted" w:color="auto" w:sz="4" w:space="0"/>
            </w:tcBorders>
            <w:shd w:val="clear" w:color="auto" w:fill="FFFFFF"/>
          </w:tcPr>
          <w:p w14:paraId="7F530FD3">
            <w:pPr>
              <w:pStyle w:val="105"/>
              <w:spacing w:line="360" w:lineRule="auto"/>
              <w:jc w:val="left"/>
              <w:rPr>
                <w:rFonts w:hint="eastAsia" w:ascii="宋体" w:hAnsi="宋体" w:eastAsia="宋体" w:cs="宋体"/>
                <w:sz w:val="21"/>
                <w:szCs w:val="21"/>
              </w:rPr>
            </w:pPr>
            <w:r>
              <w:rPr>
                <w:rFonts w:hint="eastAsia" w:ascii="宋体" w:hAnsi="宋体" w:eastAsia="宋体" w:cs="宋体"/>
                <w:sz w:val="21"/>
                <w:szCs w:val="21"/>
              </w:rPr>
              <w:t>拿出一定资金作为工期竞赛奖励基金，引入经济奖励机制，结合质量管理情况，奖优罚劣，充分调动全体施工人员积极性，力保各项工期目标顺利实现。</w:t>
            </w:r>
          </w:p>
        </w:tc>
      </w:tr>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tbl>
    <w:p w14:paraId="3BBD6E18">
      <w:pPr>
        <w:pStyle w:val="4"/>
        <w:numPr>
          <w:ilvl w:val="1"/>
          <w:numId w:val="0"/>
        </w:numPr>
        <w:spacing w:line="360" w:lineRule="auto"/>
        <w:ind w:firstLine="0" w:firstLineChars="0"/>
        <w:rPr>
          <w:rFonts w:hint="eastAsia" w:ascii="宋体" w:hAnsi="宋体" w:eastAsia="宋体" w:cs="宋体"/>
          <w:color w:val="auto"/>
        </w:rPr>
      </w:pPr>
      <w:bookmarkStart w:id="1579" w:name="_Toc17488"/>
      <w:bookmarkStart w:id="1580" w:name="_Toc30028"/>
      <w:bookmarkStart w:id="1581" w:name="_Toc18235"/>
      <w:bookmarkStart w:id="1582" w:name="_Toc12009"/>
      <w:bookmarkStart w:id="1583" w:name="_Toc744"/>
      <w:bookmarkStart w:id="1584" w:name="_Toc21093"/>
      <w:bookmarkStart w:id="1585" w:name="_Toc13906"/>
      <w:bookmarkStart w:id="1586" w:name="_Toc3644"/>
      <w:bookmarkStart w:id="1587" w:name="_Toc6990"/>
      <w:bookmarkStart w:id="1588" w:name="_Toc26908"/>
      <w:bookmarkStart w:id="1589" w:name="_Toc15316"/>
      <w:r>
        <w:rPr>
          <w:rFonts w:hint="eastAsia" w:ascii="宋体" w:hAnsi="宋体" w:cs="Times New Roman"/>
          <w:b/>
          <w:bCs/>
          <w:color w:val="auto"/>
          <w:kern w:val="2"/>
          <w:sz w:val="32"/>
          <w:szCs w:val="32"/>
          <w:lang w:val="en-US" w:eastAsia="zh-CN" w:bidi="ar-SA"/>
        </w:rPr>
        <w:t>9</w:t>
      </w:r>
      <w:r>
        <w:rPr>
          <w:rFonts w:hint="default" w:ascii="宋体" w:hAnsi="宋体" w:eastAsia="宋体" w:cs="Times New Roman"/>
          <w:b/>
          <w:bCs/>
          <w:color w:val="auto"/>
          <w:kern w:val="2"/>
          <w:sz w:val="32"/>
          <w:szCs w:val="32"/>
          <w:lang w:val="en-US" w:eastAsia="zh-CN" w:bidi="ar-SA"/>
        </w:rPr>
        <w:t>.5.</w:t>
      </w:r>
      <w:r>
        <w:rPr>
          <w:rFonts w:hint="eastAsia" w:ascii="宋体" w:hAnsi="宋体" w:eastAsia="宋体" w:cs="宋体"/>
          <w:color w:val="auto"/>
        </w:rPr>
        <w:t>特殊天气保证措施</w:t>
      </w:r>
      <w:bookmarkEnd w:id="1579"/>
      <w:bookmarkEnd w:id="1580"/>
      <w:bookmarkEnd w:id="1581"/>
      <w:bookmarkEnd w:id="1582"/>
      <w:bookmarkEnd w:id="1583"/>
      <w:bookmarkEnd w:id="1584"/>
      <w:bookmarkEnd w:id="1585"/>
      <w:bookmarkEnd w:id="1586"/>
      <w:bookmarkEnd w:id="1587"/>
      <w:bookmarkEnd w:id="1588"/>
      <w:bookmarkEnd w:id="1589"/>
    </w:p>
    <w:p w14:paraId="5FB64A72">
      <w:pPr>
        <w:pStyle w:val="5"/>
        <w:numPr>
          <w:ilvl w:val="2"/>
          <w:numId w:val="0"/>
        </w:numPr>
        <w:spacing w:line="360" w:lineRule="auto"/>
        <w:ind w:left="720" w:leftChars="0" w:hanging="720" w:firstLineChars="0"/>
        <w:rPr>
          <w:rFonts w:hint="eastAsia" w:ascii="宋体" w:hAnsi="宋体" w:eastAsia="宋体" w:cs="宋体"/>
          <w:color w:val="auto"/>
        </w:rPr>
      </w:pPr>
      <w:bookmarkStart w:id="1590" w:name="_Toc4900"/>
      <w:bookmarkStart w:id="1591" w:name="_Toc8017"/>
      <w:bookmarkStart w:id="1592" w:name="_Toc19118"/>
      <w:bookmarkStart w:id="1593" w:name="_Toc28142"/>
      <w:bookmarkStart w:id="1594" w:name="_Toc9269"/>
      <w:bookmarkStart w:id="1595" w:name="_Toc19460"/>
      <w:bookmarkStart w:id="1596" w:name="_Toc28425"/>
      <w:bookmarkStart w:id="1597" w:name="_Toc3226"/>
      <w:bookmarkStart w:id="1598" w:name="_Toc25157"/>
      <w:bookmarkStart w:id="1599" w:name="_Toc13949"/>
      <w:bookmarkStart w:id="1600" w:name="_Toc21380"/>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.5.1.</w:t>
      </w:r>
      <w:r>
        <w:rPr>
          <w:rFonts w:hint="eastAsia" w:ascii="宋体" w:hAnsi="宋体" w:eastAsia="宋体" w:cs="宋体"/>
          <w:color w:val="auto"/>
        </w:rPr>
        <w:t>雨季施工</w:t>
      </w:r>
      <w:bookmarkEnd w:id="1590"/>
      <w:bookmarkEnd w:id="1591"/>
      <w:bookmarkEnd w:id="1592"/>
      <w:bookmarkEnd w:id="1593"/>
      <w:bookmarkEnd w:id="1594"/>
      <w:bookmarkEnd w:id="1595"/>
      <w:bookmarkEnd w:id="1596"/>
      <w:bookmarkEnd w:id="1597"/>
      <w:bookmarkEnd w:id="1598"/>
      <w:bookmarkEnd w:id="1599"/>
      <w:bookmarkEnd w:id="1600"/>
    </w:p>
    <w:p w14:paraId="1F29F722">
      <w:pPr>
        <w:ind w:firstLine="480"/>
        <w:rPr>
          <w:rFonts w:hint="eastAsia" w:ascii="宋体" w:hAnsi="宋体" w:eastAsia="宋体" w:cs="宋体"/>
        </w:rPr>
      </w:pPr>
      <w:bookmarkStart w:id="1601" w:name="_Toc17377"/>
      <w:bookmarkStart w:id="1602" w:name="_Toc31739"/>
      <w:bookmarkStart w:id="1603" w:name="_Toc29881"/>
      <w:bookmarkStart w:id="1604" w:name="_Toc21672"/>
      <w:bookmarkStart w:id="1605" w:name="_Toc6016"/>
      <w:bookmarkStart w:id="1606" w:name="_Toc26830"/>
      <w:bookmarkStart w:id="1607" w:name="_Toc27817"/>
      <w:bookmarkStart w:id="1608" w:name="_Toc20398"/>
      <w:bookmarkStart w:id="1609" w:name="_Toc18582"/>
      <w:bookmarkStart w:id="1610" w:name="_Toc314240946"/>
      <w:bookmarkStart w:id="1611" w:name="_Toc7801"/>
      <w:r>
        <w:rPr>
          <w:rFonts w:hint="eastAsia" w:ascii="宋体" w:hAnsi="宋体" w:eastAsia="宋体" w:cs="宋体"/>
          <w:lang w:val="en-US" w:eastAsia="zh-CN"/>
        </w:rPr>
        <w:t>福清</w:t>
      </w:r>
      <w:r>
        <w:rPr>
          <w:rFonts w:hint="eastAsia" w:ascii="宋体" w:hAnsi="宋体" w:eastAsia="宋体" w:cs="宋体"/>
        </w:rPr>
        <w:t>地处亚热带，属亚热带季风气候，潮湿多雨，年均气温20.8℃，最冷月份2月均温12.4℃，极端温2℃，最热月份7月均温28.2℃，极端高温38.4℃，冬季温差不大，无霜期平均364天。平均年均降雨量1143mm，5～7月为雨量最大，每年平均受5～6次台风直接或间接影响，多发生于7～9月间，最大风力达12级以上，雨量集中，单次降量达100mm以上。</w:t>
      </w:r>
    </w:p>
    <w:bookmarkEnd w:id="1601"/>
    <w:bookmarkEnd w:id="1602"/>
    <w:bookmarkEnd w:id="1603"/>
    <w:bookmarkEnd w:id="1604"/>
    <w:bookmarkEnd w:id="1605"/>
    <w:bookmarkEnd w:id="1606"/>
    <w:bookmarkEnd w:id="1607"/>
    <w:bookmarkEnd w:id="1608"/>
    <w:bookmarkEnd w:id="1609"/>
    <w:bookmarkEnd w:id="1610"/>
    <w:bookmarkEnd w:id="1611"/>
    <w:p w14:paraId="0798EF3C">
      <w:pPr>
        <w:pStyle w:val="6"/>
        <w:numPr>
          <w:ilvl w:val="3"/>
          <w:numId w:val="0"/>
        </w:numPr>
        <w:ind w:left="720" w:leftChars="0" w:firstLine="0" w:firstLineChars="0"/>
        <w:rPr>
          <w:rFonts w:hint="eastAsia" w:ascii="宋体" w:hAnsi="宋体" w:eastAsia="宋体" w:cs="宋体"/>
        </w:rPr>
      </w:pPr>
      <w:bookmarkStart w:id="1612" w:name="_Toc13269"/>
      <w:bookmarkStart w:id="1613" w:name="_Toc20553"/>
      <w:bookmarkStart w:id="1614" w:name="_Toc1212"/>
      <w:bookmarkStart w:id="1615" w:name="_Toc32541"/>
      <w:bookmarkStart w:id="1616" w:name="_Toc314240947"/>
      <w:bookmarkStart w:id="1617" w:name="_Toc25550"/>
      <w:bookmarkStart w:id="1618" w:name="_Toc32700"/>
      <w:bookmarkStart w:id="1619" w:name="_Toc27001"/>
      <w:bookmarkStart w:id="1620" w:name="_Toc26417"/>
      <w:bookmarkStart w:id="1621" w:name="_Toc7127"/>
      <w:bookmarkStart w:id="1622" w:name="_Toc22151"/>
      <w:bookmarkStart w:id="1623" w:name="_Toc320"/>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.5.1.1.</w:t>
      </w:r>
      <w:r>
        <w:rPr>
          <w:rFonts w:hint="eastAsia" w:ascii="宋体" w:hAnsi="宋体" w:eastAsia="宋体" w:cs="宋体"/>
        </w:rPr>
        <w:t>雨季施工管理目标</w:t>
      </w:r>
    </w:p>
    <w:p w14:paraId="79121F38">
      <w:pPr>
        <w:ind w:firstLine="480"/>
        <w:rPr>
          <w:rFonts w:hint="eastAsia" w:ascii="宋体" w:hAnsi="宋体" w:eastAsia="宋体" w:cs="宋体"/>
        </w:rPr>
      </w:pPr>
      <w:r>
        <w:rPr>
          <w:rFonts w:hint="eastAsia" w:ascii="宋体" w:hAnsi="宋体" w:eastAsia="宋体" w:cs="宋体"/>
        </w:rPr>
        <w:t>（1）雨季施工主要以预防为主，采用防雨措施及加强排水手段确保雨季正常地进行生产，不受季节性气候的影响。</w:t>
      </w:r>
    </w:p>
    <w:p w14:paraId="0C0E5D99">
      <w:pPr>
        <w:ind w:firstLine="480"/>
        <w:rPr>
          <w:rFonts w:hint="eastAsia" w:ascii="宋体" w:hAnsi="宋体" w:eastAsia="宋体" w:cs="宋体"/>
        </w:rPr>
      </w:pPr>
      <w:r>
        <w:rPr>
          <w:rFonts w:hint="eastAsia" w:ascii="宋体" w:hAnsi="宋体" w:eastAsia="宋体" w:cs="宋体"/>
        </w:rPr>
        <w:t>（2）加强雨季施工信息反馈，对近年来发生的问题要采取防范措施设法排除。</w:t>
      </w:r>
    </w:p>
    <w:bookmarkEnd w:id="1612"/>
    <w:bookmarkEnd w:id="1613"/>
    <w:bookmarkEnd w:id="1614"/>
    <w:bookmarkEnd w:id="1615"/>
    <w:bookmarkEnd w:id="1616"/>
    <w:bookmarkEnd w:id="1617"/>
    <w:bookmarkEnd w:id="1618"/>
    <w:bookmarkEnd w:id="1619"/>
    <w:bookmarkEnd w:id="1620"/>
    <w:bookmarkEnd w:id="1621"/>
    <w:bookmarkEnd w:id="1622"/>
    <w:bookmarkEnd w:id="1623"/>
    <w:p w14:paraId="6D9C2EC1">
      <w:pPr>
        <w:pStyle w:val="6"/>
        <w:numPr>
          <w:ilvl w:val="3"/>
          <w:numId w:val="0"/>
        </w:numPr>
        <w:ind w:left="720" w:leftChars="0" w:firstLine="0" w:firstLineChars="0"/>
        <w:rPr>
          <w:rFonts w:hint="eastAsia" w:ascii="宋体" w:hAnsi="宋体" w:eastAsia="宋体" w:cs="宋体"/>
        </w:rPr>
      </w:pPr>
      <w:bookmarkStart w:id="1624" w:name="_Toc18793"/>
      <w:bookmarkStart w:id="1625" w:name="_Toc314240948"/>
      <w:bookmarkStart w:id="1626" w:name="_Toc30157"/>
      <w:bookmarkStart w:id="1627" w:name="_Toc14034"/>
      <w:bookmarkStart w:id="1628" w:name="_Toc21878"/>
      <w:bookmarkStart w:id="1629" w:name="_Toc3190"/>
      <w:bookmarkStart w:id="1630" w:name="_Toc7651"/>
      <w:bookmarkStart w:id="1631" w:name="_Toc3210"/>
      <w:bookmarkStart w:id="1632" w:name="_Toc20732"/>
      <w:bookmarkStart w:id="1633" w:name="_Toc20758"/>
      <w:bookmarkStart w:id="1634" w:name="_Toc19350"/>
      <w:bookmarkStart w:id="1635" w:name="_Toc28669"/>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.5.1.2.</w:t>
      </w:r>
      <w:r>
        <w:rPr>
          <w:rFonts w:hint="eastAsia" w:ascii="宋体" w:hAnsi="宋体" w:eastAsia="宋体" w:cs="宋体"/>
        </w:rPr>
        <w:t>雨季施工专项措施</w:t>
      </w:r>
      <w:bookmarkEnd w:id="1624"/>
      <w:bookmarkEnd w:id="1625"/>
      <w:bookmarkEnd w:id="1626"/>
      <w:bookmarkEnd w:id="1627"/>
      <w:bookmarkEnd w:id="1628"/>
      <w:bookmarkEnd w:id="1629"/>
      <w:bookmarkEnd w:id="1630"/>
      <w:bookmarkEnd w:id="1631"/>
      <w:bookmarkEnd w:id="1632"/>
      <w:bookmarkEnd w:id="1633"/>
      <w:bookmarkEnd w:id="1634"/>
      <w:bookmarkEnd w:id="1635"/>
    </w:p>
    <w:p w14:paraId="4800145E">
      <w:pPr>
        <w:ind w:firstLine="482"/>
        <w:rPr>
          <w:rFonts w:hint="eastAsia" w:ascii="宋体" w:hAnsi="宋体" w:eastAsia="宋体" w:cs="宋体"/>
          <w:b/>
        </w:rPr>
      </w:pPr>
      <w:r>
        <w:rPr>
          <w:rFonts w:hint="eastAsia" w:ascii="宋体" w:hAnsi="宋体" w:eastAsia="宋体" w:cs="宋体"/>
          <w:b/>
        </w:rPr>
        <w:t>1）模板工程</w:t>
      </w:r>
    </w:p>
    <w:p w14:paraId="09BCB6D2">
      <w:pPr>
        <w:ind w:firstLine="480"/>
        <w:rPr>
          <w:rFonts w:hint="eastAsia" w:ascii="宋体" w:hAnsi="宋体" w:eastAsia="宋体" w:cs="宋体"/>
        </w:rPr>
      </w:pPr>
      <w:r>
        <w:rPr>
          <w:rFonts w:hint="eastAsia" w:ascii="宋体" w:hAnsi="宋体" w:eastAsia="宋体" w:cs="宋体"/>
        </w:rPr>
        <w:t>模板的堆放应严格按规定进行。模板堆放场地必须坚实可靠，排水通畅，防止积水。模板拆下后必须清理修复，涂刷油性脱模剂。合模后未能及时浇筑砼部位，下部留出水口。</w:t>
      </w:r>
    </w:p>
    <w:p w14:paraId="64821C74">
      <w:pPr>
        <w:ind w:firstLine="482"/>
        <w:rPr>
          <w:rFonts w:hint="eastAsia" w:ascii="宋体" w:hAnsi="宋体" w:eastAsia="宋体" w:cs="宋体"/>
          <w:b/>
        </w:rPr>
      </w:pPr>
      <w:r>
        <w:rPr>
          <w:rFonts w:hint="eastAsia" w:ascii="宋体" w:hAnsi="宋体" w:eastAsia="宋体" w:cs="宋体"/>
          <w:b/>
        </w:rPr>
        <w:t>2）钢筋工程</w:t>
      </w:r>
    </w:p>
    <w:p w14:paraId="0BC9AE41">
      <w:pPr>
        <w:ind w:firstLine="480"/>
        <w:rPr>
          <w:rFonts w:hint="eastAsia" w:ascii="宋体" w:hAnsi="宋体" w:eastAsia="宋体" w:cs="宋体"/>
        </w:rPr>
      </w:pPr>
      <w:r>
        <w:rPr>
          <w:rFonts w:hint="eastAsia" w:ascii="宋体" w:hAnsi="宋体" w:eastAsia="宋体" w:cs="宋体"/>
        </w:rPr>
        <w:t>钢筋在绑扎之前，要清除污物、锈蚀，雨天要对钢筋加工场处的钢筋原材、半成品进行覆盖，防止钢筋生锈。雨中不宜进行焊接作业。</w:t>
      </w:r>
    </w:p>
    <w:p w14:paraId="7B6AA42E">
      <w:pPr>
        <w:ind w:firstLine="482"/>
        <w:rPr>
          <w:rFonts w:hint="eastAsia" w:ascii="宋体" w:hAnsi="宋体" w:eastAsia="宋体" w:cs="宋体"/>
          <w:b/>
        </w:rPr>
      </w:pPr>
      <w:r>
        <w:rPr>
          <w:rFonts w:hint="eastAsia" w:ascii="宋体" w:hAnsi="宋体" w:eastAsia="宋体" w:cs="宋体"/>
          <w:b/>
        </w:rPr>
        <w:t>3）雨季施工防雷击措施</w:t>
      </w:r>
    </w:p>
    <w:p w14:paraId="38D0CEF3">
      <w:pPr>
        <w:ind w:firstLine="480"/>
        <w:rPr>
          <w:rFonts w:hint="eastAsia" w:ascii="宋体" w:hAnsi="宋体" w:eastAsia="宋体" w:cs="宋体"/>
        </w:rPr>
      </w:pPr>
      <w:r>
        <w:rPr>
          <w:rFonts w:hint="eastAsia" w:ascii="宋体" w:hAnsi="宋体" w:eastAsia="宋体" w:cs="宋体"/>
        </w:rPr>
        <w:t>（1）停止室外作业，留在室内，在室外工作的人应躲入建筑物内。</w:t>
      </w:r>
    </w:p>
    <w:p w14:paraId="561BC692">
      <w:pPr>
        <w:ind w:firstLine="480"/>
        <w:rPr>
          <w:rFonts w:hint="eastAsia" w:ascii="宋体" w:hAnsi="宋体" w:eastAsia="宋体" w:cs="宋体"/>
        </w:rPr>
      </w:pPr>
      <w:r>
        <w:rPr>
          <w:rFonts w:hint="eastAsia" w:ascii="宋体" w:hAnsi="宋体" w:eastAsia="宋体" w:cs="宋体"/>
        </w:rPr>
        <w:t>（2）不宜使用无防雷措施或防雷措施不足的用电设备。</w:t>
      </w:r>
    </w:p>
    <w:p w14:paraId="189DD002">
      <w:pPr>
        <w:ind w:firstLine="480"/>
        <w:rPr>
          <w:rFonts w:hint="eastAsia" w:ascii="宋体" w:hAnsi="宋体" w:eastAsia="宋体" w:cs="宋体"/>
        </w:rPr>
      </w:pPr>
      <w:r>
        <w:rPr>
          <w:rFonts w:hint="eastAsia" w:ascii="宋体" w:hAnsi="宋体" w:eastAsia="宋体" w:cs="宋体"/>
        </w:rPr>
        <w:t>（3）切勿接触天线、水管、铁丝网、金属门窗、建筑物外墙，远离电线等带电设备或其他类似金属装置。</w:t>
      </w:r>
    </w:p>
    <w:p w14:paraId="31CAA908">
      <w:pPr>
        <w:pStyle w:val="5"/>
        <w:numPr>
          <w:ilvl w:val="2"/>
          <w:numId w:val="0"/>
        </w:numPr>
        <w:spacing w:line="360" w:lineRule="auto"/>
        <w:ind w:left="720" w:leftChars="0" w:hanging="720" w:firstLineChars="0"/>
        <w:rPr>
          <w:rFonts w:hint="eastAsia" w:ascii="宋体" w:hAnsi="宋体" w:eastAsia="宋体" w:cs="宋体"/>
          <w:color w:val="auto"/>
        </w:rPr>
      </w:pPr>
      <w:bookmarkStart w:id="1636" w:name="_Toc28213"/>
      <w:bookmarkStart w:id="1637" w:name="_Toc28172"/>
      <w:bookmarkStart w:id="1638" w:name="_Toc6427"/>
      <w:bookmarkStart w:id="1639" w:name="_Toc3621"/>
      <w:bookmarkStart w:id="1640" w:name="_Toc13228"/>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.5.2.</w:t>
      </w:r>
      <w:r>
        <w:rPr>
          <w:rFonts w:hint="eastAsia" w:ascii="宋体" w:hAnsi="宋体" w:eastAsia="宋体" w:cs="宋体"/>
          <w:color w:val="auto"/>
        </w:rPr>
        <w:t>夏季施工</w:t>
      </w:r>
      <w:bookmarkEnd w:id="1636"/>
      <w:bookmarkEnd w:id="1637"/>
      <w:bookmarkEnd w:id="1638"/>
      <w:bookmarkEnd w:id="1639"/>
      <w:bookmarkEnd w:id="1640"/>
    </w:p>
    <w:p w14:paraId="12458AE0">
      <w:pPr>
        <w:ind w:firstLine="480"/>
        <w:rPr>
          <w:rFonts w:hint="eastAsia" w:ascii="宋体" w:hAnsi="宋体" w:eastAsia="宋体" w:cs="宋体"/>
        </w:rPr>
      </w:pPr>
      <w:r>
        <w:rPr>
          <w:rFonts w:hint="eastAsia" w:ascii="宋体" w:hAnsi="宋体" w:eastAsia="宋体" w:cs="宋体"/>
        </w:rPr>
        <w:t>夏季气温较高，且空气湿度较大，因此夏季施工应以安全生产为主题，以“防暑降温”为重点，只有抓好安全生产，才可确保工程质量，从而保障</w:t>
      </w:r>
      <w:r>
        <w:rPr>
          <w:rFonts w:hint="eastAsia" w:ascii="宋体" w:hAnsi="宋体" w:eastAsia="宋体" w:cs="宋体"/>
          <w:lang w:val="en-US" w:eastAsia="zh-CN"/>
        </w:rPr>
        <w:t>工程</w:t>
      </w:r>
      <w:r>
        <w:rPr>
          <w:rFonts w:hint="eastAsia" w:ascii="宋体" w:hAnsi="宋体" w:eastAsia="宋体" w:cs="宋体"/>
        </w:rPr>
        <w:t>进度。</w:t>
      </w:r>
    </w:p>
    <w:p w14:paraId="69108321">
      <w:pPr>
        <w:ind w:firstLine="482"/>
        <w:rPr>
          <w:rFonts w:hint="eastAsia" w:ascii="宋体" w:hAnsi="宋体" w:eastAsia="宋体" w:cs="宋体"/>
          <w:b/>
          <w:bCs/>
        </w:rPr>
      </w:pPr>
      <w:r>
        <w:rPr>
          <w:rFonts w:hint="eastAsia" w:ascii="宋体" w:hAnsi="宋体" w:eastAsia="宋体" w:cs="宋体"/>
          <w:b/>
          <w:bCs/>
        </w:rPr>
        <w:t>1、保障措施</w:t>
      </w:r>
    </w:p>
    <w:p w14:paraId="4323A78C">
      <w:pPr>
        <w:ind w:firstLine="480"/>
        <w:rPr>
          <w:rFonts w:hint="eastAsia" w:ascii="宋体" w:hAnsi="宋体" w:eastAsia="宋体" w:cs="宋体"/>
        </w:rPr>
      </w:pPr>
      <w:r>
        <w:rPr>
          <w:rFonts w:hint="eastAsia" w:ascii="宋体" w:hAnsi="宋体" w:eastAsia="宋体" w:cs="宋体"/>
        </w:rPr>
        <w:t>（1）对高温作业人员进行作业前和入暑前的健康检查，凡检查不合格者，均不得在高温条件下作业。</w:t>
      </w:r>
    </w:p>
    <w:p w14:paraId="0DBE32E6">
      <w:pPr>
        <w:ind w:firstLine="480"/>
        <w:rPr>
          <w:rFonts w:hint="eastAsia" w:ascii="宋体" w:hAnsi="宋体" w:eastAsia="宋体" w:cs="宋体"/>
        </w:rPr>
      </w:pPr>
      <w:r>
        <w:rPr>
          <w:rFonts w:hint="eastAsia" w:ascii="宋体" w:hAnsi="宋体" w:eastAsia="宋体" w:cs="宋体"/>
        </w:rPr>
        <w:t>（2）炎热时期应组织医务人员深入工地进行巡回和防治观察。</w:t>
      </w:r>
    </w:p>
    <w:p w14:paraId="641CE4B6">
      <w:pPr>
        <w:ind w:firstLine="480"/>
        <w:rPr>
          <w:rFonts w:hint="eastAsia" w:ascii="宋体" w:hAnsi="宋体" w:eastAsia="宋体" w:cs="宋体"/>
        </w:rPr>
      </w:pPr>
      <w:r>
        <w:rPr>
          <w:rFonts w:hint="eastAsia" w:ascii="宋体" w:hAnsi="宋体" w:eastAsia="宋体" w:cs="宋体"/>
        </w:rPr>
        <w:t>（3）积极与当地气象部门联系，尽量避免在高温天气进行大工作量施工。</w:t>
      </w:r>
    </w:p>
    <w:p w14:paraId="2CA04C18">
      <w:pPr>
        <w:ind w:firstLine="480"/>
        <w:rPr>
          <w:rFonts w:hint="eastAsia" w:ascii="宋体" w:hAnsi="宋体" w:eastAsia="宋体" w:cs="宋体"/>
        </w:rPr>
      </w:pPr>
      <w:r>
        <w:rPr>
          <w:rFonts w:hint="eastAsia" w:ascii="宋体" w:hAnsi="宋体" w:eastAsia="宋体" w:cs="宋体"/>
        </w:rPr>
        <w:t>（4）对高温作业者，供给足够的合乎卫生要求的饮料，含盐饮料。</w:t>
      </w:r>
    </w:p>
    <w:p w14:paraId="6F6BEBAC">
      <w:pPr>
        <w:ind w:firstLine="482"/>
        <w:rPr>
          <w:rFonts w:hint="eastAsia" w:ascii="宋体" w:hAnsi="宋体" w:eastAsia="宋体" w:cs="宋体"/>
          <w:b/>
          <w:bCs/>
        </w:rPr>
      </w:pPr>
      <w:r>
        <w:rPr>
          <w:rFonts w:hint="eastAsia" w:ascii="宋体" w:hAnsi="宋体" w:eastAsia="宋体" w:cs="宋体"/>
          <w:b/>
          <w:bCs/>
        </w:rPr>
        <w:t>2、组织措施</w:t>
      </w:r>
    </w:p>
    <w:p w14:paraId="3141F919">
      <w:pPr>
        <w:ind w:firstLine="480"/>
        <w:rPr>
          <w:rFonts w:hint="eastAsia" w:ascii="宋体" w:hAnsi="宋体" w:eastAsia="宋体" w:cs="宋体"/>
        </w:rPr>
      </w:pPr>
      <w:r>
        <w:rPr>
          <w:rFonts w:hint="eastAsia" w:ascii="宋体" w:hAnsi="宋体" w:eastAsia="宋体" w:cs="宋体"/>
        </w:rPr>
        <w:t>（1）采用合理的劳动休息制度，可根据具体情况，在气温较高的条件下，适当调整作息时间，早晚工作，中午休息。</w:t>
      </w:r>
    </w:p>
    <w:p w14:paraId="30FE294A">
      <w:pPr>
        <w:ind w:firstLine="480"/>
        <w:rPr>
          <w:rFonts w:hint="eastAsia" w:ascii="宋体" w:hAnsi="宋体" w:eastAsia="宋体" w:cs="宋体"/>
        </w:rPr>
      </w:pPr>
      <w:r>
        <w:rPr>
          <w:rFonts w:hint="eastAsia" w:ascii="宋体" w:hAnsi="宋体" w:eastAsia="宋体" w:cs="宋体"/>
        </w:rPr>
        <w:t>（2）改善宿舍，职工生活条件，确保防暑降温物品及设备落到实处。</w:t>
      </w:r>
    </w:p>
    <w:p w14:paraId="07FCD764">
      <w:pPr>
        <w:ind w:firstLine="480"/>
        <w:rPr>
          <w:rFonts w:hint="eastAsia" w:ascii="宋体" w:hAnsi="宋体" w:eastAsia="宋体" w:cs="宋体"/>
        </w:rPr>
      </w:pPr>
      <w:r>
        <w:rPr>
          <w:rFonts w:hint="eastAsia" w:ascii="宋体" w:hAnsi="宋体" w:eastAsia="宋体" w:cs="宋体"/>
        </w:rPr>
        <w:t>（3）根据工地实际情况，尽可能调整劳动力组织，采用勤倒班的方法，缩短一次连续作业时间。</w:t>
      </w:r>
    </w:p>
    <w:p w14:paraId="75DEF600">
      <w:pPr>
        <w:ind w:firstLine="482"/>
        <w:rPr>
          <w:rFonts w:hint="eastAsia" w:ascii="宋体" w:hAnsi="宋体" w:eastAsia="宋体" w:cs="宋体"/>
          <w:b/>
          <w:bCs/>
        </w:rPr>
      </w:pPr>
      <w:r>
        <w:rPr>
          <w:rFonts w:hint="eastAsia" w:ascii="宋体" w:hAnsi="宋体" w:eastAsia="宋体" w:cs="宋体"/>
          <w:b/>
          <w:bCs/>
        </w:rPr>
        <w:t>3、技术措施</w:t>
      </w:r>
    </w:p>
    <w:p w14:paraId="0205D8F0">
      <w:pPr>
        <w:ind w:firstLine="480"/>
        <w:rPr>
          <w:rFonts w:hint="eastAsia" w:ascii="宋体" w:hAnsi="宋体" w:eastAsia="宋体" w:cs="宋体"/>
        </w:rPr>
      </w:pPr>
      <w:r>
        <w:rPr>
          <w:rFonts w:hint="eastAsia" w:ascii="宋体" w:hAnsi="宋体" w:eastAsia="宋体" w:cs="宋体"/>
        </w:rPr>
        <w:t>（1）确保现场水、电供应畅通，加强对各种机械设备的维护与检修，保证其能正常操作。</w:t>
      </w:r>
    </w:p>
    <w:p w14:paraId="50A0925D">
      <w:pPr>
        <w:ind w:firstLine="480"/>
        <w:rPr>
          <w:rFonts w:hint="eastAsia" w:ascii="宋体" w:hAnsi="宋体" w:eastAsia="宋体" w:cs="宋体"/>
        </w:rPr>
      </w:pPr>
      <w:r>
        <w:rPr>
          <w:rFonts w:hint="eastAsia" w:ascii="宋体" w:hAnsi="宋体" w:eastAsia="宋体" w:cs="宋体"/>
        </w:rPr>
        <w:t>（2）在高温天气施工的混凝土工程，应适当增加其养护频率，以确保工程质量。</w:t>
      </w:r>
    </w:p>
    <w:p w14:paraId="3F09C801">
      <w:pPr>
        <w:ind w:firstLine="480"/>
        <w:rPr>
          <w:rFonts w:hint="eastAsia" w:ascii="宋体" w:hAnsi="宋体" w:eastAsia="宋体" w:cs="宋体"/>
        </w:rPr>
      </w:pPr>
      <w:r>
        <w:rPr>
          <w:rFonts w:hint="eastAsia" w:ascii="宋体" w:hAnsi="宋体" w:eastAsia="宋体" w:cs="宋体"/>
        </w:rPr>
        <w:t>（3）加强施工管理，各分部分项工程坚决按国家标准规范、规程施工，不能因高温天气，而影响工程质量。</w:t>
      </w:r>
    </w:p>
    <w:p w14:paraId="4213840C">
      <w:pPr>
        <w:pStyle w:val="5"/>
        <w:numPr>
          <w:ilvl w:val="2"/>
          <w:numId w:val="0"/>
        </w:numPr>
        <w:spacing w:line="360" w:lineRule="auto"/>
        <w:ind w:left="720" w:leftChars="0" w:hanging="720" w:firstLineChars="0"/>
        <w:rPr>
          <w:rFonts w:hint="eastAsia" w:ascii="宋体" w:hAnsi="宋体" w:eastAsia="宋体" w:cs="宋体"/>
          <w:color w:val="auto"/>
        </w:rPr>
      </w:pPr>
      <w:bookmarkStart w:id="1641" w:name="_Toc1287"/>
      <w:bookmarkStart w:id="1642" w:name="_Toc19887"/>
      <w:bookmarkStart w:id="1643" w:name="_Toc14251"/>
      <w:bookmarkStart w:id="1644" w:name="_Toc28482"/>
      <w:bookmarkStart w:id="1645" w:name="_Toc21362"/>
      <w:bookmarkStart w:id="1646" w:name="_Toc14988"/>
      <w:bookmarkStart w:id="1647" w:name="_Toc3236"/>
      <w:bookmarkStart w:id="1648" w:name="_Toc8304"/>
      <w:bookmarkStart w:id="1649" w:name="_Toc27753"/>
      <w:bookmarkStart w:id="1650" w:name="_Toc20599"/>
      <w:bookmarkStart w:id="1651" w:name="_Toc14077"/>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.5.3.</w:t>
      </w:r>
      <w:r>
        <w:rPr>
          <w:rFonts w:hint="eastAsia" w:ascii="宋体" w:hAnsi="宋体" w:eastAsia="宋体" w:cs="宋体"/>
          <w:color w:val="auto"/>
        </w:rPr>
        <w:t>台风天气施工</w:t>
      </w:r>
      <w:bookmarkEnd w:id="1641"/>
      <w:bookmarkEnd w:id="1642"/>
      <w:bookmarkEnd w:id="1643"/>
      <w:bookmarkEnd w:id="1644"/>
      <w:bookmarkEnd w:id="1645"/>
      <w:bookmarkEnd w:id="1646"/>
      <w:bookmarkEnd w:id="1647"/>
      <w:bookmarkEnd w:id="1648"/>
      <w:bookmarkEnd w:id="1649"/>
      <w:bookmarkEnd w:id="1650"/>
      <w:bookmarkEnd w:id="1651"/>
    </w:p>
    <w:p w14:paraId="569384EF">
      <w:pPr>
        <w:ind w:firstLine="480"/>
        <w:rPr>
          <w:rFonts w:hint="eastAsia" w:ascii="宋体" w:hAnsi="宋体" w:eastAsia="宋体" w:cs="宋体"/>
        </w:rPr>
      </w:pPr>
      <w:r>
        <w:rPr>
          <w:rFonts w:hint="eastAsia" w:ascii="宋体" w:hAnsi="宋体" w:eastAsia="宋体" w:cs="宋体"/>
          <w:lang w:val="en-US" w:eastAsia="zh-CN"/>
        </w:rPr>
        <w:t>福清</w:t>
      </w:r>
      <w:r>
        <w:rPr>
          <w:rFonts w:hint="eastAsia" w:ascii="宋体" w:hAnsi="宋体" w:eastAsia="宋体" w:cs="宋体"/>
        </w:rPr>
        <w:t>地区台风一般发生在7月至</w:t>
      </w:r>
      <w:r>
        <w:rPr>
          <w:rFonts w:hint="eastAsia" w:ascii="宋体" w:hAnsi="宋体" w:eastAsia="宋体" w:cs="宋体"/>
          <w:lang w:val="en-US" w:eastAsia="zh-CN"/>
        </w:rPr>
        <w:t>9</w:t>
      </w:r>
      <w:r>
        <w:rPr>
          <w:rFonts w:hint="eastAsia" w:ascii="宋体" w:hAnsi="宋体" w:eastAsia="宋体" w:cs="宋体"/>
        </w:rPr>
        <w:t>月，其中每年</w:t>
      </w:r>
      <w:r>
        <w:rPr>
          <w:rFonts w:hint="eastAsia" w:ascii="宋体" w:hAnsi="宋体" w:eastAsia="宋体" w:cs="宋体"/>
          <w:lang w:val="en-US" w:eastAsia="zh-CN"/>
        </w:rPr>
        <w:t>5</w:t>
      </w:r>
      <w:r>
        <w:rPr>
          <w:rFonts w:hint="eastAsia" w:ascii="宋体" w:hAnsi="宋体" w:eastAsia="宋体" w:cs="宋体"/>
        </w:rPr>
        <w:t>至6次。项目经理部将安排专人负责与当地气象部门联系，制定完善的应对措施，结合各施工工况下不同的抗风能力做好准备。本工程作业点多，施工中各类机械及钢结构的抗风稳定和抗风载能力必须进行详细评估，确保结构物安全度过台风期。</w:t>
      </w:r>
    </w:p>
    <w:p w14:paraId="20410600">
      <w:pPr>
        <w:ind w:firstLine="480"/>
        <w:rPr>
          <w:rFonts w:hint="eastAsia" w:ascii="宋体" w:hAnsi="宋体" w:eastAsia="宋体" w:cs="宋体"/>
        </w:rPr>
      </w:pPr>
      <w:r>
        <w:rPr>
          <w:rFonts w:hint="eastAsia" w:ascii="宋体" w:hAnsi="宋体" w:eastAsia="宋体" w:cs="宋体"/>
        </w:rPr>
        <w:t>为确保台风过后各工点能够尽快恢复施工，台风来临前做好各项防台准备工作，具体措施：</w:t>
      </w:r>
    </w:p>
    <w:p w14:paraId="6C1F82FD">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.5.3.1.</w:t>
      </w:r>
      <w:r>
        <w:rPr>
          <w:rFonts w:hint="eastAsia" w:ascii="宋体" w:hAnsi="宋体" w:eastAsia="宋体" w:cs="宋体"/>
        </w:rPr>
        <w:t>施工现场高大设备预防措施</w:t>
      </w:r>
    </w:p>
    <w:p w14:paraId="21B6CED3">
      <w:pPr>
        <w:ind w:firstLine="480"/>
        <w:rPr>
          <w:rFonts w:hint="eastAsia" w:ascii="宋体" w:hAnsi="宋体" w:eastAsia="宋体" w:cs="宋体"/>
        </w:rPr>
      </w:pPr>
      <w:r>
        <w:rPr>
          <w:rFonts w:hint="eastAsia" w:ascii="宋体" w:hAnsi="宋体" w:eastAsia="宋体" w:cs="宋体"/>
        </w:rPr>
        <w:t>a.龙门吊防汛抗台措施</w:t>
      </w:r>
    </w:p>
    <w:p w14:paraId="7C231365">
      <w:pPr>
        <w:ind w:firstLine="480"/>
        <w:rPr>
          <w:rFonts w:hint="eastAsia" w:ascii="宋体" w:hAnsi="宋体" w:eastAsia="宋体" w:cs="宋体"/>
        </w:rPr>
      </w:pPr>
      <w:r>
        <w:rPr>
          <w:rFonts w:hint="eastAsia" w:ascii="宋体" w:hAnsi="宋体" w:eastAsia="宋体" w:cs="宋体"/>
        </w:rPr>
        <w:t>为防止龙门吊在台风、暴雨等恶劣天气下倾覆，破坏等安全事故的发生，要做好龙门吊防台风加固措施，由于台风的风力强大和台风风力不稳定，使龙门吊剧烈晃动，夹轨器会松动，随着晃动的剧烈造成滑行，其力矩作用于龙门吊上，使其倾翻。</w:t>
      </w:r>
    </w:p>
    <w:p w14:paraId="325DDA6E">
      <w:pPr>
        <w:ind w:firstLine="480"/>
        <w:rPr>
          <w:rFonts w:hint="eastAsia" w:ascii="宋体" w:hAnsi="宋体" w:eastAsia="宋体" w:cs="宋体"/>
        </w:rPr>
      </w:pPr>
      <w:r>
        <w:rPr>
          <w:rFonts w:hint="eastAsia" w:ascii="宋体" w:hAnsi="宋体" w:eastAsia="宋体" w:cs="宋体"/>
        </w:rPr>
        <w:t>采取预防措施：</w:t>
      </w:r>
    </w:p>
    <w:p w14:paraId="3101ECD9">
      <w:pPr>
        <w:ind w:firstLine="480"/>
        <w:rPr>
          <w:rFonts w:hint="eastAsia" w:ascii="宋体" w:hAnsi="宋体" w:eastAsia="宋体" w:cs="宋体"/>
        </w:rPr>
      </w:pPr>
      <w:r>
        <w:rPr>
          <w:rFonts w:hint="eastAsia" w:ascii="宋体" w:hAnsi="宋体" w:eastAsia="宋体" w:cs="宋体"/>
        </w:rPr>
        <w:t>①利用夹轨器夹紧轨道，起锁定轨道的作用。</w:t>
      </w:r>
    </w:p>
    <w:p w14:paraId="184873CB">
      <w:pPr>
        <w:ind w:firstLine="480"/>
        <w:rPr>
          <w:rFonts w:hint="eastAsia" w:ascii="宋体" w:hAnsi="宋体" w:eastAsia="宋体" w:cs="宋体"/>
        </w:rPr>
      </w:pPr>
      <w:r>
        <w:rPr>
          <w:rFonts w:hint="eastAsia" w:ascii="宋体" w:hAnsi="宋体" w:eastAsia="宋体" w:cs="宋体"/>
        </w:rPr>
        <w:t>②车轮两侧安装铁靴，给车轮施加阻力，起固定车轮作用。</w:t>
      </w:r>
    </w:p>
    <w:p w14:paraId="4032B984">
      <w:pPr>
        <w:ind w:firstLine="480"/>
        <w:rPr>
          <w:rFonts w:hint="eastAsia" w:ascii="宋体" w:hAnsi="宋体" w:eastAsia="宋体" w:cs="宋体"/>
        </w:rPr>
      </w:pPr>
      <w:r>
        <w:rPr>
          <w:rFonts w:hint="eastAsia" w:ascii="宋体" w:hAnsi="宋体" w:eastAsia="宋体" w:cs="宋体"/>
        </w:rPr>
        <w:t>③将龙门吊停放于固定位置便于锚定地锚，起固定整个设备作用。</w:t>
      </w:r>
    </w:p>
    <w:p w14:paraId="0029BF21">
      <w:pPr>
        <w:ind w:firstLine="480"/>
        <w:rPr>
          <w:rFonts w:hint="eastAsia" w:ascii="宋体" w:hAnsi="宋体" w:eastAsia="宋体" w:cs="宋体"/>
        </w:rPr>
      </w:pPr>
      <w:r>
        <w:rPr>
          <w:rFonts w:hint="eastAsia" w:ascii="宋体" w:hAnsi="宋体" w:eastAsia="宋体" w:cs="宋体"/>
        </w:rPr>
        <w:t>④每天下班时将吊钩提升到最高位置，停放在指定位置切断电源，锁紧夹轨器，锚定地锚。</w:t>
      </w:r>
    </w:p>
    <w:p w14:paraId="657377D9">
      <w:pPr>
        <w:ind w:firstLine="480"/>
        <w:rPr>
          <w:rFonts w:hint="eastAsia" w:ascii="宋体" w:hAnsi="宋体" w:eastAsia="宋体" w:cs="宋体"/>
        </w:rPr>
      </w:pPr>
      <w:r>
        <w:rPr>
          <w:rFonts w:hint="eastAsia" w:ascii="宋体" w:hAnsi="宋体" w:eastAsia="宋体" w:cs="宋体"/>
        </w:rPr>
        <w:t>⑤遇有大风暴雨天气时，要及时使用辅助防风设备来加固龙门吊，并关注地方天气预报，提前做好防护设施。</w:t>
      </w:r>
    </w:p>
    <w:p w14:paraId="7A2B49DF">
      <w:pPr>
        <w:ind w:firstLine="480"/>
        <w:rPr>
          <w:rFonts w:hint="eastAsia" w:ascii="宋体" w:hAnsi="宋体" w:eastAsia="宋体" w:cs="宋体"/>
        </w:rPr>
      </w:pPr>
      <w:r>
        <w:rPr>
          <w:rFonts w:hint="eastAsia" w:ascii="宋体" w:hAnsi="宋体" w:eastAsia="宋体" w:cs="宋体"/>
        </w:rPr>
        <w:t>b.临时房屋防汛抗台措施</w:t>
      </w:r>
    </w:p>
    <w:p w14:paraId="7D996CE6">
      <w:pPr>
        <w:ind w:firstLine="480"/>
        <w:rPr>
          <w:rFonts w:hint="eastAsia" w:ascii="宋体" w:hAnsi="宋体" w:eastAsia="宋体" w:cs="宋体"/>
        </w:rPr>
      </w:pPr>
      <w:r>
        <w:rPr>
          <w:rFonts w:hint="eastAsia" w:ascii="宋体" w:hAnsi="宋体" w:eastAsia="宋体" w:cs="宋体"/>
        </w:rPr>
        <w:t>现场钢筋加工厂、工棚、住房等临时设施，在修建时对基础内预埋锚固件进行加密、加深，活动板房本体结构中钢梁、柱也要加密、加强设计，与基础预埋件焊接牢固。并采用地锚与缆风绳进行拉接，增大抗风性能。</w:t>
      </w:r>
    </w:p>
    <w:p w14:paraId="683D5B80">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.5.3.2.</w:t>
      </w:r>
      <w:r>
        <w:rPr>
          <w:rFonts w:hint="eastAsia" w:ascii="宋体" w:hAnsi="宋体" w:eastAsia="宋体" w:cs="宋体"/>
        </w:rPr>
        <w:t>水上作业平台及便桥防汛抗台预防措施</w:t>
      </w:r>
    </w:p>
    <w:p w14:paraId="71A9AA75">
      <w:pPr>
        <w:ind w:firstLine="480"/>
        <w:rPr>
          <w:rFonts w:hint="eastAsia" w:ascii="宋体" w:hAnsi="宋体" w:eastAsia="宋体" w:cs="宋体"/>
        </w:rPr>
      </w:pPr>
      <w:r>
        <w:rPr>
          <w:rFonts w:hint="eastAsia" w:ascii="宋体" w:hAnsi="宋体" w:eastAsia="宋体" w:cs="宋体"/>
        </w:rPr>
        <w:t>a.施工中应严格按照设计深度或贯入度控制桩基标高。严格控制桩基倾斜度不超过设计值。钢便桥完成后应进行荷载试验，确保荷载达到设计荷载，满足安全需求。</w:t>
      </w:r>
    </w:p>
    <w:p w14:paraId="79B317F6">
      <w:pPr>
        <w:ind w:firstLine="480"/>
        <w:rPr>
          <w:rFonts w:hint="eastAsia" w:ascii="宋体" w:hAnsi="宋体" w:eastAsia="宋体" w:cs="宋体"/>
        </w:rPr>
      </w:pPr>
      <w:r>
        <w:rPr>
          <w:rFonts w:hint="eastAsia" w:ascii="宋体" w:hAnsi="宋体" w:eastAsia="宋体" w:cs="宋体"/>
        </w:rPr>
        <w:t>b.露出水面部分，在横向和纵向分别增设剪刀撑，采用槽钢焊接加固，以使钢管桩的承载力形成统一受力整体，增加钢管桩基础的稳定性。</w:t>
      </w:r>
    </w:p>
    <w:p w14:paraId="28B8A987">
      <w:pPr>
        <w:ind w:firstLine="480"/>
        <w:rPr>
          <w:rFonts w:hint="eastAsia" w:ascii="宋体" w:hAnsi="宋体" w:eastAsia="宋体" w:cs="宋体"/>
        </w:rPr>
      </w:pPr>
      <w:r>
        <w:rPr>
          <w:rFonts w:hint="eastAsia" w:ascii="宋体" w:hAnsi="宋体" w:eastAsia="宋体" w:cs="宋体"/>
        </w:rPr>
        <w:t>c.施工中应严格按照设计深度或贯入度控制桩基标高。为防止汛期洪水可能对便桥造成损坏，可根据航道及水利管理部门要求，在主汛期前拆除部分水深部位便桥桥面，不保留钢管桩，满足泄洪要求。</w:t>
      </w:r>
    </w:p>
    <w:p w14:paraId="511C49CD">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.5.3.3.</w:t>
      </w:r>
      <w:r>
        <w:rPr>
          <w:rFonts w:hint="eastAsia" w:ascii="宋体" w:hAnsi="宋体" w:eastAsia="宋体" w:cs="宋体"/>
        </w:rPr>
        <w:t>桥梁模板抗台预防措施</w:t>
      </w:r>
    </w:p>
    <w:p w14:paraId="38BF4B36">
      <w:pPr>
        <w:ind w:firstLine="480"/>
        <w:rPr>
          <w:rFonts w:hint="eastAsia" w:ascii="宋体" w:hAnsi="宋体" w:eastAsia="宋体" w:cs="宋体"/>
        </w:rPr>
      </w:pPr>
      <w:r>
        <w:rPr>
          <w:rFonts w:hint="eastAsia" w:ascii="宋体" w:hAnsi="宋体" w:eastAsia="宋体" w:cs="宋体"/>
        </w:rPr>
        <w:t>a.模板安装防风主要以避为主，尽量选择无风或风力较弱时间进行。</w:t>
      </w:r>
    </w:p>
    <w:p w14:paraId="6D2DE4B6">
      <w:pPr>
        <w:ind w:firstLine="480"/>
        <w:rPr>
          <w:rFonts w:hint="eastAsia" w:ascii="宋体" w:hAnsi="宋体" w:eastAsia="宋体" w:cs="宋体"/>
        </w:rPr>
      </w:pPr>
      <w:r>
        <w:rPr>
          <w:rFonts w:hint="eastAsia" w:ascii="宋体" w:hAnsi="宋体" w:eastAsia="宋体" w:cs="宋体"/>
        </w:rPr>
        <w:t>b.施工时，尽量提高效率，缩短模板安装时间。</w:t>
      </w:r>
    </w:p>
    <w:p w14:paraId="68B075DB">
      <w:pPr>
        <w:ind w:firstLine="480"/>
        <w:rPr>
          <w:rFonts w:hint="eastAsia" w:ascii="宋体" w:hAnsi="宋体" w:eastAsia="宋体" w:cs="宋体"/>
        </w:rPr>
      </w:pPr>
      <w:r>
        <w:rPr>
          <w:rFonts w:hint="eastAsia" w:ascii="宋体" w:hAnsi="宋体" w:eastAsia="宋体" w:cs="宋体"/>
        </w:rPr>
        <w:t>c.每天工人下班前，用钢丝绳将模板与承台四周的锚固点连接牢固，避免晚上无人时刮风吹落至桥下，威胁周边群众生命和财产安全。</w:t>
      </w:r>
    </w:p>
    <w:p w14:paraId="0D94C742">
      <w:pPr>
        <w:ind w:firstLine="480"/>
        <w:rPr>
          <w:rFonts w:hint="eastAsia" w:ascii="宋体" w:hAnsi="宋体" w:eastAsia="宋体" w:cs="宋体"/>
        </w:rPr>
      </w:pPr>
      <w:r>
        <w:rPr>
          <w:rFonts w:hint="eastAsia" w:ascii="宋体" w:hAnsi="宋体" w:eastAsia="宋体" w:cs="宋体"/>
        </w:rPr>
        <w:t>d.高空作业的施工部位，在遇到6级及6级以上大风时，应立即停止施工作业。</w:t>
      </w:r>
    </w:p>
    <w:p w14:paraId="13EFE104">
      <w:pPr>
        <w:ind w:firstLine="480"/>
        <w:rPr>
          <w:rFonts w:hint="eastAsia" w:ascii="宋体" w:hAnsi="宋体" w:eastAsia="宋体" w:cs="宋体"/>
        </w:rPr>
      </w:pPr>
      <w:r>
        <w:rPr>
          <w:rFonts w:hint="eastAsia" w:ascii="宋体" w:hAnsi="宋体" w:eastAsia="宋体" w:cs="宋体"/>
        </w:rPr>
        <w:t>e.周转料、模板等现场材料堆放应考虑防风效果，码放整齐，并在刮风停工期间用钢丝绳固定。</w:t>
      </w:r>
    </w:p>
    <w:p w14:paraId="4DAB152A">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.5.3.4.</w:t>
      </w:r>
      <w:r>
        <w:rPr>
          <w:rFonts w:hint="eastAsia" w:ascii="宋体" w:hAnsi="宋体" w:eastAsia="宋体" w:cs="宋体"/>
        </w:rPr>
        <w:t>钻孔桩防汛抗台预防措施</w:t>
      </w:r>
    </w:p>
    <w:p w14:paraId="0EBB198D">
      <w:pPr>
        <w:ind w:firstLine="480"/>
        <w:rPr>
          <w:rFonts w:hint="eastAsia" w:ascii="宋体" w:hAnsi="宋体" w:eastAsia="宋体" w:cs="宋体"/>
        </w:rPr>
      </w:pPr>
      <w:r>
        <w:rPr>
          <w:rFonts w:hint="eastAsia" w:ascii="宋体" w:hAnsi="宋体" w:eastAsia="宋体" w:cs="宋体"/>
        </w:rPr>
        <w:t>a.钻孔桩施工前采用推土机配合人工进行场地平整并夯压密实，然后填筑出高于周边地势的平台，安装钻机前，底架应铺设枕木垫平，在周边设置锚固点，采用缆风绳对称拉紧，对钻机进行加固。钻机安设必须平稳牢固，就位后进行全面检查。</w:t>
      </w:r>
    </w:p>
    <w:p w14:paraId="09F9B06D">
      <w:pPr>
        <w:ind w:firstLine="480"/>
        <w:rPr>
          <w:rFonts w:hint="eastAsia" w:ascii="宋体" w:hAnsi="宋体" w:eastAsia="宋体" w:cs="宋体"/>
        </w:rPr>
      </w:pPr>
      <w:r>
        <w:rPr>
          <w:rFonts w:hint="eastAsia" w:ascii="宋体" w:hAnsi="宋体" w:eastAsia="宋体" w:cs="宋体"/>
        </w:rPr>
        <w:t>b.钻机停钻，必须将钻头提出孔外，置于钻架上，不得滞留孔内。</w:t>
      </w:r>
    </w:p>
    <w:p w14:paraId="453B9150">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.5.3.5.</w:t>
      </w:r>
      <w:r>
        <w:rPr>
          <w:rFonts w:hint="eastAsia" w:ascii="宋体" w:hAnsi="宋体" w:eastAsia="宋体" w:cs="宋体"/>
        </w:rPr>
        <w:t>施工现场临时用电预防措施</w:t>
      </w:r>
    </w:p>
    <w:p w14:paraId="5379F0B3">
      <w:pPr>
        <w:ind w:firstLine="480"/>
        <w:rPr>
          <w:rFonts w:hint="eastAsia" w:ascii="宋体" w:hAnsi="宋体" w:eastAsia="宋体" w:cs="宋体"/>
        </w:rPr>
      </w:pPr>
      <w:r>
        <w:rPr>
          <w:rFonts w:hint="eastAsia" w:ascii="宋体" w:hAnsi="宋体" w:eastAsia="宋体" w:cs="宋体"/>
        </w:rPr>
        <w:t>a.现场值班电工，持证上岗，坚持定期巡检，发现老化或存在触电隐患的设备，及时采取措施。</w:t>
      </w:r>
    </w:p>
    <w:p w14:paraId="0D31E27F">
      <w:pPr>
        <w:ind w:firstLine="480"/>
        <w:rPr>
          <w:rFonts w:hint="eastAsia" w:ascii="宋体" w:hAnsi="宋体" w:eastAsia="宋体" w:cs="宋体"/>
        </w:rPr>
      </w:pPr>
      <w:r>
        <w:rPr>
          <w:rFonts w:hint="eastAsia" w:ascii="宋体" w:hAnsi="宋体" w:eastAsia="宋体" w:cs="宋体"/>
        </w:rPr>
        <w:t>b.现场电源接头用绝缘胶布包扎良好，不准用塑料包扎，接头不能放在潮湿地上和水中。电源线严禁在钢筋网或尖锐石块堆上拖拉。</w:t>
      </w:r>
    </w:p>
    <w:p w14:paraId="748C4AFA">
      <w:pPr>
        <w:ind w:firstLine="480"/>
        <w:rPr>
          <w:rFonts w:hint="eastAsia" w:ascii="宋体" w:hAnsi="宋体" w:eastAsia="宋体" w:cs="宋体"/>
        </w:rPr>
      </w:pPr>
      <w:r>
        <w:rPr>
          <w:rFonts w:hint="eastAsia" w:ascii="宋体" w:hAnsi="宋体" w:eastAsia="宋体" w:cs="宋体"/>
        </w:rPr>
        <w:t>c.室外电机要有防尘防雨罩，基础高于地面，电源线要架空，不准在地面拖拉。</w:t>
      </w:r>
    </w:p>
    <w:p w14:paraId="6C70F824">
      <w:pPr>
        <w:ind w:firstLine="480"/>
        <w:rPr>
          <w:rFonts w:hint="eastAsia" w:ascii="宋体" w:hAnsi="宋体" w:eastAsia="宋体" w:cs="宋体"/>
        </w:rPr>
      </w:pPr>
      <w:r>
        <w:rPr>
          <w:rFonts w:hint="eastAsia" w:ascii="宋体" w:hAnsi="宋体" w:eastAsia="宋体" w:cs="宋体"/>
        </w:rPr>
        <w:t>d。采用智慧用电安全隐患监管系统，24小时不间断监控，实时上报报警信息，可快速进行现场隐患确认和排除，确保工地用电安全。</w:t>
      </w:r>
    </w:p>
    <w:p w14:paraId="3A0EE7F0">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.5.3.6.</w:t>
      </w:r>
      <w:r>
        <w:rPr>
          <w:rFonts w:hint="eastAsia" w:ascii="宋体" w:hAnsi="宋体" w:eastAsia="宋体" w:cs="宋体"/>
        </w:rPr>
        <w:t>深基坑坍塌预防措施</w:t>
      </w:r>
    </w:p>
    <w:p w14:paraId="1E298956">
      <w:pPr>
        <w:ind w:firstLine="480"/>
        <w:rPr>
          <w:rFonts w:hint="eastAsia" w:ascii="宋体" w:hAnsi="宋体" w:eastAsia="宋体" w:cs="宋体"/>
        </w:rPr>
      </w:pPr>
      <w:r>
        <w:rPr>
          <w:rFonts w:hint="eastAsia" w:ascii="宋体" w:hAnsi="宋体" w:eastAsia="宋体" w:cs="宋体"/>
        </w:rPr>
        <w:t>a.暴雨来临之前所有边坡铺设塑料膜防止暴雨冲刷，同时在坡脚设置大功率水泵抽水，防止坡脚浸水。</w:t>
      </w:r>
    </w:p>
    <w:p w14:paraId="3B57CCA5">
      <w:pPr>
        <w:ind w:firstLine="480"/>
        <w:rPr>
          <w:rFonts w:hint="eastAsia" w:ascii="宋体" w:hAnsi="宋体" w:eastAsia="宋体" w:cs="宋体"/>
        </w:rPr>
      </w:pPr>
      <w:r>
        <w:rPr>
          <w:rFonts w:hint="eastAsia" w:ascii="宋体" w:hAnsi="宋体" w:eastAsia="宋体" w:cs="宋体"/>
        </w:rPr>
        <w:t>b.基坑周边和坡脚设置排水明沟和积水坑，并派专人抽水值班，必要时对基坑边坡面进行喷射素砼保护。</w:t>
      </w:r>
    </w:p>
    <w:p w14:paraId="000B8388">
      <w:pPr>
        <w:ind w:firstLine="480"/>
        <w:rPr>
          <w:rFonts w:hint="eastAsia" w:ascii="宋体" w:hAnsi="宋体" w:eastAsia="宋体" w:cs="宋体"/>
        </w:rPr>
      </w:pPr>
      <w:r>
        <w:rPr>
          <w:rFonts w:hint="eastAsia" w:ascii="宋体" w:hAnsi="宋体" w:eastAsia="宋体" w:cs="宋体"/>
        </w:rPr>
        <w:t>c.在进度允许的情况下，尽量采用少开工作面的形式，避免暴露太多的基坑工作面，容易遭受暴雨袭击，出现坍塌事故。</w:t>
      </w:r>
    </w:p>
    <w:p w14:paraId="638B5BF1">
      <w:pPr>
        <w:ind w:firstLine="480"/>
        <w:rPr>
          <w:rFonts w:hint="eastAsia" w:ascii="宋体" w:hAnsi="宋体" w:eastAsia="宋体" w:cs="宋体"/>
        </w:rPr>
      </w:pPr>
      <w:r>
        <w:rPr>
          <w:rFonts w:hint="eastAsia" w:ascii="宋体" w:hAnsi="宋体" w:eastAsia="宋体" w:cs="宋体"/>
        </w:rPr>
        <w:t>d。采用智慧用电安全隐患监管系统，24小时不间断监控，实时上报报警信息，可快速进行现场隐患确认和排除，确保工地用电安全。</w:t>
      </w:r>
    </w:p>
    <w:p w14:paraId="115E5D80">
      <w:pPr>
        <w:ind w:firstLine="480"/>
        <w:rPr>
          <w:rFonts w:hint="eastAsia" w:ascii="宋体" w:hAnsi="宋体" w:eastAsia="宋体" w:cs="宋体"/>
        </w:rPr>
      </w:pPr>
      <w:r>
        <w:rPr>
          <w:rFonts w:hint="eastAsia" w:ascii="宋体" w:hAnsi="宋体" w:eastAsia="宋体" w:cs="宋体"/>
        </w:rPr>
        <w:t>总的来说做好防台风是台风期间最主要的工作，防台工作的成败是关系台风过后能否尽快恢复施工生产的重要前提。施工期间需对防台施工做好专项施工方案，加强过程管控。</w:t>
      </w:r>
    </w:p>
    <w:p w14:paraId="4EBC5AC7">
      <w:pPr>
        <w:pStyle w:val="5"/>
        <w:numPr>
          <w:ilvl w:val="2"/>
          <w:numId w:val="0"/>
        </w:numPr>
        <w:spacing w:line="360" w:lineRule="auto"/>
        <w:ind w:left="720" w:leftChars="0" w:hanging="720" w:firstLineChars="0"/>
        <w:rPr>
          <w:rFonts w:hint="eastAsia" w:ascii="宋体" w:hAnsi="宋体" w:eastAsia="宋体" w:cs="宋体"/>
          <w:color w:val="auto"/>
        </w:rPr>
      </w:pPr>
      <w:bookmarkStart w:id="1652" w:name="_Toc26457"/>
      <w:bookmarkStart w:id="1653" w:name="_Toc13015"/>
      <w:bookmarkStart w:id="1654" w:name="_Toc12348"/>
      <w:bookmarkStart w:id="1655" w:name="_Toc29182"/>
      <w:bookmarkStart w:id="1656" w:name="_Toc13663"/>
      <w:r>
        <w:rPr>
          <w:rFonts w:hint="eastAsia" w:ascii="宋体" w:hAnsi="宋体" w:cs="Times New Roman"/>
          <w:b/>
          <w:bCs/>
          <w:color w:val="auto"/>
          <w:kern w:val="2"/>
          <w:sz w:val="30"/>
          <w:szCs w:val="32"/>
          <w:lang w:val="en-US" w:eastAsia="zh-CN" w:bidi="ar-SA"/>
        </w:rPr>
        <w:t>9</w:t>
      </w:r>
      <w:r>
        <w:rPr>
          <w:rFonts w:hint="default" w:ascii="宋体" w:hAnsi="宋体" w:eastAsia="宋体" w:cs="Times New Roman"/>
          <w:b/>
          <w:bCs/>
          <w:color w:val="auto"/>
          <w:kern w:val="2"/>
          <w:sz w:val="30"/>
          <w:szCs w:val="32"/>
          <w:lang w:val="en-US" w:eastAsia="zh-CN" w:bidi="ar-SA"/>
        </w:rPr>
        <w:t>.5.4.</w:t>
      </w:r>
      <w:r>
        <w:rPr>
          <w:rFonts w:hint="eastAsia" w:ascii="宋体" w:hAnsi="宋体" w:eastAsia="宋体" w:cs="宋体"/>
          <w:color w:val="auto"/>
        </w:rPr>
        <w:t>汛期施工</w:t>
      </w:r>
      <w:bookmarkEnd w:id="1652"/>
      <w:bookmarkEnd w:id="1653"/>
      <w:bookmarkEnd w:id="1654"/>
      <w:bookmarkEnd w:id="1655"/>
      <w:bookmarkEnd w:id="1656"/>
    </w:p>
    <w:p w14:paraId="45A3C564">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.5.4.1.</w:t>
      </w:r>
      <w:r>
        <w:rPr>
          <w:rFonts w:hint="eastAsia" w:ascii="宋体" w:hAnsi="宋体" w:eastAsia="宋体" w:cs="宋体"/>
        </w:rPr>
        <w:t>管理制度</w:t>
      </w:r>
    </w:p>
    <w:p w14:paraId="1AF58EB6">
      <w:pPr>
        <w:ind w:firstLine="480"/>
        <w:rPr>
          <w:rFonts w:hint="eastAsia" w:ascii="宋体" w:hAnsi="宋体" w:eastAsia="宋体" w:cs="宋体"/>
        </w:rPr>
      </w:pPr>
      <w:r>
        <w:rPr>
          <w:rFonts w:hint="eastAsia" w:ascii="宋体" w:hAnsi="宋体" w:eastAsia="宋体" w:cs="宋体"/>
        </w:rPr>
        <w:t>（1）加强组织领导，明确分工、落实责任、加强监管，确保工作落到实处。</w:t>
      </w:r>
    </w:p>
    <w:p w14:paraId="7A86F4D5">
      <w:pPr>
        <w:ind w:firstLine="480"/>
        <w:rPr>
          <w:rFonts w:hint="eastAsia" w:ascii="宋体" w:hAnsi="宋体" w:eastAsia="宋体" w:cs="宋体"/>
        </w:rPr>
      </w:pPr>
      <w:r>
        <w:rPr>
          <w:rFonts w:hint="eastAsia" w:ascii="宋体" w:hAnsi="宋体" w:eastAsia="宋体" w:cs="宋体"/>
        </w:rPr>
        <w:t>（2）认真组织开展安全法规和汛期施工安全知识学习</w:t>
      </w:r>
      <w:r>
        <w:rPr>
          <w:rFonts w:hint="eastAsia" w:ascii="宋体" w:hAnsi="宋体" w:cs="宋体"/>
          <w:lang w:eastAsia="zh-CN"/>
        </w:rPr>
        <w:t>，</w:t>
      </w:r>
      <w:r>
        <w:rPr>
          <w:rFonts w:hint="eastAsia" w:ascii="宋体" w:hAnsi="宋体" w:eastAsia="宋体" w:cs="宋体"/>
        </w:rPr>
        <w:t>及时发现和处理汛期施工中存在的安全隐患问题。</w:t>
      </w:r>
    </w:p>
    <w:p w14:paraId="4C4325AF">
      <w:pPr>
        <w:ind w:firstLine="480"/>
        <w:rPr>
          <w:rFonts w:hint="eastAsia" w:ascii="宋体" w:hAnsi="宋体" w:eastAsia="宋体" w:cs="宋体"/>
        </w:rPr>
      </w:pPr>
      <w:r>
        <w:rPr>
          <w:rFonts w:hint="eastAsia" w:ascii="宋体" w:hAnsi="宋体" w:eastAsia="宋体" w:cs="宋体"/>
        </w:rPr>
        <w:t>（3）项目监督工程师对重点环节、重点部位和各施工单位汛期安全生产措施、汛期安全生产应急预案、汛期值班及灾情上报、汛期安全技术交底及安全教育、用工登记等情况进行严格检查。同时督促施工单位在建立长效机制上下功夫，围绕隐患排查治理工作，在责任、措施、资金等方面狠抓落实。</w:t>
      </w:r>
    </w:p>
    <w:p w14:paraId="11E6A81C">
      <w:pPr>
        <w:ind w:firstLine="480"/>
        <w:rPr>
          <w:rFonts w:hint="eastAsia" w:ascii="宋体" w:hAnsi="宋体" w:eastAsia="宋体" w:cs="宋体"/>
        </w:rPr>
      </w:pPr>
      <w:r>
        <w:rPr>
          <w:rFonts w:hint="eastAsia" w:ascii="宋体" w:hAnsi="宋体" w:eastAsia="宋体" w:cs="宋体"/>
        </w:rPr>
        <w:t>（4）坚持即查即改，针对对检查中发现的问题及时下发抽查意见通知书，要求各相关单位切实整改隐患，彻底消除事故苗头。</w:t>
      </w:r>
    </w:p>
    <w:p w14:paraId="5A6F604E">
      <w:pPr>
        <w:ind w:firstLine="480"/>
        <w:rPr>
          <w:rFonts w:hint="eastAsia" w:ascii="宋体" w:hAnsi="宋体" w:eastAsia="宋体" w:cs="宋体"/>
        </w:rPr>
      </w:pPr>
      <w:r>
        <w:rPr>
          <w:rFonts w:hint="eastAsia" w:ascii="宋体" w:hAnsi="宋体" w:eastAsia="宋体" w:cs="宋体"/>
        </w:rPr>
        <w:t>（5）“安全第一，常备不懈，以防为主，全力抢险”以此为重点，全力以赴采取有效措施，尽快查找还存在的安全隐患，进一步落实汛期安全生产。特别是要抓紧开展汛期检查工作，做好安全隐患的排查、监控、整治监督工作；重点对全市各施工点认真开展汛前检查，进一步掌握各施工点的安全状况，排查影响施工安全的隐患，及时进行整改，确保各施工点安全渡汛。</w:t>
      </w:r>
    </w:p>
    <w:p w14:paraId="459BC5B3">
      <w:pPr>
        <w:pStyle w:val="6"/>
        <w:numPr>
          <w:ilvl w:val="3"/>
          <w:numId w:val="0"/>
        </w:numPr>
        <w:ind w:left="720" w:leftChars="0" w:firstLine="0" w:firstLineChars="0"/>
        <w:rPr>
          <w:rFonts w:hint="eastAsia" w:ascii="宋体" w:hAnsi="宋体" w:eastAsia="宋体" w:cs="宋体"/>
        </w:rPr>
      </w:pPr>
      <w:r>
        <w:rPr>
          <w:rFonts w:hint="eastAsia" w:ascii="宋体" w:hAnsi="宋体" w:cs="Times New Roman"/>
          <w:b/>
          <w:bCs/>
          <w:kern w:val="2"/>
          <w:sz w:val="24"/>
          <w:szCs w:val="28"/>
          <w:lang w:val="en-US" w:eastAsia="zh-CN" w:bidi="ar-SA"/>
        </w:rPr>
        <w:t>9</w:t>
      </w:r>
      <w:r>
        <w:rPr>
          <w:rFonts w:hint="default" w:ascii="宋体" w:hAnsi="宋体" w:eastAsia="宋体" w:cs="Times New Roman"/>
          <w:b/>
          <w:bCs/>
          <w:kern w:val="2"/>
          <w:sz w:val="24"/>
          <w:szCs w:val="28"/>
          <w:lang w:val="en-US" w:eastAsia="zh-CN" w:bidi="ar-SA"/>
        </w:rPr>
        <w:t>.5.4.2.</w:t>
      </w:r>
      <w:r>
        <w:rPr>
          <w:rFonts w:hint="eastAsia" w:ascii="宋体" w:hAnsi="宋体" w:eastAsia="宋体" w:cs="宋体"/>
        </w:rPr>
        <w:t>汛期施工安全保证措施</w:t>
      </w:r>
    </w:p>
    <w:p w14:paraId="123DFE48">
      <w:pPr>
        <w:ind w:firstLine="480"/>
        <w:rPr>
          <w:rFonts w:hint="eastAsia" w:ascii="宋体" w:hAnsi="宋体" w:eastAsia="宋体" w:cs="宋体"/>
        </w:rPr>
      </w:pPr>
      <w:r>
        <w:rPr>
          <w:rFonts w:hint="eastAsia" w:ascii="宋体" w:hAnsi="宋体" w:eastAsia="宋体" w:cs="宋体"/>
        </w:rPr>
        <w:t>1.路基施工时设置纵向排水沟，与既有涵洞顺接，形成站场排水系统。土方填筑路堤时注意填料含水量的控制，如填料过湿，则要将其晾晒后再用，保证填料在最佳含水量状态下填筑。严禁在雨天进行非渗水土填料的填筑施工。雨天过后路基基面必须经晾干后，方可进行下道工序的施工。</w:t>
      </w:r>
    </w:p>
    <w:p w14:paraId="06FF8E16">
      <w:pPr>
        <w:ind w:firstLine="480"/>
        <w:rPr>
          <w:rFonts w:hint="eastAsia" w:ascii="宋体" w:hAnsi="宋体" w:eastAsia="宋体" w:cs="宋体"/>
        </w:rPr>
      </w:pPr>
      <w:r>
        <w:rPr>
          <w:rFonts w:hint="eastAsia" w:ascii="宋体" w:hAnsi="宋体" w:eastAsia="宋体" w:cs="宋体"/>
        </w:rPr>
        <w:t>2.下雨期间停止施工作业，项目部安排专人24小时现场巡视，发现安全隐患时及时通知项目负责人。</w:t>
      </w:r>
    </w:p>
    <w:p w14:paraId="558C1374">
      <w:pPr>
        <w:ind w:firstLine="480"/>
        <w:rPr>
          <w:rFonts w:hint="eastAsia" w:ascii="宋体" w:hAnsi="宋体" w:eastAsia="宋体" w:cs="宋体"/>
        </w:rPr>
      </w:pPr>
      <w:r>
        <w:rPr>
          <w:rFonts w:hint="eastAsia" w:ascii="宋体" w:hAnsi="宋体" w:eastAsia="宋体" w:cs="宋体"/>
        </w:rPr>
        <w:t>3.发生损坏公路便道时，施工负责人立即通知项目领导。</w:t>
      </w:r>
    </w:p>
    <w:p w14:paraId="496680A7">
      <w:pPr>
        <w:ind w:firstLine="480"/>
        <w:rPr>
          <w:rFonts w:hint="eastAsia" w:ascii="宋体" w:hAnsi="宋体" w:eastAsia="宋体" w:cs="宋体"/>
        </w:rPr>
      </w:pPr>
      <w:r>
        <w:rPr>
          <w:rFonts w:hint="eastAsia" w:ascii="宋体" w:hAnsi="宋体" w:eastAsia="宋体" w:cs="宋体"/>
        </w:rPr>
        <w:t>4.施工现场定期定时向代表处汇报施工进度和安全情况。</w:t>
      </w:r>
    </w:p>
    <w:p w14:paraId="45B74F90">
      <w:pPr>
        <w:ind w:firstLine="480"/>
        <w:rPr>
          <w:rFonts w:hint="eastAsia" w:ascii="宋体" w:hAnsi="宋体" w:eastAsia="宋体" w:cs="宋体"/>
        </w:rPr>
      </w:pPr>
      <w:r>
        <w:rPr>
          <w:rFonts w:hint="eastAsia" w:ascii="宋体" w:hAnsi="宋体" w:eastAsia="宋体" w:cs="宋体"/>
        </w:rPr>
        <w:t>5.雨季施工应成立防汛小组及抢险作业队，施工作业队成立专门的防洪抢险突击队和日常巡逻队，把防洪、防汛摆到雨季施工安全保障的首要位置上，确保安全渡汛。</w:t>
      </w:r>
    </w:p>
    <w:p w14:paraId="0E5215D4">
      <w:pPr>
        <w:ind w:firstLine="480"/>
        <w:rPr>
          <w:rFonts w:hint="eastAsia" w:ascii="宋体" w:hAnsi="宋体" w:eastAsia="宋体" w:cs="宋体"/>
        </w:rPr>
      </w:pPr>
      <w:r>
        <w:rPr>
          <w:rFonts w:hint="eastAsia" w:ascii="宋体" w:hAnsi="宋体" w:eastAsia="宋体" w:cs="宋体"/>
        </w:rPr>
        <w:t>6.确保小组成员与各施工作业队通讯顺利，急救设备畅通，反应迅速，措施得力。</w:t>
      </w:r>
    </w:p>
    <w:p w14:paraId="791227C1">
      <w:pPr>
        <w:ind w:firstLine="480"/>
        <w:rPr>
          <w:rFonts w:hint="eastAsia" w:ascii="宋体" w:hAnsi="宋体" w:eastAsia="宋体" w:cs="宋体"/>
        </w:rPr>
      </w:pPr>
      <w:r>
        <w:rPr>
          <w:rFonts w:hint="eastAsia" w:ascii="宋体" w:hAnsi="宋体" w:eastAsia="宋体" w:cs="宋体"/>
        </w:rPr>
        <w:t>7.施工前开展雨季施工安全生产教育，对参建施工队防洪安全统一检查、部署，结合现场实际情况制定具体方案和技术交底。由项目防洪指挥部统一负责及调配。</w:t>
      </w:r>
    </w:p>
    <w:p w14:paraId="0E8694E3">
      <w:pPr>
        <w:ind w:firstLine="480"/>
        <w:rPr>
          <w:rFonts w:hint="eastAsia" w:ascii="宋体" w:hAnsi="宋体" w:eastAsia="宋体" w:cs="宋体"/>
        </w:rPr>
      </w:pPr>
      <w:r>
        <w:rPr>
          <w:rFonts w:hint="eastAsia" w:ascii="宋体" w:hAnsi="宋体" w:eastAsia="宋体" w:cs="宋体"/>
        </w:rPr>
        <w:t>8.定期组织有关人员对现场电力设施进行检查，发现问题及时处理或上报。提前做好防潮准备。雨期时要勤检查，并对重要的电器及电路设专人负责。</w:t>
      </w:r>
    </w:p>
    <w:p w14:paraId="3DD999BF">
      <w:pPr>
        <w:ind w:firstLine="480"/>
        <w:rPr>
          <w:rFonts w:hint="eastAsia" w:ascii="宋体" w:hAnsi="宋体" w:eastAsia="宋体" w:cs="宋体"/>
        </w:rPr>
      </w:pPr>
      <w:r>
        <w:rPr>
          <w:rFonts w:hint="eastAsia" w:ascii="宋体" w:hAnsi="宋体" w:eastAsia="宋体" w:cs="宋体"/>
        </w:rPr>
        <w:t>9.根据现场施工安排，应按实际情况改移排水系统，做好防水围堰，对基坑边坡的稳定采取有效措施。</w:t>
      </w:r>
    </w:p>
    <w:p w14:paraId="4115BBD4">
      <w:pPr>
        <w:ind w:firstLine="480"/>
        <w:rPr>
          <w:rFonts w:hint="eastAsia" w:ascii="宋体" w:hAnsi="宋体" w:eastAsia="宋体" w:cs="宋体"/>
        </w:rPr>
      </w:pPr>
      <w:r>
        <w:rPr>
          <w:rFonts w:hint="eastAsia" w:ascii="宋体" w:hAnsi="宋体" w:eastAsia="宋体" w:cs="宋体"/>
        </w:rPr>
        <w:t>10.施工驻地及现场做好防雷电设施，交通部定期派专人对防雷设施进行检查。</w:t>
      </w:r>
    </w:p>
    <w:p w14:paraId="26AF7CC5">
      <w:pPr>
        <w:ind w:firstLine="480"/>
        <w:rPr>
          <w:rFonts w:hint="eastAsia" w:ascii="宋体" w:hAnsi="宋体" w:eastAsia="宋体" w:cs="宋体"/>
        </w:rPr>
      </w:pPr>
      <w:r>
        <w:rPr>
          <w:rFonts w:hint="eastAsia" w:ascii="宋体" w:hAnsi="宋体" w:eastAsia="宋体" w:cs="宋体"/>
        </w:rPr>
        <w:t>11.加强施工过程的监控，并根据当地气候变化对施工安排及时进行调整，以适应现场施工需要。</w:t>
      </w:r>
    </w:p>
    <w:p w14:paraId="0FCA25BF">
      <w:pPr>
        <w:ind w:firstLine="480"/>
        <w:rPr>
          <w:rFonts w:hint="eastAsia" w:ascii="宋体" w:hAnsi="宋体" w:eastAsia="宋体" w:cs="宋体"/>
        </w:rPr>
      </w:pPr>
      <w:r>
        <w:rPr>
          <w:rFonts w:hint="eastAsia" w:ascii="宋体" w:hAnsi="宋体" w:eastAsia="宋体" w:cs="宋体"/>
        </w:rPr>
        <w:t>12.工作坑开挖时应按施工组织要求进行，设置排水井及泵站，并在结合实际做导水渠进行分流。确保排水畅通无阻，对所留边坡用彩条布进行覆盖确保安全。</w:t>
      </w:r>
    </w:p>
    <w:p w14:paraId="7CBC0C94">
      <w:pPr>
        <w:ind w:firstLine="480"/>
        <w:rPr>
          <w:rFonts w:hint="eastAsia" w:ascii="宋体" w:hAnsi="宋体" w:eastAsia="宋体" w:cs="宋体"/>
        </w:rPr>
      </w:pPr>
      <w:r>
        <w:rPr>
          <w:rFonts w:hint="eastAsia" w:ascii="宋体" w:hAnsi="宋体" w:eastAsia="宋体" w:cs="宋体"/>
        </w:rPr>
        <w:t>13.浇筑混凝土应避免在暴雨中浇筑。如遇大雨应对已浇筑或未灌筑混凝土进行保护。混凝土浇筑过程中应架雨蓬遮雨，防止雨水直接冲洗混凝土。</w:t>
      </w:r>
    </w:p>
    <w:p w14:paraId="7483B076">
      <w:pPr>
        <w:ind w:firstLine="480"/>
        <w:rPr>
          <w:rFonts w:hint="eastAsia" w:ascii="宋体" w:hAnsi="宋体" w:eastAsia="宋体" w:cs="宋体"/>
        </w:rPr>
      </w:pPr>
      <w:r>
        <w:rPr>
          <w:rFonts w:hint="eastAsia" w:ascii="宋体" w:hAnsi="宋体" w:eastAsia="宋体" w:cs="宋体"/>
        </w:rPr>
        <w:t>14.雨天浇筑过程中，试验员应及时测试砂石含水率，及时调整配合比并与设计联系，保证准确的配合比。</w:t>
      </w:r>
    </w:p>
    <w:p w14:paraId="58B50B23">
      <w:pPr>
        <w:ind w:firstLine="480"/>
        <w:rPr>
          <w:rFonts w:hint="eastAsia" w:ascii="宋体" w:hAnsi="宋体" w:eastAsia="宋体" w:cs="宋体"/>
        </w:rPr>
      </w:pPr>
      <w:r>
        <w:rPr>
          <w:rFonts w:hint="eastAsia" w:ascii="宋体" w:hAnsi="宋体" w:eastAsia="宋体" w:cs="宋体"/>
        </w:rPr>
        <w:t>15.为防止现场钢筋及安装钢筋受雨水冲刷，应采取相应措施进行保护。摆放地面上钢筋应做好防雨及防潮设施。</w:t>
      </w:r>
    </w:p>
    <w:p w14:paraId="6942F371">
      <w:pPr>
        <w:ind w:firstLine="480"/>
        <w:rPr>
          <w:rFonts w:hint="eastAsia" w:ascii="宋体" w:hAnsi="宋体" w:eastAsia="宋体" w:cs="宋体"/>
        </w:rPr>
      </w:pPr>
      <w:r>
        <w:rPr>
          <w:rFonts w:hint="eastAsia" w:ascii="宋体" w:hAnsi="宋体" w:eastAsia="宋体" w:cs="宋体"/>
        </w:rPr>
        <w:t>16.加强对现场气候的监控及时与气象部门联系，做到早预知早预防。防洪领导小组定期对施工工地进行专项检查，防洪巡逻队要每天对施工现场进行巡逻检查，发现问题及时解决。</w:t>
      </w:r>
    </w:p>
    <w:p w14:paraId="7CAE1083">
      <w:pPr>
        <w:ind w:firstLine="480"/>
        <w:rPr>
          <w:rFonts w:hint="eastAsia" w:ascii="宋体" w:hAnsi="宋体" w:eastAsia="宋体" w:cs="宋体"/>
        </w:rPr>
      </w:pPr>
      <w:r>
        <w:rPr>
          <w:rFonts w:hint="eastAsia" w:ascii="宋体" w:hAnsi="宋体" w:eastAsia="宋体" w:cs="宋体"/>
        </w:rPr>
        <w:t>17.备齐各种防雨、防洪、防汛抢险物资设备的储备，并严禁挪作他用做到专项专用。</w:t>
      </w:r>
    </w:p>
    <w:p w14:paraId="01783DAB">
      <w:pPr>
        <w:ind w:firstLine="480"/>
        <w:rPr>
          <w:rFonts w:hint="eastAsia" w:ascii="宋体" w:hAnsi="宋体" w:eastAsia="宋体" w:cs="宋体"/>
        </w:rPr>
      </w:pPr>
      <w:r>
        <w:rPr>
          <w:rFonts w:hint="eastAsia" w:ascii="宋体" w:hAnsi="宋体" w:eastAsia="宋体" w:cs="宋体"/>
        </w:rPr>
        <w:t>18.施工前进行详细的现场调查，对施工材料堆放应避开低洼的易受雨水浸泡的地方。</w:t>
      </w:r>
    </w:p>
    <w:p w14:paraId="766CEC46">
      <w:pPr>
        <w:ind w:firstLine="480"/>
        <w:rPr>
          <w:rFonts w:hint="eastAsia" w:ascii="宋体" w:hAnsi="宋体" w:eastAsia="宋体" w:cs="宋体"/>
        </w:rPr>
      </w:pPr>
      <w:r>
        <w:rPr>
          <w:rFonts w:hint="eastAsia" w:ascii="宋体" w:hAnsi="宋体" w:eastAsia="宋体" w:cs="宋体"/>
        </w:rPr>
        <w:t>19.晴天备足库存水泥，雨天停止水泥入库，对受潮的水泥不得使用，对钢筋等其他施工用物资也入库存放。对施工人员及时发放劳保用品。钢筋应堆放在垫木隔离层上，周围不得有积水，防止钢筋污染锈蚀。锈蚀严重的钢筋使用前要进行除锈。</w:t>
      </w:r>
    </w:p>
    <w:p w14:paraId="57A2B7F3">
      <w:pPr>
        <w:ind w:firstLine="480"/>
        <w:rPr>
          <w:rFonts w:hint="eastAsia" w:ascii="宋体" w:hAnsi="宋体" w:eastAsia="宋体" w:cs="宋体"/>
        </w:rPr>
      </w:pPr>
      <w:r>
        <w:rPr>
          <w:rFonts w:hint="eastAsia" w:ascii="宋体" w:hAnsi="宋体" w:eastAsia="宋体" w:cs="宋体"/>
        </w:rPr>
        <w:t>20.保持工地及施工现场排水设施畅通，加强工地施工道路维护。</w:t>
      </w:r>
    </w:p>
    <w:p w14:paraId="576CBB2C">
      <w:pPr>
        <w:ind w:firstLine="480"/>
        <w:rPr>
          <w:rFonts w:hint="eastAsia" w:ascii="宋体" w:hAnsi="宋体" w:eastAsia="宋体" w:cs="宋体"/>
        </w:rPr>
      </w:pPr>
      <w:r>
        <w:rPr>
          <w:rFonts w:hint="eastAsia" w:ascii="宋体" w:hAnsi="宋体" w:eastAsia="宋体" w:cs="宋体"/>
        </w:rPr>
        <w:t>21.雨后要对用电设备和供电线路、现场道路、基坑边坡、脚手架支撑进行全面检查，确保无安全隐患后方可继续施工。</w:t>
      </w:r>
    </w:p>
    <w:p w14:paraId="7A9F47C4">
      <w:pPr>
        <w:pStyle w:val="4"/>
        <w:numPr>
          <w:ilvl w:val="1"/>
          <w:numId w:val="0"/>
        </w:numPr>
        <w:spacing w:line="360" w:lineRule="auto"/>
        <w:ind w:firstLine="0" w:firstLineChars="0"/>
        <w:rPr>
          <w:rFonts w:hint="eastAsia" w:ascii="宋体" w:hAnsi="宋体" w:eastAsia="宋体" w:cs="宋体"/>
          <w:color w:val="auto"/>
        </w:rPr>
      </w:pPr>
      <w:bookmarkStart w:id="1657" w:name="_Toc12061"/>
      <w:bookmarkStart w:id="1658" w:name="_Toc3203"/>
      <w:bookmarkStart w:id="1659" w:name="_Toc26765"/>
      <w:bookmarkStart w:id="1660" w:name="_Toc19076"/>
      <w:bookmarkStart w:id="1661" w:name="_Toc1578"/>
      <w:r>
        <w:rPr>
          <w:rFonts w:hint="eastAsia" w:ascii="宋体" w:hAnsi="宋体" w:cs="Times New Roman"/>
          <w:b/>
          <w:bCs/>
          <w:color w:val="auto"/>
          <w:kern w:val="2"/>
          <w:sz w:val="32"/>
          <w:szCs w:val="32"/>
          <w:lang w:val="en-US" w:eastAsia="zh-CN" w:bidi="ar-SA"/>
        </w:rPr>
        <w:t>9</w:t>
      </w:r>
      <w:r>
        <w:rPr>
          <w:rFonts w:hint="default" w:ascii="宋体" w:hAnsi="宋体" w:eastAsia="宋体" w:cs="Times New Roman"/>
          <w:b/>
          <w:bCs/>
          <w:color w:val="auto"/>
          <w:kern w:val="2"/>
          <w:sz w:val="32"/>
          <w:szCs w:val="32"/>
          <w:lang w:val="en-US" w:eastAsia="zh-CN" w:bidi="ar-SA"/>
        </w:rPr>
        <w:t>.6.</w:t>
      </w:r>
      <w:r>
        <w:rPr>
          <w:rFonts w:hint="eastAsia" w:ascii="宋体" w:hAnsi="宋体" w:eastAsia="宋体" w:cs="宋体"/>
          <w:color w:val="auto"/>
        </w:rPr>
        <w:t>夜间施工</w:t>
      </w:r>
      <w:bookmarkEnd w:id="1657"/>
      <w:bookmarkEnd w:id="1658"/>
      <w:bookmarkEnd w:id="1659"/>
      <w:bookmarkEnd w:id="1660"/>
      <w:bookmarkEnd w:id="1661"/>
    </w:p>
    <w:p w14:paraId="27009F16">
      <w:pPr>
        <w:ind w:firstLine="480"/>
        <w:rPr>
          <w:rFonts w:hint="eastAsia" w:ascii="宋体" w:hAnsi="宋体" w:eastAsia="宋体" w:cs="宋体"/>
        </w:rPr>
      </w:pPr>
      <w:r>
        <w:rPr>
          <w:rFonts w:hint="eastAsia" w:ascii="宋体" w:hAnsi="宋体" w:eastAsia="宋体" w:cs="宋体"/>
        </w:rPr>
        <w:t>（1）夜间施工必须照国家及市安全和生产管理条例，严禁盲目施工，不准安排由年老体弱带病、疲劳及一切不适合夜间作业的工人进行施工。</w:t>
      </w:r>
    </w:p>
    <w:p w14:paraId="43855108">
      <w:pPr>
        <w:ind w:firstLine="480"/>
        <w:rPr>
          <w:rFonts w:hint="eastAsia" w:ascii="宋体" w:hAnsi="宋体" w:eastAsia="宋体" w:cs="宋体"/>
        </w:rPr>
      </w:pPr>
      <w:r>
        <w:rPr>
          <w:rFonts w:hint="eastAsia" w:ascii="宋体" w:hAnsi="宋体" w:eastAsia="宋体" w:cs="宋体"/>
        </w:rPr>
        <w:t>（2）夜间施工人员在施工前必须进行夜间施工安全教育和危险告知，所有参加施工的人员必须熟知保证夜间施工安全的措施。</w:t>
      </w:r>
    </w:p>
    <w:p w14:paraId="4F3F670E">
      <w:pPr>
        <w:ind w:firstLine="480"/>
        <w:rPr>
          <w:rFonts w:hint="eastAsia" w:ascii="宋体" w:hAnsi="宋体" w:eastAsia="宋体" w:cs="宋体"/>
        </w:rPr>
      </w:pPr>
      <w:r>
        <w:rPr>
          <w:rFonts w:hint="eastAsia" w:ascii="宋体" w:hAnsi="宋体" w:eastAsia="宋体" w:cs="宋体"/>
        </w:rPr>
        <w:t>（3）白班施工人员下班前必须由安全员带头检查临边防护是否完善。</w:t>
      </w:r>
    </w:p>
    <w:p w14:paraId="3ECDE64B">
      <w:pPr>
        <w:ind w:firstLine="480"/>
        <w:rPr>
          <w:rFonts w:hint="eastAsia" w:ascii="宋体" w:hAnsi="宋体" w:eastAsia="宋体" w:cs="宋体"/>
        </w:rPr>
      </w:pPr>
      <w:r>
        <w:rPr>
          <w:rFonts w:hint="eastAsia" w:ascii="宋体" w:hAnsi="宋体" w:eastAsia="宋体" w:cs="宋体"/>
        </w:rPr>
        <w:t>（4）及时了解天气预报，对天气的变化做到心中有数，工作上早做准备。</w:t>
      </w:r>
    </w:p>
    <w:p w14:paraId="245E1682">
      <w:pPr>
        <w:ind w:firstLine="480"/>
        <w:rPr>
          <w:rFonts w:hint="eastAsia" w:ascii="宋体" w:hAnsi="宋体" w:eastAsia="宋体" w:cs="宋体"/>
        </w:rPr>
      </w:pPr>
      <w:r>
        <w:rPr>
          <w:rFonts w:hint="eastAsia" w:ascii="宋体" w:hAnsi="宋体" w:eastAsia="宋体" w:cs="宋体"/>
        </w:rPr>
        <w:t>（5）对于工期较紧（网络图关键路线）的工序及不能中途停止施工的工序，需对施工作业人员进行日、夜分班，并适当缩短夜间作业班组的作业时间，安排夜间作业人员适当的休息时间，并提供夜餐，减轻夜间作业人员的劳动强度。</w:t>
      </w:r>
    </w:p>
    <w:p w14:paraId="3359933A">
      <w:pPr>
        <w:ind w:firstLine="480"/>
        <w:rPr>
          <w:rFonts w:hint="eastAsia" w:ascii="宋体" w:hAnsi="宋体" w:eastAsia="宋体" w:cs="宋体"/>
        </w:rPr>
      </w:pPr>
      <w:r>
        <w:rPr>
          <w:rFonts w:hint="eastAsia" w:ascii="宋体" w:hAnsi="宋体" w:eastAsia="宋体" w:cs="宋体"/>
        </w:rPr>
        <w:t>（6）夜间高空作业时，作业人员必须戴好安全帽、系好安全带、穿好防护鞋并设置安全网，大雨、大风、大雾天气不得进行高空作业。</w:t>
      </w:r>
    </w:p>
    <w:p w14:paraId="1826895D">
      <w:pPr>
        <w:ind w:firstLine="480"/>
        <w:rPr>
          <w:rFonts w:hint="eastAsia" w:ascii="宋体" w:hAnsi="宋体" w:eastAsia="宋体" w:cs="宋体"/>
        </w:rPr>
      </w:pPr>
      <w:r>
        <w:rPr>
          <w:rFonts w:hint="eastAsia" w:ascii="宋体" w:hAnsi="宋体" w:eastAsia="宋体" w:cs="宋体"/>
        </w:rPr>
        <w:t>（7）技术员，安全员，工长夜间配备照明手电，对讲机，随时监查指导现场，防止不安全事故发生。</w:t>
      </w:r>
    </w:p>
    <w:p w14:paraId="57EBE727">
      <w:pPr>
        <w:ind w:firstLine="480"/>
        <w:rPr>
          <w:rFonts w:hint="eastAsia" w:ascii="宋体" w:hAnsi="宋体" w:eastAsia="宋体" w:cs="宋体"/>
        </w:rPr>
      </w:pPr>
      <w:r>
        <w:rPr>
          <w:rFonts w:hint="eastAsia" w:ascii="宋体" w:hAnsi="宋体" w:eastAsia="宋体" w:cs="宋体"/>
        </w:rPr>
        <w:t>（8）充分考虑施工安全问题，尽量不安排交叉施工的工序同时在夜间进行。</w:t>
      </w:r>
    </w:p>
    <w:p w14:paraId="4A025995">
      <w:pPr>
        <w:ind w:firstLine="480"/>
        <w:rPr>
          <w:rFonts w:hint="eastAsia" w:ascii="宋体" w:hAnsi="宋体" w:eastAsia="宋体" w:cs="宋体"/>
        </w:rPr>
      </w:pPr>
      <w:r>
        <w:rPr>
          <w:rFonts w:hint="eastAsia" w:ascii="宋体" w:hAnsi="宋体" w:eastAsia="宋体" w:cs="宋体"/>
        </w:rPr>
        <w:t>（9）夜间施工时，各项工序或作业区的结合部位在夜间施工时要有明显的发光标志，各道工序夜间施工除当班的工长、技术员必须到位外，还要必须安排安全员、司机值班。</w:t>
      </w:r>
    </w:p>
    <w:p w14:paraId="620DAB04">
      <w:pPr>
        <w:ind w:firstLine="480"/>
        <w:rPr>
          <w:rFonts w:hint="eastAsia" w:ascii="宋体" w:hAnsi="宋体" w:eastAsia="宋体" w:cs="宋体"/>
        </w:rPr>
      </w:pPr>
      <w:r>
        <w:rPr>
          <w:rFonts w:hint="eastAsia" w:ascii="宋体" w:hAnsi="宋体" w:eastAsia="宋体" w:cs="宋体"/>
        </w:rPr>
        <w:t>（10）夜间施工时，所有施工道路必须及时清除杂物，采取防滑措施。</w:t>
      </w:r>
    </w:p>
    <w:p w14:paraId="7BBCEE3A">
      <w:pPr>
        <w:ind w:firstLine="480"/>
        <w:rPr>
          <w:rFonts w:hint="eastAsia" w:ascii="宋体" w:hAnsi="宋体" w:eastAsia="宋体" w:cs="宋体"/>
        </w:rPr>
      </w:pPr>
      <w:r>
        <w:rPr>
          <w:rFonts w:hint="eastAsia" w:ascii="宋体" w:hAnsi="宋体" w:eastAsia="宋体" w:cs="宋体"/>
        </w:rPr>
        <w:t>（11）夜间动火作业，作业人员必须确认动火点周围有没有易燃易爆物，采取安全防范措施，避免发生着火事故，作业结束后必须确认有没有火灾隐患后，方可离开作业地点。</w:t>
      </w:r>
    </w:p>
    <w:p w14:paraId="5465E91E">
      <w:pPr>
        <w:ind w:firstLine="480"/>
        <w:rPr>
          <w:rFonts w:hint="eastAsia" w:ascii="宋体" w:hAnsi="宋体" w:eastAsia="宋体" w:cs="宋体"/>
        </w:rPr>
      </w:pPr>
      <w:r>
        <w:rPr>
          <w:rFonts w:hint="eastAsia" w:ascii="宋体" w:hAnsi="宋体" w:eastAsia="宋体" w:cs="宋体"/>
        </w:rPr>
        <w:t>（12）吊装作业必须由专人进行操作，专人进行指挥，并保证足够的照明，定期进行检查维护，发现隐患问题应立即暂停工作，处理好后才能正常施工。</w:t>
      </w:r>
    </w:p>
    <w:p w14:paraId="253E343E">
      <w:pPr>
        <w:ind w:firstLine="480"/>
        <w:rPr>
          <w:rFonts w:hint="eastAsia" w:ascii="宋体" w:hAnsi="宋体" w:eastAsia="宋体" w:cs="宋体"/>
        </w:rPr>
      </w:pPr>
      <w:r>
        <w:rPr>
          <w:rFonts w:hint="eastAsia" w:ascii="宋体" w:hAnsi="宋体" w:eastAsia="宋体" w:cs="宋体"/>
        </w:rPr>
        <w:t>（13）夜间进入有限空间作业至少安排两个人，起到监护的作用。</w:t>
      </w:r>
    </w:p>
    <w:p w14:paraId="78DEABD5">
      <w:pPr>
        <w:ind w:firstLine="480"/>
        <w:rPr>
          <w:rFonts w:hint="eastAsia" w:ascii="宋体" w:hAnsi="宋体" w:eastAsia="宋体" w:cs="宋体"/>
        </w:rPr>
      </w:pPr>
      <w:r>
        <w:rPr>
          <w:rFonts w:hint="eastAsia" w:ascii="宋体" w:hAnsi="宋体" w:eastAsia="宋体" w:cs="宋体"/>
        </w:rPr>
        <w:t>（14）夜间施工严格实行“交接班”制，对施工过程中出现的质量安全问题及时解决或者汇报到下一接班人员处，下一接班人员未到，不准漏岗。</w:t>
      </w:r>
    </w:p>
    <w:p w14:paraId="0D677BBD">
      <w:pPr>
        <w:ind w:firstLine="480"/>
        <w:rPr>
          <w:rFonts w:hint="eastAsia" w:ascii="宋体" w:hAnsi="宋体" w:eastAsia="宋体" w:cs="宋体"/>
        </w:rPr>
      </w:pPr>
      <w:r>
        <w:rPr>
          <w:rFonts w:hint="eastAsia" w:ascii="宋体" w:hAnsi="宋体" w:eastAsia="宋体" w:cs="宋体"/>
        </w:rPr>
        <w:t>（15）管理人员加强施工信息交流，及时发现施工进程中存在的问题，发现并排除安全隐患，防止因质量事故引发安全事故。</w:t>
      </w:r>
    </w:p>
    <w:p w14:paraId="593DF70E">
      <w:pPr>
        <w:ind w:firstLine="480"/>
        <w:rPr>
          <w:rFonts w:hint="eastAsia" w:ascii="宋体" w:hAnsi="宋体" w:eastAsia="宋体" w:cs="宋体"/>
        </w:rPr>
      </w:pPr>
      <w:r>
        <w:rPr>
          <w:rFonts w:hint="eastAsia" w:ascii="宋体" w:hAnsi="宋体" w:eastAsia="宋体" w:cs="宋体"/>
        </w:rPr>
        <w:t>（16）实施具有重大危险源的工程项目时，必须根据重大危险源的应急救援预案措施，做好随时启动应急预案的准备。</w:t>
      </w:r>
    </w:p>
    <w:p w14:paraId="60BA1098">
      <w:pPr>
        <w:pStyle w:val="2"/>
        <w:numPr>
          <w:ilvl w:val="0"/>
          <w:numId w:val="0"/>
        </w:numPr>
        <w:spacing w:line="360" w:lineRule="auto"/>
        <w:ind w:left="432" w:leftChars="0" w:hanging="432" w:firstLineChars="0"/>
        <w:jc w:val="left"/>
        <w:rPr>
          <w:rFonts w:hint="eastAsia" w:ascii="宋体" w:hAnsi="宋体" w:eastAsia="宋体" w:cs="宋体"/>
          <w:color w:val="auto"/>
        </w:rPr>
      </w:pPr>
      <w:bookmarkStart w:id="1662" w:name="_Toc1428"/>
      <w:bookmarkStart w:id="1663" w:name="_Toc29528"/>
      <w:bookmarkStart w:id="1664" w:name="_Toc22262"/>
      <w:bookmarkStart w:id="1665" w:name="_Toc10457"/>
      <w:bookmarkStart w:id="1666" w:name="_Toc16673"/>
      <w:r>
        <w:rPr>
          <w:rFonts w:hint="eastAsia" w:cs="Times New Roman"/>
          <w:b/>
          <w:bCs/>
          <w:color w:val="auto"/>
          <w:kern w:val="36"/>
          <w:sz w:val="36"/>
          <w:szCs w:val="48"/>
          <w:lang w:val="en-US" w:eastAsia="zh-CN" w:bidi="ar-SA"/>
        </w:rPr>
        <w:t>第十章</w:t>
      </w:r>
      <w:r>
        <w:rPr>
          <w:rFonts w:hint="default" w:ascii="宋体" w:hAnsi="宋体" w:eastAsia="宋体" w:cs="Times New Roman"/>
          <w:b/>
          <w:bCs/>
          <w:color w:val="auto"/>
          <w:kern w:val="36"/>
          <w:sz w:val="36"/>
          <w:szCs w:val="48"/>
          <w:lang w:val="en-US" w:eastAsia="zh-CN" w:bidi="ar-SA"/>
        </w:rPr>
        <w:t>.</w:t>
      </w:r>
      <w:r>
        <w:rPr>
          <w:rFonts w:hint="eastAsia" w:ascii="宋体" w:hAnsi="宋体" w:eastAsia="宋体" w:cs="宋体"/>
          <w:color w:val="auto"/>
        </w:rPr>
        <w:t>各项资源需要量及进场计划</w:t>
      </w:r>
      <w:bookmarkEnd w:id="1662"/>
      <w:bookmarkEnd w:id="1663"/>
      <w:bookmarkEnd w:id="1664"/>
      <w:bookmarkEnd w:id="1665"/>
      <w:bookmarkEnd w:id="1666"/>
    </w:p>
    <w:p w14:paraId="48085759">
      <w:pPr>
        <w:pStyle w:val="5"/>
        <w:numPr>
          <w:ilvl w:val="2"/>
          <w:numId w:val="0"/>
        </w:numPr>
        <w:spacing w:line="360" w:lineRule="auto"/>
        <w:ind w:left="720" w:leftChars="0" w:hanging="720" w:firstLineChars="0"/>
        <w:rPr>
          <w:rFonts w:hint="eastAsia" w:ascii="宋体" w:hAnsi="宋体" w:eastAsia="宋体" w:cs="宋体"/>
          <w:color w:val="auto"/>
        </w:rPr>
      </w:pPr>
      <w:bookmarkStart w:id="1667" w:name="_Toc31284"/>
      <w:bookmarkStart w:id="1668" w:name="_Toc13924"/>
      <w:bookmarkStart w:id="1669" w:name="_Toc22276"/>
      <w:bookmarkStart w:id="1670" w:name="_Toc17345"/>
      <w:bookmarkStart w:id="1671" w:name="_Toc22604"/>
      <w:bookmarkStart w:id="1672" w:name="_Toc28833"/>
      <w:bookmarkStart w:id="1673" w:name="_Toc25370"/>
      <w:bookmarkStart w:id="1674" w:name="_Toc16538"/>
      <w:bookmarkStart w:id="1675" w:name="_Toc27226"/>
      <w:bookmarkStart w:id="1676" w:name="_Toc1128"/>
      <w:bookmarkStart w:id="1677" w:name="_Toc5285"/>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0</w:t>
      </w:r>
      <w:r>
        <w:rPr>
          <w:rFonts w:hint="default" w:ascii="宋体" w:hAnsi="宋体" w:eastAsia="宋体" w:cs="Times New Roman"/>
          <w:b/>
          <w:bCs/>
          <w:color w:val="auto"/>
          <w:kern w:val="2"/>
          <w:sz w:val="30"/>
          <w:szCs w:val="32"/>
          <w:lang w:val="en-US" w:eastAsia="zh-CN" w:bidi="ar-SA"/>
        </w:rPr>
        <w:t>.1.1.</w:t>
      </w:r>
      <w:r>
        <w:rPr>
          <w:rFonts w:hint="eastAsia" w:ascii="宋体" w:hAnsi="宋体" w:eastAsia="宋体" w:cs="宋体"/>
          <w:color w:val="auto"/>
        </w:rPr>
        <w:t>人员</w:t>
      </w:r>
      <w:bookmarkEnd w:id="1667"/>
      <w:bookmarkEnd w:id="1668"/>
      <w:bookmarkEnd w:id="1669"/>
      <w:bookmarkEnd w:id="1670"/>
      <w:bookmarkEnd w:id="1671"/>
      <w:bookmarkEnd w:id="1672"/>
      <w:r>
        <w:rPr>
          <w:rFonts w:hint="eastAsia" w:ascii="宋体" w:hAnsi="宋体" w:eastAsia="宋体" w:cs="宋体"/>
          <w:color w:val="auto"/>
        </w:rPr>
        <w:t>进场计划</w:t>
      </w:r>
      <w:bookmarkEnd w:id="1673"/>
      <w:bookmarkEnd w:id="1674"/>
      <w:bookmarkEnd w:id="1675"/>
      <w:bookmarkEnd w:id="1676"/>
      <w:bookmarkEnd w:id="1677"/>
    </w:p>
    <w:p w14:paraId="49D34E80">
      <w:pPr>
        <w:ind w:firstLine="480"/>
        <w:rPr>
          <w:rFonts w:hint="eastAsia" w:ascii="宋体" w:hAnsi="宋体" w:eastAsia="宋体" w:cs="宋体"/>
          <w:highlight w:val="none"/>
        </w:rPr>
      </w:pPr>
      <w:r>
        <w:rPr>
          <w:rFonts w:hint="eastAsia" w:ascii="宋体" w:hAnsi="宋体" w:eastAsia="宋体" w:cs="宋体"/>
          <w:highlight w:val="none"/>
        </w:rPr>
        <w:t>根据合同工期要求和各关键工点工期需求，派遣先遣人员进驻工地，前期租用民房进行现场设施布置，利用当地劳动力进行临时工程施工，为尽快掀起施工高潮做好准备。施工班组人员见下表：</w:t>
      </w:r>
    </w:p>
    <w:p w14:paraId="35FB9B16">
      <w:pPr>
        <w:pStyle w:val="103"/>
        <w:rPr>
          <w:rFonts w:hint="eastAsia" w:ascii="宋体" w:hAnsi="宋体" w:eastAsia="宋体" w:cs="宋体"/>
          <w:color w:val="auto"/>
          <w:highlight w:val="none"/>
        </w:rPr>
      </w:pPr>
      <w:r>
        <w:rPr>
          <w:rFonts w:hint="eastAsia" w:ascii="宋体" w:hAnsi="宋体" w:eastAsia="宋体" w:cs="宋体"/>
          <w:color w:val="auto"/>
          <w:highlight w:val="none"/>
        </w:rPr>
        <w:t>施工班组人员配备计划表</w:t>
      </w:r>
    </w:p>
    <w:tbl>
      <w:tblPr>
        <w:tblStyle w:val="48"/>
        <w:tblW w:w="94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3608"/>
        <w:gridCol w:w="2369"/>
        <w:gridCol w:w="2370"/>
      </w:tblGrid>
      <w:tr w14:paraId="261CB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3B074659">
            <w:pPr>
              <w:ind w:left="0" w:leftChars="0"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序号</w:t>
            </w:r>
          </w:p>
        </w:tc>
        <w:tc>
          <w:tcPr>
            <w:tcW w:w="3608" w:type="dxa"/>
            <w:vAlign w:val="center"/>
          </w:tcPr>
          <w:p w14:paraId="4AC24EF6">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项目</w:t>
            </w:r>
          </w:p>
        </w:tc>
        <w:tc>
          <w:tcPr>
            <w:tcW w:w="2369" w:type="dxa"/>
            <w:vAlign w:val="center"/>
          </w:tcPr>
          <w:p w14:paraId="7FFCB913">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人员（人）</w:t>
            </w:r>
          </w:p>
        </w:tc>
        <w:tc>
          <w:tcPr>
            <w:tcW w:w="2370" w:type="dxa"/>
          </w:tcPr>
          <w:p w14:paraId="3AD54FD4">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备注</w:t>
            </w:r>
          </w:p>
        </w:tc>
      </w:tr>
      <w:tr w14:paraId="39729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04E5088C">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w:t>
            </w:r>
          </w:p>
        </w:tc>
        <w:tc>
          <w:tcPr>
            <w:tcW w:w="3608" w:type="dxa"/>
            <w:vAlign w:val="center"/>
          </w:tcPr>
          <w:p w14:paraId="1A14A8A7">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项目经理部(管理人员)</w:t>
            </w:r>
          </w:p>
        </w:tc>
        <w:tc>
          <w:tcPr>
            <w:tcW w:w="2369" w:type="dxa"/>
            <w:vAlign w:val="center"/>
          </w:tcPr>
          <w:p w14:paraId="29F19F75">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40</w:t>
            </w:r>
          </w:p>
        </w:tc>
        <w:tc>
          <w:tcPr>
            <w:tcW w:w="2370" w:type="dxa"/>
            <w:vMerge w:val="restart"/>
            <w:vAlign w:val="center"/>
          </w:tcPr>
          <w:p w14:paraId="5EA7D335">
            <w:pPr>
              <w:ind w:left="0" w:leftChars="0" w:firstLine="0" w:firstLineChars="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各作业队高峰期需要的人员</w:t>
            </w:r>
          </w:p>
        </w:tc>
      </w:tr>
      <w:tr w14:paraId="46699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0E843ADA">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2</w:t>
            </w:r>
          </w:p>
        </w:tc>
        <w:tc>
          <w:tcPr>
            <w:tcW w:w="3608" w:type="dxa"/>
            <w:vAlign w:val="center"/>
          </w:tcPr>
          <w:p w14:paraId="38A7C3A2">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路基作业</w:t>
            </w:r>
            <w:r>
              <w:rPr>
                <w:rFonts w:hint="eastAsia" w:ascii="宋体" w:hAnsi="宋体" w:cs="宋体"/>
                <w:sz w:val="21"/>
                <w:szCs w:val="21"/>
                <w:highlight w:val="none"/>
                <w:lang w:val="en-US" w:eastAsia="zh-CN"/>
              </w:rPr>
              <w:t>一</w:t>
            </w:r>
            <w:r>
              <w:rPr>
                <w:rFonts w:hint="eastAsia" w:ascii="宋体" w:hAnsi="宋体" w:eastAsia="宋体" w:cs="宋体"/>
                <w:sz w:val="21"/>
                <w:szCs w:val="21"/>
                <w:highlight w:val="none"/>
                <w:lang w:val="en-US" w:eastAsia="zh-CN"/>
              </w:rPr>
              <w:t>队</w:t>
            </w:r>
          </w:p>
        </w:tc>
        <w:tc>
          <w:tcPr>
            <w:tcW w:w="2369" w:type="dxa"/>
            <w:vAlign w:val="center"/>
          </w:tcPr>
          <w:p w14:paraId="3690DC10">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60</w:t>
            </w:r>
          </w:p>
        </w:tc>
        <w:tc>
          <w:tcPr>
            <w:tcW w:w="2370" w:type="dxa"/>
            <w:vMerge w:val="continue"/>
          </w:tcPr>
          <w:p w14:paraId="46D7B740">
            <w:pPr>
              <w:ind w:firstLine="480"/>
              <w:jc w:val="center"/>
              <w:rPr>
                <w:rFonts w:hint="eastAsia" w:ascii="宋体" w:hAnsi="宋体" w:eastAsia="宋体" w:cs="宋体"/>
                <w:sz w:val="21"/>
                <w:szCs w:val="21"/>
                <w:highlight w:val="none"/>
              </w:rPr>
            </w:pPr>
          </w:p>
        </w:tc>
      </w:tr>
      <w:tr w14:paraId="646D1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2BC0BEA2">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3</w:t>
            </w:r>
          </w:p>
        </w:tc>
        <w:tc>
          <w:tcPr>
            <w:tcW w:w="3608" w:type="dxa"/>
            <w:vAlign w:val="center"/>
          </w:tcPr>
          <w:p w14:paraId="1EB237D9">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路基作业二队</w:t>
            </w:r>
          </w:p>
        </w:tc>
        <w:tc>
          <w:tcPr>
            <w:tcW w:w="2369" w:type="dxa"/>
            <w:vAlign w:val="center"/>
          </w:tcPr>
          <w:p w14:paraId="192F67CC">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60</w:t>
            </w:r>
          </w:p>
        </w:tc>
        <w:tc>
          <w:tcPr>
            <w:tcW w:w="2370" w:type="dxa"/>
            <w:vMerge w:val="continue"/>
          </w:tcPr>
          <w:p w14:paraId="04CF3D84">
            <w:pPr>
              <w:ind w:firstLine="480"/>
              <w:jc w:val="center"/>
              <w:rPr>
                <w:rFonts w:hint="eastAsia" w:ascii="宋体" w:hAnsi="宋体" w:eastAsia="宋体" w:cs="宋体"/>
                <w:sz w:val="21"/>
                <w:szCs w:val="21"/>
                <w:highlight w:val="none"/>
              </w:rPr>
            </w:pPr>
          </w:p>
        </w:tc>
      </w:tr>
      <w:tr w14:paraId="3B437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09B92A7C">
            <w:pPr>
              <w:ind w:firstLine="480"/>
              <w:jc w:val="center"/>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4</w:t>
            </w:r>
          </w:p>
        </w:tc>
        <w:tc>
          <w:tcPr>
            <w:tcW w:w="3608" w:type="dxa"/>
            <w:vAlign w:val="center"/>
          </w:tcPr>
          <w:p w14:paraId="6C822558">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路面作业队</w:t>
            </w:r>
          </w:p>
        </w:tc>
        <w:tc>
          <w:tcPr>
            <w:tcW w:w="2369" w:type="dxa"/>
            <w:vAlign w:val="center"/>
          </w:tcPr>
          <w:p w14:paraId="67BB3CA0">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45</w:t>
            </w:r>
          </w:p>
        </w:tc>
        <w:tc>
          <w:tcPr>
            <w:tcW w:w="2370" w:type="dxa"/>
            <w:vMerge w:val="continue"/>
          </w:tcPr>
          <w:p w14:paraId="0B946122">
            <w:pPr>
              <w:ind w:firstLine="480"/>
              <w:jc w:val="center"/>
              <w:rPr>
                <w:rFonts w:hint="eastAsia" w:ascii="宋体" w:hAnsi="宋体" w:eastAsia="宋体" w:cs="宋体"/>
                <w:sz w:val="21"/>
                <w:szCs w:val="21"/>
                <w:highlight w:val="none"/>
              </w:rPr>
            </w:pPr>
          </w:p>
        </w:tc>
      </w:tr>
      <w:tr w14:paraId="65049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37EF2467">
            <w:pPr>
              <w:ind w:firstLine="480"/>
              <w:jc w:val="center"/>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5</w:t>
            </w:r>
          </w:p>
        </w:tc>
        <w:tc>
          <w:tcPr>
            <w:tcW w:w="3608" w:type="dxa"/>
            <w:vAlign w:val="center"/>
          </w:tcPr>
          <w:p w14:paraId="630911D2">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桥梁第一作业队</w:t>
            </w:r>
          </w:p>
        </w:tc>
        <w:tc>
          <w:tcPr>
            <w:tcW w:w="2369" w:type="dxa"/>
            <w:vAlign w:val="center"/>
          </w:tcPr>
          <w:p w14:paraId="18E557C2">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60</w:t>
            </w:r>
          </w:p>
        </w:tc>
        <w:tc>
          <w:tcPr>
            <w:tcW w:w="2370" w:type="dxa"/>
            <w:vMerge w:val="continue"/>
          </w:tcPr>
          <w:p w14:paraId="7F0A1BA2">
            <w:pPr>
              <w:ind w:firstLine="480"/>
              <w:jc w:val="center"/>
              <w:rPr>
                <w:rFonts w:hint="eastAsia" w:ascii="宋体" w:hAnsi="宋体" w:eastAsia="宋体" w:cs="宋体"/>
                <w:sz w:val="21"/>
                <w:szCs w:val="21"/>
                <w:highlight w:val="none"/>
              </w:rPr>
            </w:pPr>
          </w:p>
        </w:tc>
      </w:tr>
      <w:tr w14:paraId="3910A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0AC1C06F">
            <w:pPr>
              <w:ind w:firstLine="480"/>
              <w:jc w:val="center"/>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6</w:t>
            </w:r>
          </w:p>
        </w:tc>
        <w:tc>
          <w:tcPr>
            <w:tcW w:w="3608" w:type="dxa"/>
            <w:vAlign w:val="center"/>
          </w:tcPr>
          <w:p w14:paraId="4533EC62">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桥梁第二作业队</w:t>
            </w:r>
          </w:p>
        </w:tc>
        <w:tc>
          <w:tcPr>
            <w:tcW w:w="2369" w:type="dxa"/>
            <w:vAlign w:val="center"/>
          </w:tcPr>
          <w:p w14:paraId="5B79DA60">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60</w:t>
            </w:r>
          </w:p>
        </w:tc>
        <w:tc>
          <w:tcPr>
            <w:tcW w:w="2370" w:type="dxa"/>
            <w:vMerge w:val="continue"/>
          </w:tcPr>
          <w:p w14:paraId="023361B6">
            <w:pPr>
              <w:ind w:firstLine="480"/>
              <w:jc w:val="center"/>
              <w:rPr>
                <w:rFonts w:hint="eastAsia" w:ascii="宋体" w:hAnsi="宋体" w:eastAsia="宋体" w:cs="宋体"/>
                <w:sz w:val="21"/>
                <w:szCs w:val="21"/>
                <w:highlight w:val="none"/>
              </w:rPr>
            </w:pPr>
          </w:p>
        </w:tc>
      </w:tr>
      <w:tr w14:paraId="46C7E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2132C864">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7</w:t>
            </w:r>
          </w:p>
        </w:tc>
        <w:tc>
          <w:tcPr>
            <w:tcW w:w="3608" w:type="dxa"/>
            <w:vAlign w:val="center"/>
          </w:tcPr>
          <w:p w14:paraId="79E0F83C">
            <w:pPr>
              <w:ind w:firstLine="480"/>
              <w:jc w:val="center"/>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桥梁第三作业队</w:t>
            </w:r>
          </w:p>
        </w:tc>
        <w:tc>
          <w:tcPr>
            <w:tcW w:w="2369" w:type="dxa"/>
            <w:vAlign w:val="center"/>
          </w:tcPr>
          <w:p w14:paraId="4B100322">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60</w:t>
            </w:r>
          </w:p>
        </w:tc>
        <w:tc>
          <w:tcPr>
            <w:tcW w:w="2370" w:type="dxa"/>
            <w:vMerge w:val="continue"/>
          </w:tcPr>
          <w:p w14:paraId="7B56D7D4">
            <w:pPr>
              <w:ind w:firstLine="480"/>
              <w:jc w:val="center"/>
              <w:rPr>
                <w:rFonts w:hint="eastAsia" w:ascii="宋体" w:hAnsi="宋体" w:eastAsia="宋体" w:cs="宋体"/>
                <w:sz w:val="21"/>
                <w:szCs w:val="21"/>
                <w:highlight w:val="none"/>
              </w:rPr>
            </w:pPr>
          </w:p>
        </w:tc>
      </w:tr>
      <w:tr w14:paraId="150F5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708330E4">
            <w:pPr>
              <w:ind w:firstLine="480"/>
              <w:jc w:val="center"/>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8</w:t>
            </w:r>
          </w:p>
        </w:tc>
        <w:tc>
          <w:tcPr>
            <w:tcW w:w="3608" w:type="dxa"/>
            <w:vAlign w:val="center"/>
          </w:tcPr>
          <w:p w14:paraId="5680FB1A">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绿化作业队</w:t>
            </w:r>
          </w:p>
        </w:tc>
        <w:tc>
          <w:tcPr>
            <w:tcW w:w="2369" w:type="dxa"/>
            <w:vAlign w:val="center"/>
          </w:tcPr>
          <w:p w14:paraId="16E347D1">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40</w:t>
            </w:r>
          </w:p>
        </w:tc>
        <w:tc>
          <w:tcPr>
            <w:tcW w:w="2370" w:type="dxa"/>
            <w:vMerge w:val="continue"/>
          </w:tcPr>
          <w:p w14:paraId="373B6568">
            <w:pPr>
              <w:ind w:firstLine="480"/>
              <w:jc w:val="center"/>
              <w:rPr>
                <w:rFonts w:hint="eastAsia" w:ascii="宋体" w:hAnsi="宋体" w:eastAsia="宋体" w:cs="宋体"/>
                <w:sz w:val="21"/>
                <w:szCs w:val="21"/>
                <w:highlight w:val="none"/>
              </w:rPr>
            </w:pPr>
          </w:p>
        </w:tc>
      </w:tr>
      <w:tr w14:paraId="597BE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1131" w:type="dxa"/>
            <w:vAlign w:val="center"/>
          </w:tcPr>
          <w:p w14:paraId="11729C21">
            <w:pPr>
              <w:ind w:firstLine="480"/>
              <w:jc w:val="center"/>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9</w:t>
            </w:r>
          </w:p>
        </w:tc>
        <w:tc>
          <w:tcPr>
            <w:tcW w:w="3608" w:type="dxa"/>
            <w:vAlign w:val="center"/>
          </w:tcPr>
          <w:p w14:paraId="1A8EBD8C">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交通安全作业队</w:t>
            </w:r>
          </w:p>
        </w:tc>
        <w:tc>
          <w:tcPr>
            <w:tcW w:w="2369" w:type="dxa"/>
            <w:vAlign w:val="center"/>
          </w:tcPr>
          <w:p w14:paraId="5244AFEB">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30</w:t>
            </w:r>
          </w:p>
        </w:tc>
        <w:tc>
          <w:tcPr>
            <w:tcW w:w="2370" w:type="dxa"/>
            <w:vMerge w:val="continue"/>
          </w:tcPr>
          <w:p w14:paraId="1DA856C7">
            <w:pPr>
              <w:ind w:firstLine="480"/>
              <w:jc w:val="center"/>
              <w:rPr>
                <w:rFonts w:hint="eastAsia" w:ascii="宋体" w:hAnsi="宋体" w:eastAsia="宋体" w:cs="宋体"/>
                <w:sz w:val="21"/>
                <w:szCs w:val="21"/>
                <w:highlight w:val="none"/>
              </w:rPr>
            </w:pPr>
          </w:p>
        </w:tc>
      </w:tr>
      <w:tr w14:paraId="1666C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4739" w:type="dxa"/>
            <w:gridSpan w:val="2"/>
            <w:vAlign w:val="center"/>
          </w:tcPr>
          <w:p w14:paraId="2C6E88E1">
            <w:pPr>
              <w:ind w:firstLine="480"/>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合计</w:t>
            </w:r>
          </w:p>
        </w:tc>
        <w:tc>
          <w:tcPr>
            <w:tcW w:w="2369" w:type="dxa"/>
            <w:vAlign w:val="center"/>
          </w:tcPr>
          <w:p w14:paraId="73F86573">
            <w:pPr>
              <w:ind w:firstLine="480"/>
              <w:jc w:val="center"/>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455</w:t>
            </w:r>
          </w:p>
        </w:tc>
        <w:tc>
          <w:tcPr>
            <w:tcW w:w="2370" w:type="dxa"/>
            <w:vMerge w:val="continue"/>
          </w:tcPr>
          <w:p w14:paraId="39BA64A2">
            <w:pPr>
              <w:ind w:firstLine="480"/>
              <w:jc w:val="center"/>
              <w:rPr>
                <w:rFonts w:hint="eastAsia" w:ascii="宋体" w:hAnsi="宋体" w:eastAsia="宋体" w:cs="宋体"/>
                <w:sz w:val="21"/>
                <w:szCs w:val="21"/>
                <w:highlight w:val="none"/>
              </w:rPr>
            </w:pPr>
          </w:p>
        </w:tc>
      </w:tr>
    </w:tbl>
    <w:p w14:paraId="613EAF7D">
      <w:pPr>
        <w:pStyle w:val="103"/>
        <w:jc w:val="both"/>
        <w:rPr>
          <w:rFonts w:hint="eastAsia" w:ascii="宋体" w:hAnsi="宋体" w:eastAsia="宋体" w:cs="宋体"/>
          <w:color w:val="auto"/>
          <w:sz w:val="24"/>
          <w:szCs w:val="24"/>
        </w:rPr>
      </w:pPr>
    </w:p>
    <w:p w14:paraId="37D89EED">
      <w:pPr>
        <w:pStyle w:val="5"/>
        <w:numPr>
          <w:ilvl w:val="2"/>
          <w:numId w:val="0"/>
        </w:numPr>
        <w:spacing w:line="360" w:lineRule="auto"/>
        <w:ind w:left="720" w:leftChars="0" w:hanging="720" w:firstLineChars="0"/>
        <w:rPr>
          <w:rFonts w:hint="eastAsia" w:ascii="宋体" w:hAnsi="宋体" w:eastAsia="宋体" w:cs="宋体"/>
          <w:color w:val="auto"/>
        </w:rPr>
      </w:pPr>
      <w:bookmarkStart w:id="1678" w:name="_Toc18214"/>
      <w:bookmarkStart w:id="1679" w:name="_Toc16225"/>
      <w:bookmarkStart w:id="1680" w:name="_Toc2715"/>
      <w:bookmarkStart w:id="1681" w:name="_Toc29963"/>
      <w:bookmarkStart w:id="1682" w:name="_Toc23736"/>
      <w:bookmarkStart w:id="1683" w:name="_Toc24995"/>
      <w:bookmarkStart w:id="1684" w:name="_Toc29167"/>
      <w:bookmarkStart w:id="1685" w:name="_Toc9405"/>
      <w:bookmarkStart w:id="1686" w:name="_Toc13714"/>
      <w:bookmarkStart w:id="1687" w:name="_Toc25044"/>
      <w:bookmarkStart w:id="1688" w:name="_Toc13888"/>
      <w:bookmarkStart w:id="1689" w:name="_Toc10131"/>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0</w:t>
      </w:r>
      <w:r>
        <w:rPr>
          <w:rFonts w:hint="default" w:ascii="宋体" w:hAnsi="宋体" w:eastAsia="宋体" w:cs="Times New Roman"/>
          <w:b/>
          <w:bCs/>
          <w:color w:val="auto"/>
          <w:kern w:val="2"/>
          <w:sz w:val="30"/>
          <w:szCs w:val="32"/>
          <w:lang w:val="en-US" w:eastAsia="zh-CN" w:bidi="ar-SA"/>
        </w:rPr>
        <w:t>.1.2.</w:t>
      </w:r>
      <w:r>
        <w:rPr>
          <w:rFonts w:hint="eastAsia" w:ascii="宋体" w:hAnsi="宋体" w:eastAsia="宋体" w:cs="宋体"/>
          <w:color w:val="auto"/>
        </w:rPr>
        <w:t>材料供应</w:t>
      </w:r>
      <w:bookmarkEnd w:id="1678"/>
      <w:bookmarkEnd w:id="1679"/>
      <w:bookmarkEnd w:id="1680"/>
      <w:bookmarkEnd w:id="1681"/>
      <w:bookmarkEnd w:id="1682"/>
      <w:bookmarkEnd w:id="1683"/>
      <w:bookmarkEnd w:id="1684"/>
      <w:r>
        <w:rPr>
          <w:rFonts w:hint="eastAsia" w:ascii="宋体" w:hAnsi="宋体" w:eastAsia="宋体" w:cs="宋体"/>
          <w:color w:val="auto"/>
        </w:rPr>
        <w:t>计划</w:t>
      </w:r>
      <w:bookmarkEnd w:id="1685"/>
      <w:bookmarkEnd w:id="1686"/>
      <w:bookmarkEnd w:id="1687"/>
      <w:bookmarkEnd w:id="1688"/>
      <w:bookmarkEnd w:id="1689"/>
    </w:p>
    <w:p w14:paraId="436481FC">
      <w:pPr>
        <w:ind w:firstLine="480"/>
        <w:rPr>
          <w:rFonts w:hint="eastAsia" w:ascii="宋体" w:hAnsi="宋体" w:eastAsia="宋体" w:cs="宋体"/>
        </w:rPr>
      </w:pPr>
      <w:r>
        <w:rPr>
          <w:rFonts w:hint="eastAsia" w:ascii="宋体" w:hAnsi="宋体" w:eastAsia="宋体" w:cs="宋体"/>
        </w:rPr>
        <w:t>根据施工计划、材料用量，在施工中要提前做好材料计划，保证材料的供应满足施工需要，工程的材料费用，一般要占总体工程造价的50%-70%。做好材料供应计划和材料的采购，保管、使用等工作，是保证工程施工顺利进行，控制或降低工程成本的关键之一。工程所用的材料主要有钢材，水泥，砂，石等，以及有关临时设施各拟采取各种施工技术措施用料。预制构件及其他半成品应列入主要材料需要量计划中。材料需要量计划是为物资部门落实组织货源，签定供应合同，组织运输进场以及确定临时设施规模的依据。</w:t>
      </w:r>
    </w:p>
    <w:p w14:paraId="1B82C318">
      <w:pPr>
        <w:ind w:firstLine="480"/>
        <w:rPr>
          <w:rFonts w:hint="eastAsia" w:ascii="宋体" w:hAnsi="宋体" w:eastAsia="宋体" w:cs="宋体"/>
        </w:rPr>
      </w:pPr>
      <w:r>
        <w:rPr>
          <w:rFonts w:hint="eastAsia" w:ascii="宋体" w:hAnsi="宋体" w:eastAsia="宋体" w:cs="宋体"/>
        </w:rPr>
        <w:t>主要材料供应计划见附件六《主要材料供应计划表》。</w:t>
      </w:r>
    </w:p>
    <w:p w14:paraId="208DF3C4">
      <w:pPr>
        <w:pStyle w:val="5"/>
        <w:numPr>
          <w:ilvl w:val="2"/>
          <w:numId w:val="0"/>
        </w:numPr>
        <w:spacing w:line="360" w:lineRule="auto"/>
        <w:ind w:left="720" w:leftChars="0" w:hanging="720" w:firstLineChars="0"/>
        <w:rPr>
          <w:rFonts w:hint="eastAsia" w:ascii="宋体" w:hAnsi="宋体" w:eastAsia="宋体" w:cs="宋体"/>
          <w:color w:val="auto"/>
        </w:rPr>
      </w:pPr>
      <w:bookmarkStart w:id="1690" w:name="_Toc17514"/>
      <w:bookmarkStart w:id="1691" w:name="_Toc4972"/>
      <w:bookmarkStart w:id="1692" w:name="_Toc16768"/>
      <w:bookmarkStart w:id="1693" w:name="_Toc16953"/>
      <w:bookmarkStart w:id="1694" w:name="_Toc12623"/>
      <w:bookmarkStart w:id="1695" w:name="_Toc17523"/>
      <w:bookmarkStart w:id="1696" w:name="_Toc13581"/>
      <w:bookmarkStart w:id="1697" w:name="_Toc20515"/>
      <w:bookmarkStart w:id="1698" w:name="_Toc24843"/>
      <w:bookmarkStart w:id="1699" w:name="_Toc6797"/>
      <w:bookmarkStart w:id="1700" w:name="_Toc15938"/>
      <w:bookmarkStart w:id="1701" w:name="_Toc13895"/>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0</w:t>
      </w:r>
      <w:r>
        <w:rPr>
          <w:rFonts w:hint="default" w:ascii="宋体" w:hAnsi="宋体" w:eastAsia="宋体" w:cs="Times New Roman"/>
          <w:b/>
          <w:bCs/>
          <w:color w:val="auto"/>
          <w:kern w:val="2"/>
          <w:sz w:val="30"/>
          <w:szCs w:val="32"/>
          <w:lang w:val="en-US" w:eastAsia="zh-CN" w:bidi="ar-SA"/>
        </w:rPr>
        <w:t>.1.3.</w:t>
      </w:r>
      <w:r>
        <w:rPr>
          <w:rFonts w:hint="eastAsia" w:ascii="宋体" w:hAnsi="宋体" w:eastAsia="宋体" w:cs="宋体"/>
          <w:color w:val="auto"/>
        </w:rPr>
        <w:t>机械设备及试验仪器</w:t>
      </w:r>
      <w:bookmarkEnd w:id="1690"/>
      <w:bookmarkEnd w:id="1691"/>
      <w:bookmarkEnd w:id="1692"/>
      <w:bookmarkEnd w:id="1693"/>
      <w:bookmarkEnd w:id="1694"/>
      <w:bookmarkEnd w:id="1695"/>
      <w:bookmarkEnd w:id="1696"/>
      <w:r>
        <w:rPr>
          <w:rFonts w:hint="eastAsia" w:ascii="宋体" w:hAnsi="宋体" w:eastAsia="宋体" w:cs="宋体"/>
          <w:color w:val="auto"/>
        </w:rPr>
        <w:t>计划</w:t>
      </w:r>
      <w:bookmarkEnd w:id="1697"/>
      <w:bookmarkEnd w:id="1698"/>
      <w:bookmarkEnd w:id="1699"/>
      <w:bookmarkEnd w:id="1700"/>
      <w:bookmarkEnd w:id="1701"/>
    </w:p>
    <w:p w14:paraId="765A7AC2">
      <w:pPr>
        <w:ind w:firstLine="480"/>
        <w:rPr>
          <w:rFonts w:hint="eastAsia" w:ascii="宋体" w:hAnsi="宋体" w:eastAsia="宋体" w:cs="宋体"/>
        </w:rPr>
      </w:pPr>
      <w:r>
        <w:rPr>
          <w:rFonts w:hint="eastAsia" w:ascii="宋体" w:hAnsi="宋体" w:eastAsia="宋体" w:cs="宋体"/>
        </w:rPr>
        <w:t>在机械设备和试验仪器配备上遵循“先进、适用、配套、满足要求”的原则，做到配套组合合理，数量充足，同时机械设备配备满足招标文件要求，在施工中不随意中途撤出，以确保质量与工期。本工程</w:t>
      </w:r>
      <w:r>
        <w:rPr>
          <w:rFonts w:hint="eastAsia" w:ascii="宋体" w:hAnsi="宋体" w:eastAsia="宋体" w:cs="宋体"/>
          <w:lang w:val="en-US" w:eastAsia="zh-CN"/>
        </w:rPr>
        <w:t>成立工地实验室</w:t>
      </w:r>
      <w:r>
        <w:rPr>
          <w:rFonts w:hint="eastAsia" w:ascii="宋体" w:hAnsi="宋体" w:eastAsia="宋体" w:cs="宋体"/>
        </w:rPr>
        <w:t>，可以更加专业化的管理施工现场试验检测工作，相关试验检测仪器均符合规范及施工要求。</w:t>
      </w:r>
    </w:p>
    <w:p w14:paraId="43236A3F">
      <w:pPr>
        <w:ind w:firstLine="480"/>
        <w:rPr>
          <w:rFonts w:hint="eastAsia" w:ascii="宋体" w:hAnsi="宋体" w:eastAsia="宋体" w:cs="宋体"/>
        </w:rPr>
      </w:pPr>
      <w:r>
        <w:rPr>
          <w:rFonts w:hint="eastAsia" w:ascii="宋体" w:hAnsi="宋体" w:eastAsia="宋体" w:cs="宋体"/>
        </w:rPr>
        <w:t>根据工期要求，施工设备和人员分期分批进场。施工中依据现场的实际情况或按业主、监理工程师的要求，随时增加设备、人员的数量，以满足施工需要。</w:t>
      </w:r>
    </w:p>
    <w:p w14:paraId="15A8B8DE">
      <w:pPr>
        <w:ind w:firstLine="480"/>
        <w:rPr>
          <w:rFonts w:hint="eastAsia" w:ascii="宋体" w:hAnsi="宋体" w:eastAsia="宋体" w:cs="宋体"/>
        </w:rPr>
      </w:pPr>
      <w:r>
        <w:rPr>
          <w:rFonts w:hint="eastAsia" w:ascii="宋体" w:hAnsi="宋体" w:eastAsia="宋体" w:cs="宋体"/>
        </w:rPr>
        <w:t>主要施工机械设备见附件四《主要施工机械配置及进场计划表》</w:t>
      </w:r>
    </w:p>
    <w:p w14:paraId="62953DBD">
      <w:pPr>
        <w:ind w:firstLine="480"/>
        <w:rPr>
          <w:rFonts w:hint="eastAsia" w:ascii="宋体" w:hAnsi="宋体" w:eastAsia="宋体" w:cs="宋体"/>
        </w:rPr>
      </w:pPr>
      <w:r>
        <w:rPr>
          <w:rFonts w:hint="eastAsia" w:ascii="宋体" w:hAnsi="宋体" w:eastAsia="宋体" w:cs="宋体"/>
        </w:rPr>
        <w:t>主要施工试验设备见附件五《主要试验仪器配置表》</w:t>
      </w:r>
    </w:p>
    <w:p w14:paraId="5BBA5501">
      <w:pPr>
        <w:pStyle w:val="5"/>
        <w:numPr>
          <w:ilvl w:val="2"/>
          <w:numId w:val="0"/>
        </w:numPr>
        <w:spacing w:line="360" w:lineRule="auto"/>
        <w:ind w:left="720" w:leftChars="0" w:hanging="720" w:firstLineChars="0"/>
        <w:rPr>
          <w:rFonts w:hint="eastAsia" w:ascii="宋体" w:hAnsi="宋体" w:eastAsia="宋体" w:cs="宋体"/>
          <w:color w:val="auto"/>
        </w:rPr>
      </w:pPr>
      <w:bookmarkStart w:id="1702" w:name="_Toc22682"/>
      <w:bookmarkStart w:id="1703" w:name="_Toc19629"/>
      <w:bookmarkStart w:id="1704" w:name="_Toc20464"/>
      <w:bookmarkStart w:id="1705" w:name="_Toc18203"/>
      <w:bookmarkStart w:id="1706" w:name="_Toc9186"/>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0</w:t>
      </w:r>
      <w:r>
        <w:rPr>
          <w:rFonts w:hint="default" w:ascii="宋体" w:hAnsi="宋体" w:eastAsia="宋体" w:cs="Times New Roman"/>
          <w:b/>
          <w:bCs/>
          <w:color w:val="auto"/>
          <w:kern w:val="2"/>
          <w:sz w:val="30"/>
          <w:szCs w:val="32"/>
          <w:lang w:val="en-US" w:eastAsia="zh-CN" w:bidi="ar-SA"/>
        </w:rPr>
        <w:t>.1.4.</w:t>
      </w:r>
      <w:r>
        <w:rPr>
          <w:rFonts w:hint="eastAsia" w:ascii="宋体" w:hAnsi="宋体" w:eastAsia="宋体" w:cs="宋体"/>
          <w:color w:val="auto"/>
        </w:rPr>
        <w:t>资金供应计划</w:t>
      </w:r>
      <w:bookmarkEnd w:id="1702"/>
      <w:bookmarkEnd w:id="1703"/>
      <w:bookmarkEnd w:id="1704"/>
      <w:bookmarkEnd w:id="1705"/>
      <w:bookmarkEnd w:id="1706"/>
    </w:p>
    <w:p w14:paraId="29E9177B">
      <w:pPr>
        <w:ind w:firstLine="480"/>
        <w:rPr>
          <w:rFonts w:hint="eastAsia" w:ascii="宋体" w:hAnsi="宋体" w:eastAsia="宋体" w:cs="宋体"/>
        </w:rPr>
      </w:pPr>
      <w:bookmarkStart w:id="1707" w:name="_Toc260036548"/>
      <w:bookmarkStart w:id="1708" w:name="_Toc392933473"/>
      <w:bookmarkStart w:id="1709" w:name="_Toc6924"/>
      <w:bookmarkStart w:id="1710" w:name="_Toc260036549"/>
      <w:bookmarkStart w:id="1711" w:name="_Toc260037158"/>
      <w:bookmarkStart w:id="1712" w:name="_Toc260037157"/>
      <w:bookmarkStart w:id="1713" w:name="_Toc392165585"/>
      <w:r>
        <w:rPr>
          <w:rFonts w:hint="eastAsia" w:ascii="宋体" w:hAnsi="宋体" w:eastAsia="宋体" w:cs="宋体"/>
        </w:rPr>
        <w:t>为了促进本项目的顺利实施，要管好建设资金，确保工程资金专款专用，并打入足够流动资金以保证工程的材料购置和资金周转。</w:t>
      </w:r>
    </w:p>
    <w:p w14:paraId="05C68BE2">
      <w:pPr>
        <w:ind w:firstLine="480"/>
        <w:rPr>
          <w:rFonts w:hint="eastAsia" w:ascii="宋体" w:hAnsi="宋体" w:eastAsia="宋体" w:cs="宋体"/>
        </w:rPr>
      </w:pPr>
      <w:r>
        <w:rPr>
          <w:rFonts w:hint="eastAsia" w:ascii="宋体" w:hAnsi="宋体" w:eastAsia="宋体" w:cs="宋体"/>
        </w:rPr>
        <w:t>1）资金管理的内容：为完成本项目施工工程内容在当地银行开设临时账户；将流动资金及甲方所拨付资金专项用于本项目建设。</w:t>
      </w:r>
    </w:p>
    <w:p w14:paraId="72E88070">
      <w:pPr>
        <w:ind w:firstLine="480"/>
        <w:rPr>
          <w:rFonts w:hint="eastAsia" w:ascii="宋体" w:hAnsi="宋体" w:eastAsia="宋体" w:cs="宋体"/>
        </w:rPr>
      </w:pPr>
      <w:r>
        <w:rPr>
          <w:rFonts w:hint="eastAsia" w:ascii="宋体" w:hAnsi="宋体" w:eastAsia="宋体" w:cs="宋体"/>
        </w:rPr>
        <w:t>2）具体措施</w:t>
      </w:r>
    </w:p>
    <w:p w14:paraId="556DC21F">
      <w:pPr>
        <w:ind w:firstLine="480"/>
        <w:rPr>
          <w:rFonts w:hint="eastAsia" w:ascii="宋体" w:hAnsi="宋体" w:eastAsia="宋体" w:cs="宋体"/>
        </w:rPr>
      </w:pPr>
      <w:r>
        <w:rPr>
          <w:rFonts w:hint="eastAsia" w:ascii="宋体" w:hAnsi="宋体" w:eastAsia="宋体" w:cs="宋体"/>
        </w:rPr>
        <w:t>1）项目经理部成立以后，尽快在当地银行开设临时账户；</w:t>
      </w:r>
    </w:p>
    <w:p w14:paraId="2EDBED80">
      <w:pPr>
        <w:ind w:firstLine="480"/>
        <w:rPr>
          <w:rFonts w:hint="eastAsia" w:ascii="宋体" w:hAnsi="宋体" w:eastAsia="宋体" w:cs="宋体"/>
        </w:rPr>
      </w:pPr>
      <w:r>
        <w:rPr>
          <w:rFonts w:hint="eastAsia" w:ascii="宋体" w:hAnsi="宋体" w:eastAsia="宋体" w:cs="宋体"/>
        </w:rPr>
        <w:t>2）确保本项目资金专款专用，不发生挪用、转移资金的现象；保证不通过权益转让、抵押、担保承担债务等任何其他方式使用项目部账户的资金；</w:t>
      </w:r>
    </w:p>
    <w:p w14:paraId="0B5C080E">
      <w:pPr>
        <w:ind w:firstLine="480"/>
        <w:rPr>
          <w:rFonts w:hint="eastAsia" w:ascii="宋体" w:hAnsi="宋体" w:eastAsia="宋体" w:cs="宋体"/>
        </w:rPr>
      </w:pPr>
      <w:r>
        <w:rPr>
          <w:rFonts w:hint="eastAsia" w:ascii="宋体" w:hAnsi="宋体" w:eastAsia="宋体" w:cs="宋体"/>
        </w:rPr>
        <w:t>3）办理材料、设备等采购业务（包括使用同城转账支票）时，应出示购货合同、协议和发票；在办理总额超过50万元以上的采购业务时，应将合同、协议和发票复印件送当地银行备案；</w:t>
      </w:r>
    </w:p>
    <w:p w14:paraId="629A3E50">
      <w:pPr>
        <w:ind w:firstLine="480"/>
        <w:rPr>
          <w:rFonts w:hint="eastAsia" w:ascii="宋体" w:hAnsi="宋体" w:eastAsia="宋体" w:cs="宋体"/>
        </w:rPr>
      </w:pPr>
      <w:r>
        <w:rPr>
          <w:rFonts w:hint="eastAsia" w:ascii="宋体" w:hAnsi="宋体" w:eastAsia="宋体" w:cs="宋体"/>
        </w:rPr>
        <w:t>4）购买应急材料、设备时可先办理支付手续，但事后必须补备有关资料；向分包单位支付工程进度款时，应附甲方批准分包的文件；</w:t>
      </w:r>
    </w:p>
    <w:p w14:paraId="591AE4FC">
      <w:pPr>
        <w:ind w:firstLine="480"/>
        <w:rPr>
          <w:rFonts w:hint="eastAsia" w:ascii="宋体" w:hAnsi="宋体" w:eastAsia="宋体" w:cs="宋体"/>
        </w:rPr>
      </w:pPr>
      <w:r>
        <w:rPr>
          <w:rFonts w:hint="eastAsia" w:ascii="宋体" w:hAnsi="宋体" w:eastAsia="宋体" w:cs="宋体"/>
          <w:highlight w:val="none"/>
        </w:rPr>
        <w:t>5）向上级单位缴纳管理费、机械设备及周转材料租赁摊销费、职工保险、养老及医疗统筹保险基金、工会经费等款项时，应附上级单位出具的转账通知等有关资料，以确保资金专款专用。</w:t>
      </w:r>
    </w:p>
    <w:bookmarkEnd w:id="1707"/>
    <w:bookmarkEnd w:id="1708"/>
    <w:bookmarkEnd w:id="1709"/>
    <w:bookmarkEnd w:id="1710"/>
    <w:bookmarkEnd w:id="1711"/>
    <w:bookmarkEnd w:id="1712"/>
    <w:bookmarkEnd w:id="1713"/>
    <w:p w14:paraId="6F74616F">
      <w:pPr>
        <w:pStyle w:val="2"/>
        <w:numPr>
          <w:ilvl w:val="0"/>
          <w:numId w:val="0"/>
        </w:numPr>
        <w:spacing w:line="360" w:lineRule="auto"/>
        <w:ind w:left="432" w:leftChars="0" w:hanging="432" w:firstLineChars="0"/>
        <w:jc w:val="left"/>
        <w:rPr>
          <w:rFonts w:hint="eastAsia" w:ascii="宋体" w:hAnsi="宋体" w:eastAsia="宋体" w:cs="宋体"/>
          <w:color w:val="auto"/>
        </w:rPr>
      </w:pPr>
      <w:bookmarkStart w:id="1714" w:name="_Toc22550"/>
      <w:bookmarkStart w:id="1715" w:name="_Toc24764"/>
      <w:bookmarkStart w:id="1716" w:name="_Toc4492"/>
      <w:bookmarkStart w:id="1717" w:name="_Toc4556"/>
      <w:bookmarkStart w:id="1718" w:name="_Toc32097"/>
      <w:r>
        <w:rPr>
          <w:rFonts w:hint="eastAsia" w:cs="Times New Roman"/>
          <w:b/>
          <w:bCs/>
          <w:color w:val="auto"/>
          <w:kern w:val="36"/>
          <w:sz w:val="36"/>
          <w:szCs w:val="48"/>
          <w:lang w:val="en-US" w:eastAsia="zh-CN" w:bidi="ar-SA"/>
        </w:rPr>
        <w:t xml:space="preserve">第十一章 </w:t>
      </w:r>
      <w:r>
        <w:rPr>
          <w:rFonts w:hint="eastAsia" w:ascii="宋体" w:hAnsi="宋体" w:eastAsia="宋体" w:cs="宋体"/>
          <w:color w:val="auto"/>
        </w:rPr>
        <w:t>工程质量管理体系及保证措施</w:t>
      </w:r>
      <w:bookmarkEnd w:id="1714"/>
      <w:bookmarkEnd w:id="1715"/>
      <w:bookmarkEnd w:id="1716"/>
      <w:bookmarkEnd w:id="1717"/>
      <w:bookmarkEnd w:id="1718"/>
    </w:p>
    <w:p w14:paraId="2798DF1E">
      <w:pPr>
        <w:pStyle w:val="4"/>
        <w:numPr>
          <w:ilvl w:val="1"/>
          <w:numId w:val="0"/>
        </w:numPr>
        <w:spacing w:line="360" w:lineRule="auto"/>
        <w:ind w:firstLine="0" w:firstLineChars="0"/>
        <w:rPr>
          <w:rFonts w:hint="eastAsia" w:ascii="宋体" w:hAnsi="宋体" w:eastAsia="宋体" w:cs="宋体"/>
          <w:color w:val="auto"/>
        </w:rPr>
      </w:pPr>
      <w:bookmarkStart w:id="1719" w:name="_Toc260036567"/>
      <w:bookmarkStart w:id="1720" w:name="_Toc10333"/>
      <w:bookmarkStart w:id="1721" w:name="_Toc21213"/>
      <w:bookmarkStart w:id="1722" w:name="_Toc25790"/>
      <w:bookmarkStart w:id="1723" w:name="_Toc4659"/>
      <w:bookmarkStart w:id="1724" w:name="_Toc25632"/>
      <w:bookmarkStart w:id="1725" w:name="_Toc21984"/>
      <w:bookmarkStart w:id="1726" w:name="_Toc29090"/>
      <w:bookmarkStart w:id="1727" w:name="_Toc260037197"/>
      <w:bookmarkStart w:id="1728" w:name="_Toc6891"/>
      <w:bookmarkStart w:id="1729" w:name="_Toc392933539"/>
      <w:bookmarkStart w:id="1730" w:name="_Toc19658"/>
      <w:bookmarkStart w:id="1731" w:name="_Toc4516"/>
      <w:bookmarkStart w:id="1732" w:name="_Toc7992"/>
      <w:bookmarkStart w:id="1733" w:name="_Toc392165641"/>
      <w:bookmarkStart w:id="1734" w:name="_Toc31649"/>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1</w:t>
      </w:r>
      <w:r>
        <w:rPr>
          <w:rFonts w:hint="default" w:ascii="宋体" w:hAnsi="宋体" w:eastAsia="宋体" w:cs="Times New Roman"/>
          <w:b/>
          <w:bCs/>
          <w:color w:val="auto"/>
          <w:kern w:val="2"/>
          <w:sz w:val="32"/>
          <w:szCs w:val="32"/>
          <w:lang w:val="en-US" w:eastAsia="zh-CN" w:bidi="ar-SA"/>
        </w:rPr>
        <w:t>.1.</w:t>
      </w:r>
      <w:r>
        <w:rPr>
          <w:rFonts w:hint="eastAsia" w:ascii="宋体" w:hAnsi="宋体" w:eastAsia="宋体" w:cs="宋体"/>
          <w:color w:val="auto"/>
        </w:rPr>
        <w:t>质量目标</w:t>
      </w:r>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p>
    <w:p w14:paraId="49532D36">
      <w:pPr>
        <w:ind w:firstLine="480"/>
        <w:rPr>
          <w:rFonts w:hint="eastAsia" w:ascii="宋体" w:hAnsi="宋体" w:eastAsia="宋体" w:cs="宋体"/>
        </w:rPr>
      </w:pPr>
      <w:r>
        <w:rPr>
          <w:rFonts w:hint="eastAsia" w:ascii="宋体" w:hAnsi="宋体" w:eastAsia="宋体" w:cs="宋体"/>
        </w:rPr>
        <w:t>为保证创优目标的实现，中标后将把本项目工程列为重点工程，严格GB/T19001-2016质量体系标准组织施工，调集经验丰富的技术管理人员，配备先进适用的机械设备，制定切实可行的创优措施，实行质量目标管理。</w:t>
      </w:r>
    </w:p>
    <w:p w14:paraId="232511DB">
      <w:pPr>
        <w:ind w:firstLine="480"/>
        <w:rPr>
          <w:rFonts w:hint="eastAsia" w:ascii="宋体" w:hAnsi="宋体" w:eastAsia="宋体" w:cs="宋体"/>
        </w:rPr>
      </w:pPr>
      <w:r>
        <w:rPr>
          <w:rFonts w:hint="eastAsia" w:ascii="宋体" w:hAnsi="宋体" w:eastAsia="宋体" w:cs="宋体"/>
        </w:rPr>
        <w:t>成立QC攻关小组，运用排列图、因果图等统计技术，分析影响质量波动的原因，采取对策进行控制，以达到创优目标。将QC小组成果发布，巩固和扩大活动成果。</w:t>
      </w:r>
    </w:p>
    <w:p w14:paraId="0FB0B2D8">
      <w:pPr>
        <w:ind w:firstLine="480"/>
        <w:rPr>
          <w:rFonts w:hint="eastAsia" w:ascii="宋体" w:hAnsi="宋体" w:eastAsia="宋体" w:cs="宋体"/>
        </w:rPr>
      </w:pPr>
      <w:r>
        <w:rPr>
          <w:rFonts w:hint="eastAsia" w:ascii="宋体" w:hAnsi="宋体" w:eastAsia="宋体" w:cs="宋体"/>
        </w:rPr>
        <w:t>开展全面质量管理活动，实行创优质量目标管理。依靠科学管理和科技进步，不断推广“四新”成果的应用，提高施工工艺水平，保证和提高工程质量。</w:t>
      </w:r>
    </w:p>
    <w:p w14:paraId="78DF38C0">
      <w:pPr>
        <w:ind w:firstLine="480"/>
        <w:rPr>
          <w:rFonts w:hint="eastAsia" w:ascii="宋体" w:hAnsi="宋体" w:eastAsia="宋体" w:cs="宋体"/>
        </w:rPr>
      </w:pPr>
      <w:r>
        <w:rPr>
          <w:rFonts w:hint="eastAsia" w:ascii="宋体" w:hAnsi="宋体" w:eastAsia="宋体" w:cs="宋体"/>
        </w:rPr>
        <w:t>推行工程建设“首件工程认可制”，抓好各分项工程的首件工程质量。</w:t>
      </w:r>
    </w:p>
    <w:p w14:paraId="43EB1B40">
      <w:pPr>
        <w:ind w:firstLine="480"/>
        <w:rPr>
          <w:rFonts w:hint="eastAsia" w:ascii="宋体" w:hAnsi="宋体" w:eastAsia="宋体" w:cs="宋体"/>
        </w:rPr>
      </w:pPr>
      <w:r>
        <w:rPr>
          <w:rFonts w:hint="eastAsia" w:ascii="宋体" w:hAnsi="宋体" w:eastAsia="宋体" w:cs="宋体"/>
        </w:rPr>
        <w:t>制定创优验收标准，验收分项分部工程，建立严格的工序监督和分项分部工程检查、检测制度。以严格的工序把关实现分项工程创优，以严格的分项工程创优实现分部工程和单位工程创优。</w:t>
      </w:r>
    </w:p>
    <w:p w14:paraId="39B4B298">
      <w:pPr>
        <w:pStyle w:val="4"/>
        <w:numPr>
          <w:ilvl w:val="1"/>
          <w:numId w:val="0"/>
        </w:numPr>
        <w:spacing w:line="360" w:lineRule="auto"/>
        <w:ind w:firstLine="0" w:firstLineChars="0"/>
        <w:rPr>
          <w:rFonts w:hint="eastAsia" w:ascii="宋体" w:hAnsi="宋体" w:eastAsia="宋体" w:cs="宋体"/>
          <w:color w:val="auto"/>
        </w:rPr>
      </w:pPr>
      <w:bookmarkStart w:id="1735" w:name="_Toc232929378"/>
      <w:bookmarkStart w:id="1736" w:name="_Toc32312"/>
      <w:bookmarkStart w:id="1737" w:name="_Toc7000"/>
      <w:bookmarkStart w:id="1738" w:name="_Toc1018"/>
      <w:bookmarkStart w:id="1739" w:name="_Toc10565"/>
      <w:bookmarkStart w:id="1740" w:name="_Toc16171"/>
      <w:bookmarkStart w:id="1741" w:name="_Toc22895"/>
      <w:bookmarkStart w:id="1742" w:name="_Toc392165642"/>
      <w:bookmarkStart w:id="1743" w:name="_Toc392933540"/>
      <w:bookmarkStart w:id="1744" w:name="_Toc21088"/>
      <w:bookmarkStart w:id="1745" w:name="_Toc260037198"/>
      <w:bookmarkStart w:id="1746" w:name="_Toc260036568"/>
      <w:bookmarkStart w:id="1747" w:name="_Toc5084"/>
      <w:bookmarkStart w:id="1748" w:name="_Toc3214"/>
      <w:bookmarkStart w:id="1749" w:name="_Toc11790"/>
      <w:bookmarkStart w:id="1750" w:name="_Toc11387"/>
      <w:bookmarkStart w:id="1751" w:name="_Toc19351"/>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1</w:t>
      </w:r>
      <w:r>
        <w:rPr>
          <w:rFonts w:hint="default" w:ascii="宋体" w:hAnsi="宋体" w:eastAsia="宋体" w:cs="Times New Roman"/>
          <w:b/>
          <w:bCs/>
          <w:color w:val="auto"/>
          <w:kern w:val="2"/>
          <w:sz w:val="32"/>
          <w:szCs w:val="32"/>
          <w:lang w:val="en-US" w:eastAsia="zh-CN" w:bidi="ar-SA"/>
        </w:rPr>
        <w:t>.2.</w:t>
      </w:r>
      <w:r>
        <w:rPr>
          <w:rFonts w:hint="eastAsia" w:ascii="宋体" w:hAnsi="宋体" w:eastAsia="宋体" w:cs="宋体"/>
          <w:color w:val="auto"/>
        </w:rPr>
        <w:t>质量保证体系</w:t>
      </w:r>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p>
    <w:p w14:paraId="2C399F1B">
      <w:pPr>
        <w:widowControl/>
        <w:snapToGrid w:val="0"/>
        <w:ind w:firstLine="480"/>
        <w:rPr>
          <w:rFonts w:hint="eastAsia" w:ascii="宋体" w:hAnsi="宋体" w:eastAsia="宋体" w:cs="宋体"/>
        </w:rPr>
      </w:pPr>
      <w:r>
        <w:rPr>
          <w:rFonts w:hint="eastAsia" w:ascii="宋体" w:hAnsi="宋体" w:eastAsia="宋体" w:cs="宋体"/>
        </w:rPr>
        <w:t>建立以项目经理为组长，总工程师为副组长，专职质检工程师、质检员和工程队长等参加的全面质量管理机构。辅以质量控制制度、质量教育、奖罚制度等形成质量保证体系。</w:t>
      </w:r>
    </w:p>
    <w:p w14:paraId="156CF314">
      <w:pPr>
        <w:widowControl/>
        <w:snapToGrid w:val="0"/>
        <w:ind w:firstLine="480"/>
        <w:rPr>
          <w:rFonts w:hint="eastAsia" w:ascii="宋体" w:hAnsi="宋体" w:eastAsia="宋体" w:cs="宋体"/>
        </w:rPr>
      </w:pPr>
      <w:r>
        <w:rPr>
          <w:rFonts w:hint="eastAsia" w:ascii="宋体" w:hAnsi="宋体" w:eastAsia="宋体" w:cs="宋体"/>
          <w:kern w:val="0"/>
        </w:rPr>
        <w:t>项目质量管理层的机构设置为：工程部、安全环保部、质检部、计划合同部、财务部、物资设备部、试验室、综合办公室等部门。</w:t>
      </w:r>
    </w:p>
    <w:p w14:paraId="32B9378D">
      <w:pPr>
        <w:ind w:firstLine="480"/>
        <w:rPr>
          <w:rFonts w:hint="default" w:ascii="宋体" w:hAnsi="宋体" w:eastAsia="宋体" w:cs="宋体"/>
          <w:lang w:val="en-US" w:eastAsia="zh-CN"/>
        </w:rPr>
      </w:pPr>
      <w:r>
        <w:rPr>
          <w:rFonts w:hint="eastAsia" w:ascii="宋体" w:hAnsi="宋体" w:eastAsia="宋体" w:cs="宋体"/>
          <w:lang w:val="en-US" w:eastAsia="zh-CN"/>
        </w:rPr>
        <w:t>组  长：</w:t>
      </w:r>
      <w:r>
        <w:rPr>
          <w:rFonts w:hint="eastAsia" w:ascii="宋体" w:hAnsi="宋体" w:cs="宋体"/>
          <w:lang w:val="en-US" w:eastAsia="zh-CN"/>
        </w:rPr>
        <w:t>李令举</w:t>
      </w:r>
    </w:p>
    <w:p w14:paraId="177BB38D">
      <w:pPr>
        <w:ind w:firstLine="480"/>
        <w:rPr>
          <w:rFonts w:hint="default" w:ascii="宋体" w:hAnsi="宋体" w:eastAsia="宋体" w:cs="宋体"/>
          <w:lang w:val="en-US" w:eastAsia="zh-CN"/>
        </w:rPr>
      </w:pPr>
      <w:r>
        <w:rPr>
          <w:rFonts w:hint="eastAsia" w:ascii="宋体" w:hAnsi="宋体" w:eastAsia="宋体" w:cs="宋体"/>
          <w:lang w:val="en-US" w:eastAsia="zh-CN"/>
        </w:rPr>
        <w:t>副组长：</w:t>
      </w:r>
      <w:r>
        <w:rPr>
          <w:rFonts w:hint="eastAsia" w:ascii="宋体" w:hAnsi="宋体" w:cs="宋体"/>
          <w:lang w:val="en-US" w:eastAsia="zh-CN"/>
        </w:rPr>
        <w:t>刘重阳、王磊、陈天</w:t>
      </w:r>
    </w:p>
    <w:p w14:paraId="1EAF0289">
      <w:pPr>
        <w:ind w:firstLine="480"/>
        <w:rPr>
          <w:rFonts w:hint="default" w:ascii="宋体" w:hAnsi="宋体" w:eastAsia="宋体" w:cs="宋体"/>
          <w:kern w:val="0"/>
          <w:lang w:val="en-US"/>
        </w:rPr>
      </w:pPr>
      <w:r>
        <w:rPr>
          <w:rFonts w:hint="eastAsia" w:ascii="宋体" w:hAnsi="宋体" w:eastAsia="宋体" w:cs="宋体"/>
          <w:lang w:val="en-US" w:eastAsia="zh-CN"/>
        </w:rPr>
        <w:t>组  员：</w:t>
      </w:r>
      <w:r>
        <w:rPr>
          <w:rFonts w:hint="eastAsia" w:ascii="宋体" w:hAnsi="宋体" w:cs="宋体"/>
          <w:lang w:val="en-US" w:eastAsia="zh-CN"/>
        </w:rPr>
        <w:t>费露、王帅军、叶卫卫、沈志伟、乔迈、陈建、孙阿伟、阙胜永</w:t>
      </w:r>
    </w:p>
    <w:p w14:paraId="74A7A595">
      <w:pPr>
        <w:widowControl/>
        <w:snapToGrid w:val="0"/>
        <w:ind w:firstLine="480"/>
        <w:rPr>
          <w:rFonts w:hint="eastAsia" w:ascii="宋体" w:hAnsi="宋体" w:eastAsia="宋体" w:cs="宋体"/>
          <w:kern w:val="0"/>
        </w:rPr>
      </w:pPr>
      <w:r>
        <w:rPr>
          <w:rFonts w:hint="eastAsia" w:ascii="宋体" w:hAnsi="宋体" w:eastAsia="宋体" w:cs="宋体"/>
          <w:kern w:val="0"/>
        </w:rPr>
        <w:t>项目经理对项目工程质量实行全面管理。项目总工程师对质量管理实施组织、领导和质量决策，并接受上级总工程师的指导。项目质检工程师在总工程师的直接领导下行使其质量工作权利，项目管理层应支持内部的工作。操作层生产班组（或工段）设质检员，从事自检、互检、专检等质检工作。</w:t>
      </w:r>
    </w:p>
    <w:p w14:paraId="366042E6">
      <w:pPr>
        <w:ind w:firstLine="480"/>
        <w:rPr>
          <w:rFonts w:hint="eastAsia" w:ascii="宋体" w:hAnsi="宋体" w:eastAsia="宋体" w:cs="宋体"/>
          <w:kern w:val="0"/>
        </w:rPr>
      </w:pPr>
      <w:r>
        <w:rPr>
          <w:rFonts w:hint="eastAsia" w:ascii="宋体" w:hAnsi="宋体" w:eastAsia="宋体" w:cs="宋体"/>
          <w:kern w:val="0"/>
        </w:rPr>
        <w:t>项目质量管理体系应有效配合“政府监督”、“社会监理”工作，确保“企业自检”环</w:t>
      </w:r>
    </w:p>
    <w:p w14:paraId="09469514">
      <w:pPr>
        <w:ind w:firstLine="0" w:firstLineChars="0"/>
        <w:rPr>
          <w:rFonts w:hint="eastAsia" w:ascii="宋体" w:hAnsi="宋体" w:eastAsia="宋体" w:cs="宋体"/>
          <w:kern w:val="0"/>
        </w:rPr>
      </w:pPr>
      <w:r>
        <w:rPr>
          <w:rFonts w:hint="eastAsia" w:ascii="宋体" w:hAnsi="宋体" w:eastAsia="宋体" w:cs="宋体"/>
          <w:kern w:val="0"/>
        </w:rPr>
        <w:t>节的有效性。应及时收集质量信息，并采取有效的纠正和预防措施。</w:t>
      </w:r>
    </w:p>
    <w:p w14:paraId="5BBC3566">
      <w:pPr>
        <w:ind w:firstLine="0" w:firstLineChars="0"/>
        <w:jc w:val="center"/>
        <w:rPr>
          <w:rFonts w:hint="eastAsia" w:ascii="宋体" w:hAnsi="宋体" w:eastAsia="宋体" w:cs="宋体"/>
        </w:rPr>
      </w:pPr>
      <w:r>
        <w:rPr>
          <w:rFonts w:hint="eastAsia" w:ascii="宋体" w:hAnsi="宋体" w:eastAsia="宋体" w:cs="宋体"/>
        </w:rPr>
        <w:t>质量管理组织机构</w:t>
      </w:r>
    </w:p>
    <w:p w14:paraId="50279F01">
      <w:pPr>
        <w:pStyle w:val="22"/>
        <w:rPr>
          <w:rFonts w:hint="eastAsia" w:ascii="宋体" w:hAnsi="宋体" w:eastAsia="宋体" w:cs="宋体"/>
        </w:rPr>
      </w:pPr>
      <w:r>
        <w:rPr>
          <w:rFonts w:hint="eastAsia" w:ascii="宋体" w:hAnsi="宋体" w:eastAsia="宋体" w:cs="宋体"/>
        </w:rPr>
        <mc:AlternateContent>
          <mc:Choice Requires="wpg">
            <w:drawing>
              <wp:anchor distT="0" distB="0" distL="114300" distR="114300" simplePos="0" relativeHeight="251669504" behindDoc="0" locked="0" layoutInCell="1" allowOverlap="1">
                <wp:simplePos x="0" y="0"/>
                <wp:positionH relativeFrom="column">
                  <wp:posOffset>465455</wp:posOffset>
                </wp:positionH>
                <wp:positionV relativeFrom="paragraph">
                  <wp:posOffset>55880</wp:posOffset>
                </wp:positionV>
                <wp:extent cx="5162550" cy="5203825"/>
                <wp:effectExtent l="5080" t="4445" r="13970" b="19050"/>
                <wp:wrapTopAndBottom/>
                <wp:docPr id="899" name="组合 183"/>
                <wp:cNvGraphicFramePr/>
                <a:graphic xmlns:a="http://schemas.openxmlformats.org/drawingml/2006/main">
                  <a:graphicData uri="http://schemas.microsoft.com/office/word/2010/wordprocessingGroup">
                    <wpg:wgp>
                      <wpg:cNvGrpSpPr/>
                      <wpg:grpSpPr>
                        <a:xfrm>
                          <a:off x="0" y="0"/>
                          <a:ext cx="5162550" cy="5203825"/>
                          <a:chOff x="3336" y="6320210"/>
                          <a:chExt cx="7455" cy="6033"/>
                        </a:xfrm>
                      </wpg:grpSpPr>
                      <wps:wsp>
                        <wps:cNvPr id="858" name="文本框 142"/>
                        <wps:cNvSpPr txBox="1"/>
                        <wps:spPr>
                          <a:xfrm>
                            <a:off x="6186" y="6320210"/>
                            <a:ext cx="1871" cy="43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38A0935">
                              <w:pPr>
                                <w:pStyle w:val="19"/>
                              </w:pPr>
                              <w:r>
                                <w:rPr>
                                  <w:rFonts w:hint="eastAsia"/>
                                </w:rPr>
                                <w:t>项目经理（组长）</w:t>
                              </w:r>
                            </w:p>
                          </w:txbxContent>
                        </wps:txbx>
                        <wps:bodyPr upright="1"/>
                      </wps:wsp>
                      <wpg:grpSp>
                        <wpg:cNvPr id="896" name="组合 182"/>
                        <wpg:cNvGrpSpPr/>
                        <wpg:grpSpPr>
                          <a:xfrm>
                            <a:off x="3336" y="6321161"/>
                            <a:ext cx="7455" cy="5082"/>
                            <a:chOff x="3336" y="6321161"/>
                            <a:chExt cx="7455" cy="5082"/>
                          </a:xfrm>
                        </wpg:grpSpPr>
                        <wps:wsp>
                          <wps:cNvPr id="859" name="文本框 141"/>
                          <wps:cNvSpPr txBox="1"/>
                          <wps:spPr>
                            <a:xfrm>
                              <a:off x="4596" y="6321161"/>
                              <a:ext cx="540" cy="171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D58CD42">
                                <w:pPr>
                                  <w:ind w:firstLine="31680"/>
                                  <w:jc w:val="center"/>
                                  <w:rPr>
                                    <w:rFonts w:eastAsia="仿宋_GB2312"/>
                                    <w:sz w:val="21"/>
                                  </w:rPr>
                                </w:pPr>
                              </w:p>
                              <w:p w14:paraId="357490BB">
                                <w:pPr>
                                  <w:pStyle w:val="19"/>
                                </w:pPr>
                                <w:r>
                                  <w:rPr>
                                    <w:rFonts w:hint="eastAsia"/>
                                  </w:rPr>
                                  <w:t>质量</w:t>
                                </w:r>
                              </w:p>
                              <w:p w14:paraId="64E8DFD3">
                                <w:pPr>
                                  <w:pStyle w:val="19"/>
                                </w:pPr>
                                <w:r>
                                  <w:rPr>
                                    <w:rFonts w:hint="eastAsia"/>
                                  </w:rPr>
                                  <w:t>信息</w:t>
                                </w:r>
                              </w:p>
                            </w:txbxContent>
                          </wps:txbx>
                          <wps:bodyPr upright="1"/>
                        </wps:wsp>
                        <wps:wsp>
                          <wps:cNvPr id="860" name="文本框 143"/>
                          <wps:cNvSpPr txBox="1"/>
                          <wps:spPr>
                            <a:xfrm>
                              <a:off x="6396" y="6321785"/>
                              <a:ext cx="1800" cy="93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9B4BFE1">
                                <w:pPr>
                                  <w:pStyle w:val="42"/>
                                  <w:ind w:firstLine="31680"/>
                                  <w:rPr>
                                    <w:sz w:val="10"/>
                                  </w:rPr>
                                </w:pPr>
                              </w:p>
                              <w:p w14:paraId="41C03BF4">
                                <w:pPr>
                                  <w:pStyle w:val="19"/>
                                </w:pPr>
                                <w:r>
                                  <w:rPr>
                                    <w:rFonts w:hint="eastAsia"/>
                                  </w:rPr>
                                  <w:t>质量领导小组（专职质量员）</w:t>
                                </w:r>
                              </w:p>
                            </w:txbxContent>
                          </wps:txbx>
                          <wps:bodyPr upright="1"/>
                        </wps:wsp>
                        <wps:wsp>
                          <wps:cNvPr id="861" name="直线 144"/>
                          <wps:cNvCnPr/>
                          <wps:spPr>
                            <a:xfrm>
                              <a:off x="5136" y="6321317"/>
                              <a:ext cx="964" cy="0"/>
                            </a:xfrm>
                            <a:prstGeom prst="line">
                              <a:avLst/>
                            </a:prstGeom>
                            <a:ln w="3175" cap="sq" cmpd="sng">
                              <a:solidFill>
                                <a:srgbClr val="000000"/>
                              </a:solidFill>
                              <a:prstDash val="sysDot"/>
                              <a:headEnd type="none" w="med" len="med"/>
                              <a:tailEnd type="triangle" w="med" len="med"/>
                            </a:ln>
                          </wps:spPr>
                          <wps:bodyPr upright="1"/>
                        </wps:wsp>
                        <wps:wsp>
                          <wps:cNvPr id="862" name="直线 874"/>
                          <wps:cNvCnPr/>
                          <wps:spPr>
                            <a:xfrm flipH="1">
                              <a:off x="5136" y="6322410"/>
                              <a:ext cx="1260" cy="0"/>
                            </a:xfrm>
                            <a:prstGeom prst="line">
                              <a:avLst/>
                            </a:prstGeom>
                            <a:ln w="3175" cap="sq" cmpd="sng">
                              <a:solidFill>
                                <a:srgbClr val="000000"/>
                              </a:solidFill>
                              <a:prstDash val="sysDot"/>
                              <a:headEnd type="none" w="med" len="med"/>
                              <a:tailEnd type="triangle" w="med" len="med"/>
                            </a:ln>
                          </wps:spPr>
                          <wps:bodyPr upright="1"/>
                        </wps:wsp>
                        <wps:wsp>
                          <wps:cNvPr id="863" name="文本框 147"/>
                          <wps:cNvSpPr txBox="1"/>
                          <wps:spPr>
                            <a:xfrm>
                              <a:off x="3336" y="6323345"/>
                              <a:ext cx="540" cy="124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B7C2CE0">
                                <w:pPr>
                                  <w:pStyle w:val="19"/>
                                </w:pPr>
                                <w:r>
                                  <w:rPr>
                                    <w:rFonts w:hint="eastAsia"/>
                                  </w:rPr>
                                  <w:t>专业工长</w:t>
                                </w:r>
                              </w:p>
                            </w:txbxContent>
                          </wps:txbx>
                          <wps:bodyPr vert="eaVert" upright="1"/>
                        </wps:wsp>
                        <wps:wsp>
                          <wps:cNvPr id="864" name="文本框 148"/>
                          <wps:cNvSpPr txBox="1"/>
                          <wps:spPr>
                            <a:xfrm>
                              <a:off x="4701" y="6323345"/>
                              <a:ext cx="615" cy="124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B48FD8C">
                                <w:pPr>
                                  <w:pStyle w:val="19"/>
                                </w:pPr>
                                <w:r>
                                  <w:rPr>
                                    <w:rFonts w:hint="eastAsia"/>
                                  </w:rPr>
                                  <w:t>材料员</w:t>
                                </w:r>
                              </w:p>
                            </w:txbxContent>
                          </wps:txbx>
                          <wps:bodyPr vert="eaVert" upright="1"/>
                        </wps:wsp>
                        <wps:wsp>
                          <wps:cNvPr id="865" name="文本框 149"/>
                          <wps:cNvSpPr txBox="1"/>
                          <wps:spPr>
                            <a:xfrm>
                              <a:off x="5961" y="6323345"/>
                              <a:ext cx="630" cy="124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6193933">
                                <w:pPr>
                                  <w:pStyle w:val="19"/>
                                </w:pPr>
                                <w:r>
                                  <w:rPr>
                                    <w:rFonts w:hint="eastAsia"/>
                                  </w:rPr>
                                  <w:t>技术员</w:t>
                                </w:r>
                              </w:p>
                            </w:txbxContent>
                          </wps:txbx>
                          <wps:bodyPr vert="eaVert" upright="1"/>
                        </wps:wsp>
                        <wps:wsp>
                          <wps:cNvPr id="866" name="文本框 150"/>
                          <wps:cNvSpPr txBox="1"/>
                          <wps:spPr>
                            <a:xfrm>
                              <a:off x="7296" y="6323345"/>
                              <a:ext cx="540" cy="124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620DDCD">
                                <w:pPr>
                                  <w:pStyle w:val="19"/>
                                </w:pPr>
                                <w:r>
                                  <w:rPr>
                                    <w:rFonts w:hint="eastAsia"/>
                                  </w:rPr>
                                  <w:t>资料员</w:t>
                                </w:r>
                              </w:p>
                            </w:txbxContent>
                          </wps:txbx>
                          <wps:bodyPr vert="eaVert" upright="1"/>
                        </wps:wsp>
                        <wps:wsp>
                          <wps:cNvPr id="867" name="文本框 151"/>
                          <wps:cNvSpPr txBox="1"/>
                          <wps:spPr>
                            <a:xfrm>
                              <a:off x="8376" y="6323345"/>
                              <a:ext cx="540" cy="124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DFEEC4B">
                                <w:pPr>
                                  <w:pStyle w:val="19"/>
                                </w:pPr>
                                <w:r>
                                  <w:rPr>
                                    <w:rFonts w:hint="eastAsia"/>
                                  </w:rPr>
                                  <w:t>试验员</w:t>
                                </w:r>
                              </w:p>
                            </w:txbxContent>
                          </wps:txbx>
                          <wps:bodyPr vert="eaVert" upright="1"/>
                        </wps:wsp>
                        <wps:wsp>
                          <wps:cNvPr id="868" name="文本框 152"/>
                          <wps:cNvSpPr txBox="1"/>
                          <wps:spPr>
                            <a:xfrm>
                              <a:off x="9276" y="6323345"/>
                              <a:ext cx="540" cy="124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FB1BCAD">
                                <w:pPr>
                                  <w:pStyle w:val="19"/>
                                </w:pPr>
                                <w:r>
                                  <w:rPr>
                                    <w:rFonts w:hint="eastAsia"/>
                                  </w:rPr>
                                  <w:t>测量员</w:t>
                                </w:r>
                              </w:p>
                            </w:txbxContent>
                          </wps:txbx>
                          <wps:bodyPr vert="eaVert" upright="1"/>
                        </wps:wsp>
                        <wps:wsp>
                          <wps:cNvPr id="869" name="直线 881"/>
                          <wps:cNvCnPr/>
                          <wps:spPr>
                            <a:xfrm>
                              <a:off x="3696" y="6323033"/>
                              <a:ext cx="5760" cy="0"/>
                            </a:xfrm>
                            <a:prstGeom prst="line">
                              <a:avLst/>
                            </a:prstGeom>
                            <a:ln w="3175" cap="flat" cmpd="sng">
                              <a:solidFill>
                                <a:srgbClr val="000000"/>
                              </a:solidFill>
                              <a:prstDash val="solid"/>
                              <a:headEnd type="none" w="med" len="med"/>
                              <a:tailEnd type="none" w="med" len="med"/>
                            </a:ln>
                          </wps:spPr>
                          <wps:bodyPr upright="1"/>
                        </wps:wsp>
                        <wps:wsp>
                          <wps:cNvPr id="870" name="直线 882"/>
                          <wps:cNvCnPr/>
                          <wps:spPr>
                            <a:xfrm>
                              <a:off x="3696" y="6323033"/>
                              <a:ext cx="0" cy="312"/>
                            </a:xfrm>
                            <a:prstGeom prst="line">
                              <a:avLst/>
                            </a:prstGeom>
                            <a:ln w="3175" cap="flat" cmpd="sng">
                              <a:solidFill>
                                <a:srgbClr val="000000"/>
                              </a:solidFill>
                              <a:prstDash val="solid"/>
                              <a:headEnd type="none" w="med" len="med"/>
                              <a:tailEnd type="none" w="med" len="med"/>
                            </a:ln>
                          </wps:spPr>
                          <wps:bodyPr upright="1"/>
                        </wps:wsp>
                        <wps:wsp>
                          <wps:cNvPr id="871" name="直线 883"/>
                          <wps:cNvCnPr/>
                          <wps:spPr>
                            <a:xfrm>
                              <a:off x="4956" y="6323033"/>
                              <a:ext cx="0" cy="312"/>
                            </a:xfrm>
                            <a:prstGeom prst="line">
                              <a:avLst/>
                            </a:prstGeom>
                            <a:ln w="3175" cap="flat" cmpd="sng">
                              <a:solidFill>
                                <a:srgbClr val="000000"/>
                              </a:solidFill>
                              <a:prstDash val="solid"/>
                              <a:headEnd type="none" w="med" len="med"/>
                              <a:tailEnd type="none" w="med" len="med"/>
                            </a:ln>
                          </wps:spPr>
                          <wps:bodyPr upright="1"/>
                        </wps:wsp>
                        <wps:wsp>
                          <wps:cNvPr id="872" name="直线 884"/>
                          <wps:cNvCnPr/>
                          <wps:spPr>
                            <a:xfrm>
                              <a:off x="6276" y="6323033"/>
                              <a:ext cx="0" cy="312"/>
                            </a:xfrm>
                            <a:prstGeom prst="line">
                              <a:avLst/>
                            </a:prstGeom>
                            <a:ln w="3175" cap="flat" cmpd="sng">
                              <a:solidFill>
                                <a:srgbClr val="000000"/>
                              </a:solidFill>
                              <a:prstDash val="solid"/>
                              <a:headEnd type="none" w="med" len="med"/>
                              <a:tailEnd type="none" w="med" len="med"/>
                            </a:ln>
                          </wps:spPr>
                          <wps:bodyPr upright="1"/>
                        </wps:wsp>
                        <wps:wsp>
                          <wps:cNvPr id="873" name="直线 885"/>
                          <wps:cNvCnPr/>
                          <wps:spPr>
                            <a:xfrm>
                              <a:off x="7656" y="6323033"/>
                              <a:ext cx="0" cy="312"/>
                            </a:xfrm>
                            <a:prstGeom prst="line">
                              <a:avLst/>
                            </a:prstGeom>
                            <a:ln w="3175" cap="flat" cmpd="sng">
                              <a:solidFill>
                                <a:srgbClr val="000000"/>
                              </a:solidFill>
                              <a:prstDash val="solid"/>
                              <a:headEnd type="none" w="med" len="med"/>
                              <a:tailEnd type="none" w="med" len="med"/>
                            </a:ln>
                          </wps:spPr>
                          <wps:bodyPr upright="1"/>
                        </wps:wsp>
                        <wps:wsp>
                          <wps:cNvPr id="874" name="直线 158"/>
                          <wps:cNvCnPr/>
                          <wps:spPr>
                            <a:xfrm>
                              <a:off x="8736" y="6323033"/>
                              <a:ext cx="0" cy="312"/>
                            </a:xfrm>
                            <a:prstGeom prst="line">
                              <a:avLst/>
                            </a:prstGeom>
                            <a:ln w="3175" cap="flat" cmpd="sng">
                              <a:solidFill>
                                <a:srgbClr val="000000"/>
                              </a:solidFill>
                              <a:prstDash val="solid"/>
                              <a:headEnd type="none" w="med" len="med"/>
                              <a:tailEnd type="none" w="med" len="med"/>
                            </a:ln>
                          </wps:spPr>
                          <wps:bodyPr upright="1"/>
                        </wps:wsp>
                        <wps:wsp>
                          <wps:cNvPr id="875" name="直线 159"/>
                          <wps:cNvCnPr/>
                          <wps:spPr>
                            <a:xfrm>
                              <a:off x="9456" y="6323033"/>
                              <a:ext cx="0" cy="312"/>
                            </a:xfrm>
                            <a:prstGeom prst="line">
                              <a:avLst/>
                            </a:prstGeom>
                            <a:ln w="3175" cap="flat" cmpd="sng">
                              <a:solidFill>
                                <a:srgbClr val="000000"/>
                              </a:solidFill>
                              <a:prstDash val="solid"/>
                              <a:headEnd type="none" w="med" len="med"/>
                              <a:tailEnd type="none" w="med" len="med"/>
                            </a:ln>
                          </wps:spPr>
                          <wps:bodyPr upright="1"/>
                        </wps:wsp>
                        <wps:wsp>
                          <wps:cNvPr id="876" name="文本框 160"/>
                          <wps:cNvSpPr txBox="1"/>
                          <wps:spPr>
                            <a:xfrm>
                              <a:off x="9996" y="6323657"/>
                              <a:ext cx="795" cy="78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F06E0B3">
                                <w:pPr>
                                  <w:pStyle w:val="19"/>
                                </w:pPr>
                                <w:r>
                                  <w:rPr>
                                    <w:rFonts w:hint="eastAsia"/>
                                  </w:rPr>
                                  <w:t>质量</w:t>
                                </w:r>
                              </w:p>
                              <w:p w14:paraId="03B0CA63">
                                <w:pPr>
                                  <w:pStyle w:val="19"/>
                                </w:pPr>
                                <w:r>
                                  <w:rPr>
                                    <w:rFonts w:hint="eastAsia"/>
                                  </w:rPr>
                                  <w:t>信息</w:t>
                                </w:r>
                              </w:p>
                              <w:p w14:paraId="2D8BBFFF">
                                <w:pPr>
                                  <w:ind w:left="31680" w:hanging="720" w:hangingChars="300"/>
                                </w:pPr>
                              </w:p>
                              <w:p w14:paraId="395813F4">
                                <w:pPr>
                                  <w:ind w:firstLine="31680"/>
                                </w:pPr>
                                <w:r>
                                  <w:rPr>
                                    <w:rFonts w:hint="eastAsia"/>
                                  </w:rPr>
                                  <w:t>量</w:t>
                                </w:r>
                              </w:p>
                            </w:txbxContent>
                          </wps:txbx>
                          <wps:bodyPr upright="1"/>
                        </wps:wsp>
                        <wps:wsp>
                          <wps:cNvPr id="877" name="直线 889"/>
                          <wps:cNvCnPr/>
                          <wps:spPr>
                            <a:xfrm>
                              <a:off x="10536" y="6322410"/>
                              <a:ext cx="0" cy="1248"/>
                            </a:xfrm>
                            <a:prstGeom prst="line">
                              <a:avLst/>
                            </a:prstGeom>
                            <a:ln w="3175" cap="flat" cmpd="sng">
                              <a:solidFill>
                                <a:srgbClr val="000000"/>
                              </a:solidFill>
                              <a:prstDash val="sysDot"/>
                              <a:headEnd type="none" w="med" len="med"/>
                              <a:tailEnd type="none" w="med" len="med"/>
                            </a:ln>
                          </wps:spPr>
                          <wps:bodyPr upright="1"/>
                        </wps:wsp>
                        <wps:wsp>
                          <wps:cNvPr id="878" name="直线 162"/>
                          <wps:cNvCnPr/>
                          <wps:spPr>
                            <a:xfrm flipH="1">
                              <a:off x="8196" y="6322410"/>
                              <a:ext cx="2340" cy="0"/>
                            </a:xfrm>
                            <a:prstGeom prst="line">
                              <a:avLst/>
                            </a:prstGeom>
                            <a:ln w="3175" cap="sq" cmpd="sng">
                              <a:solidFill>
                                <a:srgbClr val="000000"/>
                              </a:solidFill>
                              <a:prstDash val="sysDot"/>
                              <a:headEnd type="none" w="med" len="med"/>
                              <a:tailEnd type="triangle" w="med" len="med"/>
                            </a:ln>
                          </wps:spPr>
                          <wps:bodyPr upright="1"/>
                        </wps:wsp>
                        <wps:wsp>
                          <wps:cNvPr id="879" name="直线 891"/>
                          <wps:cNvCnPr/>
                          <wps:spPr>
                            <a:xfrm>
                              <a:off x="3516" y="6324905"/>
                              <a:ext cx="5940" cy="0"/>
                            </a:xfrm>
                            <a:prstGeom prst="line">
                              <a:avLst/>
                            </a:prstGeom>
                            <a:ln w="3175" cap="flat" cmpd="sng">
                              <a:solidFill>
                                <a:srgbClr val="000000"/>
                              </a:solidFill>
                              <a:prstDash val="solid"/>
                              <a:headEnd type="none" w="med" len="med"/>
                              <a:tailEnd type="none" w="med" len="med"/>
                            </a:ln>
                          </wps:spPr>
                          <wps:bodyPr upright="1"/>
                        </wps:wsp>
                        <wps:wsp>
                          <wps:cNvPr id="880" name="直线 164"/>
                          <wps:cNvCnPr/>
                          <wps:spPr>
                            <a:xfrm>
                              <a:off x="3516" y="6324593"/>
                              <a:ext cx="0" cy="312"/>
                            </a:xfrm>
                            <a:prstGeom prst="line">
                              <a:avLst/>
                            </a:prstGeom>
                            <a:ln w="3175" cap="flat" cmpd="sng">
                              <a:solidFill>
                                <a:srgbClr val="000000"/>
                              </a:solidFill>
                              <a:prstDash val="solid"/>
                              <a:headEnd type="none" w="med" len="med"/>
                              <a:tailEnd type="none" w="med" len="med"/>
                            </a:ln>
                          </wps:spPr>
                          <wps:bodyPr upright="1"/>
                        </wps:wsp>
                        <wps:wsp>
                          <wps:cNvPr id="881" name="直线 893"/>
                          <wps:cNvCnPr/>
                          <wps:spPr>
                            <a:xfrm>
                              <a:off x="4956" y="6324593"/>
                              <a:ext cx="0" cy="312"/>
                            </a:xfrm>
                            <a:prstGeom prst="line">
                              <a:avLst/>
                            </a:prstGeom>
                            <a:ln w="3175" cap="flat" cmpd="sng">
                              <a:solidFill>
                                <a:srgbClr val="000000"/>
                              </a:solidFill>
                              <a:prstDash val="solid"/>
                              <a:headEnd type="none" w="med" len="med"/>
                              <a:tailEnd type="none" w="med" len="med"/>
                            </a:ln>
                          </wps:spPr>
                          <wps:bodyPr upright="1"/>
                        </wps:wsp>
                        <wps:wsp>
                          <wps:cNvPr id="882" name="直线 166"/>
                          <wps:cNvCnPr/>
                          <wps:spPr>
                            <a:xfrm>
                              <a:off x="7656" y="6324593"/>
                              <a:ext cx="0" cy="312"/>
                            </a:xfrm>
                            <a:prstGeom prst="line">
                              <a:avLst/>
                            </a:prstGeom>
                            <a:ln w="3175" cap="flat" cmpd="sng">
                              <a:solidFill>
                                <a:srgbClr val="000000"/>
                              </a:solidFill>
                              <a:prstDash val="solid"/>
                              <a:headEnd type="none" w="med" len="med"/>
                              <a:tailEnd type="none" w="med" len="med"/>
                            </a:ln>
                          </wps:spPr>
                          <wps:bodyPr upright="1"/>
                        </wps:wsp>
                        <wps:wsp>
                          <wps:cNvPr id="883" name="直线 167"/>
                          <wps:cNvCnPr/>
                          <wps:spPr>
                            <a:xfrm>
                              <a:off x="8736" y="6324593"/>
                              <a:ext cx="0" cy="312"/>
                            </a:xfrm>
                            <a:prstGeom prst="line">
                              <a:avLst/>
                            </a:prstGeom>
                            <a:ln w="3175" cap="flat" cmpd="sng">
                              <a:solidFill>
                                <a:srgbClr val="000000"/>
                              </a:solidFill>
                              <a:prstDash val="solid"/>
                              <a:headEnd type="none" w="med" len="med"/>
                              <a:tailEnd type="none" w="med" len="med"/>
                            </a:ln>
                          </wps:spPr>
                          <wps:bodyPr upright="1"/>
                        </wps:wsp>
                        <wps:wsp>
                          <wps:cNvPr id="884" name="直线 168"/>
                          <wps:cNvCnPr/>
                          <wps:spPr>
                            <a:xfrm>
                              <a:off x="9456" y="6324593"/>
                              <a:ext cx="0" cy="312"/>
                            </a:xfrm>
                            <a:prstGeom prst="line">
                              <a:avLst/>
                            </a:prstGeom>
                            <a:ln w="3175" cap="flat" cmpd="sng">
                              <a:solidFill>
                                <a:srgbClr val="000000"/>
                              </a:solidFill>
                              <a:prstDash val="solid"/>
                              <a:headEnd type="none" w="med" len="med"/>
                              <a:tailEnd type="none" w="med" len="med"/>
                            </a:ln>
                          </wps:spPr>
                          <wps:bodyPr upright="1"/>
                        </wps:wsp>
                        <wps:wsp>
                          <wps:cNvPr id="885" name="文本框 897"/>
                          <wps:cNvSpPr txBox="1"/>
                          <wps:spPr>
                            <a:xfrm>
                              <a:off x="3516" y="6325218"/>
                              <a:ext cx="1247" cy="68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01EDA0A">
                                <w:pPr>
                                  <w:ind w:firstLine="0" w:firstLineChars="0"/>
                                  <w:jc w:val="both"/>
                                  <w:rPr>
                                    <w:rStyle w:val="165"/>
                                    <w:rFonts w:hAnsi="Calibri" w:eastAsia="微软雅黑"/>
                                    <w:sz w:val="21"/>
                                  </w:rPr>
                                </w:pPr>
                                <w:r>
                                  <w:rPr>
                                    <w:rStyle w:val="165"/>
                                    <w:rFonts w:hint="eastAsia"/>
                                    <w:sz w:val="21"/>
                                  </w:rPr>
                                  <w:t>自检信息</w:t>
                                </w:r>
                              </w:p>
                            </w:txbxContent>
                          </wps:txbx>
                          <wps:bodyPr upright="1"/>
                        </wps:wsp>
                        <wps:wsp>
                          <wps:cNvPr id="886" name="文本框 170"/>
                          <wps:cNvSpPr txBox="1"/>
                          <wps:spPr>
                            <a:xfrm>
                              <a:off x="6066" y="6325151"/>
                              <a:ext cx="2160"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9F218BA">
                                <w:pPr>
                                  <w:pStyle w:val="19"/>
                                </w:pPr>
                                <w:r>
                                  <w:rPr>
                                    <w:rFonts w:hint="eastAsia"/>
                                  </w:rPr>
                                  <w:t>劳务队伍管理班子</w:t>
                                </w:r>
                              </w:p>
                            </w:txbxContent>
                          </wps:txbx>
                          <wps:bodyPr upright="1"/>
                        </wps:wsp>
                        <wps:wsp>
                          <wps:cNvPr id="887" name="直线 171"/>
                          <wps:cNvCnPr/>
                          <wps:spPr>
                            <a:xfrm>
                              <a:off x="4386" y="6325307"/>
                              <a:ext cx="1716" cy="0"/>
                            </a:xfrm>
                            <a:prstGeom prst="line">
                              <a:avLst/>
                            </a:prstGeom>
                            <a:ln w="3175" cap="sq" cmpd="sng">
                              <a:solidFill>
                                <a:srgbClr val="000000"/>
                              </a:solidFill>
                              <a:prstDash val="sysDot"/>
                              <a:headEnd type="none" w="med" len="med"/>
                              <a:tailEnd type="triangle" w="med" len="med"/>
                            </a:ln>
                          </wps:spPr>
                          <wps:bodyPr upright="1"/>
                        </wps:wsp>
                        <wps:wsp>
                          <wps:cNvPr id="888" name="直线 172"/>
                          <wps:cNvCnPr/>
                          <wps:spPr>
                            <a:xfrm flipH="1">
                              <a:off x="4386" y="6325931"/>
                              <a:ext cx="1680" cy="0"/>
                            </a:xfrm>
                            <a:prstGeom prst="line">
                              <a:avLst/>
                            </a:prstGeom>
                            <a:ln w="3175" cap="flat" cmpd="sng">
                              <a:solidFill>
                                <a:srgbClr val="000000"/>
                              </a:solidFill>
                              <a:prstDash val="sysDot"/>
                              <a:headEnd type="none" w="med" len="med"/>
                              <a:tailEnd type="triangle" w="med" len="med"/>
                            </a:ln>
                          </wps:spPr>
                          <wps:bodyPr upright="1"/>
                        </wps:wsp>
                        <wps:wsp>
                          <wps:cNvPr id="889" name="直线 173"/>
                          <wps:cNvCnPr/>
                          <wps:spPr>
                            <a:xfrm flipV="1">
                              <a:off x="10536" y="6324437"/>
                              <a:ext cx="0" cy="936"/>
                            </a:xfrm>
                            <a:prstGeom prst="line">
                              <a:avLst/>
                            </a:prstGeom>
                            <a:ln w="3175" cap="sq" cmpd="sng">
                              <a:solidFill>
                                <a:srgbClr val="000000"/>
                              </a:solidFill>
                              <a:prstDash val="sysDot"/>
                              <a:headEnd type="none" w="med" len="med"/>
                              <a:tailEnd type="triangle" w="med" len="med"/>
                            </a:ln>
                          </wps:spPr>
                          <wps:bodyPr upright="1"/>
                        </wps:wsp>
                        <wps:wsp>
                          <wps:cNvPr id="890" name="直线 174"/>
                          <wps:cNvCnPr/>
                          <wps:spPr>
                            <a:xfrm>
                              <a:off x="7116" y="6322722"/>
                              <a:ext cx="0" cy="312"/>
                            </a:xfrm>
                            <a:prstGeom prst="line">
                              <a:avLst/>
                            </a:prstGeom>
                            <a:ln w="3175" cap="flat" cmpd="sng">
                              <a:solidFill>
                                <a:srgbClr val="000000"/>
                              </a:solidFill>
                              <a:prstDash val="solid"/>
                              <a:headEnd type="none" w="med" len="med"/>
                              <a:tailEnd type="triangle" w="med" len="med"/>
                            </a:ln>
                          </wps:spPr>
                          <wps:bodyPr upright="1"/>
                        </wps:wsp>
                        <wps:wsp>
                          <wps:cNvPr id="891" name="直线 175"/>
                          <wps:cNvCnPr/>
                          <wps:spPr>
                            <a:xfrm>
                              <a:off x="6279" y="6324591"/>
                              <a:ext cx="0" cy="312"/>
                            </a:xfrm>
                            <a:prstGeom prst="line">
                              <a:avLst/>
                            </a:prstGeom>
                            <a:ln w="3175" cap="flat" cmpd="sng">
                              <a:solidFill>
                                <a:srgbClr val="000000"/>
                              </a:solidFill>
                              <a:prstDash val="solid"/>
                              <a:headEnd type="none" w="med" len="med"/>
                              <a:tailEnd type="none" w="med" len="med"/>
                            </a:ln>
                          </wps:spPr>
                          <wps:bodyPr upright="1"/>
                        </wps:wsp>
                        <wps:wsp>
                          <wps:cNvPr id="892" name="文本框 176"/>
                          <wps:cNvSpPr txBox="1"/>
                          <wps:spPr>
                            <a:xfrm>
                              <a:off x="6066" y="6325775"/>
                              <a:ext cx="2160"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F09BAA7">
                                <w:pPr>
                                  <w:pStyle w:val="19"/>
                                </w:pPr>
                                <w:r>
                                  <w:rPr>
                                    <w:rFonts w:hint="eastAsia"/>
                                  </w:rPr>
                                  <w:t>劳务队伍施工班组</w:t>
                                </w:r>
                              </w:p>
                            </w:txbxContent>
                          </wps:txbx>
                          <wps:bodyPr upright="1"/>
                        </wps:wsp>
                        <wps:wsp>
                          <wps:cNvPr id="893" name="直线 177"/>
                          <wps:cNvCnPr/>
                          <wps:spPr>
                            <a:xfrm>
                              <a:off x="8306" y="6325351"/>
                              <a:ext cx="2205" cy="0"/>
                            </a:xfrm>
                            <a:prstGeom prst="line">
                              <a:avLst/>
                            </a:prstGeom>
                            <a:ln w="3175" cap="sq" cmpd="sng">
                              <a:solidFill>
                                <a:srgbClr val="000000"/>
                              </a:solidFill>
                              <a:prstDash val="sysDot"/>
                              <a:headEnd type="none" w="med" len="med"/>
                              <a:tailEnd type="none" w="med" len="med"/>
                            </a:ln>
                          </wps:spPr>
                          <wps:bodyPr upright="1"/>
                        </wps:wsp>
                        <wps:wsp>
                          <wps:cNvPr id="894" name="直线 178"/>
                          <wps:cNvCnPr/>
                          <wps:spPr>
                            <a:xfrm>
                              <a:off x="7004" y="6324899"/>
                              <a:ext cx="7" cy="252"/>
                            </a:xfrm>
                            <a:prstGeom prst="line">
                              <a:avLst/>
                            </a:prstGeom>
                            <a:ln w="3175" cap="flat" cmpd="sng">
                              <a:solidFill>
                                <a:srgbClr val="000000"/>
                              </a:solidFill>
                              <a:prstDash val="solid"/>
                              <a:headEnd type="none" w="med" len="med"/>
                              <a:tailEnd type="triangle" w="med" len="med"/>
                            </a:ln>
                          </wps:spPr>
                          <wps:bodyPr upright="1"/>
                        </wps:wsp>
                        <wps:wsp>
                          <wps:cNvPr id="895" name="直线 179"/>
                          <wps:cNvCnPr/>
                          <wps:spPr>
                            <a:xfrm>
                              <a:off x="7011" y="6325619"/>
                              <a:ext cx="0" cy="156"/>
                            </a:xfrm>
                            <a:prstGeom prst="line">
                              <a:avLst/>
                            </a:prstGeom>
                            <a:ln w="3175" cap="flat" cmpd="sng">
                              <a:solidFill>
                                <a:srgbClr val="000000"/>
                              </a:solidFill>
                              <a:prstDash val="solid"/>
                              <a:headEnd type="none" w="med" len="med"/>
                              <a:tailEnd type="triangle" w="med" len="med"/>
                            </a:ln>
                          </wps:spPr>
                          <wps:bodyPr upright="1"/>
                        </wps:wsp>
                      </wpg:grpSp>
                      <wps:wsp>
                        <wps:cNvPr id="897" name="文本框 180"/>
                        <wps:cNvSpPr txBox="1"/>
                        <wps:spPr>
                          <a:xfrm>
                            <a:off x="6096" y="6321005"/>
                            <a:ext cx="2098" cy="46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E5C3944">
                              <w:pPr>
                                <w:pStyle w:val="19"/>
                              </w:pPr>
                              <w:r>
                                <w:rPr>
                                  <w:rFonts w:hint="eastAsia"/>
                                </w:rPr>
                                <w:t>项目总工（副组长）</w:t>
                              </w:r>
                            </w:p>
                          </w:txbxContent>
                        </wps:txbx>
                        <wps:bodyPr upright="1"/>
                      </wps:wsp>
                      <wps:wsp>
                        <wps:cNvPr id="898" name="直线 181"/>
                        <wps:cNvCnPr/>
                        <wps:spPr>
                          <a:xfrm>
                            <a:off x="7116" y="6320693"/>
                            <a:ext cx="0" cy="312"/>
                          </a:xfrm>
                          <a:prstGeom prst="line">
                            <a:avLst/>
                          </a:prstGeom>
                          <a:ln w="3175" cap="flat" cmpd="sng">
                            <a:solidFill>
                              <a:srgbClr val="000000"/>
                            </a:solidFill>
                            <a:prstDash val="solid"/>
                            <a:headEnd type="none" w="med" len="med"/>
                            <a:tailEnd type="triangle" w="med" len="med"/>
                          </a:ln>
                        </wps:spPr>
                        <wps:bodyPr upright="1"/>
                      </wps:wsp>
                    </wpg:wgp>
                  </a:graphicData>
                </a:graphic>
              </wp:anchor>
            </w:drawing>
          </mc:Choice>
          <mc:Fallback>
            <w:pict>
              <v:group id="组合 183" o:spid="_x0000_s1026" o:spt="203" style="position:absolute;left:0pt;margin-left:36.65pt;margin-top:4.4pt;height:409.75pt;width:406.5pt;mso-wrap-distance-bottom:0pt;mso-wrap-distance-top:0pt;z-index:251669504;mso-width-relative:page;mso-height-relative:page;" coordorigin="3336,6320210" coordsize="7455,6033" o:gfxdata="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">
                <o:lock v:ext="edit" aspectratio="f"/>
                <v:shape id="文本框 142" o:spid="_x0000_s1026" o:spt="202" type="#_x0000_t202" style="position:absolute;left:6186;top:6320210;height:435;width:1871;" fillcolor="#C6D9F1" filled="t" stroked="t" coordsize="21600,21600" o:gfxdata="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CRX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138A0935">
                        <w:pPr>
                          <w:pStyle w:val="19"/>
                        </w:pPr>
                        <w:r>
                          <w:rPr>
                            <w:rFonts w:hint="eastAsia"/>
                          </w:rPr>
                          <w:t>项目经理（组长）</w:t>
                        </w:r>
                      </w:p>
                    </w:txbxContent>
                  </v:textbox>
                </v:shape>
                <v:group id="组合 182" o:spid="_x0000_s1026" o:spt="203" style="position:absolute;left:3336;top:6321161;height:5082;width:7455;" coordorigin="3336,6321161" coordsize="7455,5082" o:gfxdata="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XKYxe+AAAA3AAAAA8AAAAAAAAAAQAgAAAAIgAAAGRycy9kb3ducmV2Lnht&#10;bFBLAQIUABQAAAAIAIdO4kAzLwWeOwAAADkAAAAVAAAAAAAAAAEAIAAAAA0BAABkcnMvZ3JvdXBz&#10;aGFwZXhtbC54bWxQSwUGAAAAAAYABgBgAQAAygMAAAAA&#10;">
                  <o:lock v:ext="edit" aspectratio="f"/>
                  <v:shape id="文本框 141" o:spid="_x0000_s1026" o:spt="202" type="#_x0000_t202" style="position:absolute;left:4596;top:6321161;height:1716;width:540;" fillcolor="#C6D9F1" filled="t" stroked="t" coordsize="21600,21600" o:gfxdata="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eiBz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4D58CD42">
                          <w:pPr>
                            <w:ind w:firstLine="31680"/>
                            <w:jc w:val="center"/>
                            <w:rPr>
                              <w:rFonts w:eastAsia="仿宋_GB2312"/>
                              <w:sz w:val="21"/>
                            </w:rPr>
                          </w:pPr>
                        </w:p>
                        <w:p w14:paraId="357490BB">
                          <w:pPr>
                            <w:pStyle w:val="19"/>
                          </w:pPr>
                          <w:r>
                            <w:rPr>
                              <w:rFonts w:hint="eastAsia"/>
                            </w:rPr>
                            <w:t>质量</w:t>
                          </w:r>
                        </w:p>
                        <w:p w14:paraId="64E8DFD3">
                          <w:pPr>
                            <w:pStyle w:val="19"/>
                          </w:pPr>
                          <w:r>
                            <w:rPr>
                              <w:rFonts w:hint="eastAsia"/>
                            </w:rPr>
                            <w:t>信息</w:t>
                          </w:r>
                        </w:p>
                      </w:txbxContent>
                    </v:textbox>
                  </v:shape>
                  <v:shape id="文本框 143" o:spid="_x0000_s1026" o:spt="202" type="#_x0000_t202" style="position:absolute;left:6396;top:6321785;height:936;width:1800;" fillcolor="#C6D9F1" filled="t" stroked="t" coordsize="21600,21600" o:gfxdata="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r7i7L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29B4BFE1">
                          <w:pPr>
                            <w:pStyle w:val="42"/>
                            <w:ind w:firstLine="31680"/>
                            <w:rPr>
                              <w:sz w:val="10"/>
                            </w:rPr>
                          </w:pPr>
                        </w:p>
                        <w:p w14:paraId="41C03BF4">
                          <w:pPr>
                            <w:pStyle w:val="19"/>
                          </w:pPr>
                          <w:r>
                            <w:rPr>
                              <w:rFonts w:hint="eastAsia"/>
                            </w:rPr>
                            <w:t>质量领导小组（专职质量员）</w:t>
                          </w:r>
                        </w:p>
                      </w:txbxContent>
                    </v:textbox>
                  </v:shape>
                  <v:line id="直线 144" o:spid="_x0000_s1026" o:spt="20" style="position:absolute;left:5136;top:6321317;height:0;width:964;" filled="f" stroked="t" coordsize="21600,21600" o:gfxdata="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RZLe8AAAA&#10;3AAAAA8AAAAAAAAAAQAgAAAAIgAAAGRycy9kb3ducmV2LnhtbFBLAQIUABQAAAAIAIdO4kAzLwWe&#10;OwAAADkAAAAQAAAAAAAAAAEAIAAAAAsBAABkcnMvc2hhcGV4bWwueG1sUEsFBgAAAAAGAAYAWwEA&#10;ALUDAAAAAA==&#10;">
                    <v:fill on="f" focussize="0,0"/>
                    <v:stroke weight="0.25pt" color="#000000" joinstyle="round" dashstyle="1 1" endcap="square" endarrow="block"/>
                    <v:imagedata o:title=""/>
                    <o:lock v:ext="edit" aspectratio="f"/>
                  </v:line>
                  <v:line id="直线 874" o:spid="_x0000_s1026" o:spt="20" style="position:absolute;left:5136;top:6322410;flip:x;height:0;width:1260;" filled="f" stroked="t" coordsize="21600,21600" o:gfxdata="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rv56L4A&#10;AADcAAAADwAAAAAAAAABACAAAAAiAAAAZHJzL2Rvd25yZXYueG1sUEsBAhQAFAAAAAgAh07iQDMv&#10;BZ47AAAAOQAAABAAAAAAAAAAAQAgAAAADQEAAGRycy9zaGFwZXhtbC54bWxQSwUGAAAAAAYABgBb&#10;AQAAtwMAAAAA&#10;">
                    <v:fill on="f" focussize="0,0"/>
                    <v:stroke weight="0.25pt" color="#000000" joinstyle="round" dashstyle="1 1" endcap="square" endarrow="block"/>
                    <v:imagedata o:title=""/>
                    <o:lock v:ext="edit" aspectratio="f"/>
                  </v:line>
                  <v:shape id="文本框 147" o:spid="_x0000_s1026" o:spt="202" type="#_x0000_t202" style="position:absolute;left:3336;top:6323345;height:1248;width:540;" fillcolor="#C6D9F1" filled="t" stroked="t" coordsize="21600,21600" o:gfxdata="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favQ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style="layout-flow:vertical-ideographic;">
                      <w:txbxContent>
                        <w:p w14:paraId="2B7C2CE0">
                          <w:pPr>
                            <w:pStyle w:val="19"/>
                          </w:pPr>
                          <w:r>
                            <w:rPr>
                              <w:rFonts w:hint="eastAsia"/>
                            </w:rPr>
                            <w:t>专业工长</w:t>
                          </w:r>
                        </w:p>
                      </w:txbxContent>
                    </v:textbox>
                  </v:shape>
                  <v:shape id="文本框 148" o:spid="_x0000_s1026" o:spt="202" type="#_x0000_t202" style="position:absolute;left:4701;top:6323345;height:1248;width:615;" fillcolor="#C6D9F1" filled="t" stroked="t" coordsize="21600,21600" o:gfxdata="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lDOk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style="layout-flow:vertical-ideographic;">
                      <w:txbxContent>
                        <w:p w14:paraId="4B48FD8C">
                          <w:pPr>
                            <w:pStyle w:val="19"/>
                          </w:pPr>
                          <w:r>
                            <w:rPr>
                              <w:rFonts w:hint="eastAsia"/>
                            </w:rPr>
                            <w:t>材料员</w:t>
                          </w:r>
                        </w:p>
                      </w:txbxContent>
                    </v:textbox>
                  </v:shape>
                  <v:shape id="文本框 149" o:spid="_x0000_s1026" o:spt="202" type="#_x0000_t202" style="position:absolute;left:5961;top:6323345;height:1248;width:630;" fillcolor="#C6D9F1" filled="t" stroked="t" coordsize="21600,21600" o:gfxdata="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2JY/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style="layout-flow:vertical-ideographic;">
                      <w:txbxContent>
                        <w:p w14:paraId="06193933">
                          <w:pPr>
                            <w:pStyle w:val="19"/>
                          </w:pPr>
                          <w:r>
                            <w:rPr>
                              <w:rFonts w:hint="eastAsia"/>
                            </w:rPr>
                            <w:t>技术员</w:t>
                          </w:r>
                        </w:p>
                      </w:txbxContent>
                    </v:textbox>
                  </v:shape>
                  <v:shape id="文本框 150" o:spid="_x0000_s1026" o:spt="202" type="#_x0000_t202" style="position:absolute;left:7296;top:6323345;height:1248;width:540;" fillcolor="#C6D9F1" filled="t" stroked="t" coordsize="21600,21600" o:gfxdata="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CghI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style="layout-flow:vertical-ideographic;">
                      <w:txbxContent>
                        <w:p w14:paraId="6620DDCD">
                          <w:pPr>
                            <w:pStyle w:val="19"/>
                          </w:pPr>
                          <w:r>
                            <w:rPr>
                              <w:rFonts w:hint="eastAsia"/>
                            </w:rPr>
                            <w:t>资料员</w:t>
                          </w:r>
                        </w:p>
                      </w:txbxContent>
                    </v:textbox>
                  </v:shape>
                  <v:shape id="文本框 151" o:spid="_x0000_s1026" o:spt="202" type="#_x0000_t202" style="position:absolute;left:8376;top:6323345;height:1248;width:540;" fillcolor="#C6D9F1" filled="t" stroked="t" coordsize="21600,21600" o:gfxdata="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q3T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style="layout-flow:vertical-ideographic;">
                      <w:txbxContent>
                        <w:p w14:paraId="1DFEEC4B">
                          <w:pPr>
                            <w:pStyle w:val="19"/>
                          </w:pPr>
                          <w:r>
                            <w:rPr>
                              <w:rFonts w:hint="eastAsia"/>
                            </w:rPr>
                            <w:t>试验员</w:t>
                          </w:r>
                        </w:p>
                      </w:txbxContent>
                    </v:textbox>
                  </v:shape>
                  <v:shape id="文本框 152" o:spid="_x0000_s1026" o:spt="202" type="#_x0000_t202" style="position:absolute;left:9276;top:6323345;height:1248;width:540;" fillcolor="#C6D9F1" filled="t" stroked="t" coordsize="21600,21600" o:gfxdata="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9k5ob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style="layout-flow:vertical-ideographic;">
                      <w:txbxContent>
                        <w:p w14:paraId="4FB1BCAD">
                          <w:pPr>
                            <w:pStyle w:val="19"/>
                          </w:pPr>
                          <w:r>
                            <w:rPr>
                              <w:rFonts w:hint="eastAsia"/>
                            </w:rPr>
                            <w:t>测量员</w:t>
                          </w:r>
                        </w:p>
                      </w:txbxContent>
                    </v:textbox>
                  </v:shape>
                  <v:line id="直线 881" o:spid="_x0000_s1026" o:spt="20" style="position:absolute;left:3696;top:6323033;height:0;width:5760;" filled="f" stroked="t" coordsize="21600,21600" o:gfxdata="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9Df0&#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882" o:spid="_x0000_s1026" o:spt="20" style="position:absolute;left:3696;top:6323033;height:312;width:0;" filled="f" stroked="t" coordsize="21600,21600" o:gfxdata="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hcItL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线 883" o:spid="_x0000_s1026" o:spt="20" style="position:absolute;left:4956;top:6323033;height:312;width:0;" filled="f" stroked="t" coordsize="21600,21600" o:gfxdata="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lbrS+/&#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884" o:spid="_x0000_s1026" o:spt="20" style="position:absolute;left:6276;top:6323033;height:312;width:0;" filled="f" stroked="t" coordsize="21600,21600" o:gfxdata="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JM1i/&#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885" o:spid="_x0000_s1026" o:spt="20" style="position:absolute;left:7656;top:6323033;height:312;width:0;" filled="f" stroked="t" coordsize="21600,21600" o:gfxdata="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xZbD&#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158" o:spid="_x0000_s1026" o:spt="20" style="position:absolute;left:8736;top:6323033;height:312;width:0;" filled="f" stroked="t" coordsize="21600,21600" o:gfxdata="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LA63&#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159" o:spid="_x0000_s1026" o:spt="20" style="position:absolute;left:9456;top:6323033;height:312;width:0;" filled="f" stroked="t" coordsize="21600,21600" o:gfxdata="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YKss&#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shape id="文本框 160" o:spid="_x0000_s1026" o:spt="202" type="#_x0000_t202" style="position:absolute;left:9996;top:6323657;height:780;width:795;" fillcolor="#C6D9F1" filled="t" stroked="t" coordsize="21600,21600" o:gfxdata="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wkne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0F06E0B3">
                          <w:pPr>
                            <w:pStyle w:val="19"/>
                          </w:pPr>
                          <w:r>
                            <w:rPr>
                              <w:rFonts w:hint="eastAsia"/>
                            </w:rPr>
                            <w:t>质量</w:t>
                          </w:r>
                        </w:p>
                        <w:p w14:paraId="03B0CA63">
                          <w:pPr>
                            <w:pStyle w:val="19"/>
                          </w:pPr>
                          <w:r>
                            <w:rPr>
                              <w:rFonts w:hint="eastAsia"/>
                            </w:rPr>
                            <w:t>信息</w:t>
                          </w:r>
                        </w:p>
                        <w:p w14:paraId="2D8BBFFF">
                          <w:pPr>
                            <w:ind w:left="31680" w:hanging="720" w:hangingChars="300"/>
                          </w:pPr>
                        </w:p>
                        <w:p w14:paraId="395813F4">
                          <w:pPr>
                            <w:ind w:firstLine="31680"/>
                          </w:pPr>
                          <w:r>
                            <w:rPr>
                              <w:rFonts w:hint="eastAsia"/>
                            </w:rPr>
                            <w:t>量</w:t>
                          </w:r>
                        </w:p>
                      </w:txbxContent>
                    </v:textbox>
                  </v:shape>
                  <v:line id="直线 889" o:spid="_x0000_s1026" o:spt="20" style="position:absolute;left:10536;top:6322410;height:1248;width:0;" filled="f" stroked="t" coordsize="21600,21600" o:gfxdata="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5U1ovQAA&#10;ANwAAAAPAAAAAAAAAAEAIAAAACIAAABkcnMvZG93bnJldi54bWxQSwECFAAUAAAACACHTuJAMy8F&#10;njsAAAA5AAAAEAAAAAAAAAABACAAAAAMAQAAZHJzL3NoYXBleG1sLnhtbFBLBQYAAAAABgAGAFsB&#10;AAC2AwAAAAA=&#10;">
                    <v:fill on="f" focussize="0,0"/>
                    <v:stroke weight="0.25pt" color="#000000" joinstyle="round" dashstyle="1 1"/>
                    <v:imagedata o:title=""/>
                    <o:lock v:ext="edit" aspectratio="f"/>
                  </v:line>
                  <v:line id="直线 162" o:spid="_x0000_s1026" o:spt="20" style="position:absolute;left:8196;top:6322410;flip:x;height:0;width:2340;" filled="f" stroked="t" coordsize="21600,21600" o:gfxdata="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opY37sAAADc&#10;AAAADwAAAAAAAAABACAAAAAiAAAAZHJzL2Rvd25yZXYueG1sUEsBAhQAFAAAAAgAh07iQDMvBZ47&#10;AAAAOQAAABAAAAAAAAAAAQAgAAAACgEAAGRycy9zaGFwZXhtbC54bWxQSwUGAAAAAAYABgBbAQAA&#10;tAMAAAAA&#10;">
                    <v:fill on="f" focussize="0,0"/>
                    <v:stroke weight="0.25pt" color="#000000" joinstyle="round" dashstyle="1 1" endcap="square" endarrow="block"/>
                    <v:imagedata o:title=""/>
                    <o:lock v:ext="edit" aspectratio="f"/>
                  </v:line>
                  <v:line id="直线 891" o:spid="_x0000_s1026" o:spt="20" style="position:absolute;left:3516;top:6324905;height:0;width:5940;" filled="f" stroked="t" coordsize="21600,21600" o:gfxdata="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LaEp&#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164" o:spid="_x0000_s1026" o:spt="20" style="position:absolute;left:3516;top:6324593;height:312;width:0;" filled="f" stroked="t" coordsize="21600,21600" o:gfxdata="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8J4k7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线 893" o:spid="_x0000_s1026" o:spt="20" style="position:absolute;left:4956;top:6324593;height:312;width:0;" filled="f" stroked="t" coordsize="21600,21600" o:gfxdata="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O3Qi/&#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166" o:spid="_x0000_s1026" o:spt="20" style="position:absolute;left:7656;top:6324593;height:312;width:0;" filled="f" stroked="t" coordsize="21600,21600" o:gfxdata="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xDf74A&#10;AADc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直线 167" o:spid="_x0000_s1026" o:spt="20" style="position:absolute;left:8736;top:6324593;height:312;width:0;" filled="f" stroked="t" coordsize="21600,21600" o:gfxdata="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Q5uS/&#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168" o:spid="_x0000_s1026" o:spt="20" style="position:absolute;left:9456;top:6324593;height:312;width:0;" filled="f" stroked="t" coordsize="21600,21600" o:gfxdata="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z5fpC/&#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shape id="文本框 897" o:spid="_x0000_s1026" o:spt="202" type="#_x0000_t202" style="position:absolute;left:3516;top:6325218;height:680;width:1247;" fillcolor="#C6D9F1" filled="t" stroked="t" coordsize="21600,21600" o:gfxdata="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xaeO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601EDA0A">
                          <w:pPr>
                            <w:ind w:firstLine="0" w:firstLineChars="0"/>
                            <w:jc w:val="both"/>
                            <w:rPr>
                              <w:rStyle w:val="165"/>
                              <w:rFonts w:hAnsi="Calibri" w:eastAsia="微软雅黑"/>
                              <w:sz w:val="21"/>
                            </w:rPr>
                          </w:pPr>
                          <w:r>
                            <w:rPr>
                              <w:rStyle w:val="165"/>
                              <w:rFonts w:hint="eastAsia"/>
                              <w:sz w:val="21"/>
                            </w:rPr>
                            <w:t>自检信息</w:t>
                          </w:r>
                        </w:p>
                      </w:txbxContent>
                    </v:textbox>
                  </v:shape>
                  <v:shape id="文本框 170" o:spid="_x0000_s1026" o:spt="202" type="#_x0000_t202" style="position:absolute;left:6066;top:6325151;height:468;width:2160;" fillcolor="#C6D9F1" filled="t" stroked="t" coordsize="21600,21600" o:gfxdata="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hc5+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79F218BA">
                          <w:pPr>
                            <w:pStyle w:val="19"/>
                          </w:pPr>
                          <w:r>
                            <w:rPr>
                              <w:rFonts w:hint="eastAsia"/>
                            </w:rPr>
                            <w:t>劳务队伍管理班子</w:t>
                          </w:r>
                        </w:p>
                      </w:txbxContent>
                    </v:textbox>
                  </v:shape>
                  <v:line id="直线 171" o:spid="_x0000_s1026" o:spt="20" style="position:absolute;left:4386;top:6325307;height:0;width:1716;" filled="f" stroked="t" coordsize="21600,21600" o:gfxdata="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zi/orsAAADc&#10;AAAADwAAAAAAAAABACAAAAAiAAAAZHJzL2Rvd25yZXYueG1sUEsBAhQAFAAAAAgAh07iQDMvBZ47&#10;AAAAOQAAABAAAAAAAAAAAQAgAAAACgEAAGRycy9zaGFwZXhtbC54bWxQSwUGAAAAAAYABgBbAQAA&#10;tAMAAAAA&#10;">
                    <v:fill on="f" focussize="0,0"/>
                    <v:stroke weight="0.25pt" color="#000000" joinstyle="round" dashstyle="1 1" endcap="square" endarrow="block"/>
                    <v:imagedata o:title=""/>
                    <o:lock v:ext="edit" aspectratio="f"/>
                  </v:line>
                  <v:line id="直线 172" o:spid="_x0000_s1026" o:spt="20" style="position:absolute;left:4386;top:6325931;flip:x;height:0;width:1680;" filled="f" stroked="t" coordsize="21600,21600" o:gfxdata="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UaPnvQAA&#10;ANwAAAAPAAAAAAAAAAEAIAAAACIAAABkcnMvZG93bnJldi54bWxQSwECFAAUAAAACACHTuJAMy8F&#10;njsAAAA5AAAAEAAAAAAAAAABACAAAAAMAQAAZHJzL3NoYXBleG1sLnhtbFBLBQYAAAAABgAGAFsB&#10;AAC2AwAAAAA=&#10;">
                    <v:fill on="f" focussize="0,0"/>
                    <v:stroke weight="0.25pt" color="#000000" joinstyle="round" dashstyle="1 1" endarrow="block"/>
                    <v:imagedata o:title=""/>
                    <o:lock v:ext="edit" aspectratio="f"/>
                  </v:line>
                  <v:line id="直线 173" o:spid="_x0000_s1026" o:spt="20" style="position:absolute;left:10536;top:6324437;flip:y;height:936;width:0;" filled="f" stroked="t" coordsize="21600,21600" o:gfxdata="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ATjWO/&#10;AAAA3AAAAA8AAAAAAAAAAQAgAAAAIgAAAGRycy9kb3ducmV2LnhtbFBLAQIUABQAAAAIAIdO4kAz&#10;LwWeOwAAADkAAAAQAAAAAAAAAAEAIAAAAA4BAABkcnMvc2hhcGV4bWwueG1sUEsFBgAAAAAGAAYA&#10;WwEAALgDAAAAAA==&#10;">
                    <v:fill on="f" focussize="0,0"/>
                    <v:stroke weight="0.25pt" color="#000000" joinstyle="round" dashstyle="1 1" endcap="square" endarrow="block"/>
                    <v:imagedata o:title=""/>
                    <o:lock v:ext="edit" aspectratio="f"/>
                  </v:line>
                  <v:line id="直线 174" o:spid="_x0000_s1026" o:spt="20" style="position:absolute;left:7116;top:6322722;height:312;width:0;" filled="f" stroked="t" coordsize="21600,21600" o:gfxdata="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3t48K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175" o:spid="_x0000_s1026" o:spt="20" style="position:absolute;left:6279;top:6324591;height:312;width:0;" filled="f" stroked="t" coordsize="21600,21600" o:gfxdata="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lXS9W/&#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shape id="文本框 176" o:spid="_x0000_s1026" o:spt="202" type="#_x0000_t202" style="position:absolute;left:6066;top:6325775;height:468;width:2160;" fillcolor="#C6D9F1" filled="t" stroked="t" coordsize="21600,21600" o:gfxdata="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WpJ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6F09BAA7">
                          <w:pPr>
                            <w:pStyle w:val="19"/>
                          </w:pPr>
                          <w:r>
                            <w:rPr>
                              <w:rFonts w:hint="eastAsia"/>
                            </w:rPr>
                            <w:t>劳务队伍施工班组</w:t>
                          </w:r>
                        </w:p>
                      </w:txbxContent>
                    </v:textbox>
                  </v:shape>
                  <v:line id="直线 177" o:spid="_x0000_s1026" o:spt="20" style="position:absolute;left:8306;top:6325351;height:0;width:2205;" filled="f" stroked="t" coordsize="21600,21600" o:gfxdata="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AG5W/&#10;AAAA3AAAAA8AAAAAAAAAAQAgAAAAIgAAAGRycy9kb3ducmV2LnhtbFBLAQIUABQAAAAIAIdO4kAz&#10;LwWeOwAAADkAAAAQAAAAAAAAAAEAIAAAAA4BAABkcnMvc2hhcGV4bWwueG1sUEsFBgAAAAAGAAYA&#10;WwEAALgDAAAAAA==&#10;">
                    <v:fill on="f" focussize="0,0"/>
                    <v:stroke weight="0.25pt" color="#000000" joinstyle="round" dashstyle="1 1" endcap="square"/>
                    <v:imagedata o:title=""/>
                    <o:lock v:ext="edit" aspectratio="f"/>
                  </v:line>
                  <v:line id="直线 178" o:spid="_x0000_s1026" o:spt="20" style="position:absolute;left:7004;top:6324899;height:252;width:7;" filled="f" stroked="t" coordsize="21600,21600" o:gfxdata="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1uXB&#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179" o:spid="_x0000_s1026" o:spt="20" style="position:absolute;left:7011;top:6325619;height:156;width:0;" filled="f" stroked="t" coordsize="21600,21600" o:gfxdata="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aQFq/&#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group>
                <v:shape id="文本框 180" o:spid="_x0000_s1026" o:spt="202" type="#_x0000_t202" style="position:absolute;left:6096;top:6321005;height:468;width:2098;" fillcolor="#C6D9F1" filled="t" stroked="t" coordsize="21600,21600" o:gfxdata="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ggq/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6E5C3944">
                        <w:pPr>
                          <w:pStyle w:val="19"/>
                        </w:pPr>
                        <w:r>
                          <w:rPr>
                            <w:rFonts w:hint="eastAsia"/>
                          </w:rPr>
                          <w:t>项目总工（副组长）</w:t>
                        </w:r>
                      </w:p>
                    </w:txbxContent>
                  </v:textbox>
                </v:shape>
                <v:line id="直线 181" o:spid="_x0000_s1026" o:spt="20" style="position:absolute;left:7116;top:6320693;height:312;width:0;" filled="f" stroked="t" coordsize="21600,21600" o:gfxdata="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Ob78S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w10:wrap type="topAndBottom"/>
              </v:group>
            </w:pict>
          </mc:Fallback>
        </mc:AlternateContent>
      </w:r>
    </w:p>
    <w:p w14:paraId="464BC803">
      <w:pPr>
        <w:ind w:firstLine="480"/>
        <w:rPr>
          <w:rFonts w:hint="eastAsia" w:ascii="宋体" w:hAnsi="宋体" w:eastAsia="宋体" w:cs="宋体"/>
        </w:rPr>
      </w:pPr>
    </w:p>
    <w:p w14:paraId="67E5974F">
      <w:pPr>
        <w:ind w:firstLine="4080" w:firstLineChars="1700"/>
        <w:rPr>
          <w:rFonts w:hint="eastAsia" w:ascii="宋体" w:hAnsi="宋体" w:eastAsia="宋体" w:cs="宋体"/>
          <w:u w:val="double"/>
        </w:rPr>
      </w:pPr>
      <w:bookmarkStart w:id="1752" w:name="_Toc25423"/>
      <w:bookmarkStart w:id="1753" w:name="_Toc9903"/>
      <w:bookmarkStart w:id="1754" w:name="_Toc3623"/>
      <w:bookmarkStart w:id="1755" w:name="_Toc7282"/>
      <w:bookmarkStart w:id="1756" w:name="_Toc28008"/>
      <w:bookmarkStart w:id="1757" w:name="_Toc4612"/>
    </w:p>
    <w:p w14:paraId="63BEC835">
      <w:pPr>
        <w:pStyle w:val="46"/>
        <w:rPr>
          <w:rFonts w:hint="eastAsia" w:ascii="宋体" w:hAnsi="宋体" w:eastAsia="宋体" w:cs="宋体"/>
          <w:u w:val="double"/>
        </w:rPr>
      </w:pPr>
    </w:p>
    <w:p w14:paraId="5FDF2627">
      <w:pPr>
        <w:pStyle w:val="46"/>
        <w:rPr>
          <w:rFonts w:hint="eastAsia" w:ascii="宋体" w:hAnsi="宋体" w:eastAsia="宋体" w:cs="宋体"/>
          <w:u w:val="double"/>
        </w:rPr>
      </w:pPr>
    </w:p>
    <w:p w14:paraId="6EDF6BA6">
      <w:pPr>
        <w:ind w:firstLine="4080" w:firstLineChars="1700"/>
        <w:rPr>
          <w:rFonts w:hint="eastAsia" w:ascii="宋体" w:hAnsi="宋体" w:eastAsia="宋体" w:cs="宋体"/>
          <w:u w:val="double"/>
        </w:rPr>
      </w:pPr>
    </w:p>
    <w:p w14:paraId="0ADC5A8A">
      <w:pPr>
        <w:pStyle w:val="46"/>
        <w:ind w:left="0" w:leftChars="0" w:firstLine="0" w:firstLineChars="0"/>
        <w:rPr>
          <w:rFonts w:hint="eastAsia" w:ascii="宋体" w:hAnsi="宋体" w:eastAsia="宋体" w:cs="宋体"/>
          <w:u w:val="double"/>
        </w:rPr>
      </w:pPr>
      <w:r>
        <w:rPr>
          <w:rFonts w:hint="eastAsia" w:ascii="宋体" w:hAnsi="宋体" w:eastAsia="宋体" w:cs="宋体"/>
          <w:u w:val="double"/>
        </w:rPr>
        <w:drawing>
          <wp:anchor distT="0" distB="0" distL="114300" distR="114300" simplePos="0" relativeHeight="251660288" behindDoc="0" locked="0" layoutInCell="1" allowOverlap="1">
            <wp:simplePos x="0" y="0"/>
            <wp:positionH relativeFrom="column">
              <wp:posOffset>-142875</wp:posOffset>
            </wp:positionH>
            <wp:positionV relativeFrom="paragraph">
              <wp:posOffset>215265</wp:posOffset>
            </wp:positionV>
            <wp:extent cx="6492875" cy="5941060"/>
            <wp:effectExtent l="0" t="0" r="14605" b="2540"/>
            <wp:wrapTopAndBottom/>
            <wp:docPr id="328" name="图片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464"/>
                    <pic:cNvPicPr>
                      <a:picLocks noChangeAspect="1"/>
                    </pic:cNvPicPr>
                  </pic:nvPicPr>
                  <pic:blipFill>
                    <a:blip r:embed="rId156"/>
                    <a:srcRect l="15466" t="-1299" r="12587" b="3384"/>
                    <a:stretch>
                      <a:fillRect/>
                    </a:stretch>
                  </pic:blipFill>
                  <pic:spPr>
                    <a:xfrm>
                      <a:off x="0" y="0"/>
                      <a:ext cx="6492875" cy="5941060"/>
                    </a:xfrm>
                    <a:prstGeom prst="rect">
                      <a:avLst/>
                    </a:prstGeom>
                    <a:solidFill>
                      <a:srgbClr val="FFFFFF"/>
                    </a:solidFill>
                    <a:ln>
                      <a:noFill/>
                    </a:ln>
                  </pic:spPr>
                </pic:pic>
              </a:graphicData>
            </a:graphic>
          </wp:anchor>
        </w:drawing>
      </w:r>
    </w:p>
    <w:p w14:paraId="0FB9749F">
      <w:pPr>
        <w:ind w:firstLine="4080" w:firstLineChars="1700"/>
        <w:rPr>
          <w:rFonts w:hint="eastAsia" w:ascii="宋体" w:hAnsi="宋体" w:eastAsia="宋体" w:cs="宋体"/>
          <w:u w:val="double"/>
        </w:rPr>
      </w:pPr>
      <w:r>
        <w:rPr>
          <w:rFonts w:hint="eastAsia" w:ascii="宋体" w:hAnsi="宋体" w:eastAsia="宋体" w:cs="宋体"/>
          <w:u w:val="double"/>
        </w:rPr>
        <w:t>质量保证框架图</w:t>
      </w:r>
    </w:p>
    <w:p w14:paraId="38D86F75">
      <w:pPr>
        <w:pStyle w:val="4"/>
        <w:numPr>
          <w:ilvl w:val="1"/>
          <w:numId w:val="0"/>
        </w:numPr>
        <w:spacing w:line="360" w:lineRule="auto"/>
        <w:ind w:firstLine="0" w:firstLineChars="0"/>
        <w:rPr>
          <w:rFonts w:hint="eastAsia" w:ascii="宋体" w:hAnsi="宋体" w:eastAsia="宋体" w:cs="宋体"/>
          <w:color w:val="auto"/>
        </w:rPr>
      </w:pPr>
      <w:bookmarkStart w:id="1758" w:name="_Toc24072"/>
      <w:bookmarkStart w:id="1759" w:name="_Toc14993"/>
      <w:bookmarkStart w:id="1760" w:name="_Toc2940"/>
      <w:bookmarkStart w:id="1761" w:name="_Toc4378"/>
      <w:bookmarkStart w:id="1762" w:name="_Toc31428"/>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1</w:t>
      </w:r>
      <w:r>
        <w:rPr>
          <w:rFonts w:hint="default" w:ascii="宋体" w:hAnsi="宋体" w:eastAsia="宋体" w:cs="Times New Roman"/>
          <w:b/>
          <w:bCs/>
          <w:color w:val="auto"/>
          <w:kern w:val="2"/>
          <w:sz w:val="32"/>
          <w:szCs w:val="32"/>
          <w:lang w:val="en-US" w:eastAsia="zh-CN" w:bidi="ar-SA"/>
        </w:rPr>
        <w:t>.3.</w:t>
      </w:r>
      <w:r>
        <w:rPr>
          <w:rFonts w:hint="eastAsia" w:ascii="宋体" w:hAnsi="宋体" w:eastAsia="宋体" w:cs="宋体"/>
          <w:color w:val="auto"/>
        </w:rPr>
        <w:t>工程质量保证措施</w:t>
      </w:r>
      <w:bookmarkEnd w:id="1752"/>
      <w:bookmarkEnd w:id="1753"/>
      <w:bookmarkEnd w:id="1754"/>
      <w:bookmarkEnd w:id="1755"/>
      <w:bookmarkEnd w:id="1756"/>
      <w:bookmarkEnd w:id="1757"/>
      <w:bookmarkEnd w:id="1758"/>
      <w:bookmarkEnd w:id="1759"/>
      <w:bookmarkEnd w:id="1760"/>
      <w:bookmarkEnd w:id="1761"/>
      <w:bookmarkEnd w:id="1762"/>
    </w:p>
    <w:p w14:paraId="06213D34">
      <w:pPr>
        <w:pStyle w:val="5"/>
        <w:numPr>
          <w:ilvl w:val="2"/>
          <w:numId w:val="0"/>
        </w:numPr>
        <w:spacing w:line="360" w:lineRule="auto"/>
        <w:ind w:left="720" w:leftChars="0" w:hanging="720" w:firstLineChars="0"/>
        <w:rPr>
          <w:rFonts w:hint="eastAsia" w:ascii="宋体" w:hAnsi="宋体" w:eastAsia="宋体" w:cs="宋体"/>
          <w:color w:val="auto"/>
        </w:rPr>
      </w:pPr>
      <w:bookmarkStart w:id="1763" w:name="_Toc22367"/>
      <w:bookmarkStart w:id="1764" w:name="_Toc13347"/>
      <w:bookmarkStart w:id="1765" w:name="_Toc20658"/>
      <w:bookmarkStart w:id="1766" w:name="_Toc6770"/>
      <w:bookmarkStart w:id="1767" w:name="_Toc25446"/>
      <w:bookmarkStart w:id="1768" w:name="_Toc22656"/>
      <w:bookmarkStart w:id="1769" w:name="_Toc7881"/>
      <w:bookmarkStart w:id="1770" w:name="_Toc29594"/>
      <w:bookmarkStart w:id="1771" w:name="_Toc20919"/>
      <w:bookmarkStart w:id="1772" w:name="_Toc21300"/>
      <w:bookmarkStart w:id="1773" w:name="_Toc10671"/>
      <w:bookmarkStart w:id="1774" w:name="_Toc260036570"/>
      <w:bookmarkStart w:id="1775" w:name="_Toc392933542"/>
      <w:bookmarkStart w:id="1776" w:name="_Toc392165644"/>
      <w:bookmarkStart w:id="1777" w:name="_Toc260037200"/>
      <w:bookmarkStart w:id="1778" w:name="_Toc21121"/>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1</w:t>
      </w:r>
      <w:r>
        <w:rPr>
          <w:rFonts w:hint="default" w:ascii="宋体" w:hAnsi="宋体" w:eastAsia="宋体" w:cs="Times New Roman"/>
          <w:b/>
          <w:bCs/>
          <w:color w:val="auto"/>
          <w:kern w:val="2"/>
          <w:sz w:val="30"/>
          <w:szCs w:val="32"/>
          <w:lang w:val="en-US" w:eastAsia="zh-CN" w:bidi="ar-SA"/>
        </w:rPr>
        <w:t>.3.1.</w:t>
      </w:r>
      <w:r>
        <w:rPr>
          <w:rFonts w:hint="eastAsia" w:ascii="宋体" w:hAnsi="宋体" w:eastAsia="宋体" w:cs="宋体"/>
          <w:color w:val="auto"/>
        </w:rPr>
        <w:t>组织保证措施</w:t>
      </w:r>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p>
    <w:p w14:paraId="53539915">
      <w:pPr>
        <w:ind w:firstLine="480"/>
        <w:rPr>
          <w:rFonts w:hint="eastAsia" w:ascii="宋体" w:hAnsi="宋体" w:eastAsia="宋体" w:cs="宋体"/>
        </w:rPr>
      </w:pPr>
      <w:r>
        <w:rPr>
          <w:rFonts w:hint="eastAsia" w:ascii="宋体" w:hAnsi="宋体" w:eastAsia="宋体" w:cs="宋体"/>
        </w:rPr>
        <w:t>建立专职质检体系，项目部设安质部、专职质检工程师，工程队设专职质检员，工班设兼职质检员，形成体系完善、功能齐全、责任明确的质量控制体系。</w:t>
      </w:r>
    </w:p>
    <w:p w14:paraId="766BFD9B">
      <w:pPr>
        <w:ind w:firstLine="480"/>
        <w:rPr>
          <w:rFonts w:hint="eastAsia" w:ascii="宋体" w:hAnsi="宋体" w:eastAsia="宋体" w:cs="宋体"/>
        </w:rPr>
      </w:pPr>
      <w:r>
        <w:rPr>
          <w:rFonts w:hint="eastAsia" w:ascii="宋体" w:hAnsi="宋体" w:eastAsia="宋体" w:cs="宋体"/>
        </w:rPr>
        <w:t>项目经理部试验中心设专职试验工程师，通过检测试验手段，协助工地质检工程师和监理工程师进行全面的质量控制。</w:t>
      </w:r>
    </w:p>
    <w:p w14:paraId="6AFD87A0">
      <w:pPr>
        <w:ind w:firstLine="480"/>
        <w:rPr>
          <w:rFonts w:hint="eastAsia" w:ascii="宋体" w:hAnsi="宋体" w:eastAsia="宋体" w:cs="宋体"/>
        </w:rPr>
      </w:pPr>
      <w:r>
        <w:rPr>
          <w:rFonts w:hint="eastAsia" w:ascii="宋体" w:hAnsi="宋体" w:eastAsia="宋体" w:cs="宋体"/>
        </w:rPr>
        <w:t>建立健全各级质量管理组织，分工负责，做到以预防为主，预防和检查相结合，形成一个有明确任务、职责、权限，互相协调和促进的有机整体。</w:t>
      </w:r>
      <w:bookmarkStart w:id="1779" w:name="_Toc232929380"/>
      <w:r>
        <w:rPr>
          <w:rFonts w:hint="eastAsia" w:ascii="宋体" w:hAnsi="宋体" w:eastAsia="宋体" w:cs="宋体"/>
        </w:rPr>
        <w:t>健全质量管理规章制度，以技术责任制、质量责任制、岗位责任制等为核心，重在落实。</w:t>
      </w:r>
    </w:p>
    <w:p w14:paraId="1DE92F2E">
      <w:pPr>
        <w:ind w:firstLine="480"/>
        <w:rPr>
          <w:rFonts w:hint="eastAsia" w:ascii="宋体" w:hAnsi="宋体" w:eastAsia="宋体" w:cs="宋体"/>
        </w:rPr>
      </w:pPr>
      <w:r>
        <w:rPr>
          <w:rFonts w:hint="eastAsia" w:ascii="宋体" w:hAnsi="宋体" w:eastAsia="宋体" w:cs="宋体"/>
        </w:rPr>
        <w:t>项目经理部设安全质量部，在项目经理的直接领导下，负责本标段所有工程的质量管理日常工作。各施工队设兼职质检员，配合项目部质检工作。测量队、中心实验室、工程技术部、工程保障部等承担相应的质量管理职责。形成纵向到底、横向到边、环环相扣的质量管理网络。</w:t>
      </w:r>
    </w:p>
    <w:p w14:paraId="076AD63E">
      <w:pPr>
        <w:ind w:firstLine="480"/>
        <w:rPr>
          <w:rFonts w:hint="eastAsia" w:ascii="宋体" w:hAnsi="宋体" w:eastAsia="宋体" w:cs="宋体"/>
        </w:rPr>
      </w:pPr>
      <w:r>
        <w:rPr>
          <w:rFonts w:hint="eastAsia" w:ascii="宋体" w:hAnsi="宋体" w:eastAsia="宋体" w:cs="宋体"/>
        </w:rPr>
        <w:t>质检工程师直接对项目经理负责。每月定期组织一次质量检查，召开一次工程质量总结分析会，项目经理和总工程师参加。</w:t>
      </w:r>
    </w:p>
    <w:p w14:paraId="1149F9DA">
      <w:pPr>
        <w:ind w:firstLine="480"/>
        <w:rPr>
          <w:rFonts w:hint="eastAsia" w:ascii="宋体" w:hAnsi="宋体" w:eastAsia="宋体" w:cs="宋体"/>
        </w:rPr>
      </w:pPr>
      <w:r>
        <w:rPr>
          <w:rFonts w:hint="eastAsia" w:ascii="宋体" w:hAnsi="宋体" w:eastAsia="宋体" w:cs="宋体"/>
        </w:rPr>
        <w:t>质检员负责分项工程质量的监督检查，落实质量管理措施，填写质量管理记录并妥善保管。重要部位或重点工序的作业，质检员必须跟班作业。主动接受质监站监督、甲方及监理工程师的检查，并提供必要的检查条件。</w:t>
      </w:r>
    </w:p>
    <w:p w14:paraId="1BD5C3C1">
      <w:pPr>
        <w:ind w:firstLine="480"/>
        <w:rPr>
          <w:rFonts w:hint="eastAsia" w:ascii="宋体" w:hAnsi="宋体" w:eastAsia="宋体" w:cs="宋体"/>
        </w:rPr>
      </w:pPr>
      <w:r>
        <w:rPr>
          <w:rFonts w:hint="eastAsia" w:ascii="宋体" w:hAnsi="宋体" w:eastAsia="宋体" w:cs="宋体"/>
        </w:rPr>
        <w:t>建立质量管理信息系统。配备完善的计算机硬件和软件，全面使用计算机进行进度、质量、试验检测、计量与支付等工程管理工作。</w:t>
      </w:r>
      <w:bookmarkEnd w:id="1779"/>
    </w:p>
    <w:p w14:paraId="7B76AD5F">
      <w:pPr>
        <w:pStyle w:val="5"/>
        <w:numPr>
          <w:ilvl w:val="2"/>
          <w:numId w:val="0"/>
        </w:numPr>
        <w:spacing w:line="360" w:lineRule="auto"/>
        <w:ind w:left="720" w:leftChars="0" w:hanging="720" w:firstLineChars="0"/>
        <w:rPr>
          <w:rFonts w:hint="eastAsia" w:ascii="宋体" w:hAnsi="宋体" w:eastAsia="宋体" w:cs="宋体"/>
          <w:color w:val="auto"/>
        </w:rPr>
      </w:pPr>
      <w:bookmarkStart w:id="1780" w:name="_Toc4920"/>
      <w:bookmarkStart w:id="1781" w:name="_Toc25862"/>
      <w:bookmarkStart w:id="1782" w:name="_Toc9519"/>
      <w:bookmarkStart w:id="1783" w:name="_Toc2983"/>
      <w:bookmarkStart w:id="1784" w:name="_Toc10102"/>
      <w:bookmarkStart w:id="1785" w:name="_Toc32645"/>
      <w:bookmarkStart w:id="1786" w:name="_Toc11909"/>
      <w:bookmarkStart w:id="1787" w:name="_Toc16231"/>
      <w:bookmarkStart w:id="1788" w:name="_Toc15768"/>
      <w:bookmarkStart w:id="1789" w:name="_Toc4212"/>
      <w:bookmarkStart w:id="1790" w:name="_Toc26214"/>
      <w:bookmarkStart w:id="1791" w:name="_Toc5160"/>
      <w:bookmarkStart w:id="1792" w:name="_Toc232929382"/>
      <w:bookmarkStart w:id="1793" w:name="_Toc260037203"/>
      <w:bookmarkStart w:id="1794" w:name="_Toc260036573"/>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1</w:t>
      </w:r>
      <w:r>
        <w:rPr>
          <w:rFonts w:hint="default" w:ascii="宋体" w:hAnsi="宋体" w:eastAsia="宋体" w:cs="Times New Roman"/>
          <w:b/>
          <w:bCs/>
          <w:color w:val="auto"/>
          <w:kern w:val="2"/>
          <w:sz w:val="30"/>
          <w:szCs w:val="32"/>
          <w:lang w:val="en-US" w:eastAsia="zh-CN" w:bidi="ar-SA"/>
        </w:rPr>
        <w:t>.3.2.</w:t>
      </w:r>
      <w:r>
        <w:rPr>
          <w:rFonts w:hint="eastAsia" w:ascii="宋体" w:hAnsi="宋体" w:eastAsia="宋体" w:cs="宋体"/>
          <w:color w:val="auto"/>
        </w:rPr>
        <w:t>思想保证措施</w:t>
      </w:r>
      <w:bookmarkEnd w:id="1780"/>
      <w:bookmarkEnd w:id="1781"/>
      <w:bookmarkEnd w:id="1782"/>
      <w:bookmarkEnd w:id="1783"/>
      <w:bookmarkEnd w:id="1784"/>
      <w:bookmarkEnd w:id="1785"/>
      <w:bookmarkEnd w:id="1786"/>
      <w:bookmarkEnd w:id="1787"/>
      <w:bookmarkEnd w:id="1788"/>
      <w:bookmarkEnd w:id="1789"/>
      <w:bookmarkEnd w:id="1790"/>
      <w:bookmarkEnd w:id="1791"/>
    </w:p>
    <w:p w14:paraId="52C04A1B">
      <w:pPr>
        <w:pStyle w:val="6"/>
        <w:numPr>
          <w:ilvl w:val="3"/>
          <w:numId w:val="0"/>
        </w:numPr>
        <w:ind w:left="720" w:leftChars="0" w:firstLine="0" w:firstLineChars="0"/>
        <w:rPr>
          <w:rFonts w:hint="eastAsia" w:ascii="宋体" w:hAnsi="宋体" w:eastAsia="宋体" w:cs="宋体"/>
        </w:rPr>
      </w:pPr>
      <w:r>
        <w:rPr>
          <w:rFonts w:hint="default" w:ascii="宋体" w:hAnsi="宋体" w:eastAsia="宋体" w:cs="Times New Roman"/>
          <w:b/>
          <w:bCs/>
          <w:kern w:val="2"/>
          <w:sz w:val="24"/>
          <w:szCs w:val="28"/>
          <w:lang w:val="en-US" w:eastAsia="zh-CN" w:bidi="ar-SA"/>
        </w:rPr>
        <w:t>1</w:t>
      </w:r>
      <w:r>
        <w:rPr>
          <w:rFonts w:hint="eastAsia" w:ascii="宋体" w:hAnsi="宋体" w:cs="Times New Roman"/>
          <w:b/>
          <w:bCs/>
          <w:kern w:val="2"/>
          <w:sz w:val="24"/>
          <w:szCs w:val="28"/>
          <w:lang w:val="en-US" w:eastAsia="zh-CN" w:bidi="ar-SA"/>
        </w:rPr>
        <w:t>1</w:t>
      </w:r>
      <w:r>
        <w:rPr>
          <w:rFonts w:hint="default" w:ascii="宋体" w:hAnsi="宋体" w:eastAsia="宋体" w:cs="Times New Roman"/>
          <w:b/>
          <w:bCs/>
          <w:kern w:val="2"/>
          <w:sz w:val="24"/>
          <w:szCs w:val="28"/>
          <w:lang w:val="en-US" w:eastAsia="zh-CN" w:bidi="ar-SA"/>
        </w:rPr>
        <w:t>.3.2.1.</w:t>
      </w:r>
      <w:r>
        <w:rPr>
          <w:rFonts w:hint="eastAsia" w:ascii="宋体" w:hAnsi="宋体" w:eastAsia="宋体" w:cs="宋体"/>
        </w:rPr>
        <w:t>形势教育</w:t>
      </w:r>
    </w:p>
    <w:p w14:paraId="6842B13D">
      <w:pPr>
        <w:ind w:firstLine="480"/>
        <w:rPr>
          <w:rFonts w:hint="eastAsia" w:ascii="宋体" w:hAnsi="宋体" w:eastAsia="宋体" w:cs="宋体"/>
        </w:rPr>
      </w:pPr>
      <w:r>
        <w:rPr>
          <w:rFonts w:hint="eastAsia" w:ascii="宋体" w:hAnsi="宋体" w:eastAsia="宋体" w:cs="宋体"/>
        </w:rPr>
        <w:t>1、做好开工前职工思想总动员，教育全员要以为国家、为人民高度负责的精神自觉搞好工程质量，并结合建筑市场激烈竞争的形式，深刻理解“质量就是生命、质量就是效益、质量就是信誉、质量就是发展、质量就是企业实力”的含义。</w:t>
      </w:r>
    </w:p>
    <w:p w14:paraId="04055E5C">
      <w:pPr>
        <w:ind w:firstLine="480"/>
        <w:rPr>
          <w:rFonts w:hint="eastAsia" w:ascii="宋体" w:hAnsi="宋体" w:eastAsia="宋体" w:cs="宋体"/>
        </w:rPr>
      </w:pPr>
      <w:r>
        <w:rPr>
          <w:rFonts w:hint="eastAsia" w:ascii="宋体" w:hAnsi="宋体" w:eastAsia="宋体" w:cs="宋体"/>
        </w:rPr>
        <w:t>2、实施贯彻始终的施工形势教育，是工程的每一个建设者时刻都明确当前的施工指导思想、形势和任务、施工计划以及保证工程质量、施工安全和形象进度计划实现的措施。</w:t>
      </w:r>
    </w:p>
    <w:p w14:paraId="782D40D3">
      <w:pPr>
        <w:pStyle w:val="6"/>
        <w:numPr>
          <w:ilvl w:val="3"/>
          <w:numId w:val="0"/>
        </w:numPr>
        <w:ind w:left="720" w:leftChars="0" w:firstLine="0" w:firstLineChars="0"/>
        <w:rPr>
          <w:rFonts w:hint="eastAsia" w:ascii="宋体" w:hAnsi="宋体" w:eastAsia="宋体" w:cs="宋体"/>
        </w:rPr>
      </w:pPr>
      <w:r>
        <w:rPr>
          <w:rFonts w:hint="default" w:ascii="宋体" w:hAnsi="宋体" w:eastAsia="宋体" w:cs="Times New Roman"/>
          <w:b/>
          <w:bCs/>
          <w:kern w:val="2"/>
          <w:sz w:val="24"/>
          <w:szCs w:val="28"/>
          <w:lang w:val="en-US" w:eastAsia="zh-CN" w:bidi="ar-SA"/>
        </w:rPr>
        <w:t>1</w:t>
      </w:r>
      <w:r>
        <w:rPr>
          <w:rFonts w:hint="eastAsia" w:ascii="宋体" w:hAnsi="宋体" w:cs="Times New Roman"/>
          <w:b/>
          <w:bCs/>
          <w:kern w:val="2"/>
          <w:sz w:val="24"/>
          <w:szCs w:val="28"/>
          <w:lang w:val="en-US" w:eastAsia="zh-CN" w:bidi="ar-SA"/>
        </w:rPr>
        <w:t>1</w:t>
      </w:r>
      <w:r>
        <w:rPr>
          <w:rFonts w:hint="default" w:ascii="宋体" w:hAnsi="宋体" w:eastAsia="宋体" w:cs="Times New Roman"/>
          <w:b/>
          <w:bCs/>
          <w:kern w:val="2"/>
          <w:sz w:val="24"/>
          <w:szCs w:val="28"/>
          <w:lang w:val="en-US" w:eastAsia="zh-CN" w:bidi="ar-SA"/>
        </w:rPr>
        <w:t>.3.2.2.</w:t>
      </w:r>
      <w:r>
        <w:rPr>
          <w:rFonts w:hint="eastAsia" w:ascii="宋体" w:hAnsi="宋体" w:eastAsia="宋体" w:cs="宋体"/>
        </w:rPr>
        <w:t>质量创优意识教育</w:t>
      </w:r>
    </w:p>
    <w:p w14:paraId="148E4505">
      <w:pPr>
        <w:ind w:firstLine="480"/>
        <w:rPr>
          <w:rFonts w:hint="eastAsia" w:ascii="宋体" w:hAnsi="宋体" w:eastAsia="宋体" w:cs="宋体"/>
        </w:rPr>
      </w:pPr>
      <w:r>
        <w:rPr>
          <w:rFonts w:hint="eastAsia" w:ascii="宋体" w:hAnsi="宋体" w:eastAsia="宋体" w:cs="宋体"/>
        </w:rPr>
        <w:t>1、树立质量品牌意识，是全员明确质量方针和创优目标，牢固树立“质量在我心中，创优在我手中”的思想，变“要我创优”为“我要创优”。提高全员质量意识，增强全员质量责任感，使“争创国内一流水平”的质量总目标的名优战略意识深深扎根在广大职工心中。</w:t>
      </w:r>
    </w:p>
    <w:p w14:paraId="197DA66C">
      <w:pPr>
        <w:ind w:firstLine="480"/>
        <w:rPr>
          <w:rFonts w:hint="eastAsia" w:ascii="宋体" w:hAnsi="宋体" w:eastAsia="宋体" w:cs="宋体"/>
        </w:rPr>
      </w:pPr>
      <w:r>
        <w:rPr>
          <w:rFonts w:hint="eastAsia" w:ascii="宋体" w:hAnsi="宋体" w:eastAsia="宋体" w:cs="宋体"/>
        </w:rPr>
        <w:t>2、教育全员、特别是各级工程管理人员和质检人员，正确处理好质量、进度和效益之间的关系。坚持好中求快，好中求省，严格按标准、规范和设计要求组织、指导施工，不能因为抢工期争效益而忽视工程质量。对全员进行质量目标、创优规划、法规及措施的学习教育，增强全员的质量责任观念，牢固树立“百年大计，质量第一”的思想。</w:t>
      </w:r>
    </w:p>
    <w:p w14:paraId="3199F32C">
      <w:pPr>
        <w:ind w:firstLine="480"/>
        <w:rPr>
          <w:rFonts w:hint="eastAsia" w:ascii="宋体" w:hAnsi="宋体" w:eastAsia="宋体" w:cs="宋体"/>
        </w:rPr>
      </w:pPr>
      <w:r>
        <w:rPr>
          <w:rFonts w:hint="eastAsia" w:ascii="宋体" w:hAnsi="宋体" w:eastAsia="宋体" w:cs="宋体"/>
        </w:rPr>
        <w:t>加强职业道德教育和业务技术培训，把工程质量作为工程考核的主要内容，努力提高施工人员的基本素质。</w:t>
      </w:r>
    </w:p>
    <w:p w14:paraId="18270C0C">
      <w:pPr>
        <w:ind w:firstLine="480"/>
        <w:rPr>
          <w:rFonts w:hint="eastAsia" w:ascii="宋体" w:hAnsi="宋体" w:eastAsia="宋体" w:cs="宋体"/>
        </w:rPr>
      </w:pPr>
      <w:r>
        <w:rPr>
          <w:rFonts w:hint="eastAsia" w:ascii="宋体" w:hAnsi="宋体" w:eastAsia="宋体" w:cs="宋体"/>
        </w:rPr>
        <w:t>注重实效，树立“一切为用户服务”的观点，全心全意使“用户”满意，以达到提高施工质量的目的。</w:t>
      </w:r>
    </w:p>
    <w:p w14:paraId="14E98DBB">
      <w:pPr>
        <w:pStyle w:val="6"/>
        <w:numPr>
          <w:ilvl w:val="3"/>
          <w:numId w:val="0"/>
        </w:numPr>
        <w:ind w:left="720" w:leftChars="0" w:firstLine="0" w:firstLineChars="0"/>
        <w:rPr>
          <w:rFonts w:hint="eastAsia" w:ascii="宋体" w:hAnsi="宋体" w:eastAsia="宋体" w:cs="宋体"/>
        </w:rPr>
      </w:pPr>
      <w:r>
        <w:rPr>
          <w:rFonts w:hint="default" w:ascii="宋体" w:hAnsi="宋体" w:eastAsia="宋体" w:cs="Times New Roman"/>
          <w:b/>
          <w:bCs/>
          <w:kern w:val="2"/>
          <w:sz w:val="24"/>
          <w:szCs w:val="28"/>
          <w:lang w:val="en-US" w:eastAsia="zh-CN" w:bidi="ar-SA"/>
        </w:rPr>
        <w:t>1</w:t>
      </w:r>
      <w:r>
        <w:rPr>
          <w:rFonts w:hint="eastAsia" w:ascii="宋体" w:hAnsi="宋体" w:cs="Times New Roman"/>
          <w:b/>
          <w:bCs/>
          <w:kern w:val="2"/>
          <w:sz w:val="24"/>
          <w:szCs w:val="28"/>
          <w:lang w:val="en-US" w:eastAsia="zh-CN" w:bidi="ar-SA"/>
        </w:rPr>
        <w:t>1</w:t>
      </w:r>
      <w:r>
        <w:rPr>
          <w:rFonts w:hint="default" w:ascii="宋体" w:hAnsi="宋体" w:eastAsia="宋体" w:cs="Times New Roman"/>
          <w:b/>
          <w:bCs/>
          <w:kern w:val="2"/>
          <w:sz w:val="24"/>
          <w:szCs w:val="28"/>
          <w:lang w:val="en-US" w:eastAsia="zh-CN" w:bidi="ar-SA"/>
        </w:rPr>
        <w:t>.3.2.3.</w:t>
      </w:r>
      <w:r>
        <w:rPr>
          <w:rFonts w:hint="eastAsia" w:ascii="宋体" w:hAnsi="宋体" w:eastAsia="宋体" w:cs="宋体"/>
        </w:rPr>
        <w:t>质量法规教育</w:t>
      </w:r>
    </w:p>
    <w:p w14:paraId="79C757C0">
      <w:pPr>
        <w:ind w:firstLine="480"/>
        <w:rPr>
          <w:rFonts w:hint="eastAsia" w:ascii="宋体" w:hAnsi="宋体" w:eastAsia="宋体" w:cs="宋体"/>
        </w:rPr>
      </w:pPr>
      <w:r>
        <w:rPr>
          <w:rFonts w:hint="eastAsia" w:ascii="宋体" w:hAnsi="宋体" w:eastAsia="宋体" w:cs="宋体"/>
        </w:rPr>
        <w:t>深入开展质量法规教育，组织全员学习《建筑法》、《民法典》、《建筑工程质量管理条例》等法律、法规，以及《技术规范》等规范、规程，积极开展“一学、五严、一追查”（学法规；严守设计标准、严守操作规程、严用合格产品、严格程序办事、严格履行合同；追查质量问题责任者）活动，充分发动职工群众，切实履行法定的质量义务，做到依法经营。</w:t>
      </w:r>
    </w:p>
    <w:p w14:paraId="427D6808">
      <w:pPr>
        <w:pStyle w:val="6"/>
        <w:numPr>
          <w:ilvl w:val="3"/>
          <w:numId w:val="0"/>
        </w:numPr>
        <w:ind w:left="720" w:leftChars="0" w:firstLine="0" w:firstLineChars="0"/>
        <w:rPr>
          <w:rFonts w:hint="eastAsia" w:ascii="宋体" w:hAnsi="宋体" w:eastAsia="宋体" w:cs="宋体"/>
        </w:rPr>
      </w:pPr>
      <w:r>
        <w:rPr>
          <w:rFonts w:hint="default" w:ascii="宋体" w:hAnsi="宋体" w:eastAsia="宋体" w:cs="Times New Roman"/>
          <w:b/>
          <w:bCs/>
          <w:kern w:val="2"/>
          <w:sz w:val="24"/>
          <w:szCs w:val="28"/>
          <w:lang w:val="en-US" w:eastAsia="zh-CN" w:bidi="ar-SA"/>
        </w:rPr>
        <w:t>1</w:t>
      </w:r>
      <w:r>
        <w:rPr>
          <w:rFonts w:hint="eastAsia" w:ascii="宋体" w:hAnsi="宋体" w:cs="Times New Roman"/>
          <w:b/>
          <w:bCs/>
          <w:kern w:val="2"/>
          <w:sz w:val="24"/>
          <w:szCs w:val="28"/>
          <w:lang w:val="en-US" w:eastAsia="zh-CN" w:bidi="ar-SA"/>
        </w:rPr>
        <w:t>1</w:t>
      </w:r>
      <w:r>
        <w:rPr>
          <w:rFonts w:hint="default" w:ascii="宋体" w:hAnsi="宋体" w:eastAsia="宋体" w:cs="Times New Roman"/>
          <w:b/>
          <w:bCs/>
          <w:kern w:val="2"/>
          <w:sz w:val="24"/>
          <w:szCs w:val="28"/>
          <w:lang w:val="en-US" w:eastAsia="zh-CN" w:bidi="ar-SA"/>
        </w:rPr>
        <w:t>.3.2.4.</w:t>
      </w:r>
      <w:r>
        <w:rPr>
          <w:rFonts w:hint="eastAsia" w:ascii="宋体" w:hAnsi="宋体" w:eastAsia="宋体" w:cs="宋体"/>
        </w:rPr>
        <w:t>积极开展质量活动</w:t>
      </w:r>
    </w:p>
    <w:p w14:paraId="5C7BD762">
      <w:pPr>
        <w:ind w:firstLine="480"/>
        <w:rPr>
          <w:rFonts w:hint="eastAsia" w:ascii="宋体" w:hAnsi="宋体" w:eastAsia="宋体" w:cs="宋体"/>
        </w:rPr>
      </w:pPr>
      <w:r>
        <w:rPr>
          <w:rFonts w:hint="eastAsia" w:ascii="宋体" w:hAnsi="宋体" w:eastAsia="宋体" w:cs="宋体"/>
        </w:rPr>
        <w:t>适时召开现场会，抓样板、树典型，及时总结推广先进经验，鼓励先进、鞭策后进，不断提高工程质量的水平。工作保证体系主要内容是产品形成过程的质量控制，强化工程质量控制系统，质量控制的策略是：全面控制施工过程，重点控制工序质量。</w:t>
      </w:r>
    </w:p>
    <w:p w14:paraId="1B9CC351">
      <w:pPr>
        <w:pStyle w:val="4"/>
        <w:numPr>
          <w:ilvl w:val="1"/>
          <w:numId w:val="0"/>
        </w:numPr>
        <w:spacing w:line="360" w:lineRule="auto"/>
        <w:ind w:firstLine="0" w:firstLineChars="0"/>
        <w:rPr>
          <w:rFonts w:hint="eastAsia" w:ascii="宋体" w:hAnsi="宋体" w:eastAsia="宋体" w:cs="宋体"/>
          <w:color w:val="auto"/>
        </w:rPr>
      </w:pPr>
      <w:bookmarkStart w:id="1795" w:name="_Toc18629"/>
      <w:bookmarkStart w:id="1796" w:name="_Toc28497"/>
      <w:bookmarkStart w:id="1797" w:name="_Toc21591"/>
      <w:bookmarkStart w:id="1798" w:name="_Toc12310"/>
      <w:bookmarkStart w:id="1799" w:name="_Toc19086"/>
      <w:bookmarkStart w:id="1800" w:name="_Toc26848"/>
      <w:bookmarkStart w:id="1801" w:name="_Toc2645"/>
      <w:bookmarkStart w:id="1802" w:name="_Toc8608"/>
      <w:bookmarkStart w:id="1803" w:name="_Toc27716"/>
      <w:bookmarkStart w:id="1804" w:name="_Toc4381"/>
      <w:bookmarkStart w:id="1805" w:name="_Toc20224"/>
      <w:bookmarkStart w:id="1806" w:name="_Toc23118"/>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1</w:t>
      </w:r>
      <w:r>
        <w:rPr>
          <w:rFonts w:hint="default" w:ascii="宋体" w:hAnsi="宋体" w:eastAsia="宋体" w:cs="Times New Roman"/>
          <w:b/>
          <w:bCs/>
          <w:color w:val="auto"/>
          <w:kern w:val="2"/>
          <w:sz w:val="32"/>
          <w:szCs w:val="32"/>
          <w:lang w:val="en-US" w:eastAsia="zh-CN" w:bidi="ar-SA"/>
        </w:rPr>
        <w:t>.4.</w:t>
      </w:r>
      <w:r>
        <w:rPr>
          <w:rFonts w:hint="eastAsia" w:ascii="宋体" w:hAnsi="宋体" w:eastAsia="宋体" w:cs="宋体"/>
          <w:color w:val="auto"/>
        </w:rPr>
        <w:t>技术保证</w:t>
      </w:r>
      <w:bookmarkEnd w:id="1795"/>
      <w:bookmarkEnd w:id="1796"/>
      <w:bookmarkEnd w:id="1797"/>
      <w:bookmarkEnd w:id="1798"/>
      <w:bookmarkEnd w:id="1799"/>
    </w:p>
    <w:p w14:paraId="58F9971A">
      <w:pPr>
        <w:pStyle w:val="14"/>
        <w:ind w:firstLine="480"/>
        <w:rPr>
          <w:rFonts w:hint="eastAsia" w:ascii="宋体" w:hAnsi="宋体" w:eastAsia="宋体" w:cs="宋体"/>
          <w:szCs w:val="24"/>
        </w:rPr>
      </w:pPr>
      <w:r>
        <w:rPr>
          <w:rFonts w:hint="eastAsia" w:ascii="宋体" w:hAnsi="宋体" w:eastAsia="宋体" w:cs="宋体"/>
          <w:szCs w:val="24"/>
        </w:rPr>
        <w:t>（1）加强施工技术管理，熟悉设计文件和施工规范、验标，施工人员严格掌握施工标准、质量检查及验收标准和工艺要求。</w:t>
      </w:r>
    </w:p>
    <w:p w14:paraId="43623E99">
      <w:pPr>
        <w:pStyle w:val="14"/>
        <w:ind w:firstLine="480"/>
        <w:rPr>
          <w:rFonts w:hint="eastAsia" w:ascii="宋体" w:hAnsi="宋体" w:eastAsia="宋体" w:cs="宋体"/>
          <w:szCs w:val="24"/>
        </w:rPr>
      </w:pPr>
      <w:r>
        <w:rPr>
          <w:rFonts w:hint="eastAsia" w:ascii="宋体" w:hAnsi="宋体" w:eastAsia="宋体" w:cs="宋体"/>
          <w:szCs w:val="24"/>
        </w:rPr>
        <w:t>（2）坚持三级测量复核制，各测量桩点认真保护，重要桩点设好护桩，施工测量放线反复校核。认真进行交接班，确保中线、水平及结构物尺寸位置正确。</w:t>
      </w:r>
    </w:p>
    <w:p w14:paraId="677A9B30">
      <w:pPr>
        <w:pStyle w:val="14"/>
        <w:ind w:firstLine="480"/>
        <w:rPr>
          <w:rFonts w:hint="eastAsia" w:ascii="宋体" w:hAnsi="宋体" w:eastAsia="宋体" w:cs="宋体"/>
        </w:rPr>
      </w:pPr>
      <w:r>
        <w:rPr>
          <w:rFonts w:hint="eastAsia" w:ascii="宋体" w:hAnsi="宋体" w:eastAsia="宋体" w:cs="宋体"/>
          <w:szCs w:val="24"/>
        </w:rPr>
        <w:t>（3）施工所用的各种检验、测量、试验仪器设备定期进行校核和检定，确保仪器设备的精度和准确度。</w:t>
      </w:r>
    </w:p>
    <w:p w14:paraId="4A88CC5F">
      <w:pPr>
        <w:pStyle w:val="4"/>
        <w:numPr>
          <w:ilvl w:val="1"/>
          <w:numId w:val="0"/>
        </w:numPr>
        <w:spacing w:line="360" w:lineRule="auto"/>
        <w:ind w:firstLine="0" w:firstLineChars="0"/>
        <w:rPr>
          <w:rFonts w:hint="eastAsia" w:ascii="宋体" w:hAnsi="宋体" w:eastAsia="宋体" w:cs="宋体"/>
          <w:color w:val="auto"/>
        </w:rPr>
      </w:pPr>
      <w:bookmarkStart w:id="1807" w:name="_Toc30940"/>
      <w:bookmarkStart w:id="1808" w:name="_Toc27997"/>
      <w:bookmarkStart w:id="1809" w:name="_Toc13878"/>
      <w:bookmarkStart w:id="1810" w:name="_Toc10511"/>
      <w:bookmarkStart w:id="1811" w:name="_Toc29566"/>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1</w:t>
      </w:r>
      <w:r>
        <w:rPr>
          <w:rFonts w:hint="default" w:ascii="宋体" w:hAnsi="宋体" w:eastAsia="宋体" w:cs="Times New Roman"/>
          <w:b/>
          <w:bCs/>
          <w:color w:val="auto"/>
          <w:kern w:val="2"/>
          <w:sz w:val="32"/>
          <w:szCs w:val="32"/>
          <w:lang w:val="en-US" w:eastAsia="zh-CN" w:bidi="ar-SA"/>
        </w:rPr>
        <w:t>.5.</w:t>
      </w:r>
      <w:r>
        <w:rPr>
          <w:rFonts w:hint="eastAsia" w:ascii="宋体" w:hAnsi="宋体" w:eastAsia="宋体" w:cs="宋体"/>
          <w:color w:val="auto"/>
        </w:rPr>
        <w:t>对供货商的管理控制措施</w:t>
      </w:r>
      <w:bookmarkEnd w:id="1807"/>
      <w:bookmarkEnd w:id="1808"/>
      <w:bookmarkEnd w:id="1809"/>
      <w:bookmarkEnd w:id="1810"/>
      <w:bookmarkEnd w:id="1811"/>
    </w:p>
    <w:p w14:paraId="2521DCDC">
      <w:pPr>
        <w:ind w:firstLine="480"/>
        <w:rPr>
          <w:rFonts w:hint="eastAsia" w:ascii="宋体" w:hAnsi="宋体" w:eastAsia="宋体" w:cs="宋体"/>
          <w:szCs w:val="24"/>
        </w:rPr>
      </w:pPr>
      <w:r>
        <w:rPr>
          <w:rFonts w:hint="eastAsia" w:ascii="宋体" w:hAnsi="宋体" w:eastAsia="宋体" w:cs="宋体"/>
          <w:szCs w:val="24"/>
        </w:rPr>
        <w:t>工程所用的材料必须进行严格的质量管理，包括对原材料、成品、半成品的质量管理。对供应商的严格管理也是保证工程质量的重要措施之一。</w:t>
      </w:r>
    </w:p>
    <w:p w14:paraId="2FAD5332">
      <w:pPr>
        <w:pStyle w:val="6"/>
        <w:numPr>
          <w:ilvl w:val="3"/>
          <w:numId w:val="0"/>
        </w:numPr>
        <w:ind w:left="720" w:leftChars="0" w:firstLine="0" w:firstLineChars="0"/>
        <w:rPr>
          <w:rFonts w:hint="eastAsia" w:ascii="宋体" w:hAnsi="宋体" w:eastAsia="宋体" w:cs="宋体"/>
        </w:rPr>
      </w:pPr>
      <w:r>
        <w:rPr>
          <w:rFonts w:hint="default" w:ascii="宋体" w:hAnsi="宋体" w:eastAsia="宋体" w:cs="Times New Roman"/>
          <w:b/>
          <w:bCs/>
          <w:kern w:val="2"/>
          <w:sz w:val="24"/>
          <w:szCs w:val="28"/>
          <w:lang w:val="en-US" w:eastAsia="zh-CN" w:bidi="ar-SA"/>
        </w:rPr>
        <w:t>1</w:t>
      </w:r>
      <w:r>
        <w:rPr>
          <w:rFonts w:hint="eastAsia" w:ascii="宋体" w:hAnsi="宋体" w:cs="Times New Roman"/>
          <w:b/>
          <w:bCs/>
          <w:kern w:val="2"/>
          <w:sz w:val="24"/>
          <w:szCs w:val="28"/>
          <w:lang w:val="en-US" w:eastAsia="zh-CN" w:bidi="ar-SA"/>
        </w:rPr>
        <w:t>1</w:t>
      </w:r>
      <w:r>
        <w:rPr>
          <w:rFonts w:hint="default" w:ascii="宋体" w:hAnsi="宋体" w:eastAsia="宋体" w:cs="Times New Roman"/>
          <w:b/>
          <w:bCs/>
          <w:kern w:val="2"/>
          <w:sz w:val="24"/>
          <w:szCs w:val="28"/>
          <w:lang w:val="en-US" w:eastAsia="zh-CN" w:bidi="ar-SA"/>
        </w:rPr>
        <w:t>.5.1.1.</w:t>
      </w:r>
      <w:r>
        <w:rPr>
          <w:rFonts w:hint="eastAsia" w:ascii="宋体" w:hAnsi="宋体" w:eastAsia="宋体" w:cs="宋体"/>
        </w:rPr>
        <w:t>对供货商的调查、评价</w:t>
      </w:r>
    </w:p>
    <w:p w14:paraId="5E4DDFE0">
      <w:pPr>
        <w:ind w:firstLine="480"/>
        <w:rPr>
          <w:rFonts w:hint="eastAsia" w:ascii="宋体" w:hAnsi="宋体" w:eastAsia="宋体" w:cs="宋体"/>
          <w:szCs w:val="24"/>
        </w:rPr>
      </w:pPr>
      <w:r>
        <w:rPr>
          <w:rFonts w:hint="eastAsia" w:ascii="宋体" w:hAnsi="宋体" w:eastAsia="宋体" w:cs="宋体"/>
          <w:szCs w:val="24"/>
        </w:rPr>
        <w:t>采购前要调查供应商的生产能力、交货质量、信誉，评价满足产品质量要求的能力，查阅其被证实的能力和业绩的记录。</w:t>
      </w:r>
    </w:p>
    <w:p w14:paraId="19C536AF">
      <w:pPr>
        <w:pStyle w:val="6"/>
        <w:numPr>
          <w:ilvl w:val="3"/>
          <w:numId w:val="0"/>
        </w:numPr>
        <w:ind w:left="720" w:leftChars="0" w:firstLine="0" w:firstLineChars="0"/>
        <w:rPr>
          <w:rFonts w:hint="eastAsia" w:ascii="宋体" w:hAnsi="宋体" w:eastAsia="宋体" w:cs="宋体"/>
        </w:rPr>
      </w:pPr>
      <w:r>
        <w:rPr>
          <w:rFonts w:hint="default" w:ascii="宋体" w:hAnsi="宋体" w:eastAsia="宋体" w:cs="Times New Roman"/>
          <w:b/>
          <w:bCs/>
          <w:kern w:val="2"/>
          <w:sz w:val="24"/>
          <w:szCs w:val="28"/>
          <w:lang w:val="en-US" w:eastAsia="zh-CN" w:bidi="ar-SA"/>
        </w:rPr>
        <w:t>1</w:t>
      </w:r>
      <w:r>
        <w:rPr>
          <w:rFonts w:hint="eastAsia" w:ascii="宋体" w:hAnsi="宋体" w:cs="Times New Roman"/>
          <w:b/>
          <w:bCs/>
          <w:kern w:val="2"/>
          <w:sz w:val="24"/>
          <w:szCs w:val="28"/>
          <w:lang w:val="en-US" w:eastAsia="zh-CN" w:bidi="ar-SA"/>
        </w:rPr>
        <w:t>1</w:t>
      </w:r>
      <w:r>
        <w:rPr>
          <w:rFonts w:hint="default" w:ascii="宋体" w:hAnsi="宋体" w:eastAsia="宋体" w:cs="Times New Roman"/>
          <w:b/>
          <w:bCs/>
          <w:kern w:val="2"/>
          <w:sz w:val="24"/>
          <w:szCs w:val="28"/>
          <w:lang w:val="en-US" w:eastAsia="zh-CN" w:bidi="ar-SA"/>
        </w:rPr>
        <w:t>.5.1.2.</w:t>
      </w:r>
      <w:r>
        <w:rPr>
          <w:rFonts w:hint="eastAsia" w:ascii="宋体" w:hAnsi="宋体" w:eastAsia="宋体" w:cs="宋体"/>
        </w:rPr>
        <w:t>产品的采购</w:t>
      </w:r>
    </w:p>
    <w:p w14:paraId="07EB93D3">
      <w:pPr>
        <w:ind w:firstLine="480"/>
        <w:rPr>
          <w:rFonts w:hint="eastAsia" w:ascii="宋体" w:hAnsi="宋体" w:eastAsia="宋体" w:cs="宋体"/>
          <w:szCs w:val="24"/>
        </w:rPr>
      </w:pPr>
      <w:r>
        <w:rPr>
          <w:rFonts w:hint="eastAsia" w:ascii="宋体" w:hAnsi="宋体" w:eastAsia="宋体" w:cs="宋体"/>
          <w:szCs w:val="24"/>
        </w:rPr>
        <w:t>（1）采购部门索取每批产品的相关技术证件（技术证件要求填写齐全，如钢材炉号、水泥批号等）。</w:t>
      </w:r>
    </w:p>
    <w:p w14:paraId="65A33D7F">
      <w:pPr>
        <w:ind w:firstLine="480"/>
        <w:rPr>
          <w:rFonts w:ascii="宋体" w:cs="Arial"/>
          <w:szCs w:val="24"/>
        </w:rPr>
      </w:pPr>
      <w:r>
        <w:rPr>
          <w:rFonts w:hint="eastAsia" w:ascii="宋体" w:hAnsi="宋体" w:cs="Arial"/>
          <w:szCs w:val="24"/>
        </w:rPr>
        <w:t>（</w:t>
      </w:r>
      <w:r>
        <w:rPr>
          <w:rFonts w:ascii="宋体" w:hAnsi="宋体" w:cs="Arial"/>
          <w:szCs w:val="24"/>
        </w:rPr>
        <w:t>2</w:t>
      </w:r>
      <w:r>
        <w:rPr>
          <w:rFonts w:hint="eastAsia" w:ascii="宋体" w:hAnsi="宋体" w:cs="Arial"/>
          <w:szCs w:val="24"/>
        </w:rPr>
        <w:t>）认真做好进货检验和试验，严把产品验收关，不合格的产品不得进入现场。</w:t>
      </w:r>
    </w:p>
    <w:p w14:paraId="0BCCA5A0">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1</w:t>
      </w:r>
      <w:r>
        <w:rPr>
          <w:rFonts w:hint="default" w:ascii="Cambria" w:hAnsi="Cambria" w:eastAsia="宋体" w:cs="Times New Roman"/>
          <w:b/>
          <w:bCs/>
          <w:kern w:val="2"/>
          <w:sz w:val="24"/>
          <w:szCs w:val="28"/>
          <w:lang w:val="en-US" w:eastAsia="zh-CN" w:bidi="ar-SA"/>
        </w:rPr>
        <w:t>.5.1.3.</w:t>
      </w:r>
      <w:r>
        <w:rPr>
          <w:rFonts w:hint="eastAsia"/>
        </w:rPr>
        <w:t>质量跟踪</w:t>
      </w:r>
    </w:p>
    <w:p w14:paraId="248D926A">
      <w:pPr>
        <w:ind w:firstLine="480"/>
      </w:pPr>
      <w:r>
        <w:rPr>
          <w:rFonts w:hint="eastAsia" w:ascii="宋体" w:hAnsi="宋体" w:cs="Arial"/>
          <w:szCs w:val="24"/>
        </w:rPr>
        <w:t>采购部门对已进货的供应商进行质量跟踪，对质量下降的供应商，采购部门提出限期改正措施。供应商若仍不能解决问题，采购部门取消其合格供应商资格。</w:t>
      </w:r>
    </w:p>
    <w:p w14:paraId="46D1AB3D">
      <w:pPr>
        <w:pStyle w:val="4"/>
        <w:numPr>
          <w:ilvl w:val="1"/>
          <w:numId w:val="0"/>
        </w:numPr>
        <w:spacing w:line="360" w:lineRule="auto"/>
        <w:ind w:firstLine="0" w:firstLineChars="0"/>
        <w:rPr>
          <w:color w:val="auto"/>
        </w:rPr>
      </w:pPr>
      <w:bookmarkStart w:id="1812" w:name="_Toc31745"/>
      <w:bookmarkStart w:id="1813" w:name="_Toc22743"/>
      <w:bookmarkStart w:id="1814" w:name="_Toc28220"/>
      <w:bookmarkStart w:id="1815" w:name="_Toc1728"/>
      <w:bookmarkStart w:id="1816" w:name="_Toc6581"/>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1</w:t>
      </w:r>
      <w:r>
        <w:rPr>
          <w:rFonts w:hint="default" w:ascii="Arial" w:hAnsi="Arial" w:eastAsia="宋体" w:cs="Times New Roman"/>
          <w:b/>
          <w:bCs/>
          <w:color w:val="auto"/>
          <w:kern w:val="2"/>
          <w:sz w:val="32"/>
          <w:szCs w:val="32"/>
          <w:lang w:val="en-US" w:eastAsia="zh-CN" w:bidi="ar-SA"/>
        </w:rPr>
        <w:t>.6.</w:t>
      </w:r>
      <w:r>
        <w:rPr>
          <w:rFonts w:hint="eastAsia"/>
          <w:color w:val="auto"/>
        </w:rPr>
        <w:t>工作保证措施</w:t>
      </w:r>
      <w:bookmarkEnd w:id="1800"/>
      <w:bookmarkEnd w:id="1801"/>
      <w:bookmarkEnd w:id="1802"/>
      <w:bookmarkEnd w:id="1803"/>
      <w:bookmarkEnd w:id="1804"/>
      <w:bookmarkEnd w:id="1805"/>
      <w:bookmarkEnd w:id="1806"/>
      <w:bookmarkEnd w:id="1812"/>
      <w:bookmarkEnd w:id="1813"/>
      <w:bookmarkEnd w:id="1814"/>
      <w:bookmarkEnd w:id="1815"/>
      <w:bookmarkEnd w:id="1816"/>
    </w:p>
    <w:p w14:paraId="7F10B7F6">
      <w:pPr>
        <w:ind w:firstLine="480"/>
        <w:rPr>
          <w:rFonts w:ascii="宋体"/>
        </w:rPr>
      </w:pPr>
      <w:r>
        <w:rPr>
          <w:rFonts w:hint="eastAsia" w:ascii="宋体"/>
        </w:rPr>
        <w:t>做到：施工项目有方案；技术措施有交底；图纸会审有记录；配制材料有试验；工序交接有检查；质量预控有对策；隐蔽工程有验收；器具校正有复核；设计变更有手续；材料替换有制度；质量处理有复查；成品保护有措施；质量监控有否决；质量文件有档案。</w:t>
      </w:r>
    </w:p>
    <w:p w14:paraId="09A7DDDC">
      <w:pPr>
        <w:pStyle w:val="4"/>
        <w:numPr>
          <w:ilvl w:val="1"/>
          <w:numId w:val="0"/>
        </w:numPr>
        <w:spacing w:line="360" w:lineRule="auto"/>
        <w:ind w:firstLine="0" w:firstLineChars="0"/>
        <w:rPr>
          <w:color w:val="auto"/>
        </w:rPr>
      </w:pPr>
      <w:bookmarkStart w:id="1817" w:name="_Toc27584"/>
      <w:bookmarkStart w:id="1818" w:name="_Toc19506"/>
      <w:bookmarkStart w:id="1819" w:name="_Toc15837"/>
      <w:bookmarkStart w:id="1820" w:name="_Toc392165647"/>
      <w:bookmarkStart w:id="1821" w:name="_Toc17704"/>
      <w:bookmarkStart w:id="1822" w:name="_Toc4470"/>
      <w:bookmarkStart w:id="1823" w:name="_Toc27536"/>
      <w:bookmarkStart w:id="1824" w:name="_Toc20079"/>
      <w:bookmarkStart w:id="1825" w:name="_Toc4249"/>
      <w:bookmarkStart w:id="1826" w:name="_Toc392933545"/>
      <w:bookmarkStart w:id="1827" w:name="_Toc16418"/>
      <w:bookmarkStart w:id="1828" w:name="_Toc2578"/>
      <w:bookmarkStart w:id="1829" w:name="_Toc22973"/>
      <w:bookmarkStart w:id="1830" w:name="_Toc29608"/>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1</w:t>
      </w:r>
      <w:r>
        <w:rPr>
          <w:rFonts w:hint="default" w:ascii="Arial" w:hAnsi="Arial" w:eastAsia="宋体" w:cs="Times New Roman"/>
          <w:b/>
          <w:bCs/>
          <w:color w:val="auto"/>
          <w:kern w:val="2"/>
          <w:sz w:val="32"/>
          <w:szCs w:val="32"/>
          <w:lang w:val="en-US" w:eastAsia="zh-CN" w:bidi="ar-SA"/>
        </w:rPr>
        <w:t>.7.</w:t>
      </w:r>
      <w:r>
        <w:rPr>
          <w:rFonts w:hint="eastAsia"/>
          <w:color w:val="auto"/>
        </w:rPr>
        <w:t>质量管理制度</w:t>
      </w:r>
      <w:bookmarkEnd w:id="1792"/>
      <w:bookmarkEnd w:id="1793"/>
      <w:bookmarkEnd w:id="1794"/>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p>
    <w:p w14:paraId="5045E222">
      <w:pPr>
        <w:ind w:firstLine="480"/>
        <w:rPr>
          <w:rFonts w:ascii="宋体"/>
        </w:rPr>
      </w:pPr>
      <w:r>
        <w:rPr>
          <w:rFonts w:hint="eastAsia" w:ascii="宋体"/>
        </w:rPr>
        <w:t>严格执行现场核查和施工技术交底制度、物资设备配件采购制度、首件实体工程试验制度、分项分工序实施专职质量管理制度、隐蔽工程检查签证制度、质量检测制度、质量定期检查及质量例会制度、质量监督制度等，并在施工认真贯彻执行，抓好落实。</w:t>
      </w:r>
    </w:p>
    <w:p w14:paraId="371F3D0A">
      <w:pPr>
        <w:pStyle w:val="4"/>
        <w:numPr>
          <w:ilvl w:val="1"/>
          <w:numId w:val="0"/>
        </w:numPr>
        <w:spacing w:line="360" w:lineRule="auto"/>
        <w:ind w:firstLine="0" w:firstLineChars="0"/>
        <w:rPr>
          <w:color w:val="auto"/>
        </w:rPr>
      </w:pPr>
      <w:bookmarkStart w:id="1831" w:name="_Toc12992"/>
      <w:bookmarkStart w:id="1832" w:name="_Toc31212"/>
      <w:bookmarkStart w:id="1833" w:name="_Toc2"/>
      <w:bookmarkStart w:id="1834" w:name="_Toc612"/>
      <w:bookmarkStart w:id="1835" w:name="_Toc12862"/>
      <w:bookmarkStart w:id="1836" w:name="_Toc10182"/>
      <w:bookmarkStart w:id="1837" w:name="_Toc10910"/>
      <w:bookmarkStart w:id="1838" w:name="_Toc12537"/>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1</w:t>
      </w:r>
      <w:r>
        <w:rPr>
          <w:rFonts w:hint="default" w:ascii="Arial" w:hAnsi="Arial" w:eastAsia="宋体" w:cs="Times New Roman"/>
          <w:b/>
          <w:bCs/>
          <w:color w:val="auto"/>
          <w:kern w:val="2"/>
          <w:sz w:val="32"/>
          <w:szCs w:val="32"/>
          <w:lang w:val="en-US" w:eastAsia="zh-CN" w:bidi="ar-SA"/>
        </w:rPr>
        <w:t>.8.</w:t>
      </w:r>
      <w:r>
        <w:rPr>
          <w:rFonts w:hint="eastAsia"/>
          <w:color w:val="auto"/>
        </w:rPr>
        <w:t>加强过程控制、完善报验程序</w:t>
      </w:r>
      <w:bookmarkEnd w:id="1831"/>
      <w:bookmarkEnd w:id="1832"/>
      <w:bookmarkEnd w:id="1833"/>
      <w:bookmarkEnd w:id="1834"/>
      <w:bookmarkEnd w:id="1835"/>
      <w:bookmarkEnd w:id="1836"/>
      <w:bookmarkEnd w:id="1837"/>
      <w:bookmarkEnd w:id="1838"/>
    </w:p>
    <w:p w14:paraId="60D663A9">
      <w:pPr>
        <w:ind w:left="240" w:right="240" w:firstLine="480"/>
        <w:rPr>
          <w:rFonts w:ascii="宋体"/>
        </w:rPr>
      </w:pPr>
      <w:r>
        <w:rPr>
          <w:rFonts w:hint="eastAsia" w:ascii="宋体"/>
        </w:rPr>
        <w:t>（</w:t>
      </w:r>
      <w:r>
        <w:rPr>
          <w:rFonts w:ascii="宋体"/>
        </w:rPr>
        <w:t>1</w:t>
      </w:r>
      <w:r>
        <w:rPr>
          <w:rFonts w:hint="eastAsia" w:ascii="宋体"/>
        </w:rPr>
        <w:t>）项目经理部在施工过程中应坚持自检、互检、交接检程序，落实“三检”制度，提高自我管理，自我控制，自我提高的能力。</w:t>
      </w:r>
    </w:p>
    <w:p w14:paraId="5D304069">
      <w:pPr>
        <w:ind w:left="240" w:right="240" w:firstLine="480"/>
        <w:rPr>
          <w:rFonts w:ascii="宋体"/>
        </w:rPr>
      </w:pPr>
      <w:r>
        <w:rPr>
          <w:rFonts w:hint="eastAsia" w:ascii="宋体"/>
        </w:rPr>
        <w:t>（</w:t>
      </w:r>
      <w:r>
        <w:rPr>
          <w:rFonts w:ascii="宋体"/>
        </w:rPr>
        <w:t>2</w:t>
      </w:r>
      <w:r>
        <w:rPr>
          <w:rFonts w:hint="eastAsia" w:ascii="宋体"/>
        </w:rPr>
        <w:t>）坚持开展施工班组间的以“工前教育、工中检查和工后讲评”为主要内容的“三工”活动，提高质量管理的实际效果，防止质量问题重复发生。</w:t>
      </w:r>
    </w:p>
    <w:p w14:paraId="18D0603E">
      <w:pPr>
        <w:ind w:left="240" w:right="240" w:firstLine="480"/>
        <w:rPr>
          <w:rFonts w:ascii="宋体"/>
        </w:rPr>
      </w:pPr>
      <w:r>
        <w:rPr>
          <w:rFonts w:hint="eastAsia" w:ascii="宋体"/>
        </w:rPr>
        <w:t>（</w:t>
      </w:r>
      <w:r>
        <w:rPr>
          <w:rFonts w:ascii="宋体"/>
        </w:rPr>
        <w:t>3</w:t>
      </w:r>
      <w:r>
        <w:rPr>
          <w:rFonts w:hint="eastAsia" w:ascii="宋体"/>
        </w:rPr>
        <w:t>）质量管理强调加强过程控制，对于达不到质量要求的施工工艺必须进行改进，质量通病消灭在萌芽状态。</w:t>
      </w:r>
    </w:p>
    <w:p w14:paraId="4904AAA3">
      <w:pPr>
        <w:ind w:firstLine="720" w:firstLineChars="300"/>
        <w:rPr>
          <w:rFonts w:hint="eastAsia" w:ascii="宋体"/>
        </w:rPr>
      </w:pPr>
      <w:r>
        <w:rPr>
          <w:rFonts w:hint="eastAsia"/>
        </w:rPr>
        <w:t>（</w:t>
      </w:r>
      <w:r>
        <w:t>4</w:t>
      </w:r>
      <w:r>
        <w:rPr>
          <w:rFonts w:hint="eastAsia"/>
        </w:rPr>
        <w:t>）工序完成之后，由班组长进行自检。自检合格之后向质检员报检。质检员根据本分项工程的控制要点进行验收，验收合格之后携带填好的质检表格向监理工程师报检。</w:t>
      </w:r>
    </w:p>
    <w:p w14:paraId="550DAA94">
      <w:pPr>
        <w:pStyle w:val="2"/>
        <w:numPr>
          <w:ilvl w:val="0"/>
          <w:numId w:val="0"/>
        </w:numPr>
        <w:spacing w:line="360" w:lineRule="auto"/>
        <w:ind w:left="432" w:leftChars="0" w:hanging="432" w:firstLineChars="0"/>
        <w:jc w:val="left"/>
        <w:rPr>
          <w:color w:val="auto"/>
        </w:rPr>
      </w:pPr>
      <w:bookmarkStart w:id="1839" w:name="_Toc3912"/>
      <w:bookmarkStart w:id="1840" w:name="_Toc31228"/>
      <w:bookmarkStart w:id="1841" w:name="_Toc24548"/>
      <w:bookmarkStart w:id="1842" w:name="_Toc21039"/>
      <w:bookmarkStart w:id="1843" w:name="_Toc17593"/>
      <w:r>
        <w:rPr>
          <w:rFonts w:hint="eastAsia" w:cs="Times New Roman"/>
          <w:b/>
          <w:bCs/>
          <w:color w:val="auto"/>
          <w:kern w:val="36"/>
          <w:sz w:val="36"/>
          <w:szCs w:val="48"/>
          <w:lang w:val="en-US" w:eastAsia="zh-CN" w:bidi="ar-SA"/>
        </w:rPr>
        <w:t xml:space="preserve">第十二章 </w:t>
      </w:r>
      <w:r>
        <w:rPr>
          <w:rFonts w:hint="eastAsia"/>
          <w:color w:val="auto"/>
        </w:rPr>
        <w:t>质量通病防治措施</w:t>
      </w:r>
      <w:bookmarkEnd w:id="1407"/>
      <w:bookmarkEnd w:id="1408"/>
      <w:bookmarkEnd w:id="1409"/>
      <w:bookmarkEnd w:id="1410"/>
      <w:bookmarkEnd w:id="1411"/>
      <w:bookmarkEnd w:id="1412"/>
      <w:bookmarkEnd w:id="1413"/>
      <w:bookmarkEnd w:id="1839"/>
      <w:bookmarkEnd w:id="1840"/>
      <w:bookmarkEnd w:id="1841"/>
      <w:bookmarkEnd w:id="1842"/>
      <w:bookmarkEnd w:id="1843"/>
    </w:p>
    <w:p w14:paraId="218008B8">
      <w:pPr>
        <w:ind w:firstLine="480"/>
        <w:rPr>
          <w:rFonts w:hint="eastAsia" w:ascii="宋体" w:hAnsi="宋体" w:eastAsia="宋体" w:cs="宋体"/>
        </w:rPr>
      </w:pPr>
      <w:r>
        <w:rPr>
          <w:rFonts w:hint="eastAsia" w:ascii="宋体" w:hAnsi="宋体" w:eastAsia="宋体" w:cs="宋体"/>
          <w:szCs w:val="28"/>
        </w:rPr>
        <w:t>为了加强在建工程质量管理，切实提高质量管理水平，完成工程质量计划，结合本合同段工程实际情况，</w:t>
      </w:r>
      <w:r>
        <w:rPr>
          <w:rFonts w:hint="eastAsia" w:ascii="宋体" w:hAnsi="宋体" w:eastAsia="宋体" w:cs="宋体"/>
        </w:rPr>
        <w:t>特成立以项目经理为组长的治理领导小组，领导小组负责制定全线工程质量通病治理活动实施方案，对施工现场的质量通病治理工作进行督查指导，同时根据各工程特点，明确工作目标、内容和责任，建立有效激励机制，完善质量管理制度。加强监督检查，督促各项制度的落实，及时总结经验。</w:t>
      </w:r>
      <w:r>
        <w:rPr>
          <w:rFonts w:hint="eastAsia" w:ascii="宋体" w:hAnsi="宋体" w:eastAsia="宋体" w:cs="宋体"/>
          <w:szCs w:val="28"/>
        </w:rPr>
        <w:t>针对施工过程中桥涵、路基、路面可能出现的质量问题，提出合理措施加以预防控制，以保证工程质量。</w:t>
      </w:r>
    </w:p>
    <w:p w14:paraId="78B30BA9">
      <w:pPr>
        <w:pStyle w:val="4"/>
        <w:numPr>
          <w:ilvl w:val="1"/>
          <w:numId w:val="0"/>
        </w:numPr>
        <w:spacing w:line="360" w:lineRule="auto"/>
        <w:ind w:firstLine="0" w:firstLineChars="0"/>
        <w:rPr>
          <w:rFonts w:hint="eastAsia" w:ascii="宋体" w:hAnsi="宋体" w:eastAsia="宋体" w:cs="宋体"/>
          <w:color w:val="auto"/>
        </w:rPr>
      </w:pPr>
      <w:bookmarkStart w:id="1844" w:name="_Toc174"/>
      <w:bookmarkStart w:id="1845" w:name="_Toc23996"/>
      <w:bookmarkStart w:id="1846" w:name="_Toc16668"/>
      <w:bookmarkStart w:id="1847" w:name="_Toc327026366"/>
      <w:bookmarkStart w:id="1848" w:name="_Toc5449"/>
      <w:bookmarkStart w:id="1849" w:name="_Toc20740"/>
      <w:bookmarkStart w:id="1850" w:name="_Toc332126143"/>
      <w:bookmarkStart w:id="1851" w:name="_Toc15677"/>
      <w:bookmarkStart w:id="1852" w:name="_Toc16845"/>
      <w:bookmarkStart w:id="1853" w:name="_Toc1042"/>
      <w:bookmarkStart w:id="1854" w:name="_Toc330826676"/>
      <w:bookmarkStart w:id="1855" w:name="_Toc31756"/>
      <w:bookmarkStart w:id="1856" w:name="_Toc2000"/>
      <w:bookmarkStart w:id="1857" w:name="_Toc7870"/>
      <w:bookmarkStart w:id="1858" w:name="_Toc327452245"/>
      <w:bookmarkStart w:id="1859" w:name="_Toc3940"/>
      <w:bookmarkStart w:id="1860" w:name="_Toc24272"/>
      <w:bookmarkStart w:id="1861" w:name="_Toc31753"/>
      <w:bookmarkStart w:id="1862" w:name="_Toc330826664"/>
      <w:bookmarkStart w:id="1863" w:name="_Toc694"/>
      <w:bookmarkStart w:id="1864" w:name="_Toc27414"/>
      <w:bookmarkStart w:id="1865" w:name="_Toc25259"/>
      <w:bookmarkStart w:id="1866" w:name="_Toc332126131"/>
      <w:bookmarkStart w:id="1867" w:name="_Toc28168"/>
      <w:bookmarkStart w:id="1868" w:name="_Toc327026354"/>
      <w:bookmarkStart w:id="1869" w:name="_Toc20619"/>
      <w:bookmarkStart w:id="1870" w:name="_Toc2813"/>
      <w:bookmarkStart w:id="1871" w:name="_Toc327452233"/>
      <w:bookmarkStart w:id="1872" w:name="_Toc12057"/>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2</w:t>
      </w:r>
      <w:r>
        <w:rPr>
          <w:rFonts w:hint="default" w:ascii="宋体" w:hAnsi="宋体" w:eastAsia="宋体" w:cs="Times New Roman"/>
          <w:b/>
          <w:bCs/>
          <w:color w:val="auto"/>
          <w:kern w:val="2"/>
          <w:sz w:val="32"/>
          <w:szCs w:val="32"/>
          <w:lang w:val="en-US" w:eastAsia="zh-CN" w:bidi="ar-SA"/>
        </w:rPr>
        <w:t>.1.</w:t>
      </w:r>
      <w:r>
        <w:rPr>
          <w:rFonts w:hint="eastAsia" w:ascii="宋体" w:hAnsi="宋体" w:eastAsia="宋体" w:cs="宋体"/>
          <w:color w:val="auto"/>
        </w:rPr>
        <w:t>路基施工质量通病</w:t>
      </w:r>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p>
    <w:p w14:paraId="78CA3948">
      <w:pPr>
        <w:pStyle w:val="5"/>
        <w:numPr>
          <w:ilvl w:val="2"/>
          <w:numId w:val="0"/>
        </w:numPr>
        <w:spacing w:line="360" w:lineRule="auto"/>
        <w:ind w:left="720" w:leftChars="0" w:hanging="720" w:firstLineChars="0"/>
        <w:rPr>
          <w:rFonts w:hint="eastAsia" w:ascii="宋体" w:hAnsi="宋体" w:eastAsia="宋体" w:cs="宋体"/>
          <w:color w:val="auto"/>
        </w:rPr>
      </w:pPr>
      <w:bookmarkStart w:id="1873" w:name="_Toc26947"/>
      <w:bookmarkStart w:id="1874" w:name="_Toc476"/>
      <w:bookmarkStart w:id="1875" w:name="_Toc327452246"/>
      <w:bookmarkStart w:id="1876" w:name="_Toc28680"/>
      <w:bookmarkStart w:id="1877" w:name="_Toc18776"/>
      <w:bookmarkStart w:id="1878" w:name="_Toc17736"/>
      <w:bookmarkStart w:id="1879" w:name="_Toc332126144"/>
      <w:bookmarkStart w:id="1880" w:name="_Toc3857"/>
      <w:bookmarkStart w:id="1881" w:name="_Toc327026367"/>
      <w:bookmarkStart w:id="1882" w:name="_Toc10595"/>
      <w:bookmarkStart w:id="1883" w:name="_Toc6094"/>
      <w:bookmarkStart w:id="1884" w:name="_Toc330826677"/>
      <w:bookmarkStart w:id="1885" w:name="_Toc18951"/>
      <w:bookmarkStart w:id="1886" w:name="_Toc25587"/>
      <w:bookmarkStart w:id="1887" w:name="_Toc25990"/>
      <w:bookmarkStart w:id="1888" w:name="_Toc24814"/>
      <w:bookmarkStart w:id="1889" w:name="_Toc10041"/>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2</w:t>
      </w:r>
      <w:r>
        <w:rPr>
          <w:rFonts w:hint="default" w:ascii="宋体" w:hAnsi="宋体" w:eastAsia="宋体" w:cs="Times New Roman"/>
          <w:b/>
          <w:bCs/>
          <w:color w:val="auto"/>
          <w:kern w:val="2"/>
          <w:sz w:val="30"/>
          <w:szCs w:val="32"/>
          <w:lang w:val="en-US" w:eastAsia="zh-CN" w:bidi="ar-SA"/>
        </w:rPr>
        <w:t>.1.1.</w:t>
      </w:r>
      <w:r>
        <w:rPr>
          <w:rFonts w:hint="eastAsia" w:ascii="宋体" w:hAnsi="宋体" w:eastAsia="宋体" w:cs="宋体"/>
          <w:color w:val="auto"/>
        </w:rPr>
        <w:t>路基弹簧土质量通病</w:t>
      </w:r>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p>
    <w:p w14:paraId="7471CF72">
      <w:pPr>
        <w:ind w:firstLine="480"/>
        <w:rPr>
          <w:rFonts w:hint="eastAsia" w:ascii="宋体" w:hAnsi="宋体" w:eastAsia="宋体" w:cs="宋体"/>
        </w:rPr>
      </w:pPr>
      <w:r>
        <w:rPr>
          <w:rFonts w:hint="eastAsia" w:ascii="宋体" w:hAnsi="宋体" w:eastAsia="宋体" w:cs="宋体"/>
        </w:rPr>
        <w:t>弹簧是路基施工过程中常见的质量通病，弹簧现象可分为两种：干弹和湿弹。干弹是由于填料局部含水量过低，在施工过程中，反复碾压，导致含水量进一步降低，无法达到压实效果，表观现象为：表面粗糙、干裂、碾压后隆包；湿弹现象是由于填料局部含水量过大，碾压过程形成水囊，无法密实。</w:t>
      </w:r>
    </w:p>
    <w:p w14:paraId="2DF25854">
      <w:pPr>
        <w:ind w:firstLine="480"/>
        <w:rPr>
          <w:rFonts w:hint="eastAsia" w:ascii="宋体" w:hAnsi="宋体" w:eastAsia="宋体" w:cs="宋体"/>
        </w:rPr>
      </w:pPr>
      <w:r>
        <w:rPr>
          <w:rFonts w:hint="eastAsia" w:ascii="宋体" w:hAnsi="宋体" w:eastAsia="宋体" w:cs="宋体"/>
        </w:rPr>
        <w:t>路基“弹簧”的主要防治措施为：</w:t>
      </w:r>
    </w:p>
    <w:p w14:paraId="1253F4E3">
      <w:pPr>
        <w:ind w:firstLine="480"/>
        <w:rPr>
          <w:rFonts w:hint="eastAsia" w:ascii="宋体" w:hAnsi="宋体" w:eastAsia="宋体" w:cs="宋体"/>
        </w:rPr>
      </w:pPr>
      <w:r>
        <w:rPr>
          <w:rFonts w:hint="eastAsia" w:ascii="宋体" w:hAnsi="宋体" w:eastAsia="宋体" w:cs="宋体"/>
        </w:rPr>
        <w:t>1、避免使用天然稠度小于1.1，液限大于40，塑性指数大于18，含水量大于最佳含水量2个百分点的土作为路基填料。</w:t>
      </w:r>
    </w:p>
    <w:p w14:paraId="5003DF85">
      <w:pPr>
        <w:ind w:firstLine="480"/>
        <w:rPr>
          <w:rFonts w:hint="eastAsia" w:ascii="宋体" w:hAnsi="宋体" w:eastAsia="宋体" w:cs="宋体"/>
        </w:rPr>
      </w:pPr>
      <w:r>
        <w:rPr>
          <w:rFonts w:hint="eastAsia" w:ascii="宋体" w:hAnsi="宋体" w:eastAsia="宋体" w:cs="宋体"/>
        </w:rPr>
        <w:t>2、清除碾压层下软弱层，换填良性土壤后重新碾压。</w:t>
      </w:r>
    </w:p>
    <w:p w14:paraId="5A7FB29D">
      <w:pPr>
        <w:ind w:firstLine="480"/>
        <w:rPr>
          <w:rFonts w:hint="eastAsia" w:ascii="宋体" w:hAnsi="宋体" w:eastAsia="宋体" w:cs="宋体"/>
        </w:rPr>
      </w:pPr>
      <w:r>
        <w:rPr>
          <w:rFonts w:hint="eastAsia" w:ascii="宋体" w:hAnsi="宋体" w:eastAsia="宋体" w:cs="宋体"/>
        </w:rPr>
        <w:t>3、对产生“弹簧”的部位，可将其过湿土翻晒，拌和均匀后，重新碾压；或挖除换填含水量适宜的良性土壤后，重新碾压。</w:t>
      </w:r>
    </w:p>
    <w:p w14:paraId="6D1E4F88">
      <w:pPr>
        <w:ind w:firstLine="480"/>
        <w:rPr>
          <w:rFonts w:hint="eastAsia" w:ascii="宋体" w:hAnsi="宋体" w:eastAsia="宋体" w:cs="宋体"/>
        </w:rPr>
      </w:pPr>
      <w:r>
        <w:rPr>
          <w:rFonts w:hint="eastAsia" w:ascii="宋体" w:hAnsi="宋体" w:eastAsia="宋体" w:cs="宋体"/>
        </w:rPr>
        <w:t>4、严禁异类土混填，尤其是不能用透水性差的土壤包裹透水性好的土壤，以免形成水囊。</w:t>
      </w:r>
    </w:p>
    <w:p w14:paraId="1846817B">
      <w:pPr>
        <w:ind w:firstLine="480"/>
        <w:rPr>
          <w:rFonts w:hint="eastAsia" w:ascii="宋体" w:hAnsi="宋体" w:eastAsia="宋体" w:cs="宋体"/>
        </w:rPr>
      </w:pPr>
      <w:r>
        <w:rPr>
          <w:rFonts w:hint="eastAsia" w:ascii="宋体" w:hAnsi="宋体" w:eastAsia="宋体" w:cs="宋体"/>
        </w:rPr>
        <w:t>5、填筑上层土时应开好排水沟，或采取其他措施降低地下水位至路基50cm以下。</w:t>
      </w:r>
    </w:p>
    <w:p w14:paraId="39F2C6D4">
      <w:pPr>
        <w:ind w:firstLine="480"/>
        <w:rPr>
          <w:rFonts w:hint="eastAsia" w:ascii="宋体" w:hAnsi="宋体" w:eastAsia="宋体" w:cs="宋体"/>
        </w:rPr>
      </w:pPr>
      <w:r>
        <w:rPr>
          <w:rFonts w:hint="eastAsia" w:ascii="宋体" w:hAnsi="宋体" w:eastAsia="宋体" w:cs="宋体"/>
        </w:rPr>
        <w:t>6、填筑上层时，必须对下层土的压实度和含水量进行检查，待检查合格方能填筑上层。</w:t>
      </w:r>
    </w:p>
    <w:p w14:paraId="27FBC3E7">
      <w:pPr>
        <w:pStyle w:val="5"/>
        <w:numPr>
          <w:ilvl w:val="2"/>
          <w:numId w:val="0"/>
        </w:numPr>
        <w:spacing w:line="360" w:lineRule="auto"/>
        <w:ind w:left="720" w:leftChars="0" w:hanging="720" w:firstLineChars="0"/>
        <w:rPr>
          <w:rFonts w:hint="eastAsia" w:ascii="宋体" w:hAnsi="宋体" w:eastAsia="宋体" w:cs="宋体"/>
          <w:color w:val="auto"/>
        </w:rPr>
      </w:pPr>
      <w:bookmarkStart w:id="1890" w:name="_Toc327026368"/>
      <w:bookmarkStart w:id="1891" w:name="_Toc332126145"/>
      <w:bookmarkStart w:id="1892" w:name="_Toc22794"/>
      <w:bookmarkStart w:id="1893" w:name="_Toc50"/>
      <w:bookmarkStart w:id="1894" w:name="_Toc803"/>
      <w:bookmarkStart w:id="1895" w:name="_Toc27912"/>
      <w:bookmarkStart w:id="1896" w:name="_Toc19932"/>
      <w:bookmarkStart w:id="1897" w:name="_Toc13872"/>
      <w:bookmarkStart w:id="1898" w:name="_Toc22355"/>
      <w:bookmarkStart w:id="1899" w:name="_Toc17487"/>
      <w:bookmarkStart w:id="1900" w:name="_Toc327452247"/>
      <w:bookmarkStart w:id="1901" w:name="_Toc16842"/>
      <w:bookmarkStart w:id="1902" w:name="_Toc330826678"/>
      <w:bookmarkStart w:id="1903" w:name="_Toc13393"/>
      <w:bookmarkStart w:id="1904" w:name="_Toc19977"/>
      <w:bookmarkStart w:id="1905" w:name="_Toc15144"/>
      <w:bookmarkStart w:id="1906" w:name="_Toc1507"/>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2</w:t>
      </w:r>
      <w:r>
        <w:rPr>
          <w:rFonts w:hint="default" w:ascii="宋体" w:hAnsi="宋体" w:eastAsia="宋体" w:cs="Times New Roman"/>
          <w:b/>
          <w:bCs/>
          <w:color w:val="auto"/>
          <w:kern w:val="2"/>
          <w:sz w:val="30"/>
          <w:szCs w:val="32"/>
          <w:lang w:val="en-US" w:eastAsia="zh-CN" w:bidi="ar-SA"/>
        </w:rPr>
        <w:t>.1.2.</w:t>
      </w:r>
      <w:r>
        <w:rPr>
          <w:rFonts w:hint="eastAsia" w:ascii="宋体" w:hAnsi="宋体" w:eastAsia="宋体" w:cs="宋体"/>
          <w:color w:val="auto"/>
        </w:rPr>
        <w:t>路基起皮质量通病</w:t>
      </w:r>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p>
    <w:p w14:paraId="489096F0">
      <w:pPr>
        <w:ind w:firstLine="480"/>
        <w:rPr>
          <w:rFonts w:hint="eastAsia" w:ascii="宋体" w:hAnsi="宋体" w:eastAsia="宋体" w:cs="宋体"/>
        </w:rPr>
      </w:pPr>
      <w:r>
        <w:rPr>
          <w:rFonts w:hint="eastAsia" w:ascii="宋体" w:hAnsi="宋体" w:eastAsia="宋体" w:cs="宋体"/>
        </w:rPr>
        <w:t>1、含水量：当碾压前含水量偏低时，碾压过程表面失水，导致含水量差异大，容易起皮。</w:t>
      </w:r>
    </w:p>
    <w:p w14:paraId="031E24B7">
      <w:pPr>
        <w:ind w:firstLine="480"/>
        <w:rPr>
          <w:rFonts w:hint="eastAsia" w:ascii="宋体" w:hAnsi="宋体" w:eastAsia="宋体" w:cs="宋体"/>
        </w:rPr>
      </w:pPr>
      <w:r>
        <w:rPr>
          <w:rFonts w:hint="eastAsia" w:ascii="宋体" w:hAnsi="宋体" w:eastAsia="宋体" w:cs="宋体"/>
        </w:rPr>
        <w:t>2、另一种起皮是由于碾压前平地机刮平不好。由于驾驶员技术或是由于平地机刀片原因，使表面浮土堆积，碾压造成起皮，这种起皮比较厚，影响外观形象。对于这种情况，必须改进平地机施工精细度；在平整后碾压前，用小宝马压路机在表面粉碎4-5cm，然后直接碾压，成型后基本可以消除起皮现象。</w:t>
      </w:r>
    </w:p>
    <w:p w14:paraId="276AFE93">
      <w:pPr>
        <w:pStyle w:val="5"/>
        <w:numPr>
          <w:ilvl w:val="2"/>
          <w:numId w:val="0"/>
        </w:numPr>
        <w:spacing w:line="360" w:lineRule="auto"/>
        <w:ind w:left="720" w:leftChars="0" w:hanging="720" w:firstLineChars="0"/>
        <w:rPr>
          <w:rFonts w:hint="eastAsia" w:ascii="宋体" w:hAnsi="宋体" w:eastAsia="宋体" w:cs="宋体"/>
          <w:color w:val="auto"/>
        </w:rPr>
      </w:pPr>
      <w:bookmarkStart w:id="1907" w:name="_Toc327026369"/>
      <w:bookmarkStart w:id="1908" w:name="_Toc18601"/>
      <w:bookmarkStart w:id="1909" w:name="_Toc13164"/>
      <w:bookmarkStart w:id="1910" w:name="_Toc21530"/>
      <w:bookmarkStart w:id="1911" w:name="_Toc23516"/>
      <w:bookmarkStart w:id="1912" w:name="_Toc23890"/>
      <w:bookmarkStart w:id="1913" w:name="_Toc3021"/>
      <w:bookmarkStart w:id="1914" w:name="_Toc332126146"/>
      <w:bookmarkStart w:id="1915" w:name="_Toc20459"/>
      <w:bookmarkStart w:id="1916" w:name="_Toc330826679"/>
      <w:bookmarkStart w:id="1917" w:name="_Toc3775"/>
      <w:bookmarkStart w:id="1918" w:name="_Toc327452248"/>
      <w:bookmarkStart w:id="1919" w:name="_Toc7523"/>
      <w:bookmarkStart w:id="1920" w:name="_Toc3590"/>
      <w:bookmarkStart w:id="1921" w:name="_Toc13929"/>
      <w:bookmarkStart w:id="1922" w:name="_Toc11558"/>
      <w:bookmarkStart w:id="1923" w:name="_Toc25291"/>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2</w:t>
      </w:r>
      <w:r>
        <w:rPr>
          <w:rFonts w:hint="default" w:ascii="宋体" w:hAnsi="宋体" w:eastAsia="宋体" w:cs="Times New Roman"/>
          <w:b/>
          <w:bCs/>
          <w:color w:val="auto"/>
          <w:kern w:val="2"/>
          <w:sz w:val="30"/>
          <w:szCs w:val="32"/>
          <w:lang w:val="en-US" w:eastAsia="zh-CN" w:bidi="ar-SA"/>
        </w:rPr>
        <w:t>.1.3.</w:t>
      </w:r>
      <w:r>
        <w:rPr>
          <w:rFonts w:hint="eastAsia" w:ascii="宋体" w:hAnsi="宋体" w:eastAsia="宋体" w:cs="宋体"/>
          <w:color w:val="auto"/>
        </w:rPr>
        <w:t>填方路堤沉降迅速或不均匀沉降</w:t>
      </w:r>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p>
    <w:p w14:paraId="4D913E73">
      <w:pPr>
        <w:ind w:firstLine="480"/>
        <w:rPr>
          <w:rFonts w:hint="eastAsia" w:ascii="宋体" w:hAnsi="宋体" w:eastAsia="宋体" w:cs="宋体"/>
        </w:rPr>
      </w:pPr>
      <w:r>
        <w:rPr>
          <w:rFonts w:hint="eastAsia" w:ascii="宋体" w:hAnsi="宋体" w:eastAsia="宋体" w:cs="宋体"/>
        </w:rPr>
        <w:t>1、产生原因</w:t>
      </w:r>
    </w:p>
    <w:p w14:paraId="69B703F9">
      <w:pPr>
        <w:ind w:firstLine="480"/>
        <w:rPr>
          <w:rFonts w:hint="eastAsia" w:ascii="宋体" w:hAnsi="宋体" w:eastAsia="宋体" w:cs="宋体"/>
        </w:rPr>
      </w:pPr>
      <w:r>
        <w:rPr>
          <w:rFonts w:hint="eastAsia" w:ascii="宋体" w:hAnsi="宋体" w:eastAsia="宋体" w:cs="宋体"/>
        </w:rPr>
        <w:t>（1）软基处理未达到设计深度，原材料进场未按产品质量要求严格检验，导致处理效果达不到设计要求；</w:t>
      </w:r>
    </w:p>
    <w:p w14:paraId="4FB5361C">
      <w:pPr>
        <w:ind w:firstLine="480"/>
        <w:rPr>
          <w:rFonts w:hint="eastAsia" w:ascii="宋体" w:hAnsi="宋体" w:eastAsia="宋体" w:cs="宋体"/>
        </w:rPr>
      </w:pPr>
      <w:r>
        <w:rPr>
          <w:rFonts w:hint="eastAsia" w:ascii="宋体" w:hAnsi="宋体" w:eastAsia="宋体" w:cs="宋体"/>
        </w:rPr>
        <w:t>（2）软土地基路段路堤填土速度过快；</w:t>
      </w:r>
    </w:p>
    <w:p w14:paraId="1EF0BB82">
      <w:pPr>
        <w:ind w:firstLine="480"/>
        <w:rPr>
          <w:rFonts w:hint="eastAsia" w:ascii="宋体" w:hAnsi="宋体" w:eastAsia="宋体" w:cs="宋体"/>
        </w:rPr>
      </w:pPr>
      <w:r>
        <w:rPr>
          <w:rFonts w:hint="eastAsia" w:ascii="宋体" w:hAnsi="宋体" w:eastAsia="宋体" w:cs="宋体"/>
        </w:rPr>
        <w:t>（3）使用不适宜的填料又未采取相应的改良措施或措施不到位；</w:t>
      </w:r>
    </w:p>
    <w:p w14:paraId="343BA472">
      <w:pPr>
        <w:ind w:firstLine="480"/>
        <w:rPr>
          <w:rFonts w:hint="eastAsia" w:ascii="宋体" w:hAnsi="宋体" w:eastAsia="宋体" w:cs="宋体"/>
          <w:szCs w:val="28"/>
        </w:rPr>
      </w:pPr>
      <w:r>
        <w:rPr>
          <w:rFonts w:hint="eastAsia" w:ascii="宋体" w:hAnsi="宋体" w:eastAsia="宋体" w:cs="宋体"/>
        </w:rPr>
        <w:t>（</w:t>
      </w:r>
      <w:r>
        <w:rPr>
          <w:rFonts w:hint="eastAsia" w:ascii="宋体" w:hAnsi="宋体" w:eastAsia="宋体" w:cs="宋体"/>
          <w:szCs w:val="28"/>
        </w:rPr>
        <w:t>4）不同土类的填料混填或分段填筑形成抗水性、压缩性的差异。</w:t>
      </w:r>
    </w:p>
    <w:p w14:paraId="167626CD">
      <w:pPr>
        <w:ind w:firstLine="480"/>
        <w:rPr>
          <w:rFonts w:hint="eastAsia" w:ascii="宋体" w:hAnsi="宋体" w:eastAsia="宋体" w:cs="宋体"/>
          <w:szCs w:val="28"/>
        </w:rPr>
      </w:pPr>
      <w:r>
        <w:rPr>
          <w:rFonts w:hint="eastAsia" w:ascii="宋体" w:hAnsi="宋体" w:eastAsia="宋体" w:cs="宋体"/>
          <w:szCs w:val="28"/>
        </w:rPr>
        <w:t>（5）填挖交界或非全宽填筑或分段填筑时交界面未作妥善处置形成的沉降差。</w:t>
      </w:r>
    </w:p>
    <w:p w14:paraId="03866943">
      <w:pPr>
        <w:ind w:firstLine="480"/>
        <w:rPr>
          <w:rFonts w:hint="eastAsia" w:ascii="宋体" w:hAnsi="宋体" w:eastAsia="宋体" w:cs="宋体"/>
          <w:szCs w:val="28"/>
        </w:rPr>
      </w:pPr>
      <w:r>
        <w:rPr>
          <w:rFonts w:hint="eastAsia" w:ascii="宋体" w:hAnsi="宋体" w:eastAsia="宋体" w:cs="宋体"/>
          <w:szCs w:val="28"/>
        </w:rPr>
        <w:t>（6）施工中不注意路基排水，遇雨浸泡路基，后续施工中又未能及时复压。</w:t>
      </w:r>
    </w:p>
    <w:p w14:paraId="78F1A2C0">
      <w:pPr>
        <w:ind w:firstLine="480"/>
        <w:rPr>
          <w:rFonts w:hint="eastAsia" w:ascii="宋体" w:hAnsi="宋体" w:eastAsia="宋体" w:cs="宋体"/>
          <w:szCs w:val="28"/>
        </w:rPr>
      </w:pPr>
      <w:r>
        <w:rPr>
          <w:rFonts w:hint="eastAsia" w:ascii="宋体" w:hAnsi="宋体" w:eastAsia="宋体" w:cs="宋体"/>
          <w:szCs w:val="28"/>
        </w:rPr>
        <w:t>（7）路堤填料含水量控制不严，填土压实度达不到规范要求。</w:t>
      </w:r>
    </w:p>
    <w:p w14:paraId="75872007">
      <w:pPr>
        <w:ind w:firstLine="480"/>
        <w:rPr>
          <w:rFonts w:hint="eastAsia" w:ascii="宋体" w:hAnsi="宋体" w:eastAsia="宋体" w:cs="宋体"/>
          <w:szCs w:val="28"/>
        </w:rPr>
      </w:pPr>
      <w:r>
        <w:rPr>
          <w:rFonts w:hint="eastAsia" w:ascii="宋体" w:hAnsi="宋体" w:eastAsia="宋体" w:cs="宋体"/>
          <w:szCs w:val="28"/>
        </w:rPr>
        <w:t>（8）分层填土未经初步找平，压实不均匀。</w:t>
      </w:r>
    </w:p>
    <w:p w14:paraId="4668FA47">
      <w:pPr>
        <w:ind w:firstLine="480"/>
        <w:rPr>
          <w:rFonts w:hint="eastAsia" w:ascii="宋体" w:hAnsi="宋体" w:eastAsia="宋体" w:cs="宋体"/>
          <w:szCs w:val="28"/>
        </w:rPr>
      </w:pPr>
      <w:r>
        <w:rPr>
          <w:rFonts w:hint="eastAsia" w:ascii="宋体" w:hAnsi="宋体" w:eastAsia="宋体" w:cs="宋体"/>
          <w:szCs w:val="28"/>
        </w:rPr>
        <w:t>（9）分层填土碾压时压实层厚度偏厚，压实质量差。</w:t>
      </w:r>
    </w:p>
    <w:p w14:paraId="2E3B3B13">
      <w:pPr>
        <w:ind w:firstLine="480"/>
        <w:rPr>
          <w:rFonts w:hint="eastAsia" w:ascii="宋体" w:hAnsi="宋体" w:eastAsia="宋体" w:cs="宋体"/>
          <w:szCs w:val="28"/>
        </w:rPr>
      </w:pPr>
      <w:r>
        <w:rPr>
          <w:rFonts w:hint="eastAsia" w:ascii="宋体" w:hAnsi="宋体" w:eastAsia="宋体" w:cs="宋体"/>
          <w:szCs w:val="28"/>
        </w:rPr>
        <w:t>（10）施工检测取样未按规程操作，实测压实度存在虚假现象。</w:t>
      </w:r>
    </w:p>
    <w:p w14:paraId="13D65A96">
      <w:pPr>
        <w:ind w:firstLine="480"/>
        <w:rPr>
          <w:rFonts w:hint="eastAsia" w:ascii="宋体" w:hAnsi="宋体" w:eastAsia="宋体" w:cs="宋体"/>
          <w:szCs w:val="28"/>
        </w:rPr>
      </w:pPr>
      <w:r>
        <w:rPr>
          <w:rFonts w:hint="eastAsia" w:ascii="宋体" w:hAnsi="宋体" w:eastAsia="宋体" w:cs="宋体"/>
          <w:szCs w:val="28"/>
        </w:rPr>
        <w:t>2、防治措施</w:t>
      </w:r>
    </w:p>
    <w:p w14:paraId="01EE3656">
      <w:pPr>
        <w:ind w:firstLine="480"/>
        <w:rPr>
          <w:rFonts w:hint="eastAsia" w:ascii="宋体" w:hAnsi="宋体" w:eastAsia="宋体" w:cs="宋体"/>
          <w:szCs w:val="28"/>
        </w:rPr>
      </w:pPr>
      <w:r>
        <w:rPr>
          <w:rFonts w:hint="eastAsia" w:ascii="宋体" w:hAnsi="宋体" w:eastAsia="宋体" w:cs="宋体"/>
          <w:szCs w:val="28"/>
        </w:rPr>
        <w:t>（1）严格按照有关设计图纸要求、施工规范、规程、工程质量检验评定标准及招标文件要求进行施工，对施工全过程实施有效的质量控制和管理。</w:t>
      </w:r>
    </w:p>
    <w:p w14:paraId="4A505933">
      <w:pPr>
        <w:ind w:firstLine="480"/>
        <w:rPr>
          <w:rFonts w:hint="eastAsia" w:ascii="宋体" w:hAnsi="宋体" w:eastAsia="宋体" w:cs="宋体"/>
          <w:szCs w:val="28"/>
        </w:rPr>
      </w:pPr>
      <w:r>
        <w:rPr>
          <w:rFonts w:hint="eastAsia" w:ascii="宋体" w:hAnsi="宋体" w:eastAsia="宋体" w:cs="宋体"/>
          <w:szCs w:val="28"/>
        </w:rPr>
        <w:t>（2）地基处理要先开沟排水，然后清表平整原地面，填前碾压检测要严格，经报验合格后才能进行下一步工序，并做出一定的横坡度。</w:t>
      </w:r>
    </w:p>
    <w:p w14:paraId="3A71DE73">
      <w:pPr>
        <w:ind w:firstLine="480"/>
        <w:rPr>
          <w:rFonts w:hint="eastAsia" w:ascii="宋体" w:hAnsi="宋体" w:eastAsia="宋体" w:cs="宋体"/>
          <w:szCs w:val="28"/>
        </w:rPr>
      </w:pPr>
      <w:r>
        <w:rPr>
          <w:rFonts w:hint="eastAsia" w:ascii="宋体" w:hAnsi="宋体" w:eastAsia="宋体" w:cs="宋体"/>
          <w:szCs w:val="28"/>
        </w:rPr>
        <w:t>（3）沟塘必须在清淤换填分层压实至相邻地面高程后，才能进行地基处理。</w:t>
      </w:r>
    </w:p>
    <w:p w14:paraId="359D5223">
      <w:pPr>
        <w:ind w:firstLine="480"/>
        <w:rPr>
          <w:rFonts w:hint="eastAsia" w:ascii="宋体" w:hAnsi="宋体" w:eastAsia="宋体" w:cs="宋体"/>
          <w:szCs w:val="28"/>
        </w:rPr>
      </w:pPr>
      <w:r>
        <w:rPr>
          <w:rFonts w:hint="eastAsia" w:ascii="宋体" w:hAnsi="宋体" w:eastAsia="宋体" w:cs="宋体"/>
          <w:szCs w:val="28"/>
        </w:rPr>
        <w:t>（4）所有用于地基处理的材料，都必须按规范和设计要求的质量指标采购、堆放和采用。</w:t>
      </w:r>
    </w:p>
    <w:p w14:paraId="3D0FC15B">
      <w:pPr>
        <w:ind w:firstLine="480"/>
        <w:rPr>
          <w:rFonts w:hint="eastAsia" w:ascii="宋体" w:hAnsi="宋体" w:eastAsia="宋体" w:cs="宋体"/>
          <w:szCs w:val="28"/>
        </w:rPr>
      </w:pPr>
      <w:r>
        <w:rPr>
          <w:rFonts w:hint="eastAsia" w:ascii="宋体" w:hAnsi="宋体" w:eastAsia="宋体" w:cs="宋体"/>
          <w:szCs w:val="28"/>
        </w:rPr>
        <w:t>（5）路基填筑与速率控制：地基处理完成后，要适时进行路基填筑。其填筑速率要动态控制，当日变形量沉降不大于10mm/d，水平位移不大于3mm/d时，一般可以正常填筑；若日变形（沉降和位移）陡增，就必须增加测次，分析原因，并及时采取必要的措施（如停止加载或减缓填土速率或卸载等）。</w:t>
      </w:r>
    </w:p>
    <w:p w14:paraId="69A7076B">
      <w:pPr>
        <w:ind w:firstLine="480"/>
        <w:rPr>
          <w:rFonts w:hint="eastAsia" w:ascii="宋体" w:hAnsi="宋体" w:eastAsia="宋体" w:cs="宋体"/>
          <w:szCs w:val="28"/>
        </w:rPr>
      </w:pPr>
      <w:r>
        <w:rPr>
          <w:rFonts w:hint="eastAsia" w:ascii="宋体" w:hAnsi="宋体" w:eastAsia="宋体" w:cs="宋体"/>
          <w:szCs w:val="28"/>
        </w:rPr>
        <w:t>（6）填筑宽度，要按设计施工坡率超宽碾压要求控制。摊铺厚度，要拉线控制，并经常检查。</w:t>
      </w:r>
    </w:p>
    <w:p w14:paraId="1CA21603">
      <w:pPr>
        <w:ind w:firstLine="480"/>
        <w:rPr>
          <w:rFonts w:hint="eastAsia" w:ascii="宋体" w:hAnsi="宋体" w:eastAsia="宋体" w:cs="宋体"/>
          <w:szCs w:val="28"/>
        </w:rPr>
      </w:pPr>
      <w:r>
        <w:rPr>
          <w:rFonts w:hint="eastAsia" w:ascii="宋体" w:hAnsi="宋体" w:eastAsia="宋体" w:cs="宋体"/>
          <w:szCs w:val="28"/>
        </w:rPr>
        <w:t>（7）堆载预压与沉降补方：堆载预压时间越长，施工后沉降就越小。因此，对有预压要求的路段，在施工中要尽可能早地安排堆载。堆载顶面要平整密实有横坡。沉降后应及时补方，一次补方厚度不应超过一层填筑的厚度，并适当压实。严禁在预压期不补填，而在预压后期，或在路面施工时一次补填的做法，以免引起过大的沉降发生。</w:t>
      </w:r>
    </w:p>
    <w:p w14:paraId="76512C19">
      <w:pPr>
        <w:ind w:firstLine="480"/>
        <w:rPr>
          <w:rFonts w:hint="eastAsia" w:ascii="宋体" w:hAnsi="宋体" w:eastAsia="宋体" w:cs="宋体"/>
          <w:szCs w:val="28"/>
        </w:rPr>
      </w:pPr>
      <w:r>
        <w:rPr>
          <w:rFonts w:hint="eastAsia" w:ascii="宋体" w:hAnsi="宋体" w:eastAsia="宋体" w:cs="宋体"/>
          <w:szCs w:val="28"/>
        </w:rPr>
        <w:t>（10）路基施工过程应针对不同性质的填料及碾压工具性能选用不同的压实厚度。填料的含水量对压实效果影响极大，施工前应根据击实试验取得的数据，按照施工气候条件及试压结果作出适量调整。</w:t>
      </w:r>
    </w:p>
    <w:p w14:paraId="1585D360">
      <w:pPr>
        <w:pStyle w:val="5"/>
        <w:numPr>
          <w:ilvl w:val="2"/>
          <w:numId w:val="0"/>
        </w:numPr>
        <w:spacing w:line="360" w:lineRule="auto"/>
        <w:ind w:left="720" w:leftChars="0" w:hanging="720" w:firstLineChars="0"/>
        <w:rPr>
          <w:rFonts w:hint="eastAsia" w:ascii="宋体" w:hAnsi="宋体" w:eastAsia="宋体" w:cs="宋体"/>
          <w:color w:val="auto"/>
        </w:rPr>
      </w:pPr>
      <w:bookmarkStart w:id="1924" w:name="_Toc327452251"/>
      <w:bookmarkStart w:id="1925" w:name="_Toc28763"/>
      <w:bookmarkStart w:id="1926" w:name="_Toc7351"/>
      <w:bookmarkStart w:id="1927" w:name="_Toc31319"/>
      <w:bookmarkStart w:id="1928" w:name="_Toc332126149"/>
      <w:bookmarkStart w:id="1929" w:name="_Toc5014"/>
      <w:bookmarkStart w:id="1930" w:name="_Toc2095"/>
      <w:bookmarkStart w:id="1931" w:name="_Toc24792"/>
      <w:bookmarkStart w:id="1932" w:name="_Toc327026372"/>
      <w:bookmarkStart w:id="1933" w:name="_Toc10757"/>
      <w:bookmarkStart w:id="1934" w:name="_Toc23735"/>
      <w:bookmarkStart w:id="1935" w:name="_Toc8680"/>
      <w:bookmarkStart w:id="1936" w:name="_Toc29822"/>
      <w:bookmarkStart w:id="1937" w:name="_Toc330826682"/>
      <w:bookmarkStart w:id="1938" w:name="_Toc6769"/>
      <w:bookmarkStart w:id="1939" w:name="_Toc31614"/>
      <w:bookmarkStart w:id="1940" w:name="_Toc18813"/>
      <w:r>
        <w:rPr>
          <w:rFonts w:hint="default" w:ascii="宋体" w:hAnsi="宋体" w:eastAsia="宋体" w:cs="Times New Roman"/>
          <w:b/>
          <w:bCs/>
          <w:color w:val="auto"/>
          <w:kern w:val="2"/>
          <w:sz w:val="30"/>
          <w:szCs w:val="32"/>
          <w:lang w:val="en-US" w:eastAsia="zh-CN" w:bidi="ar-SA"/>
        </w:rPr>
        <w:t>1</w:t>
      </w:r>
      <w:r>
        <w:rPr>
          <w:rFonts w:hint="eastAsia" w:ascii="宋体" w:hAnsi="宋体" w:cs="Times New Roman"/>
          <w:b/>
          <w:bCs/>
          <w:color w:val="auto"/>
          <w:kern w:val="2"/>
          <w:sz w:val="30"/>
          <w:szCs w:val="32"/>
          <w:lang w:val="en-US" w:eastAsia="zh-CN" w:bidi="ar-SA"/>
        </w:rPr>
        <w:t>2</w:t>
      </w:r>
      <w:r>
        <w:rPr>
          <w:rFonts w:hint="default" w:ascii="宋体" w:hAnsi="宋体" w:eastAsia="宋体" w:cs="Times New Roman"/>
          <w:b/>
          <w:bCs/>
          <w:color w:val="auto"/>
          <w:kern w:val="2"/>
          <w:sz w:val="30"/>
          <w:szCs w:val="32"/>
          <w:lang w:val="en-US" w:eastAsia="zh-CN" w:bidi="ar-SA"/>
        </w:rPr>
        <w:t>.1.4.</w:t>
      </w:r>
      <w:r>
        <w:rPr>
          <w:rFonts w:hint="eastAsia" w:ascii="宋体" w:hAnsi="宋体" w:eastAsia="宋体" w:cs="宋体"/>
          <w:color w:val="auto"/>
        </w:rPr>
        <w:t>路基填筑质量通病</w:t>
      </w:r>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p>
    <w:p w14:paraId="40C0AA8D">
      <w:pPr>
        <w:ind w:firstLine="480"/>
        <w:rPr>
          <w:rFonts w:hint="eastAsia" w:ascii="宋体" w:hAnsi="宋体" w:eastAsia="宋体" w:cs="宋体"/>
          <w:szCs w:val="28"/>
        </w:rPr>
      </w:pPr>
      <w:r>
        <w:rPr>
          <w:rFonts w:hint="eastAsia" w:ascii="宋体" w:hAnsi="宋体" w:eastAsia="宋体" w:cs="宋体"/>
          <w:szCs w:val="28"/>
        </w:rPr>
        <w:t>质量通病：土方填筑填料不符合填筑要求；路基填筑施工中出现路线偏移或路面宽度不够；路基出现不均匀沉降、滑坡与坍塌；路基的压实度、弯沉不符合规范要求；路堤的平整度不符合要求；台背填土出现过大下沉。</w:t>
      </w:r>
    </w:p>
    <w:p w14:paraId="39B2FB00">
      <w:pPr>
        <w:ind w:firstLine="480"/>
        <w:rPr>
          <w:rFonts w:hint="eastAsia" w:ascii="宋体" w:hAnsi="宋体" w:eastAsia="宋体" w:cs="宋体"/>
          <w:szCs w:val="28"/>
        </w:rPr>
      </w:pPr>
      <w:r>
        <w:rPr>
          <w:rFonts w:hint="eastAsia" w:ascii="宋体" w:hAnsi="宋体" w:eastAsia="宋体" w:cs="宋体"/>
          <w:szCs w:val="28"/>
        </w:rPr>
        <w:t>对应上述质量通病而采取相应预防措施：</w:t>
      </w:r>
    </w:p>
    <w:p w14:paraId="4F9EED6D">
      <w:pPr>
        <w:ind w:firstLine="480"/>
        <w:rPr>
          <w:rFonts w:hint="eastAsia" w:ascii="宋体" w:hAnsi="宋体" w:eastAsia="宋体" w:cs="宋体"/>
          <w:szCs w:val="28"/>
        </w:rPr>
      </w:pPr>
      <w:r>
        <w:rPr>
          <w:rFonts w:hint="eastAsia" w:ascii="宋体" w:hAnsi="宋体" w:eastAsia="宋体" w:cs="宋体"/>
          <w:szCs w:val="28"/>
        </w:rPr>
        <w:t>1、针对严格控制路基填料料源的选择和填筑材料的各项指标。</w:t>
      </w:r>
    </w:p>
    <w:p w14:paraId="0DB965DA">
      <w:pPr>
        <w:ind w:firstLine="480"/>
        <w:rPr>
          <w:rFonts w:hint="eastAsia" w:ascii="宋体" w:hAnsi="宋体" w:eastAsia="宋体" w:cs="宋体"/>
          <w:szCs w:val="28"/>
        </w:rPr>
      </w:pPr>
      <w:r>
        <w:rPr>
          <w:rFonts w:hint="eastAsia" w:ascii="宋体" w:hAnsi="宋体" w:eastAsia="宋体" w:cs="宋体"/>
          <w:szCs w:val="28"/>
        </w:rPr>
        <w:t>2、确保测量放样正确，每填筑二层，复测一次中线桩，测定路基标高及宽度，控制边坡的坡度。</w:t>
      </w:r>
    </w:p>
    <w:p w14:paraId="45FEEE9B">
      <w:pPr>
        <w:ind w:firstLine="480"/>
        <w:rPr>
          <w:rFonts w:hint="eastAsia" w:ascii="宋体" w:hAnsi="宋体" w:eastAsia="宋体" w:cs="宋体"/>
          <w:szCs w:val="28"/>
        </w:rPr>
      </w:pPr>
      <w:r>
        <w:rPr>
          <w:rFonts w:hint="eastAsia" w:ascii="宋体" w:hAnsi="宋体" w:eastAsia="宋体" w:cs="宋体"/>
          <w:szCs w:val="28"/>
        </w:rPr>
        <w:t>3、对于路基原有的斜坡、坑穴、墓穴、水渠、池塘、填井要严格按照规范进行处理，且必须经过内部监理工程师和监理工程师认可。</w:t>
      </w:r>
    </w:p>
    <w:p w14:paraId="0B9986F4">
      <w:pPr>
        <w:ind w:firstLine="480"/>
        <w:rPr>
          <w:rFonts w:hint="eastAsia" w:ascii="宋体" w:hAnsi="宋体" w:eastAsia="宋体" w:cs="宋体"/>
          <w:szCs w:val="28"/>
        </w:rPr>
      </w:pPr>
      <w:r>
        <w:rPr>
          <w:rFonts w:hint="eastAsia" w:ascii="宋体" w:hAnsi="宋体" w:eastAsia="宋体" w:cs="宋体"/>
          <w:szCs w:val="28"/>
        </w:rPr>
        <w:t>4、切实做好试验段，选择合适的压实机械，在施工中保证最佳的填土松铺厚度，在碾压时保证混合料处于最佳的含水量，按照规定的顺序和遍数进行碾压。</w:t>
      </w:r>
    </w:p>
    <w:p w14:paraId="249AB153">
      <w:pPr>
        <w:ind w:firstLine="480"/>
        <w:rPr>
          <w:rFonts w:hint="eastAsia" w:ascii="宋体" w:hAnsi="宋体" w:eastAsia="宋体" w:cs="宋体"/>
          <w:szCs w:val="28"/>
        </w:rPr>
      </w:pPr>
      <w:r>
        <w:rPr>
          <w:rFonts w:hint="eastAsia" w:ascii="宋体" w:hAnsi="宋体" w:eastAsia="宋体" w:cs="宋体"/>
          <w:szCs w:val="28"/>
        </w:rPr>
        <w:t>5、填料最大料径要在规范要求之内，平整时利用平地机进行平整。</w:t>
      </w:r>
    </w:p>
    <w:p w14:paraId="1DCC57A3">
      <w:pPr>
        <w:ind w:firstLine="480"/>
        <w:rPr>
          <w:rFonts w:hint="eastAsia" w:ascii="宋体" w:hAnsi="宋体" w:eastAsia="宋体" w:cs="宋体"/>
          <w:szCs w:val="28"/>
        </w:rPr>
      </w:pPr>
      <w:r>
        <w:rPr>
          <w:rFonts w:hint="eastAsia" w:ascii="宋体" w:hAnsi="宋体" w:eastAsia="宋体" w:cs="宋体"/>
          <w:szCs w:val="28"/>
        </w:rPr>
        <w:t>6、严格按有关规范进行施工，控制每层填筑厚度和碾压遍数，对于压路机压不到位的死角要配合小型压实机具进行夯实，对每层填筑质量实施检测。</w:t>
      </w:r>
    </w:p>
    <w:p w14:paraId="5D907C3E">
      <w:pPr>
        <w:ind w:firstLine="480"/>
        <w:rPr>
          <w:rFonts w:hint="eastAsia" w:ascii="宋体" w:hAnsi="宋体" w:eastAsia="宋体" w:cs="宋体"/>
          <w:szCs w:val="28"/>
        </w:rPr>
      </w:pPr>
      <w:r>
        <w:rPr>
          <w:rFonts w:hint="eastAsia" w:ascii="宋体" w:hAnsi="宋体" w:eastAsia="宋体" w:cs="宋体"/>
          <w:szCs w:val="28"/>
        </w:rPr>
        <w:t>7、针对路肩、边坡松软的质量通病，防治方法为：填方路堤分层碾压时，两侧分别有30cm的超宽，最后路基修整时施以削坡，不得有贴坡现象，如有个别严重亏坡，将原边坡挖成台阶，分层填补夯实，确保路肩的密实度不小于90%。路基施工完毕后及时施工路基边坡防护工程。</w:t>
      </w:r>
    </w:p>
    <w:p w14:paraId="434C9638">
      <w:pPr>
        <w:ind w:firstLine="480"/>
        <w:rPr>
          <w:rFonts w:hint="eastAsia" w:ascii="宋体" w:hAnsi="宋体" w:eastAsia="宋体" w:cs="宋体"/>
          <w:szCs w:val="28"/>
        </w:rPr>
      </w:pPr>
      <w:r>
        <w:rPr>
          <w:rFonts w:hint="eastAsia" w:ascii="宋体" w:hAnsi="宋体" w:eastAsia="宋体" w:cs="宋体"/>
          <w:szCs w:val="28"/>
        </w:rPr>
        <w:t>8、路基施工中常见的质量通病有：超厚回填、倾斜碾压、填料过湿、不按段落分层夯实等。针对以上问题，施工中采用以下措施进行防治：加强技术培训，做好技术交底，严格操作要求，严格质量管理，惩戒违反操作工程的施工人员；在路基总宽度内，采用水平分层方法填筑，路基地面的横坡或纵坡陡于1∶5时作成台阶，回填沟槽分段填土时分层倒退留出台阶。台阶高度等于压实厚度，台阶宽度不小于1m。过湿土要经过晾晒或掺加干石灰粉，降低至接近最佳含水量时再进行摊铺压实。</w:t>
      </w:r>
    </w:p>
    <w:p w14:paraId="17E93081">
      <w:pPr>
        <w:pStyle w:val="4"/>
        <w:numPr>
          <w:ilvl w:val="1"/>
          <w:numId w:val="0"/>
        </w:numPr>
        <w:spacing w:line="360" w:lineRule="auto"/>
        <w:ind w:firstLine="0" w:firstLineChars="0"/>
        <w:rPr>
          <w:rFonts w:hint="eastAsia" w:ascii="宋体" w:hAnsi="宋体" w:eastAsia="宋体" w:cs="宋体"/>
          <w:color w:val="auto"/>
        </w:rPr>
      </w:pPr>
      <w:bookmarkStart w:id="1941" w:name="_Toc18209"/>
      <w:bookmarkStart w:id="1942" w:name="_Toc14739"/>
      <w:bookmarkStart w:id="1943" w:name="_Toc22020"/>
      <w:bookmarkStart w:id="1944" w:name="_Toc4115"/>
      <w:bookmarkStart w:id="1945" w:name="_Toc16255"/>
      <w:bookmarkStart w:id="1946" w:name="_Toc8716"/>
      <w:bookmarkStart w:id="1947" w:name="_Toc2908"/>
      <w:bookmarkStart w:id="1948" w:name="_Toc15059"/>
      <w:bookmarkStart w:id="1949" w:name="_Toc31193"/>
      <w:bookmarkStart w:id="1950" w:name="_Toc28888"/>
      <w:bookmarkStart w:id="1951" w:name="_Toc8426"/>
      <w:bookmarkStart w:id="1952" w:name="_Toc27095"/>
      <w:bookmarkStart w:id="1953" w:name="_Toc8373"/>
      <w:r>
        <w:rPr>
          <w:rFonts w:hint="default" w:ascii="宋体" w:hAnsi="宋体" w:eastAsia="宋体" w:cs="Times New Roman"/>
          <w:b/>
          <w:bCs/>
          <w:color w:val="auto"/>
          <w:kern w:val="2"/>
          <w:sz w:val="32"/>
          <w:szCs w:val="32"/>
          <w:lang w:val="en-US" w:eastAsia="zh-CN" w:bidi="ar-SA"/>
        </w:rPr>
        <w:t>1</w:t>
      </w:r>
      <w:r>
        <w:rPr>
          <w:rFonts w:hint="eastAsia" w:ascii="宋体" w:hAnsi="宋体" w:cs="Times New Roman"/>
          <w:b/>
          <w:bCs/>
          <w:color w:val="auto"/>
          <w:kern w:val="2"/>
          <w:sz w:val="32"/>
          <w:szCs w:val="32"/>
          <w:lang w:val="en-US" w:eastAsia="zh-CN" w:bidi="ar-SA"/>
        </w:rPr>
        <w:t>2</w:t>
      </w:r>
      <w:r>
        <w:rPr>
          <w:rFonts w:hint="default" w:ascii="宋体" w:hAnsi="宋体" w:eastAsia="宋体" w:cs="Times New Roman"/>
          <w:b/>
          <w:bCs/>
          <w:color w:val="auto"/>
          <w:kern w:val="2"/>
          <w:sz w:val="32"/>
          <w:szCs w:val="32"/>
          <w:lang w:val="en-US" w:eastAsia="zh-CN" w:bidi="ar-SA"/>
        </w:rPr>
        <w:t>.2.</w:t>
      </w:r>
      <w:r>
        <w:rPr>
          <w:rFonts w:hint="eastAsia" w:ascii="宋体" w:hAnsi="宋体" w:eastAsia="宋体" w:cs="宋体"/>
          <w:color w:val="auto"/>
        </w:rPr>
        <w:t>桥梁桩基质量通病</w:t>
      </w:r>
      <w:bookmarkEnd w:id="1941"/>
      <w:bookmarkEnd w:id="1942"/>
      <w:bookmarkEnd w:id="1943"/>
      <w:bookmarkEnd w:id="1944"/>
      <w:bookmarkEnd w:id="1945"/>
      <w:bookmarkEnd w:id="1946"/>
      <w:bookmarkEnd w:id="1947"/>
      <w:bookmarkEnd w:id="1948"/>
      <w:bookmarkEnd w:id="1949"/>
      <w:bookmarkEnd w:id="1950"/>
      <w:bookmarkEnd w:id="1951"/>
      <w:bookmarkEnd w:id="1952"/>
      <w:bookmarkEnd w:id="1953"/>
    </w:p>
    <w:p w14:paraId="22C30328">
      <w:pPr>
        <w:ind w:firstLine="480"/>
        <w:rPr>
          <w:rFonts w:hint="eastAsia" w:ascii="宋体" w:hAnsi="宋体" w:eastAsia="宋体" w:cs="宋体"/>
          <w:szCs w:val="28"/>
        </w:rPr>
      </w:pPr>
      <w:r>
        <w:rPr>
          <w:rFonts w:hint="eastAsia" w:ascii="宋体" w:hAnsi="宋体" w:eastAsia="宋体" w:cs="宋体"/>
          <w:szCs w:val="28"/>
        </w:rPr>
        <w:t>常见的钻孔桩施工中的通病有坍孔、斜孔、缩孔、清孔后孔底沉淀超厚；灌桩时导管进水、堵管、埋管；桩头短桩，夹泥，断桩等，针对以上问题，采取以下措施进行处理：</w:t>
      </w:r>
    </w:p>
    <w:p w14:paraId="7F3F7A95">
      <w:pPr>
        <w:ind w:firstLine="480"/>
        <w:rPr>
          <w:rFonts w:hint="eastAsia" w:ascii="宋体" w:hAnsi="宋体" w:eastAsia="宋体" w:cs="宋体"/>
          <w:szCs w:val="28"/>
        </w:rPr>
      </w:pPr>
      <w:r>
        <w:rPr>
          <w:rFonts w:hint="eastAsia" w:ascii="宋体" w:hAnsi="宋体" w:eastAsia="宋体" w:cs="宋体"/>
          <w:szCs w:val="28"/>
        </w:rPr>
        <w:t>1、预防坍孔，根据不同地质，调整泥浆比重，确保泥浆具有足够的稠度，确保孔内外水位差，维护孔壁稳定，清孔时指定专人负责补水，保证钻孔内必要的水头高度。一旦发生坍孔，当发生孔口坍塌时，立即拆除护筒并回填钻孔，重新埋设护筒再钻。坍孔部位不深时，可用深埋护筒法，将护筒周围土夯填密实，重新钻孔。当发生孔内坍塌时，判明坍塌位置，回填砂和黏土混合物到坍孔处以上1～2m。如坍孔严重时全部回填。待回填物沉积密实后再行钻孔。</w:t>
      </w:r>
    </w:p>
    <w:p w14:paraId="63EA4382">
      <w:pPr>
        <w:ind w:firstLine="480"/>
        <w:rPr>
          <w:rFonts w:hint="eastAsia" w:ascii="宋体" w:hAnsi="宋体" w:eastAsia="宋体" w:cs="宋体"/>
          <w:szCs w:val="28"/>
        </w:rPr>
      </w:pPr>
      <w:r>
        <w:rPr>
          <w:rFonts w:hint="eastAsia" w:ascii="宋体" w:hAnsi="宋体" w:eastAsia="宋体" w:cs="宋体"/>
          <w:szCs w:val="28"/>
        </w:rPr>
        <w:t>2、预防斜孔需在安装钻机时使转盘，底座水平，起重滑轮轮轴、固定钻杆的卡孔和护筒中心三者在一条竖直线上，并经常检查校正。在钻架上增设导向架，控制钻杆上的提引水龙头，使其沿导向架向中钻进。钻杆、接头逐个检查，及时调整。如主动钻杆弯曲，要用千斤顶及时调直。如以发生斜孔，则在偏斜处吊住钻头上下反复扫孔，使孔正直。偏斜严重时采取回填砂黏土到偏斜处，待沉积密实后再继续钻进。</w:t>
      </w:r>
    </w:p>
    <w:p w14:paraId="5993E8A3">
      <w:pPr>
        <w:ind w:firstLine="480"/>
        <w:rPr>
          <w:rFonts w:hint="eastAsia" w:ascii="宋体" w:hAnsi="宋体" w:eastAsia="宋体" w:cs="宋体"/>
          <w:szCs w:val="28"/>
        </w:rPr>
      </w:pPr>
      <w:r>
        <w:rPr>
          <w:rFonts w:hint="eastAsia" w:ascii="宋体" w:hAnsi="宋体" w:eastAsia="宋体" w:cs="宋体"/>
          <w:szCs w:val="28"/>
        </w:rPr>
        <w:t>3、预防缩孔应经常检查钻具尺寸，及时补焊或更换钻齿；一旦发生缩孔，即可采取钻具上、下反复扫孔的方法来扩大孔径，预防掉钻、卡钻和埋钻。要经常检查转向装置，保证灵活，经常检查钻杆，钢丝绳及连接装置的磨损情况，及时更换磨损件，防止掉钻。对于卡钻，不宜强提，只宜轻提钻头。如提不动时，采用冲、吸的方法将钻头周围的钻渣松动后再提出。对于掉钻，宜迅速用打捞叉、钩、绳套等工具打捞。对于埋钻，对泥浆稠度，钻渣进出口，钻杆内径大小，排渣设备进行检查计算，并控制适当的进尺，若已严重糊钻，应停钻提出钻头，清除钻渣。如是坍孔或其他原因造成的埋钻，使用空气吸泥机吸走埋钻得泥砂，提出钻头。</w:t>
      </w:r>
    </w:p>
    <w:p w14:paraId="23FD0D57">
      <w:pPr>
        <w:ind w:firstLine="480"/>
        <w:rPr>
          <w:rFonts w:hint="eastAsia" w:ascii="宋体" w:hAnsi="宋体" w:eastAsia="宋体" w:cs="宋体"/>
          <w:szCs w:val="28"/>
        </w:rPr>
      </w:pPr>
      <w:r>
        <w:rPr>
          <w:rFonts w:hint="eastAsia" w:ascii="宋体" w:hAnsi="宋体" w:eastAsia="宋体" w:cs="宋体"/>
          <w:szCs w:val="28"/>
        </w:rPr>
        <w:t>4、对于清孔后孔底沉淀超厚的问题，清孔应根据设计要求、钻孔方法、机具设备条件和土层情况选定适应方法，达到降低泥浆相对密度，清除钻渣，清除沉淀层或尽量减少其厚度的目的。</w:t>
      </w:r>
    </w:p>
    <w:p w14:paraId="43114391">
      <w:pPr>
        <w:ind w:firstLine="480"/>
        <w:rPr>
          <w:rFonts w:hint="eastAsia" w:ascii="宋体" w:hAnsi="宋体" w:eastAsia="宋体" w:cs="宋体"/>
          <w:szCs w:val="28"/>
        </w:rPr>
      </w:pPr>
      <w:r>
        <w:rPr>
          <w:rFonts w:hint="eastAsia" w:ascii="宋体" w:hAnsi="宋体" w:eastAsia="宋体" w:cs="宋体"/>
          <w:szCs w:val="28"/>
        </w:rPr>
        <w:t>5、预防灌桩时导管进水应确保首批灌注的混凝土总方量能满足填充导管下口与桩孔底面间隙和使导管下口首灌时被埋没深度≥1m的需要。首灌前，导管下口距孔底一般不超过0。4m。在提升导管前，用标准测深锤测好混凝土表面的深度，控制导管提升高度，始终将导管底口埋于已灌入混凝土液面下不少于2m。下导管前，导管应进行试拼，并进行导管的水密性、承压性和接头抗拉强度的试验。试拼的导管，要检查其轴线是否在一条直线上。试拼合格后，各节导管应从下而上依次编号，并标示累计长度。入孔拼装时，各节导管的编号及编号所在的圆周方位，应与试拼时相同，不得错、乱、或编号不在一个方位。首罐混凝土后，要保持混凝土连续地灌注，尽量缩短间隔时间。当导管内混凝土不饱满时，应徐徐地灌注，防止导管内形成高压气囊。当发生首罐底口进水和灌注中导管提升过量的进水，立即停止灌注，利用导管作吸泥管，以空气吸泥法，将已灌注的混凝土拌合物全部吸出。针对发生原因，予以纠正后，重新灌注。</w:t>
      </w:r>
    </w:p>
    <w:p w14:paraId="2F11F812">
      <w:pPr>
        <w:ind w:firstLine="480"/>
        <w:rPr>
          <w:rFonts w:hint="eastAsia" w:ascii="宋体" w:hAnsi="宋体" w:eastAsia="宋体" w:cs="宋体"/>
          <w:szCs w:val="28"/>
        </w:rPr>
      </w:pPr>
      <w:r>
        <w:rPr>
          <w:rFonts w:hint="eastAsia" w:ascii="宋体" w:hAnsi="宋体" w:eastAsia="宋体" w:cs="宋体"/>
          <w:szCs w:val="28"/>
        </w:rPr>
        <w:t>6、预防堵管应使灌注混凝土的坍落度控制在18～22cm之间，并保证具有良好的和易性，在运输和灌注过程中不发生显著离析和泌水。保证混凝土连续灌注，中断灌注时间不超过30分钟。当灌注开始已发生堵管时，用长杆冲、捣或用振动器振动导管。若无效果，拔出导管，用空气吸泥机或抓斗将已灌入孔底的混凝土清除，清孔后，再次灌注。</w:t>
      </w:r>
    </w:p>
    <w:p w14:paraId="0318CEE7">
      <w:pPr>
        <w:ind w:firstLine="480"/>
        <w:rPr>
          <w:rFonts w:hint="eastAsia" w:ascii="宋体" w:hAnsi="宋体" w:eastAsia="宋体" w:cs="宋体"/>
          <w:szCs w:val="28"/>
        </w:rPr>
      </w:pPr>
      <w:r>
        <w:rPr>
          <w:rFonts w:hint="eastAsia" w:ascii="宋体" w:hAnsi="宋体" w:eastAsia="宋体" w:cs="宋体"/>
          <w:szCs w:val="28"/>
        </w:rPr>
        <w:t>7、为预防埋管，导管采用接头形式为卡口式，以缩短卸导管引起的导管停留时间，各批混凝土均掺入缓凝剂，并采取措施，加快灌注速度。随混凝土的灌入，勤提升导管，使导管埋深不大于6m。</w:t>
      </w:r>
    </w:p>
    <w:p w14:paraId="2B07D3CF">
      <w:pPr>
        <w:ind w:firstLine="480"/>
        <w:rPr>
          <w:rFonts w:hint="eastAsia" w:ascii="宋体" w:hAnsi="宋体" w:eastAsia="宋体" w:cs="宋体"/>
          <w:szCs w:val="28"/>
        </w:rPr>
      </w:pPr>
      <w:r>
        <w:rPr>
          <w:rFonts w:hint="eastAsia" w:ascii="宋体" w:hAnsi="宋体" w:eastAsia="宋体" w:cs="宋体"/>
          <w:szCs w:val="28"/>
        </w:rPr>
        <w:t>8、预防短桩应尽量采用准确的水下混凝土表面测深仪，提高判断的精确度，当使用标准测深锤检测时，在灌注接近结束时，用取样盒等容器直接取样鉴定良好混凝土面的位置。对于水下灌注的桩身混凝土，在设计桩顶标高之上，增加0.5～1m的高度。成桩后发生短桩，无地下水时，开挖后做接桩处理；有地下水时，接长护筒沉至已灌注的混凝土面以下，然后抽水、清渣，按接桩处理。</w:t>
      </w:r>
    </w:p>
    <w:p w14:paraId="714A173E">
      <w:pPr>
        <w:ind w:firstLine="480"/>
        <w:rPr>
          <w:rFonts w:hint="eastAsia" w:ascii="宋体" w:hAnsi="宋体" w:eastAsia="宋体" w:cs="宋体"/>
          <w:szCs w:val="28"/>
        </w:rPr>
      </w:pPr>
      <w:r>
        <w:rPr>
          <w:rFonts w:hint="eastAsia" w:ascii="宋体" w:hAnsi="宋体" w:eastAsia="宋体" w:cs="宋体"/>
          <w:szCs w:val="28"/>
        </w:rPr>
        <w:t>9、预防发生夹泥、断桩问题，应确保混凝土坍落度严格按设计或规范要求控制，尽量延长混凝土的初凝时间。灌注混凝土前，检查导管、混凝土罐车、搅拌机等设备是否正常，并备有备用的设备、导管，确保混凝土能连续灌注。随灌混凝土随提升导管，做到连灌、勤测、勤拔管，随时掌握导管埋入深度，避免导管埋入过深或过浅。采取措施，避免导管卡、挂钢筋笼；避免出现堵管、埋管、灌注中坍孔、导管进水等质量通病的发生。一旦在桩顶部发生断桩或夹泥，可将其剔除，然后接长护筒，并将护筒压至灌注好的混凝土面以下，抽水、除渣，进行接桩处理。对桩身在用地质钻机钻芯取样，表明有蜂窝、松散、裹浆等情况；桩身混凝土有局部混凝土松散或夹泥、局部断桩时，采用压浆补强方法处理。对于严重夹泥，断桩，进行重钻补桩处理。</w:t>
      </w:r>
    </w:p>
    <w:p w14:paraId="537FC9D8">
      <w:pPr>
        <w:pStyle w:val="4"/>
        <w:numPr>
          <w:ilvl w:val="1"/>
          <w:numId w:val="0"/>
        </w:numPr>
        <w:spacing w:line="360" w:lineRule="auto"/>
        <w:ind w:firstLine="0" w:firstLineChars="0"/>
        <w:rPr>
          <w:color w:val="auto"/>
        </w:rPr>
      </w:pPr>
      <w:bookmarkStart w:id="1954" w:name="_Toc16847"/>
      <w:bookmarkStart w:id="1955" w:name="_Toc16564"/>
      <w:bookmarkStart w:id="1956" w:name="_Toc18416"/>
      <w:bookmarkStart w:id="1957" w:name="_Toc31076"/>
      <w:bookmarkStart w:id="1958" w:name="_Toc5204"/>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2</w:t>
      </w:r>
      <w:r>
        <w:rPr>
          <w:rFonts w:hint="default" w:ascii="Arial" w:hAnsi="Arial" w:eastAsia="宋体" w:cs="Times New Roman"/>
          <w:b/>
          <w:bCs/>
          <w:color w:val="auto"/>
          <w:kern w:val="2"/>
          <w:sz w:val="32"/>
          <w:szCs w:val="32"/>
          <w:lang w:val="en-US" w:eastAsia="zh-CN" w:bidi="ar-SA"/>
        </w:rPr>
        <w:t>.3.</w:t>
      </w:r>
      <w:r>
        <w:rPr>
          <w:rFonts w:hint="eastAsia"/>
          <w:color w:val="auto"/>
        </w:rPr>
        <w:t>混凝土质量通病</w:t>
      </w:r>
      <w:bookmarkEnd w:id="1861"/>
      <w:bookmarkEnd w:id="1862"/>
      <w:bookmarkEnd w:id="1863"/>
      <w:bookmarkEnd w:id="1864"/>
      <w:bookmarkEnd w:id="1865"/>
      <w:bookmarkEnd w:id="1866"/>
      <w:bookmarkEnd w:id="1867"/>
      <w:bookmarkEnd w:id="1868"/>
      <w:bookmarkEnd w:id="1869"/>
      <w:bookmarkEnd w:id="1870"/>
      <w:bookmarkEnd w:id="1871"/>
      <w:bookmarkEnd w:id="1872"/>
      <w:bookmarkEnd w:id="1954"/>
      <w:bookmarkEnd w:id="1955"/>
      <w:bookmarkEnd w:id="1956"/>
      <w:bookmarkEnd w:id="1957"/>
      <w:bookmarkEnd w:id="1958"/>
    </w:p>
    <w:p w14:paraId="54081FE8">
      <w:pPr>
        <w:pStyle w:val="5"/>
        <w:numPr>
          <w:ilvl w:val="2"/>
          <w:numId w:val="0"/>
        </w:numPr>
        <w:spacing w:line="360" w:lineRule="auto"/>
        <w:ind w:left="720" w:leftChars="0" w:hanging="720" w:firstLineChars="0"/>
        <w:rPr>
          <w:color w:val="auto"/>
        </w:rPr>
      </w:pPr>
      <w:bookmarkStart w:id="1959" w:name="_Toc30817"/>
      <w:bookmarkStart w:id="1960" w:name="_Toc25698"/>
      <w:bookmarkStart w:id="1961" w:name="_Toc27522"/>
      <w:bookmarkStart w:id="1962" w:name="_Toc12989"/>
      <w:bookmarkStart w:id="1963" w:name="_Toc10146"/>
      <w:bookmarkStart w:id="1964" w:name="_Toc1564"/>
      <w:bookmarkStart w:id="1965" w:name="_Toc330826667"/>
      <w:bookmarkStart w:id="1966" w:name="_Toc332126134"/>
      <w:bookmarkStart w:id="1967" w:name="_Toc18534"/>
      <w:bookmarkStart w:id="1968" w:name="_Toc327026357"/>
      <w:bookmarkStart w:id="1969" w:name="_Toc13282"/>
      <w:bookmarkStart w:id="1970" w:name="_Toc327452236"/>
      <w:bookmarkStart w:id="1971" w:name="_Toc8835"/>
      <w:bookmarkStart w:id="1972" w:name="_Toc30874"/>
      <w:bookmarkStart w:id="1973" w:name="_Toc8664"/>
      <w:bookmarkStart w:id="1974" w:name="_Toc22275"/>
      <w:bookmarkStart w:id="1975" w:name="_Toc1537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.3.1.</w:t>
      </w:r>
      <w:r>
        <w:rPr>
          <w:rFonts w:hint="eastAsia"/>
          <w:color w:val="auto"/>
        </w:rPr>
        <w:t>和易性不良预防措施</w:t>
      </w:r>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p>
    <w:p w14:paraId="5836CA4D">
      <w:pPr>
        <w:ind w:firstLine="480"/>
        <w:rPr>
          <w:rFonts w:ascii="宋体" w:cs="宋体"/>
        </w:rPr>
      </w:pPr>
      <w:r>
        <w:rPr>
          <w:rFonts w:ascii="宋体" w:cs="宋体"/>
        </w:rPr>
        <w:t>1</w:t>
      </w:r>
      <w:r>
        <w:rPr>
          <w:rFonts w:hint="eastAsia" w:ascii="宋体" w:cs="宋体"/>
        </w:rPr>
        <w:t>、控制水泥标号与混凝土强度等级之间的合理比值，严格遵守施工规定的最大水灰比的最小水泥用量。</w:t>
      </w:r>
    </w:p>
    <w:p w14:paraId="0EE02103">
      <w:pPr>
        <w:ind w:firstLine="480"/>
        <w:rPr>
          <w:rFonts w:ascii="宋体" w:cs="宋体"/>
        </w:rPr>
      </w:pPr>
      <w:r>
        <w:rPr>
          <w:rFonts w:ascii="宋体" w:cs="宋体"/>
        </w:rPr>
        <w:t>2</w:t>
      </w:r>
      <w:r>
        <w:rPr>
          <w:rFonts w:hint="eastAsia" w:ascii="宋体" w:cs="宋体"/>
        </w:rPr>
        <w:t>、严格按试验确定的配合比施工。</w:t>
      </w:r>
    </w:p>
    <w:p w14:paraId="680F1575">
      <w:pPr>
        <w:ind w:firstLine="480"/>
        <w:rPr>
          <w:rFonts w:ascii="宋体" w:cs="宋体"/>
        </w:rPr>
      </w:pPr>
      <w:r>
        <w:rPr>
          <w:rFonts w:ascii="宋体" w:cs="宋体"/>
        </w:rPr>
        <w:t>3</w:t>
      </w:r>
      <w:r>
        <w:rPr>
          <w:rFonts w:hint="eastAsia" w:ascii="宋体" w:cs="宋体"/>
        </w:rPr>
        <w:t>、配料准确，并保证足够的搅拌时间。</w:t>
      </w:r>
    </w:p>
    <w:p w14:paraId="3855800F">
      <w:pPr>
        <w:ind w:firstLine="480"/>
        <w:rPr>
          <w:rFonts w:ascii="宋体" w:cs="宋体"/>
        </w:rPr>
      </w:pPr>
      <w:r>
        <w:rPr>
          <w:rFonts w:ascii="宋体" w:cs="宋体"/>
        </w:rPr>
        <w:t>4</w:t>
      </w:r>
      <w:r>
        <w:rPr>
          <w:rFonts w:hint="eastAsia" w:ascii="宋体" w:cs="宋体"/>
        </w:rPr>
        <w:t>、选用正确运输方法，控制运输时间。</w:t>
      </w:r>
    </w:p>
    <w:p w14:paraId="1745C746">
      <w:pPr>
        <w:ind w:firstLine="480"/>
        <w:rPr>
          <w:rFonts w:ascii="宋体" w:cs="宋体"/>
        </w:rPr>
      </w:pPr>
      <w:r>
        <w:rPr>
          <w:rFonts w:ascii="宋体" w:cs="宋体"/>
        </w:rPr>
        <w:t>5</w:t>
      </w:r>
      <w:r>
        <w:rPr>
          <w:rFonts w:hint="eastAsia" w:ascii="宋体" w:cs="宋体"/>
        </w:rPr>
        <w:t>、测定拌制地点和浇筑处的坍落度，控制后者的数值符合施工规范的规定。</w:t>
      </w:r>
    </w:p>
    <w:p w14:paraId="0A52649E">
      <w:pPr>
        <w:pStyle w:val="5"/>
        <w:numPr>
          <w:ilvl w:val="2"/>
          <w:numId w:val="0"/>
        </w:numPr>
        <w:spacing w:line="360" w:lineRule="auto"/>
        <w:ind w:left="720" w:leftChars="0" w:hanging="720" w:firstLineChars="0"/>
        <w:rPr>
          <w:color w:val="auto"/>
        </w:rPr>
      </w:pPr>
      <w:bookmarkStart w:id="1976" w:name="_Toc31898"/>
      <w:bookmarkStart w:id="1977" w:name="_Toc25596"/>
      <w:bookmarkStart w:id="1978" w:name="_Toc327452237"/>
      <w:bookmarkStart w:id="1979" w:name="_Toc330826668"/>
      <w:bookmarkStart w:id="1980" w:name="_Toc26280"/>
      <w:bookmarkStart w:id="1981" w:name="_Toc20978"/>
      <w:bookmarkStart w:id="1982" w:name="_Toc29915"/>
      <w:bookmarkStart w:id="1983" w:name="_Toc8440"/>
      <w:bookmarkStart w:id="1984" w:name="_Toc332126135"/>
      <w:bookmarkStart w:id="1985" w:name="_Toc29637"/>
      <w:bookmarkStart w:id="1986" w:name="_Toc10489"/>
      <w:bookmarkStart w:id="1987" w:name="_Toc327026358"/>
      <w:bookmarkStart w:id="1988" w:name="_Toc28948"/>
      <w:bookmarkStart w:id="1989" w:name="_Toc5335"/>
      <w:bookmarkStart w:id="1990" w:name="_Toc2885"/>
      <w:bookmarkStart w:id="1991" w:name="_Toc10045"/>
      <w:bookmarkStart w:id="1992" w:name="_Toc1275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.3.2.</w:t>
      </w:r>
      <w:r>
        <w:rPr>
          <w:rFonts w:hint="eastAsia"/>
          <w:color w:val="auto"/>
        </w:rPr>
        <w:t>麻面</w:t>
      </w:r>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p>
    <w:p w14:paraId="7CE966BC">
      <w:pPr>
        <w:ind w:firstLine="480"/>
        <w:rPr>
          <w:rFonts w:ascii="宋体" w:cs="宋体"/>
        </w:rPr>
      </w:pPr>
      <w:r>
        <w:rPr>
          <w:rFonts w:ascii="宋体" w:cs="宋体"/>
        </w:rPr>
        <w:t>1</w:t>
      </w:r>
      <w:r>
        <w:rPr>
          <w:rFonts w:hint="eastAsia" w:ascii="宋体" w:cs="宋体"/>
        </w:rPr>
        <w:t>、现象：混凝土表面局部缺浆粗糙，或有许多小凹坑，但无石子和钢筋外露。</w:t>
      </w:r>
    </w:p>
    <w:p w14:paraId="0F31B29A">
      <w:pPr>
        <w:ind w:firstLine="480"/>
        <w:rPr>
          <w:rFonts w:ascii="宋体" w:cs="宋体"/>
        </w:rPr>
      </w:pPr>
      <w:r>
        <w:rPr>
          <w:rFonts w:ascii="宋体" w:cs="宋体"/>
        </w:rPr>
        <w:t>2</w:t>
      </w:r>
      <w:r>
        <w:rPr>
          <w:rFonts w:hint="eastAsia" w:ascii="宋体" w:cs="宋体"/>
        </w:rPr>
        <w:t>、原因分析：</w:t>
      </w:r>
    </w:p>
    <w:p w14:paraId="1CBD9968">
      <w:pPr>
        <w:ind w:firstLine="480"/>
        <w:rPr>
          <w:rFonts w:ascii="宋体" w:cs="宋体"/>
        </w:rPr>
      </w:pPr>
      <w:r>
        <w:rPr>
          <w:rFonts w:hint="eastAsia" w:ascii="宋体" w:cs="宋体"/>
        </w:rPr>
        <w:t>（</w:t>
      </w:r>
      <w:r>
        <w:rPr>
          <w:rFonts w:ascii="宋体" w:cs="宋体"/>
        </w:rPr>
        <w:t>1</w:t>
      </w:r>
      <w:r>
        <w:rPr>
          <w:rFonts w:hint="eastAsia" w:ascii="宋体" w:cs="宋体"/>
        </w:rPr>
        <w:t>）模板表面粗糙或清理不干净，粘有干硬水泥砂浆等杂物，拆模时混凝土表面被粘损，出现麻面。</w:t>
      </w:r>
    </w:p>
    <w:p w14:paraId="49501642">
      <w:pPr>
        <w:ind w:firstLine="480"/>
        <w:rPr>
          <w:rFonts w:ascii="宋体" w:cs="宋体"/>
        </w:rPr>
      </w:pPr>
      <w:r>
        <w:rPr>
          <w:rFonts w:hint="eastAsia" w:ascii="宋体" w:cs="宋体"/>
        </w:rPr>
        <w:t>（</w:t>
      </w:r>
      <w:r>
        <w:rPr>
          <w:rFonts w:ascii="宋体" w:cs="宋体"/>
        </w:rPr>
        <w:t>2</w:t>
      </w:r>
      <w:r>
        <w:rPr>
          <w:rFonts w:hint="eastAsia" w:ascii="宋体" w:cs="宋体"/>
        </w:rPr>
        <w:t>）钢模板脱模剂涂刷不均匀，拆模时混凝土表面粘结模板，引起麻面。</w:t>
      </w:r>
    </w:p>
    <w:p w14:paraId="65931C82">
      <w:pPr>
        <w:ind w:firstLine="480"/>
        <w:rPr>
          <w:rFonts w:ascii="宋体" w:cs="宋体"/>
        </w:rPr>
      </w:pPr>
      <w:r>
        <w:rPr>
          <w:rFonts w:hint="eastAsia" w:ascii="宋体" w:cs="宋体"/>
        </w:rPr>
        <w:t>（</w:t>
      </w:r>
      <w:r>
        <w:rPr>
          <w:rFonts w:ascii="宋体" w:cs="宋体"/>
        </w:rPr>
        <w:t>3</w:t>
      </w:r>
      <w:r>
        <w:rPr>
          <w:rFonts w:hint="eastAsia" w:ascii="宋体" w:cs="宋体"/>
        </w:rPr>
        <w:t>）模板接缝拼装不严密，浇筑时缝隙漏浆，混凝土表面沿模板缝位置出现麻面。</w:t>
      </w:r>
    </w:p>
    <w:p w14:paraId="718EE656">
      <w:pPr>
        <w:ind w:firstLine="480"/>
        <w:rPr>
          <w:rFonts w:ascii="宋体" w:cs="宋体"/>
        </w:rPr>
      </w:pPr>
      <w:r>
        <w:rPr>
          <w:rFonts w:hint="eastAsia" w:ascii="宋体" w:cs="宋体"/>
        </w:rPr>
        <w:t>（</w:t>
      </w:r>
      <w:r>
        <w:rPr>
          <w:rFonts w:ascii="宋体" w:cs="宋体"/>
        </w:rPr>
        <w:t>4</w:t>
      </w:r>
      <w:r>
        <w:rPr>
          <w:rFonts w:hint="eastAsia" w:ascii="宋体" w:cs="宋体"/>
        </w:rPr>
        <w:t>）混凝土振捣不密实，混凝土中的气泡未排出，一部分气泡停留在模板表面，形成麻点。</w:t>
      </w:r>
    </w:p>
    <w:p w14:paraId="27AA8966">
      <w:pPr>
        <w:ind w:firstLine="480"/>
        <w:rPr>
          <w:rFonts w:ascii="宋体" w:cs="宋体"/>
        </w:rPr>
      </w:pPr>
      <w:r>
        <w:rPr>
          <w:rFonts w:ascii="宋体" w:cs="宋体"/>
        </w:rPr>
        <w:t>3</w:t>
      </w:r>
      <w:r>
        <w:rPr>
          <w:rFonts w:hint="eastAsia" w:ascii="宋体" w:cs="宋体"/>
        </w:rPr>
        <w:t>、预防措施</w:t>
      </w:r>
    </w:p>
    <w:p w14:paraId="6163545B">
      <w:pPr>
        <w:ind w:firstLine="480"/>
        <w:rPr>
          <w:rFonts w:ascii="宋体" w:cs="宋体"/>
          <w:szCs w:val="28"/>
        </w:rPr>
      </w:pPr>
      <w:r>
        <w:rPr>
          <w:rFonts w:hint="eastAsia" w:ascii="宋体" w:cs="宋体"/>
        </w:rPr>
        <w:t>（</w:t>
      </w:r>
      <w:r>
        <w:rPr>
          <w:rFonts w:ascii="宋体" w:cs="宋体"/>
        </w:rPr>
        <w:t>1</w:t>
      </w:r>
      <w:r>
        <w:rPr>
          <w:rFonts w:hint="eastAsia" w:ascii="宋体" w:cs="宋体"/>
        </w:rPr>
        <w:t>）</w:t>
      </w:r>
      <w:r>
        <w:rPr>
          <w:rFonts w:hint="eastAsia" w:ascii="宋体" w:cs="宋体"/>
          <w:szCs w:val="28"/>
        </w:rPr>
        <w:t>模板清理干净，不得粘有干硬水泥砂浆等杂物。</w:t>
      </w:r>
    </w:p>
    <w:p w14:paraId="7EE34C61">
      <w:pPr>
        <w:ind w:firstLine="480"/>
        <w:rPr>
          <w:rFonts w:ascii="宋体" w:cs="宋体"/>
          <w:szCs w:val="28"/>
        </w:rPr>
      </w:pPr>
      <w:r>
        <w:rPr>
          <w:rFonts w:hint="eastAsia" w:ascii="宋体" w:cs="宋体"/>
        </w:rPr>
        <w:t>（</w:t>
      </w:r>
      <w:r>
        <w:rPr>
          <w:rFonts w:ascii="宋体" w:cs="宋体"/>
        </w:rPr>
        <w:t>2</w:t>
      </w:r>
      <w:r>
        <w:rPr>
          <w:rFonts w:hint="eastAsia" w:ascii="宋体" w:cs="宋体"/>
        </w:rPr>
        <w:t>）</w:t>
      </w:r>
      <w:r>
        <w:rPr>
          <w:rFonts w:hint="eastAsia" w:ascii="宋体" w:cs="宋体"/>
          <w:szCs w:val="28"/>
        </w:rPr>
        <w:t>模板浇筑混凝土前，应清洗干净，使模板缝隙拼接严密，如有缝隙，应填严，防止漏浆。</w:t>
      </w:r>
    </w:p>
    <w:p w14:paraId="509D47AD">
      <w:pPr>
        <w:ind w:firstLine="480"/>
        <w:rPr>
          <w:rFonts w:ascii="宋体" w:cs="宋体"/>
          <w:szCs w:val="28"/>
        </w:rPr>
      </w:pPr>
      <w:r>
        <w:rPr>
          <w:rFonts w:hint="eastAsia" w:ascii="宋体" w:cs="宋体"/>
        </w:rPr>
        <w:t>（</w:t>
      </w:r>
      <w:r>
        <w:rPr>
          <w:rFonts w:ascii="宋体" w:cs="宋体"/>
        </w:rPr>
        <w:t>3</w:t>
      </w:r>
      <w:r>
        <w:rPr>
          <w:rFonts w:hint="eastAsia" w:ascii="宋体" w:cs="宋体"/>
        </w:rPr>
        <w:t>）</w:t>
      </w:r>
      <w:r>
        <w:rPr>
          <w:rFonts w:hint="eastAsia" w:ascii="宋体" w:cs="宋体"/>
          <w:szCs w:val="28"/>
        </w:rPr>
        <w:t>钢模板脱模剂要涂刷均匀，不得漏刷。</w:t>
      </w:r>
    </w:p>
    <w:p w14:paraId="50C9B65D">
      <w:pPr>
        <w:ind w:firstLine="480"/>
        <w:rPr>
          <w:rFonts w:ascii="宋体" w:cs="宋体"/>
          <w:szCs w:val="28"/>
        </w:rPr>
      </w:pPr>
      <w:r>
        <w:rPr>
          <w:rFonts w:hint="eastAsia" w:ascii="宋体" w:cs="宋体"/>
        </w:rPr>
        <w:t>（</w:t>
      </w:r>
      <w:r>
        <w:rPr>
          <w:rFonts w:ascii="宋体" w:cs="宋体"/>
        </w:rPr>
        <w:t>4</w:t>
      </w:r>
      <w:r>
        <w:rPr>
          <w:rFonts w:hint="eastAsia" w:ascii="宋体" w:cs="宋体"/>
        </w:rPr>
        <w:t>）</w:t>
      </w:r>
      <w:r>
        <w:rPr>
          <w:rFonts w:hint="eastAsia" w:ascii="宋体" w:cs="宋体"/>
          <w:szCs w:val="28"/>
        </w:rPr>
        <w:t>混凝土必须按操作规程分层均匀振捣密实，严防漏浆，每层混凝土均匀振捣至气泡排出为止。</w:t>
      </w:r>
    </w:p>
    <w:p w14:paraId="56FFC452">
      <w:pPr>
        <w:pStyle w:val="5"/>
        <w:numPr>
          <w:ilvl w:val="2"/>
          <w:numId w:val="0"/>
        </w:numPr>
        <w:spacing w:line="360" w:lineRule="auto"/>
        <w:ind w:left="720" w:leftChars="0" w:hanging="720" w:firstLineChars="0"/>
        <w:rPr>
          <w:color w:val="auto"/>
        </w:rPr>
      </w:pPr>
      <w:bookmarkStart w:id="1993" w:name="_Toc28228"/>
      <w:bookmarkStart w:id="1994" w:name="_Toc327026359"/>
      <w:bookmarkStart w:id="1995" w:name="_Toc327452238"/>
      <w:bookmarkStart w:id="1996" w:name="_Toc19923"/>
      <w:bookmarkStart w:id="1997" w:name="_Toc17371"/>
      <w:bookmarkStart w:id="1998" w:name="_Toc12237"/>
      <w:bookmarkStart w:id="1999" w:name="_Toc2619"/>
      <w:bookmarkStart w:id="2000" w:name="_Toc9011"/>
      <w:bookmarkStart w:id="2001" w:name="_Toc332126136"/>
      <w:bookmarkStart w:id="2002" w:name="_Toc10609"/>
      <w:bookmarkStart w:id="2003" w:name="_Toc6750"/>
      <w:bookmarkStart w:id="2004" w:name="_Toc7712"/>
      <w:bookmarkStart w:id="2005" w:name="_Toc330826669"/>
      <w:bookmarkStart w:id="2006" w:name="_Toc22333"/>
      <w:bookmarkStart w:id="2007" w:name="_Toc17482"/>
      <w:bookmarkStart w:id="2008" w:name="_Toc18993"/>
      <w:bookmarkStart w:id="2009" w:name="_Toc27554"/>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.3.3.</w:t>
      </w:r>
      <w:r>
        <w:rPr>
          <w:rFonts w:hint="eastAsia"/>
          <w:color w:val="auto"/>
        </w:rPr>
        <w:t>空洞</w:t>
      </w:r>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p>
    <w:p w14:paraId="06CCC176">
      <w:pPr>
        <w:ind w:firstLine="480"/>
        <w:rPr>
          <w:rFonts w:hint="eastAsia" w:ascii="宋体" w:hAnsi="宋体" w:cs="宋体"/>
          <w:lang w:val="en-US" w:eastAsia="zh-CN"/>
        </w:rPr>
      </w:pPr>
      <w:r>
        <w:rPr>
          <w:rFonts w:hint="eastAsia" w:ascii="宋体" w:hAnsi="宋体" w:cs="宋体"/>
          <w:lang w:val="en-US" w:eastAsia="zh-CN"/>
        </w:rPr>
        <w:t>1、现象：混凝土结构内有空隙，局部没有混凝土或蜂窝。</w:t>
      </w:r>
    </w:p>
    <w:p w14:paraId="1663B112">
      <w:pPr>
        <w:ind w:firstLine="480"/>
        <w:rPr>
          <w:rFonts w:hint="eastAsia" w:ascii="宋体" w:hAnsi="宋体" w:cs="宋体"/>
          <w:lang w:val="en-US" w:eastAsia="zh-CN"/>
        </w:rPr>
      </w:pPr>
      <w:r>
        <w:rPr>
          <w:rFonts w:hint="eastAsia" w:ascii="宋体" w:hAnsi="宋体" w:cs="宋体"/>
          <w:lang w:val="en-US" w:eastAsia="zh-CN"/>
        </w:rPr>
        <w:t>2、原因分析</w:t>
      </w:r>
    </w:p>
    <w:p w14:paraId="3A430F23">
      <w:pPr>
        <w:ind w:firstLine="480"/>
        <w:rPr>
          <w:rFonts w:hint="eastAsia" w:ascii="宋体" w:hAnsi="宋体" w:cs="宋体"/>
          <w:lang w:val="en-US" w:eastAsia="zh-CN"/>
        </w:rPr>
      </w:pPr>
      <w:r>
        <w:rPr>
          <w:rFonts w:hint="eastAsia" w:ascii="宋体" w:hAnsi="宋体" w:cs="宋体"/>
          <w:lang w:val="en-US" w:eastAsia="zh-CN"/>
        </w:rPr>
        <w:t>（1）在钢筋密集处或预埋件处，混凝土浇筑不畅通，不能充满模板而形成孔洞。</w:t>
      </w:r>
    </w:p>
    <w:p w14:paraId="579BE7E2">
      <w:pPr>
        <w:ind w:firstLine="480"/>
        <w:rPr>
          <w:rFonts w:hint="eastAsia" w:ascii="宋体" w:hAnsi="宋体" w:cs="宋体"/>
          <w:lang w:val="en-US" w:eastAsia="zh-CN"/>
        </w:rPr>
      </w:pPr>
      <w:r>
        <w:rPr>
          <w:rFonts w:hint="eastAsia" w:ascii="宋体" w:hAnsi="宋体" w:cs="宋体"/>
          <w:lang w:val="en-US" w:eastAsia="zh-CN"/>
        </w:rPr>
        <w:t>（2）未按顺序振捣混凝土，产生漏振。</w:t>
      </w:r>
    </w:p>
    <w:p w14:paraId="3002CC58">
      <w:pPr>
        <w:ind w:firstLine="480"/>
        <w:rPr>
          <w:rFonts w:hint="eastAsia" w:ascii="宋体" w:hAnsi="宋体" w:cs="宋体"/>
          <w:lang w:val="en-US" w:eastAsia="zh-CN"/>
        </w:rPr>
      </w:pPr>
      <w:r>
        <w:rPr>
          <w:rFonts w:hint="eastAsia" w:ascii="宋体" w:hAnsi="宋体" w:cs="宋体"/>
          <w:lang w:val="en-US" w:eastAsia="zh-CN"/>
        </w:rPr>
        <w:t>（3）混凝土离析，砂浆分离，石子成堆，或严重跑浆，形成特大蜂窝。</w:t>
      </w:r>
    </w:p>
    <w:p w14:paraId="49ABF735">
      <w:pPr>
        <w:ind w:firstLine="480"/>
        <w:rPr>
          <w:rFonts w:hint="eastAsia" w:ascii="宋体" w:hAnsi="宋体" w:cs="宋体"/>
          <w:lang w:val="en-US" w:eastAsia="zh-CN"/>
        </w:rPr>
      </w:pPr>
      <w:r>
        <w:rPr>
          <w:rFonts w:hint="eastAsia" w:ascii="宋体" w:hAnsi="宋体" w:cs="宋体"/>
          <w:lang w:val="en-US" w:eastAsia="zh-CN"/>
        </w:rPr>
        <w:t>（4）混凝土的施工组织不好，未按施工顺序和施工工艺认真操作而造成孔洞。</w:t>
      </w:r>
    </w:p>
    <w:p w14:paraId="6F880F71">
      <w:pPr>
        <w:ind w:firstLine="480"/>
        <w:rPr>
          <w:rFonts w:hint="eastAsia" w:ascii="宋体" w:hAnsi="宋体" w:cs="宋体"/>
          <w:lang w:val="en-US" w:eastAsia="zh-CN"/>
        </w:rPr>
      </w:pPr>
      <w:r>
        <w:rPr>
          <w:rFonts w:hint="eastAsia" w:ascii="宋体" w:hAnsi="宋体" w:cs="宋体"/>
          <w:lang w:val="en-US" w:eastAsia="zh-CN"/>
        </w:rPr>
        <w:t>（5）混凝土中有硬块和杂物掺入，或木块等大件料具掉入混凝土中。</w:t>
      </w:r>
    </w:p>
    <w:p w14:paraId="10215B66">
      <w:pPr>
        <w:ind w:firstLine="480"/>
        <w:rPr>
          <w:rFonts w:hint="eastAsia" w:ascii="宋体" w:hAnsi="宋体" w:cs="宋体"/>
          <w:lang w:val="en-US" w:eastAsia="zh-CN"/>
        </w:rPr>
      </w:pPr>
      <w:r>
        <w:rPr>
          <w:rFonts w:hint="eastAsia" w:ascii="宋体" w:hAnsi="宋体" w:cs="宋体"/>
          <w:lang w:val="en-US" w:eastAsia="zh-CN"/>
        </w:rPr>
        <w:t>（6）不按规定下料，直接将混凝土卸入模板内；一次下料过多，因振动器作用半径达不到，形成松散状态，以致出现特大蜂窝和孔洞。</w:t>
      </w:r>
    </w:p>
    <w:p w14:paraId="0E95D1D4">
      <w:pPr>
        <w:ind w:firstLine="480"/>
        <w:rPr>
          <w:rFonts w:hint="eastAsia" w:ascii="宋体" w:hAnsi="宋体" w:cs="宋体"/>
          <w:lang w:val="en-US" w:eastAsia="zh-CN"/>
        </w:rPr>
      </w:pPr>
      <w:r>
        <w:rPr>
          <w:rFonts w:hint="eastAsia" w:ascii="宋体" w:hAnsi="宋体" w:cs="宋体"/>
          <w:lang w:val="en-US" w:eastAsia="zh-CN"/>
        </w:rPr>
        <w:t>3、预防措施</w:t>
      </w:r>
    </w:p>
    <w:p w14:paraId="463CC870">
      <w:pPr>
        <w:ind w:firstLine="480"/>
        <w:rPr>
          <w:rFonts w:hint="eastAsia" w:ascii="宋体" w:hAnsi="宋体" w:cs="宋体"/>
          <w:lang w:val="en-US" w:eastAsia="zh-CN"/>
        </w:rPr>
      </w:pPr>
      <w:r>
        <w:rPr>
          <w:rFonts w:hint="eastAsia" w:ascii="宋体" w:hAnsi="宋体" w:cs="宋体"/>
          <w:lang w:val="en-US" w:eastAsia="zh-CN"/>
        </w:rPr>
        <w:t>（1）在钢筋密集处，可采用细石混凝土浇筑，使混凝土充满模板，并认真振捣密实。</w:t>
      </w:r>
    </w:p>
    <w:p w14:paraId="029909F0">
      <w:pPr>
        <w:ind w:firstLine="480"/>
        <w:rPr>
          <w:rFonts w:hint="eastAsia" w:ascii="宋体" w:hAnsi="宋体" w:cs="宋体"/>
          <w:lang w:val="en-US" w:eastAsia="zh-CN"/>
        </w:rPr>
      </w:pPr>
      <w:r>
        <w:rPr>
          <w:rFonts w:hint="eastAsia" w:ascii="宋体" w:hAnsi="宋体" w:cs="宋体"/>
          <w:lang w:val="en-US" w:eastAsia="zh-CN"/>
        </w:rPr>
        <w:t>（2）预留孔洞处应在两侧同时下料。下部往往浇筑不满，振捣不实，应采取在侧面开口浇筑的措施，振捣密实后再封好模板，然后往上浇筑，防止出现孔洞。</w:t>
      </w:r>
    </w:p>
    <w:p w14:paraId="4BCE5736">
      <w:pPr>
        <w:ind w:firstLine="480"/>
        <w:rPr>
          <w:rFonts w:hint="eastAsia" w:ascii="宋体" w:hAnsi="宋体" w:cs="宋体"/>
          <w:lang w:val="en-US" w:eastAsia="zh-CN"/>
        </w:rPr>
      </w:pPr>
      <w:r>
        <w:rPr>
          <w:rFonts w:hint="eastAsia" w:ascii="宋体" w:hAnsi="宋体" w:cs="宋体"/>
          <w:lang w:val="en-US" w:eastAsia="zh-CN"/>
        </w:rPr>
        <w:t>（3）采用正确的振捣方法，严防漏振。插入式振捣器与混凝土表面垂直或斜向振捣，振捣棒与混凝土表面成一定角度，约40°～50°。振捣器插点应均匀排列，可采用行列式或交替式顺序移动，不得混用，以免漏振。每次移动距离不应大于振捣棒作用半径的1。5倍。振捣器操作时应快插慢拔。</w:t>
      </w:r>
    </w:p>
    <w:p w14:paraId="4A9F6C25">
      <w:pPr>
        <w:ind w:firstLine="480"/>
        <w:rPr>
          <w:rFonts w:hint="eastAsia" w:ascii="宋体" w:hAnsi="宋体" w:cs="宋体"/>
          <w:lang w:val="en-US" w:eastAsia="zh-CN"/>
        </w:rPr>
      </w:pPr>
      <w:r>
        <w:rPr>
          <w:rFonts w:hint="eastAsia" w:ascii="宋体" w:hAnsi="宋体" w:cs="宋体"/>
          <w:lang w:val="en-US" w:eastAsia="zh-CN"/>
        </w:rPr>
        <w:t>（4）控制好下料。要保证混凝土浇筑时不产生离析，混凝土自由倾落高度应不超过2米，大于2米时要用溜槽、串筒等下料。</w:t>
      </w:r>
    </w:p>
    <w:p w14:paraId="4353F5AF">
      <w:pPr>
        <w:ind w:firstLine="480"/>
        <w:rPr>
          <w:rFonts w:hint="eastAsia" w:ascii="宋体" w:hAnsi="宋体" w:cs="宋体"/>
          <w:lang w:val="en-US" w:eastAsia="zh-CN"/>
        </w:rPr>
      </w:pPr>
      <w:r>
        <w:rPr>
          <w:rFonts w:hint="eastAsia" w:ascii="宋体" w:hAnsi="宋体" w:cs="宋体"/>
          <w:lang w:val="en-US" w:eastAsia="zh-CN"/>
        </w:rPr>
        <w:t>（5）防止砂、石中混有黏土块等杂物，基础承台施工时，要防止土块掉入混凝土中；发现混凝土中有杂物，应及时清除干净。</w:t>
      </w:r>
    </w:p>
    <w:p w14:paraId="50BE9F77">
      <w:pPr>
        <w:ind w:firstLine="480"/>
        <w:rPr>
          <w:rFonts w:hint="eastAsia" w:ascii="宋体" w:hAnsi="宋体" w:cs="宋体"/>
          <w:lang w:val="en-US" w:eastAsia="zh-CN"/>
        </w:rPr>
      </w:pPr>
      <w:r>
        <w:rPr>
          <w:rFonts w:hint="eastAsia" w:ascii="宋体" w:hAnsi="宋体" w:cs="宋体"/>
          <w:lang w:val="en-US" w:eastAsia="zh-CN"/>
        </w:rPr>
        <w:t>（6）加强施工技术管理和质量检查工作。</w:t>
      </w:r>
    </w:p>
    <w:p w14:paraId="3BEA1FC2">
      <w:pPr>
        <w:pStyle w:val="5"/>
        <w:numPr>
          <w:ilvl w:val="2"/>
          <w:numId w:val="0"/>
        </w:numPr>
        <w:spacing w:line="360" w:lineRule="auto"/>
        <w:ind w:left="720" w:leftChars="0" w:hanging="720" w:firstLineChars="0"/>
        <w:rPr>
          <w:color w:val="auto"/>
        </w:rPr>
      </w:pPr>
      <w:bookmarkStart w:id="2010" w:name="_Toc11693"/>
      <w:bookmarkStart w:id="2011" w:name="_Toc330826670"/>
      <w:bookmarkStart w:id="2012" w:name="_Toc16029"/>
      <w:bookmarkStart w:id="2013" w:name="_Toc306"/>
      <w:bookmarkStart w:id="2014" w:name="_Toc12444"/>
      <w:bookmarkStart w:id="2015" w:name="_Toc27164"/>
      <w:bookmarkStart w:id="2016" w:name="_Toc332126137"/>
      <w:bookmarkStart w:id="2017" w:name="_Toc327452239"/>
      <w:bookmarkStart w:id="2018" w:name="_Toc15481"/>
      <w:bookmarkStart w:id="2019" w:name="_Toc327026360"/>
      <w:bookmarkStart w:id="2020" w:name="_Toc19436"/>
      <w:bookmarkStart w:id="2021" w:name="_Toc11293"/>
      <w:bookmarkStart w:id="2022" w:name="_Toc21314"/>
      <w:bookmarkStart w:id="2023" w:name="_Toc32066"/>
      <w:bookmarkStart w:id="2024" w:name="_Toc10425"/>
      <w:bookmarkStart w:id="2025" w:name="_Toc12619"/>
      <w:bookmarkStart w:id="2026" w:name="_Toc1794"/>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.3.4.</w:t>
      </w:r>
      <w:r>
        <w:rPr>
          <w:rFonts w:hint="eastAsia"/>
          <w:color w:val="auto"/>
        </w:rPr>
        <w:t>蜂窝</w:t>
      </w:r>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64D7549D">
      <w:pPr>
        <w:ind w:firstLine="480"/>
        <w:rPr>
          <w:rFonts w:hint="eastAsia" w:ascii="宋体" w:hAnsi="宋体" w:cs="宋体"/>
          <w:lang w:val="en-US" w:eastAsia="zh-CN"/>
        </w:rPr>
      </w:pPr>
      <w:r>
        <w:rPr>
          <w:rFonts w:hint="eastAsia" w:ascii="宋体" w:hAnsi="宋体" w:cs="宋体"/>
          <w:lang w:val="en-US" w:eastAsia="zh-CN"/>
        </w:rPr>
        <w:t>1、现象：混凝土局部疏松，砂浆少石子多，石子之间出现空隙，形成蜂窝状的孔洞。</w:t>
      </w:r>
    </w:p>
    <w:p w14:paraId="612C059A">
      <w:pPr>
        <w:ind w:firstLine="480"/>
        <w:rPr>
          <w:rFonts w:hint="eastAsia" w:ascii="宋体" w:hAnsi="宋体" w:cs="宋体"/>
          <w:lang w:val="en-US" w:eastAsia="zh-CN"/>
        </w:rPr>
      </w:pPr>
      <w:r>
        <w:rPr>
          <w:rFonts w:hint="eastAsia" w:ascii="宋体" w:hAnsi="宋体" w:cs="宋体"/>
          <w:lang w:val="en-US" w:eastAsia="zh-CN"/>
        </w:rPr>
        <w:t>2、原因分析</w:t>
      </w:r>
    </w:p>
    <w:p w14:paraId="00BC5CA3">
      <w:pPr>
        <w:ind w:firstLine="480"/>
        <w:rPr>
          <w:rFonts w:hint="eastAsia" w:ascii="宋体" w:hAnsi="宋体" w:cs="宋体"/>
          <w:lang w:val="en-US" w:eastAsia="zh-CN"/>
        </w:rPr>
      </w:pPr>
      <w:r>
        <w:rPr>
          <w:rFonts w:hint="eastAsia" w:ascii="宋体" w:hAnsi="宋体" w:cs="宋体"/>
          <w:lang w:val="en-US" w:eastAsia="zh-CN"/>
        </w:rPr>
        <w:t>（1）混凝土配合比不准确，石、水泥材料计量错误，或加水量不准，造成砂浆少石子多。</w:t>
      </w:r>
    </w:p>
    <w:p w14:paraId="31210C89">
      <w:pPr>
        <w:ind w:firstLine="480"/>
        <w:rPr>
          <w:rFonts w:hint="eastAsia" w:ascii="宋体" w:hAnsi="宋体" w:cs="宋体"/>
          <w:lang w:val="en-US" w:eastAsia="zh-CN"/>
        </w:rPr>
      </w:pPr>
      <w:r>
        <w:rPr>
          <w:rFonts w:hint="eastAsia" w:ascii="宋体" w:hAnsi="宋体" w:cs="宋体"/>
          <w:lang w:val="en-US" w:eastAsia="zh-CN"/>
        </w:rPr>
        <w:t>（2）混凝土搅拌时间短，没有拌和均匀，混凝土和易性差，振捣不密实。</w:t>
      </w:r>
    </w:p>
    <w:p w14:paraId="32C49100">
      <w:pPr>
        <w:ind w:firstLine="480"/>
        <w:rPr>
          <w:rFonts w:hint="eastAsia" w:ascii="宋体" w:hAnsi="宋体" w:cs="宋体"/>
          <w:lang w:val="en-US" w:eastAsia="zh-CN"/>
        </w:rPr>
      </w:pPr>
      <w:r>
        <w:rPr>
          <w:rFonts w:hint="eastAsia" w:ascii="宋体" w:hAnsi="宋体" w:cs="宋体"/>
          <w:lang w:val="en-US" w:eastAsia="zh-CN"/>
        </w:rPr>
        <w:t>（3）未按操作规程浇筑混凝土，下料不当，使石子集中，振不出水泥浆，造成混凝土离析。</w:t>
      </w:r>
    </w:p>
    <w:p w14:paraId="45B0CBE1">
      <w:pPr>
        <w:ind w:firstLine="480"/>
        <w:rPr>
          <w:rFonts w:hint="eastAsia" w:ascii="宋体" w:hAnsi="宋体" w:cs="宋体"/>
          <w:lang w:val="en-US" w:eastAsia="zh-CN"/>
        </w:rPr>
      </w:pPr>
      <w:r>
        <w:rPr>
          <w:rFonts w:hint="eastAsia" w:ascii="宋体" w:hAnsi="宋体" w:cs="宋体"/>
          <w:lang w:val="en-US" w:eastAsia="zh-CN"/>
        </w:rPr>
        <w:t>（4）混凝土一次下料过多，没有分段、分层浇筑，振捣不实或下料与振捣配合不好，未振捣又下料，漏振造成蜂窝。</w:t>
      </w:r>
    </w:p>
    <w:p w14:paraId="355BD7A4">
      <w:pPr>
        <w:ind w:firstLine="480"/>
        <w:rPr>
          <w:rFonts w:hint="eastAsia" w:ascii="宋体" w:hAnsi="宋体" w:cs="宋体"/>
          <w:lang w:val="en-US" w:eastAsia="zh-CN"/>
        </w:rPr>
      </w:pPr>
      <w:r>
        <w:rPr>
          <w:rFonts w:hint="eastAsia" w:ascii="宋体" w:hAnsi="宋体" w:cs="宋体"/>
          <w:lang w:val="en-US" w:eastAsia="zh-CN"/>
        </w:rPr>
        <w:t>（5）模板孔隙未堵好，或模板支设不牢固，振捣混凝土时模板移位等等，造成严重漏浆，形成蜂窝。</w:t>
      </w:r>
    </w:p>
    <w:p w14:paraId="0994209A">
      <w:pPr>
        <w:ind w:firstLine="480"/>
        <w:rPr>
          <w:rFonts w:hint="eastAsia" w:ascii="宋体" w:hAnsi="宋体" w:cs="宋体"/>
          <w:lang w:val="en-US" w:eastAsia="zh-CN"/>
        </w:rPr>
      </w:pPr>
      <w:r>
        <w:rPr>
          <w:rFonts w:hint="eastAsia" w:ascii="宋体" w:hAnsi="宋体" w:cs="宋体"/>
          <w:lang w:val="en-US" w:eastAsia="zh-CN"/>
        </w:rPr>
        <w:t>3、预防措施</w:t>
      </w:r>
    </w:p>
    <w:p w14:paraId="39297500">
      <w:pPr>
        <w:ind w:firstLine="480"/>
        <w:rPr>
          <w:rFonts w:hint="eastAsia" w:ascii="宋体" w:hAnsi="宋体" w:cs="宋体"/>
          <w:lang w:val="en-US" w:eastAsia="zh-CN"/>
        </w:rPr>
      </w:pPr>
      <w:r>
        <w:rPr>
          <w:rFonts w:hint="eastAsia" w:ascii="宋体" w:hAnsi="宋体" w:cs="宋体"/>
          <w:lang w:val="en-US" w:eastAsia="zh-CN"/>
        </w:rPr>
        <w:t>（1）混凝土配料时严格控制配合比，保证材料计量准确。采用电子自动计量。</w:t>
      </w:r>
    </w:p>
    <w:p w14:paraId="12F411F6">
      <w:pPr>
        <w:ind w:firstLine="480"/>
        <w:rPr>
          <w:rFonts w:hint="eastAsia" w:ascii="宋体" w:hAnsi="宋体" w:cs="宋体"/>
          <w:lang w:val="en-US" w:eastAsia="zh-CN"/>
        </w:rPr>
      </w:pPr>
      <w:r>
        <w:rPr>
          <w:rFonts w:hint="eastAsia" w:ascii="宋体" w:hAnsi="宋体" w:cs="宋体"/>
          <w:lang w:val="en-US" w:eastAsia="zh-CN"/>
        </w:rPr>
        <w:t>（2）混凝土应拌和均匀，颜色一致，其延续搅拌最短时间应符合规定。</w:t>
      </w:r>
    </w:p>
    <w:p w14:paraId="70E01852">
      <w:pPr>
        <w:ind w:firstLine="480"/>
        <w:rPr>
          <w:rFonts w:hint="eastAsia" w:ascii="宋体" w:hAnsi="宋体" w:cs="宋体"/>
          <w:lang w:val="en-US" w:eastAsia="zh-CN"/>
        </w:rPr>
      </w:pPr>
      <w:r>
        <w:rPr>
          <w:rFonts w:hint="eastAsia" w:ascii="宋体" w:hAnsi="宋体" w:cs="宋体"/>
          <w:lang w:val="en-US" w:eastAsia="zh-CN"/>
        </w:rPr>
        <w:t>（3）混凝土自由倾落高度一般不得超过2m。如超过，要采取串筒、溜槽等措施下料。</w:t>
      </w:r>
    </w:p>
    <w:p w14:paraId="131B6F79">
      <w:pPr>
        <w:ind w:firstLine="480"/>
        <w:rPr>
          <w:rFonts w:hint="eastAsia" w:ascii="宋体" w:hAnsi="宋体" w:cs="宋体"/>
          <w:lang w:val="en-US" w:eastAsia="zh-CN"/>
        </w:rPr>
      </w:pPr>
      <w:r>
        <w:rPr>
          <w:rFonts w:hint="eastAsia" w:ascii="宋体" w:hAnsi="宋体" w:cs="宋体"/>
          <w:lang w:val="en-US" w:eastAsia="zh-CN"/>
        </w:rPr>
        <w:t>（4）混凝土的振捣应分层捣固。浇筑层的厚度不得超过振动器作用部分长度的1。25倍。</w:t>
      </w:r>
    </w:p>
    <w:p w14:paraId="6620D461">
      <w:pPr>
        <w:ind w:firstLine="480"/>
        <w:rPr>
          <w:rFonts w:hint="eastAsia" w:ascii="宋体" w:hAnsi="宋体" w:cs="宋体"/>
          <w:lang w:val="en-US" w:eastAsia="zh-CN"/>
        </w:rPr>
      </w:pPr>
      <w:r>
        <w:rPr>
          <w:rFonts w:hint="eastAsia" w:ascii="宋体" w:hAnsi="宋体" w:cs="宋体"/>
          <w:lang w:val="en-US" w:eastAsia="zh-CN"/>
        </w:rPr>
        <w:t>（5）捣实混凝土拌和物时，插入式振捣器移动间距不应大于其作用半径的1。5倍；对轻骨料混凝土拌和物，则不应大于其作用半径的1倍。振捣器至模板的距离应保证上下层混凝土结合良好，振捣棒应插入下层混凝土5cm。</w:t>
      </w:r>
    </w:p>
    <w:p w14:paraId="6108147F">
      <w:pPr>
        <w:ind w:firstLine="480"/>
        <w:rPr>
          <w:rFonts w:hint="eastAsia" w:ascii="宋体" w:hAnsi="宋体" w:cs="宋体"/>
          <w:lang w:val="en-US" w:eastAsia="zh-CN"/>
        </w:rPr>
      </w:pPr>
      <w:r>
        <w:rPr>
          <w:rFonts w:hint="eastAsia" w:ascii="宋体" w:hAnsi="宋体" w:cs="宋体"/>
          <w:lang w:val="en-US" w:eastAsia="zh-CN"/>
        </w:rPr>
        <w:t>（6）混凝土浇筑时，必须掌握好每层每点的振捣时间。合适的振捣现象为：混凝土不再显著下沉，不再出现气泡。</w:t>
      </w:r>
    </w:p>
    <w:p w14:paraId="2DC3DC91">
      <w:pPr>
        <w:ind w:firstLine="480"/>
        <w:rPr>
          <w:rFonts w:hint="eastAsia" w:ascii="宋体" w:hAnsi="宋体" w:cs="宋体"/>
          <w:lang w:val="en-US" w:eastAsia="zh-CN"/>
        </w:rPr>
      </w:pPr>
      <w:r>
        <w:rPr>
          <w:rFonts w:hint="eastAsia" w:ascii="宋体" w:hAnsi="宋体" w:cs="宋体"/>
          <w:lang w:val="en-US" w:eastAsia="zh-CN"/>
        </w:rPr>
        <w:t>（7）浇筑混凝土时，应经常观察模板、支架、堵缝等情况。发现有模板走动，应立即停止浇筑，并应在混凝土初凝前修整好。</w:t>
      </w:r>
    </w:p>
    <w:p w14:paraId="5F22968B">
      <w:pPr>
        <w:pStyle w:val="5"/>
        <w:numPr>
          <w:ilvl w:val="2"/>
          <w:numId w:val="0"/>
        </w:numPr>
        <w:spacing w:line="360" w:lineRule="auto"/>
        <w:ind w:left="720" w:leftChars="0" w:hanging="720" w:firstLineChars="0"/>
        <w:rPr>
          <w:color w:val="auto"/>
        </w:rPr>
      </w:pPr>
      <w:bookmarkStart w:id="2027" w:name="_Toc25310"/>
      <w:bookmarkStart w:id="2028" w:name="_Toc327026361"/>
      <w:bookmarkStart w:id="2029" w:name="_Toc10487"/>
      <w:bookmarkStart w:id="2030" w:name="_Toc332126138"/>
      <w:bookmarkStart w:id="2031" w:name="_Toc24559"/>
      <w:bookmarkStart w:id="2032" w:name="_Toc31339"/>
      <w:bookmarkStart w:id="2033" w:name="_Toc28391"/>
      <w:bookmarkStart w:id="2034" w:name="_Toc27803"/>
      <w:bookmarkStart w:id="2035" w:name="_Toc11875"/>
      <w:bookmarkStart w:id="2036" w:name="_Toc12516"/>
      <w:bookmarkStart w:id="2037" w:name="_Toc13711"/>
      <w:bookmarkStart w:id="2038" w:name="_Toc2819"/>
      <w:bookmarkStart w:id="2039" w:name="_Toc330826671"/>
      <w:bookmarkStart w:id="2040" w:name="_Toc327452240"/>
      <w:bookmarkStart w:id="2041" w:name="_Toc5266"/>
      <w:bookmarkStart w:id="2042" w:name="_Toc11546"/>
      <w:bookmarkStart w:id="2043" w:name="_Toc916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.3.5.</w:t>
      </w:r>
      <w:r>
        <w:rPr>
          <w:rFonts w:hint="eastAsia"/>
          <w:color w:val="auto"/>
        </w:rPr>
        <w:t>露筋</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p>
    <w:p w14:paraId="2118282B">
      <w:pPr>
        <w:ind w:firstLine="480"/>
        <w:rPr>
          <w:rFonts w:hint="eastAsia" w:ascii="宋体" w:hAnsi="宋体" w:cs="宋体"/>
          <w:lang w:val="en-US" w:eastAsia="zh-CN"/>
        </w:rPr>
      </w:pPr>
      <w:r>
        <w:rPr>
          <w:rFonts w:hint="eastAsia" w:ascii="宋体" w:hAnsi="宋体" w:cs="宋体"/>
          <w:lang w:val="en-US" w:eastAsia="zh-CN"/>
        </w:rPr>
        <w:t>1、现象：钢筋混凝土结构内的主筋、副筋或箍筋等露在混凝土表面。</w:t>
      </w:r>
    </w:p>
    <w:p w14:paraId="2442C563">
      <w:pPr>
        <w:ind w:firstLine="480"/>
        <w:rPr>
          <w:rFonts w:hint="eastAsia" w:ascii="宋体" w:hAnsi="宋体" w:cs="宋体"/>
          <w:lang w:val="en-US" w:eastAsia="zh-CN"/>
        </w:rPr>
      </w:pPr>
      <w:r>
        <w:rPr>
          <w:rFonts w:hint="eastAsia" w:ascii="宋体" w:hAnsi="宋体" w:cs="宋体"/>
          <w:lang w:val="en-US" w:eastAsia="zh-CN"/>
        </w:rPr>
        <w:t>2、原因分析</w:t>
      </w:r>
    </w:p>
    <w:p w14:paraId="6271C537">
      <w:pPr>
        <w:ind w:firstLine="480"/>
        <w:rPr>
          <w:rFonts w:hint="eastAsia" w:ascii="宋体" w:hAnsi="宋体" w:cs="宋体"/>
          <w:lang w:val="en-US" w:eastAsia="zh-CN"/>
        </w:rPr>
      </w:pPr>
      <w:r>
        <w:rPr>
          <w:rFonts w:hint="eastAsia" w:ascii="宋体" w:hAnsi="宋体" w:cs="宋体"/>
          <w:lang w:val="en-US" w:eastAsia="zh-CN"/>
        </w:rPr>
        <w:t>（1）混凝土浇筑振捣时，钢筋垫块移位或垫块太少甚至露放，钢筋紧贴模板，致使拆模后露筋。</w:t>
      </w:r>
    </w:p>
    <w:p w14:paraId="5A61925C">
      <w:pPr>
        <w:ind w:firstLine="480"/>
        <w:rPr>
          <w:rFonts w:hint="eastAsia" w:ascii="宋体" w:hAnsi="宋体" w:cs="宋体"/>
          <w:lang w:val="en-US" w:eastAsia="zh-CN"/>
        </w:rPr>
      </w:pPr>
      <w:r>
        <w:rPr>
          <w:rFonts w:hint="eastAsia" w:ascii="宋体" w:hAnsi="宋体" w:cs="宋体"/>
          <w:lang w:val="en-US" w:eastAsia="zh-CN"/>
        </w:rPr>
        <w:t>（2）钢筋混凝土结构断面较小，钢筋过密，如遇大石子卡在钢筋上，混凝土水泥浆不能充满钢筋周围，使钢筋密集处产生露筋。</w:t>
      </w:r>
    </w:p>
    <w:p w14:paraId="2CF959E3">
      <w:pPr>
        <w:ind w:firstLine="480"/>
        <w:rPr>
          <w:rFonts w:hint="eastAsia" w:ascii="宋体" w:hAnsi="宋体" w:cs="宋体"/>
          <w:lang w:val="en-US" w:eastAsia="zh-CN"/>
        </w:rPr>
      </w:pPr>
      <w:r>
        <w:rPr>
          <w:rFonts w:hint="eastAsia" w:ascii="宋体" w:hAnsi="宋体" w:cs="宋体"/>
          <w:lang w:val="en-US" w:eastAsia="zh-CN"/>
        </w:rPr>
        <w:t>（3）因配合比不当混凝土产生离析，浇捣部位缺浆或模板严重漏浆，造成露筋。</w:t>
      </w:r>
    </w:p>
    <w:p w14:paraId="467CE783">
      <w:pPr>
        <w:ind w:firstLine="480"/>
        <w:rPr>
          <w:rFonts w:hint="eastAsia" w:ascii="宋体" w:hAnsi="宋体" w:cs="宋体"/>
          <w:lang w:val="en-US" w:eastAsia="zh-CN"/>
        </w:rPr>
      </w:pPr>
      <w:r>
        <w:rPr>
          <w:rFonts w:hint="eastAsia" w:ascii="宋体" w:hAnsi="宋体" w:cs="宋体"/>
          <w:lang w:val="en-US" w:eastAsia="zh-CN"/>
        </w:rPr>
        <w:t>（4）混凝土振捣时，振捣棒撞击钢筋，使钢筋移位，造成露筋。</w:t>
      </w:r>
    </w:p>
    <w:p w14:paraId="71CFC1CD">
      <w:pPr>
        <w:ind w:firstLine="480"/>
        <w:rPr>
          <w:rFonts w:hint="eastAsia" w:ascii="宋体" w:hAnsi="宋体" w:cs="宋体"/>
          <w:lang w:val="en-US" w:eastAsia="zh-CN"/>
        </w:rPr>
      </w:pPr>
      <w:r>
        <w:rPr>
          <w:rFonts w:hint="eastAsia" w:ascii="宋体" w:hAnsi="宋体" w:cs="宋体"/>
          <w:lang w:val="en-US" w:eastAsia="zh-CN"/>
        </w:rPr>
        <w:t>（5）混凝土保护层振捣不密实，或拆模过早等，拆模时混凝土缺棱掉角，造成露筋。</w:t>
      </w:r>
    </w:p>
    <w:p w14:paraId="3C42025E">
      <w:pPr>
        <w:ind w:firstLine="480"/>
        <w:rPr>
          <w:rFonts w:hint="eastAsia" w:ascii="宋体" w:hAnsi="宋体" w:cs="宋体"/>
          <w:lang w:val="en-US" w:eastAsia="zh-CN"/>
        </w:rPr>
      </w:pPr>
      <w:r>
        <w:rPr>
          <w:rFonts w:hint="eastAsia" w:ascii="宋体" w:hAnsi="宋体" w:cs="宋体"/>
          <w:lang w:val="en-US" w:eastAsia="zh-CN"/>
        </w:rPr>
        <w:t>3、预防措施</w:t>
      </w:r>
    </w:p>
    <w:p w14:paraId="444F58D5">
      <w:pPr>
        <w:ind w:firstLine="480"/>
        <w:rPr>
          <w:rFonts w:hint="eastAsia" w:ascii="宋体" w:hAnsi="宋体" w:cs="宋体"/>
          <w:lang w:val="en-US" w:eastAsia="zh-CN"/>
        </w:rPr>
      </w:pPr>
      <w:r>
        <w:rPr>
          <w:rFonts w:hint="eastAsia" w:ascii="宋体" w:hAnsi="宋体" w:cs="宋体"/>
          <w:lang w:val="en-US" w:eastAsia="zh-CN"/>
        </w:rPr>
        <w:t>（1）浇筑混凝土前，应检查钢筋位置和保护层厚度是否准确。</w:t>
      </w:r>
    </w:p>
    <w:p w14:paraId="3E75F639">
      <w:pPr>
        <w:ind w:firstLine="480"/>
        <w:rPr>
          <w:rFonts w:hint="eastAsia" w:ascii="宋体" w:hAnsi="宋体" w:cs="宋体"/>
          <w:lang w:val="en-US" w:eastAsia="zh-CN"/>
        </w:rPr>
      </w:pPr>
      <w:r>
        <w:rPr>
          <w:rFonts w:hint="eastAsia" w:ascii="宋体" w:hAnsi="宋体" w:cs="宋体"/>
          <w:lang w:val="en-US" w:eastAsia="zh-CN"/>
        </w:rPr>
        <w:t>（2）为保证混凝土保护层的厚度，要注意固定好垫块。一般每隔1m左右在钢筋上绑一个水泥砂浆垫块。</w:t>
      </w:r>
    </w:p>
    <w:p w14:paraId="616B3D09">
      <w:pPr>
        <w:ind w:firstLine="480"/>
        <w:rPr>
          <w:rFonts w:hint="eastAsia" w:ascii="宋体" w:hAnsi="宋体" w:cs="宋体"/>
          <w:lang w:val="en-US" w:eastAsia="zh-CN"/>
        </w:rPr>
      </w:pPr>
      <w:r>
        <w:rPr>
          <w:rFonts w:hint="eastAsia" w:ascii="宋体" w:hAnsi="宋体" w:cs="宋体"/>
          <w:lang w:val="en-US" w:eastAsia="zh-CN"/>
        </w:rPr>
        <w:t>（3）钢筋较密集时，应选配适当的石子。石子最大颗粒尺寸不得超过结构截面最小尺寸的1/4，不得大于钢筋净距的3/4。结构截面较小，钢筋较密实，用细石混凝土浇筑。</w:t>
      </w:r>
    </w:p>
    <w:p w14:paraId="7954C648">
      <w:pPr>
        <w:ind w:firstLine="480"/>
        <w:rPr>
          <w:rFonts w:hint="eastAsia" w:ascii="宋体" w:hAnsi="宋体" w:cs="宋体"/>
          <w:lang w:val="en-US" w:eastAsia="zh-CN"/>
        </w:rPr>
      </w:pPr>
      <w:r>
        <w:rPr>
          <w:rFonts w:hint="eastAsia" w:ascii="宋体" w:hAnsi="宋体" w:cs="宋体"/>
          <w:lang w:val="en-US" w:eastAsia="zh-CN"/>
        </w:rPr>
        <w:t>（4）为防止钢筋移位，严禁振捣棒撞击钢筋。钢筋密集处，采用小直径振捣棒振捣。</w:t>
      </w:r>
    </w:p>
    <w:p w14:paraId="09D248AE">
      <w:pPr>
        <w:ind w:firstLine="480"/>
        <w:rPr>
          <w:rFonts w:hint="eastAsia" w:ascii="宋体" w:hAnsi="宋体" w:cs="宋体"/>
          <w:lang w:val="en-US" w:eastAsia="zh-CN"/>
        </w:rPr>
      </w:pPr>
      <w:r>
        <w:rPr>
          <w:rFonts w:hint="eastAsia" w:ascii="宋体" w:hAnsi="宋体" w:cs="宋体"/>
          <w:lang w:val="en-US" w:eastAsia="zh-CN"/>
        </w:rPr>
        <w:t>（5）浇筑混凝土前应认真堵好模板缝隙。</w:t>
      </w:r>
    </w:p>
    <w:p w14:paraId="073B1EAD">
      <w:pPr>
        <w:ind w:firstLine="480"/>
        <w:rPr>
          <w:rFonts w:hint="eastAsia" w:ascii="宋体" w:hAnsi="宋体" w:cs="宋体"/>
          <w:lang w:val="en-US" w:eastAsia="zh-CN"/>
        </w:rPr>
      </w:pPr>
      <w:r>
        <w:rPr>
          <w:rFonts w:hint="eastAsia" w:ascii="宋体" w:hAnsi="宋体" w:cs="宋体"/>
          <w:lang w:val="en-US" w:eastAsia="zh-CN"/>
        </w:rPr>
        <w:t>（6）混凝土自由顺落高度超过2m时，要用串筒或溜槽等进行下料。</w:t>
      </w:r>
    </w:p>
    <w:p w14:paraId="724800F8">
      <w:pPr>
        <w:ind w:firstLine="480"/>
        <w:rPr>
          <w:rFonts w:hint="eastAsia" w:ascii="宋体" w:hAnsi="宋体" w:cs="宋体"/>
          <w:lang w:val="en-US" w:eastAsia="zh-CN"/>
        </w:rPr>
      </w:pPr>
      <w:r>
        <w:rPr>
          <w:rFonts w:hint="eastAsia" w:ascii="宋体" w:hAnsi="宋体" w:cs="宋体"/>
          <w:lang w:val="en-US" w:eastAsia="zh-CN"/>
        </w:rPr>
        <w:t>（7）拆模时间要根据试块试验结果确定，防止过早拆模。</w:t>
      </w:r>
    </w:p>
    <w:p w14:paraId="2E1143C8">
      <w:pPr>
        <w:ind w:firstLine="480"/>
        <w:rPr>
          <w:rFonts w:hint="eastAsia" w:ascii="宋体" w:hAnsi="宋体" w:cs="宋体"/>
          <w:lang w:val="en-US" w:eastAsia="zh-CN"/>
        </w:rPr>
      </w:pPr>
      <w:r>
        <w:rPr>
          <w:rFonts w:hint="eastAsia" w:ascii="宋体" w:hAnsi="宋体" w:cs="宋体"/>
          <w:lang w:val="en-US" w:eastAsia="zh-CN"/>
        </w:rPr>
        <w:t>（8）操作时不得踩踏钢筋，如钢筋有踩弯或脱扣，应及时调直、补扣绑好。</w:t>
      </w:r>
    </w:p>
    <w:p w14:paraId="2529E205">
      <w:pPr>
        <w:pStyle w:val="5"/>
        <w:numPr>
          <w:ilvl w:val="2"/>
          <w:numId w:val="0"/>
        </w:numPr>
        <w:spacing w:line="360" w:lineRule="auto"/>
        <w:ind w:left="720" w:leftChars="0" w:hanging="720" w:firstLineChars="0"/>
        <w:rPr>
          <w:color w:val="auto"/>
        </w:rPr>
      </w:pPr>
      <w:bookmarkStart w:id="2044" w:name="_Toc10674"/>
      <w:bookmarkStart w:id="2045" w:name="_Toc5304"/>
      <w:bookmarkStart w:id="2046" w:name="_Toc14483"/>
      <w:bookmarkStart w:id="2047" w:name="_Toc26860"/>
      <w:bookmarkStart w:id="2048" w:name="_Toc798"/>
      <w:bookmarkStart w:id="2049" w:name="_Toc20823"/>
      <w:bookmarkStart w:id="2050" w:name="_Toc9660"/>
      <w:bookmarkStart w:id="2051" w:name="_Toc7761"/>
      <w:bookmarkStart w:id="2052" w:name="_Toc26979"/>
      <w:bookmarkStart w:id="2053" w:name="_Toc1910"/>
      <w:bookmarkStart w:id="2054" w:name="_Toc29453"/>
      <w:bookmarkStart w:id="2055" w:name="_Toc15636"/>
      <w:bookmarkStart w:id="2056" w:name="_Toc9538"/>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.3.6.</w:t>
      </w:r>
      <w:r>
        <w:rPr>
          <w:rFonts w:hint="eastAsia"/>
          <w:color w:val="auto"/>
        </w:rPr>
        <w:t>缺边掉角</w:t>
      </w:r>
      <w:bookmarkEnd w:id="2044"/>
      <w:bookmarkEnd w:id="2045"/>
      <w:bookmarkEnd w:id="2046"/>
      <w:bookmarkEnd w:id="2047"/>
      <w:bookmarkEnd w:id="2048"/>
      <w:bookmarkEnd w:id="2049"/>
      <w:bookmarkEnd w:id="2050"/>
      <w:bookmarkEnd w:id="2051"/>
      <w:bookmarkEnd w:id="2052"/>
      <w:bookmarkEnd w:id="2053"/>
      <w:bookmarkEnd w:id="2054"/>
      <w:bookmarkEnd w:id="2055"/>
      <w:bookmarkEnd w:id="2056"/>
    </w:p>
    <w:p w14:paraId="3E479A3B">
      <w:pPr>
        <w:ind w:firstLine="480"/>
        <w:rPr>
          <w:rFonts w:hint="eastAsia" w:ascii="宋体" w:hAnsi="宋体" w:cs="宋体"/>
          <w:lang w:val="en-US" w:eastAsia="zh-CN"/>
        </w:rPr>
      </w:pPr>
      <w:r>
        <w:rPr>
          <w:rFonts w:hint="eastAsia" w:ascii="宋体" w:hAnsi="宋体" w:cs="宋体"/>
          <w:lang w:val="en-US" w:eastAsia="zh-CN"/>
        </w:rPr>
        <w:t>1、现象：混凝土局部掉落，棱角有缺陷；施工缝处混凝土结合不好，有缝隙或夹有杂物，造成结构整体性不良。</w:t>
      </w:r>
    </w:p>
    <w:p w14:paraId="0699359C">
      <w:pPr>
        <w:ind w:firstLine="480"/>
        <w:rPr>
          <w:rFonts w:hint="eastAsia" w:ascii="宋体" w:hAnsi="宋体" w:cs="宋体"/>
          <w:lang w:val="en-US" w:eastAsia="zh-CN"/>
        </w:rPr>
      </w:pPr>
      <w:r>
        <w:rPr>
          <w:rFonts w:hint="eastAsia" w:ascii="宋体" w:hAnsi="宋体" w:cs="宋体"/>
          <w:lang w:val="en-US" w:eastAsia="zh-CN"/>
        </w:rPr>
        <w:t>2、原因分析</w:t>
      </w:r>
    </w:p>
    <w:p w14:paraId="60502323">
      <w:pPr>
        <w:ind w:firstLine="480"/>
        <w:rPr>
          <w:rFonts w:hint="eastAsia" w:ascii="宋体" w:hAnsi="宋体" w:cs="宋体"/>
          <w:lang w:val="en-US" w:eastAsia="zh-CN"/>
        </w:rPr>
      </w:pPr>
      <w:r>
        <w:rPr>
          <w:rFonts w:hint="eastAsia" w:ascii="宋体" w:hAnsi="宋体" w:cs="宋体"/>
          <w:lang w:val="en-US" w:eastAsia="zh-CN"/>
        </w:rPr>
        <w:t>（1）常温施工时，过早拆除承重模板。</w:t>
      </w:r>
    </w:p>
    <w:p w14:paraId="04847F74">
      <w:pPr>
        <w:ind w:firstLine="480"/>
        <w:rPr>
          <w:rFonts w:hint="eastAsia" w:ascii="宋体" w:hAnsi="宋体" w:cs="宋体"/>
          <w:lang w:val="en-US" w:eastAsia="zh-CN"/>
        </w:rPr>
      </w:pPr>
      <w:r>
        <w:rPr>
          <w:rFonts w:hint="eastAsia" w:ascii="宋体" w:hAnsi="宋体" w:cs="宋体"/>
          <w:lang w:val="en-US" w:eastAsia="zh-CN"/>
        </w:rPr>
        <w:t>（2）拆模时受外力作用或重物撞击，或保护不好，棱角被碰掉，造成缺棱掉角。</w:t>
      </w:r>
    </w:p>
    <w:p w14:paraId="3C3B4112">
      <w:pPr>
        <w:ind w:firstLine="480"/>
        <w:rPr>
          <w:rFonts w:hint="eastAsia" w:ascii="宋体" w:hAnsi="宋体" w:cs="宋体"/>
          <w:lang w:val="en-US" w:eastAsia="zh-CN"/>
        </w:rPr>
      </w:pPr>
      <w:r>
        <w:rPr>
          <w:rFonts w:hint="eastAsia" w:ascii="宋体" w:hAnsi="宋体" w:cs="宋体"/>
          <w:lang w:val="en-US" w:eastAsia="zh-CN"/>
        </w:rPr>
        <w:t>（3）在浇筑混凝土前没有认真处理施工缝表面；浇筑前，捣实不够。</w:t>
      </w:r>
    </w:p>
    <w:p w14:paraId="3452E0AE">
      <w:pPr>
        <w:ind w:firstLine="480"/>
        <w:rPr>
          <w:rFonts w:hint="eastAsia" w:ascii="宋体" w:hAnsi="宋体" w:cs="宋体"/>
          <w:lang w:val="en-US" w:eastAsia="zh-CN"/>
        </w:rPr>
      </w:pPr>
      <w:r>
        <w:rPr>
          <w:rFonts w:hint="eastAsia" w:ascii="宋体" w:hAnsi="宋体" w:cs="宋体"/>
          <w:lang w:val="en-US" w:eastAsia="zh-CN"/>
        </w:rPr>
        <w:t>（4）浇筑大体积混凝土结构，分层分段施工时，在施工停歇期间常有杂物积存在混凝土表面，未认真检查清理，再次浇筑混凝土时混入混凝土内，在施工缝处造成杂物夹层。</w:t>
      </w:r>
    </w:p>
    <w:p w14:paraId="05F5C919">
      <w:pPr>
        <w:ind w:firstLine="480"/>
        <w:rPr>
          <w:rFonts w:hint="eastAsia" w:ascii="宋体" w:hAnsi="宋体" w:cs="宋体"/>
          <w:lang w:val="en-US" w:eastAsia="zh-CN"/>
        </w:rPr>
      </w:pPr>
      <w:r>
        <w:rPr>
          <w:rFonts w:hint="eastAsia" w:ascii="宋体" w:hAnsi="宋体" w:cs="宋体"/>
          <w:lang w:val="en-US" w:eastAsia="zh-CN"/>
        </w:rPr>
        <w:t>3、预防措施</w:t>
      </w:r>
    </w:p>
    <w:p w14:paraId="73E2A035">
      <w:pPr>
        <w:ind w:firstLine="480"/>
        <w:rPr>
          <w:rFonts w:hint="eastAsia" w:ascii="宋体" w:hAnsi="宋体" w:cs="宋体"/>
          <w:lang w:val="en-US" w:eastAsia="zh-CN"/>
        </w:rPr>
      </w:pPr>
      <w:r>
        <w:rPr>
          <w:rFonts w:hint="eastAsia" w:ascii="宋体" w:hAnsi="宋体" w:cs="宋体"/>
          <w:lang w:val="en-US" w:eastAsia="zh-CN"/>
        </w:rPr>
        <w:t>（1）根据同等养护条件下试件的强度，确定拆模时间。</w:t>
      </w:r>
    </w:p>
    <w:p w14:paraId="11E7B05A">
      <w:pPr>
        <w:ind w:firstLine="480"/>
        <w:rPr>
          <w:rFonts w:hint="eastAsia" w:ascii="宋体" w:hAnsi="宋体" w:cs="宋体"/>
          <w:lang w:val="en-US" w:eastAsia="zh-CN"/>
        </w:rPr>
      </w:pPr>
      <w:r>
        <w:rPr>
          <w:rFonts w:hint="eastAsia" w:ascii="宋体" w:hAnsi="宋体" w:cs="宋体"/>
          <w:lang w:val="en-US" w:eastAsia="zh-CN"/>
        </w:rPr>
        <w:t>（2）拆模时不能用力过猛过急，注意保护棱角，吊运时，严禁模板撞击棱角。</w:t>
      </w:r>
    </w:p>
    <w:p w14:paraId="644FE4AC">
      <w:pPr>
        <w:ind w:firstLine="480"/>
        <w:rPr>
          <w:rFonts w:hint="eastAsia" w:ascii="宋体" w:hAnsi="宋体" w:cs="宋体"/>
          <w:lang w:val="en-US" w:eastAsia="zh-CN"/>
        </w:rPr>
      </w:pPr>
      <w:r>
        <w:rPr>
          <w:rFonts w:hint="eastAsia" w:ascii="宋体" w:hAnsi="宋体" w:cs="宋体"/>
          <w:lang w:val="en-US" w:eastAsia="zh-CN"/>
        </w:rPr>
        <w:t>（3）加强成品保护，对于处在人多、运料等通道处的混凝土阳角，拆模后要用角钢等将阳角保护好，以免碰损。</w:t>
      </w:r>
    </w:p>
    <w:p w14:paraId="1109DB99">
      <w:pPr>
        <w:ind w:firstLine="480"/>
        <w:rPr>
          <w:rFonts w:hint="eastAsia" w:ascii="宋体" w:hAnsi="宋体" w:cs="宋体"/>
          <w:lang w:val="en-US" w:eastAsia="zh-CN"/>
        </w:rPr>
      </w:pPr>
      <w:r>
        <w:rPr>
          <w:rFonts w:hint="eastAsia" w:ascii="宋体" w:hAnsi="宋体" w:cs="宋体"/>
          <w:lang w:val="en-US" w:eastAsia="zh-CN"/>
        </w:rPr>
        <w:t>（4）在施工缝处继续浇筑混凝土时，如间歇时间超过规定，则按施工缝处理。</w:t>
      </w:r>
    </w:p>
    <w:p w14:paraId="4591C546">
      <w:pPr>
        <w:ind w:firstLine="480"/>
        <w:rPr>
          <w:rFonts w:hint="eastAsia" w:ascii="宋体" w:hAnsi="宋体" w:cs="宋体"/>
          <w:lang w:val="en-US" w:eastAsia="zh-CN"/>
        </w:rPr>
      </w:pPr>
      <w:r>
        <w:rPr>
          <w:rFonts w:hint="eastAsia" w:ascii="宋体" w:hAnsi="宋体" w:cs="宋体"/>
          <w:lang w:val="en-US" w:eastAsia="zh-CN"/>
        </w:rPr>
        <w:t>（5）在已硬化的混凝土表面上继续浇筑混凝土前，应除掉表面水泥薄膜和松动石子或软弱混凝土层，并充分湿润和冲洗干净，残留在混凝土表面的水应予清除。</w:t>
      </w:r>
    </w:p>
    <w:p w14:paraId="1872A326">
      <w:pPr>
        <w:ind w:firstLine="480"/>
        <w:rPr>
          <w:rFonts w:hint="eastAsia" w:ascii="宋体" w:hAnsi="宋体" w:cs="宋体"/>
          <w:lang w:val="en-US" w:eastAsia="zh-CN"/>
        </w:rPr>
      </w:pPr>
      <w:r>
        <w:rPr>
          <w:rFonts w:hint="eastAsia" w:ascii="宋体" w:hAnsi="宋体" w:cs="宋体"/>
          <w:lang w:val="en-US" w:eastAsia="zh-CN"/>
        </w:rPr>
        <w:t>（6）在浇筑前，施工缝宜先铺抹水泥浆。</w:t>
      </w:r>
    </w:p>
    <w:p w14:paraId="58378CB7">
      <w:pPr>
        <w:ind w:firstLine="480"/>
        <w:rPr>
          <w:rFonts w:hint="eastAsia" w:ascii="宋体" w:hAnsi="宋体" w:cs="宋体"/>
          <w:lang w:val="en-US" w:eastAsia="zh-CN"/>
        </w:rPr>
      </w:pPr>
      <w:r>
        <w:rPr>
          <w:rFonts w:hint="eastAsia" w:ascii="宋体" w:hAnsi="宋体" w:cs="宋体"/>
          <w:lang w:val="en-US" w:eastAsia="zh-CN"/>
        </w:rPr>
        <w:t>（7）在模板上沿施工缝位置通条开口，以便清理杂物和冲洗。可采用高压风吹。全部清理干净后，再将通条开口封闭，并抹水泥砂浆，再浇筑混凝土。</w:t>
      </w:r>
    </w:p>
    <w:p w14:paraId="4C34044E">
      <w:pPr>
        <w:pStyle w:val="5"/>
        <w:numPr>
          <w:ilvl w:val="2"/>
          <w:numId w:val="0"/>
        </w:numPr>
        <w:spacing w:line="360" w:lineRule="auto"/>
        <w:ind w:left="720" w:leftChars="0" w:hanging="720" w:firstLineChars="0"/>
        <w:rPr>
          <w:color w:val="auto"/>
        </w:rPr>
      </w:pPr>
      <w:bookmarkStart w:id="2057" w:name="_Toc24321"/>
      <w:bookmarkStart w:id="2058" w:name="_Toc24713"/>
      <w:bookmarkStart w:id="2059" w:name="_Toc23519"/>
      <w:bookmarkStart w:id="2060" w:name="_Toc332126140"/>
      <w:bookmarkStart w:id="2061" w:name="_Toc3981"/>
      <w:bookmarkStart w:id="2062" w:name="_Toc327452242"/>
      <w:bookmarkStart w:id="2063" w:name="_Toc1862"/>
      <w:bookmarkStart w:id="2064" w:name="_Toc25039"/>
      <w:bookmarkStart w:id="2065" w:name="_Toc29164"/>
      <w:bookmarkStart w:id="2066" w:name="_Toc327026363"/>
      <w:bookmarkStart w:id="2067" w:name="_Toc330826673"/>
      <w:bookmarkStart w:id="2068" w:name="_Toc16136"/>
      <w:bookmarkStart w:id="2069" w:name="_Toc3998"/>
      <w:bookmarkStart w:id="2070" w:name="_Toc7518"/>
      <w:bookmarkStart w:id="2071" w:name="_Toc2666"/>
      <w:bookmarkStart w:id="2072" w:name="_Toc16450"/>
      <w:bookmarkStart w:id="2073" w:name="_Toc2014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.3.7.</w:t>
      </w:r>
      <w:r>
        <w:rPr>
          <w:rFonts w:hint="eastAsia"/>
          <w:color w:val="auto"/>
        </w:rPr>
        <w:t>表面裂缝</w:t>
      </w:r>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p>
    <w:p w14:paraId="1D76114E">
      <w:pPr>
        <w:ind w:firstLine="480"/>
        <w:rPr>
          <w:rFonts w:hint="eastAsia" w:ascii="宋体" w:hAnsi="宋体" w:cs="宋体"/>
          <w:lang w:val="en-US" w:eastAsia="zh-CN"/>
        </w:rPr>
      </w:pPr>
      <w:r>
        <w:rPr>
          <w:rFonts w:hint="eastAsia" w:ascii="宋体" w:hAnsi="宋体" w:cs="宋体"/>
          <w:lang w:val="en-US" w:eastAsia="zh-CN"/>
        </w:rPr>
        <w:t>1、检查水泥出厂合格证，进厂抽检报告单。</w:t>
      </w:r>
    </w:p>
    <w:p w14:paraId="542111B8">
      <w:pPr>
        <w:ind w:firstLine="480"/>
        <w:rPr>
          <w:rFonts w:hint="eastAsia" w:ascii="宋体" w:hAnsi="宋体" w:cs="宋体"/>
          <w:lang w:val="en-US" w:eastAsia="zh-CN"/>
        </w:rPr>
      </w:pPr>
      <w:r>
        <w:rPr>
          <w:rFonts w:hint="eastAsia" w:ascii="宋体" w:hAnsi="宋体" w:cs="宋体"/>
          <w:lang w:val="en-US" w:eastAsia="zh-CN"/>
        </w:rPr>
        <w:t>2、砂石质量符合有关标准规定，石子含泥量超过规范要求时应冲洗，禁止采用细砂。</w:t>
      </w:r>
    </w:p>
    <w:p w14:paraId="17F945A8">
      <w:pPr>
        <w:ind w:firstLine="480"/>
        <w:rPr>
          <w:rFonts w:hint="eastAsia" w:ascii="宋体" w:hAnsi="宋体" w:cs="宋体"/>
          <w:lang w:val="en-US" w:eastAsia="zh-CN"/>
        </w:rPr>
      </w:pPr>
      <w:r>
        <w:rPr>
          <w:rFonts w:hint="eastAsia" w:ascii="宋体" w:hAnsi="宋体" w:cs="宋体"/>
          <w:lang w:val="en-US" w:eastAsia="zh-CN"/>
        </w:rPr>
        <w:t>3、对温度影响的裂缝采用低热水泥，合理选用骨料和配合比，以降低水泥用量，并加强养生。</w:t>
      </w:r>
    </w:p>
    <w:p w14:paraId="72749A56">
      <w:pPr>
        <w:ind w:firstLine="480"/>
        <w:rPr>
          <w:rFonts w:hint="eastAsia" w:ascii="宋体" w:hAnsi="宋体" w:cs="宋体"/>
          <w:lang w:val="en-US" w:eastAsia="zh-CN"/>
        </w:rPr>
      </w:pPr>
      <w:r>
        <w:rPr>
          <w:rFonts w:hint="eastAsia" w:ascii="宋体" w:hAnsi="宋体" w:cs="宋体"/>
          <w:lang w:val="en-US" w:eastAsia="zh-CN"/>
        </w:rPr>
        <w:t>4、合理设计混凝土的配合比，当水灰比过大时容易出现裂缝。</w:t>
      </w:r>
    </w:p>
    <w:p w14:paraId="13B6CC90">
      <w:pPr>
        <w:ind w:firstLine="480"/>
        <w:rPr>
          <w:rFonts w:hint="eastAsia" w:ascii="宋体" w:hAnsi="宋体" w:cs="宋体"/>
          <w:lang w:val="en-US" w:eastAsia="zh-CN"/>
        </w:rPr>
      </w:pPr>
      <w:r>
        <w:rPr>
          <w:rFonts w:hint="eastAsia" w:ascii="宋体" w:hAnsi="宋体" w:cs="宋体"/>
          <w:lang w:val="en-US" w:eastAsia="zh-CN"/>
        </w:rPr>
        <w:t>5、避免混凝土搅拌很长时间后使用。</w:t>
      </w:r>
    </w:p>
    <w:p w14:paraId="29A935AA">
      <w:pPr>
        <w:ind w:firstLine="480"/>
        <w:rPr>
          <w:rFonts w:hint="eastAsia" w:ascii="宋体" w:hAnsi="宋体" w:cs="宋体"/>
          <w:lang w:val="en-US" w:eastAsia="zh-CN"/>
        </w:rPr>
      </w:pPr>
      <w:r>
        <w:rPr>
          <w:rFonts w:hint="eastAsia" w:ascii="宋体" w:hAnsi="宋体" w:cs="宋体"/>
          <w:lang w:val="en-US" w:eastAsia="zh-CN"/>
        </w:rPr>
        <w:t>6、加强模板的施工质量，避免出现模板移动、鼓出等现象。</w:t>
      </w:r>
    </w:p>
    <w:p w14:paraId="655D83F3">
      <w:pPr>
        <w:ind w:firstLine="480"/>
        <w:rPr>
          <w:rFonts w:hint="eastAsia" w:ascii="宋体" w:hAnsi="宋体" w:cs="宋体"/>
          <w:lang w:val="en-US" w:eastAsia="zh-CN"/>
        </w:rPr>
      </w:pPr>
      <w:r>
        <w:rPr>
          <w:rFonts w:hint="eastAsia" w:ascii="宋体" w:hAnsi="宋体" w:cs="宋体"/>
          <w:lang w:val="en-US" w:eastAsia="zh-CN"/>
        </w:rPr>
        <w:t>7、避免出现支架下沉，脱模过早，模板的不均匀沉降。</w:t>
      </w:r>
    </w:p>
    <w:p w14:paraId="72669E88">
      <w:pPr>
        <w:ind w:firstLine="480"/>
        <w:rPr>
          <w:rFonts w:hint="eastAsia" w:ascii="宋体" w:hAnsi="宋体" w:cs="宋体"/>
          <w:lang w:val="en-US" w:eastAsia="zh-CN"/>
        </w:rPr>
      </w:pPr>
      <w:r>
        <w:rPr>
          <w:rFonts w:hint="eastAsia" w:ascii="宋体" w:hAnsi="宋体" w:cs="宋体"/>
          <w:lang w:val="en-US" w:eastAsia="zh-CN"/>
        </w:rPr>
        <w:t>8、混凝土浇筑时要振动充分，混凝土浇筑后要加强养生工作。</w:t>
      </w:r>
    </w:p>
    <w:p w14:paraId="34A027FD">
      <w:pPr>
        <w:pStyle w:val="5"/>
        <w:numPr>
          <w:ilvl w:val="2"/>
          <w:numId w:val="0"/>
        </w:numPr>
        <w:spacing w:line="360" w:lineRule="auto"/>
        <w:ind w:left="720" w:leftChars="0" w:hanging="720" w:firstLineChars="0"/>
        <w:rPr>
          <w:color w:val="auto"/>
        </w:rPr>
      </w:pPr>
      <w:bookmarkStart w:id="2074" w:name="_Toc31495"/>
      <w:bookmarkStart w:id="2075" w:name="_Toc17639"/>
      <w:bookmarkStart w:id="2076" w:name="_Toc25442"/>
      <w:bookmarkStart w:id="2077" w:name="_Toc32612"/>
      <w:bookmarkStart w:id="2078" w:name="_Toc327026364"/>
      <w:bookmarkStart w:id="2079" w:name="_Toc29263"/>
      <w:bookmarkStart w:id="2080" w:name="_Toc11936"/>
      <w:bookmarkStart w:id="2081" w:name="_Toc330826674"/>
      <w:bookmarkStart w:id="2082" w:name="_Toc26931"/>
      <w:bookmarkStart w:id="2083" w:name="_Toc327452243"/>
      <w:bookmarkStart w:id="2084" w:name="_Toc29231"/>
      <w:bookmarkStart w:id="2085" w:name="_Toc27821"/>
      <w:bookmarkStart w:id="2086" w:name="_Toc332126141"/>
      <w:bookmarkStart w:id="2087" w:name="_Toc19672"/>
      <w:bookmarkStart w:id="2088" w:name="_Toc27159"/>
      <w:bookmarkStart w:id="2089" w:name="_Toc13"/>
      <w:bookmarkStart w:id="2090" w:name="_Toc1162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2</w:t>
      </w:r>
      <w:r>
        <w:rPr>
          <w:rFonts w:hint="default" w:ascii="Times New Roman" w:hAnsi="Times New Roman" w:eastAsia="宋体" w:cs="Times New Roman"/>
          <w:b/>
          <w:bCs/>
          <w:color w:val="auto"/>
          <w:kern w:val="2"/>
          <w:sz w:val="30"/>
          <w:szCs w:val="32"/>
          <w:lang w:val="en-US" w:eastAsia="zh-CN" w:bidi="ar-SA"/>
        </w:rPr>
        <w:t>.3.8.</w:t>
      </w:r>
      <w:r>
        <w:rPr>
          <w:rFonts w:hint="eastAsia"/>
          <w:color w:val="auto"/>
        </w:rPr>
        <w:t>颜色不一</w:t>
      </w:r>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p>
    <w:p w14:paraId="3CDE378A">
      <w:pPr>
        <w:ind w:firstLine="480"/>
        <w:rPr>
          <w:rFonts w:hint="eastAsia" w:ascii="宋体" w:hAnsi="宋体" w:cs="宋体"/>
          <w:lang w:val="en-US" w:eastAsia="zh-CN"/>
        </w:rPr>
      </w:pPr>
      <w:r>
        <w:rPr>
          <w:rFonts w:hint="eastAsia" w:ascii="宋体" w:hAnsi="宋体" w:cs="宋体"/>
          <w:lang w:val="en-US" w:eastAsia="zh-CN"/>
        </w:rPr>
        <w:t>1、采用同一厂家生产同品种、同标号的水泥。</w:t>
      </w:r>
    </w:p>
    <w:p w14:paraId="24CAAA3F">
      <w:pPr>
        <w:ind w:firstLine="480"/>
        <w:rPr>
          <w:rFonts w:hint="eastAsia" w:ascii="宋体" w:hAnsi="宋体" w:cs="宋体"/>
          <w:lang w:val="en-US" w:eastAsia="zh-CN"/>
        </w:rPr>
      </w:pPr>
      <w:r>
        <w:rPr>
          <w:rFonts w:hint="eastAsia" w:ascii="宋体" w:hAnsi="宋体" w:cs="宋体"/>
          <w:lang w:val="en-US" w:eastAsia="zh-CN"/>
        </w:rPr>
        <w:t>2、同一结构部位尽量采用料场的同规格、同性质的沙子或碎石。</w:t>
      </w:r>
    </w:p>
    <w:p w14:paraId="535A0670">
      <w:pPr>
        <w:ind w:firstLine="480"/>
        <w:rPr>
          <w:rFonts w:hint="eastAsia" w:ascii="宋体" w:hAnsi="宋体" w:cs="宋体"/>
          <w:lang w:val="en-US" w:eastAsia="zh-CN"/>
        </w:rPr>
      </w:pPr>
      <w:r>
        <w:rPr>
          <w:rFonts w:hint="eastAsia" w:ascii="宋体" w:hAnsi="宋体" w:cs="宋体"/>
          <w:lang w:val="en-US" w:eastAsia="zh-CN"/>
        </w:rPr>
        <w:t>3、采用同一厂家、同一品种的脱模剂。</w:t>
      </w:r>
    </w:p>
    <w:p w14:paraId="12E7D653">
      <w:pPr>
        <w:pStyle w:val="4"/>
        <w:numPr>
          <w:ilvl w:val="1"/>
          <w:numId w:val="0"/>
        </w:numPr>
        <w:spacing w:line="360" w:lineRule="auto"/>
        <w:ind w:firstLine="0" w:firstLineChars="0"/>
        <w:rPr>
          <w:color w:val="auto"/>
        </w:rPr>
      </w:pPr>
      <w:bookmarkStart w:id="2091" w:name="_Toc13524"/>
      <w:bookmarkStart w:id="2092" w:name="_Toc18742"/>
      <w:bookmarkStart w:id="2093" w:name="_Toc327452244"/>
      <w:bookmarkStart w:id="2094" w:name="_Toc14631"/>
      <w:bookmarkStart w:id="2095" w:name="_Toc21571"/>
      <w:bookmarkStart w:id="2096" w:name="_Toc10970"/>
      <w:bookmarkStart w:id="2097" w:name="_Toc30842"/>
      <w:bookmarkStart w:id="2098" w:name="_Toc8255"/>
      <w:bookmarkStart w:id="2099" w:name="_Toc797"/>
      <w:bookmarkStart w:id="2100" w:name="_Toc330826675"/>
      <w:bookmarkStart w:id="2101" w:name="_Toc332126142"/>
      <w:bookmarkStart w:id="2102" w:name="_Toc4668"/>
      <w:bookmarkStart w:id="2103" w:name="_Toc327026365"/>
      <w:bookmarkStart w:id="2104" w:name="_Toc8101"/>
      <w:bookmarkStart w:id="2105" w:name="_Toc821"/>
      <w:bookmarkStart w:id="2106" w:name="_Toc671"/>
      <w:bookmarkStart w:id="2107" w:name="_Toc4837"/>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2</w:t>
      </w:r>
      <w:r>
        <w:rPr>
          <w:rFonts w:hint="default" w:ascii="Arial" w:hAnsi="Arial" w:eastAsia="宋体" w:cs="Times New Roman"/>
          <w:b/>
          <w:bCs/>
          <w:color w:val="auto"/>
          <w:kern w:val="2"/>
          <w:sz w:val="32"/>
          <w:szCs w:val="32"/>
          <w:lang w:val="en-US" w:eastAsia="zh-CN" w:bidi="ar-SA"/>
        </w:rPr>
        <w:t>.4.</w:t>
      </w:r>
      <w:r>
        <w:rPr>
          <w:rFonts w:hint="eastAsia"/>
          <w:color w:val="auto"/>
        </w:rPr>
        <w:t>钢筋工程质量通病</w:t>
      </w:r>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p>
    <w:p w14:paraId="2FC2CA20">
      <w:pPr>
        <w:ind w:firstLine="480"/>
        <w:rPr>
          <w:rFonts w:hint="eastAsia" w:ascii="宋体" w:hAnsi="宋体" w:cs="宋体"/>
          <w:lang w:val="en-US" w:eastAsia="zh-CN"/>
        </w:rPr>
      </w:pPr>
      <w:r>
        <w:rPr>
          <w:rFonts w:hint="eastAsia" w:ascii="宋体" w:hAnsi="宋体" w:cs="宋体"/>
          <w:lang w:val="en-US" w:eastAsia="zh-CN"/>
        </w:rPr>
        <w:t>1、钢筋严重锈蚀的治理和预防措施</w:t>
      </w:r>
    </w:p>
    <w:p w14:paraId="070A45BD">
      <w:pPr>
        <w:ind w:firstLine="480"/>
        <w:rPr>
          <w:rFonts w:hint="eastAsia" w:ascii="宋体" w:hAnsi="宋体" w:cs="宋体"/>
          <w:lang w:val="en-US" w:eastAsia="zh-CN"/>
        </w:rPr>
      </w:pPr>
      <w:r>
        <w:rPr>
          <w:rFonts w:hint="eastAsia" w:ascii="宋体" w:hAnsi="宋体" w:cs="宋体"/>
          <w:lang w:val="en-US" w:eastAsia="zh-CN"/>
        </w:rPr>
        <w:t>（1）对颗粒状或片状锈必须清除。</w:t>
      </w:r>
    </w:p>
    <w:p w14:paraId="2E62C8EC">
      <w:pPr>
        <w:ind w:firstLine="480"/>
        <w:rPr>
          <w:rFonts w:hint="eastAsia" w:ascii="宋体" w:hAnsi="宋体" w:cs="宋体"/>
          <w:lang w:val="en-US" w:eastAsia="zh-CN"/>
        </w:rPr>
      </w:pPr>
      <w:r>
        <w:rPr>
          <w:rFonts w:hint="eastAsia" w:ascii="宋体" w:hAnsi="宋体" w:cs="宋体"/>
          <w:lang w:val="en-US" w:eastAsia="zh-CN"/>
        </w:rPr>
        <w:t>（2）钢筋除锈后仍留有麻点者，严禁按原规格使用。</w:t>
      </w:r>
    </w:p>
    <w:p w14:paraId="333BEAB9">
      <w:pPr>
        <w:ind w:firstLine="480"/>
        <w:rPr>
          <w:rFonts w:hint="eastAsia" w:ascii="宋体" w:hAnsi="宋体" w:cs="宋体"/>
          <w:lang w:val="en-US" w:eastAsia="zh-CN"/>
        </w:rPr>
      </w:pPr>
      <w:r>
        <w:rPr>
          <w:rFonts w:hint="eastAsia" w:ascii="宋体" w:hAnsi="宋体" w:cs="宋体"/>
          <w:lang w:val="en-US" w:eastAsia="zh-CN"/>
        </w:rPr>
        <w:t>2、钢筋弯曲不直的治理和预防措施</w:t>
      </w:r>
    </w:p>
    <w:p w14:paraId="282D84D9">
      <w:pPr>
        <w:ind w:firstLine="480"/>
        <w:rPr>
          <w:rFonts w:hint="eastAsia" w:ascii="宋体" w:hAnsi="宋体" w:cs="宋体"/>
          <w:lang w:val="en-US" w:eastAsia="zh-CN"/>
        </w:rPr>
      </w:pPr>
      <w:r>
        <w:rPr>
          <w:rFonts w:hint="eastAsia" w:ascii="宋体" w:hAnsi="宋体" w:cs="宋体"/>
          <w:lang w:val="en-US" w:eastAsia="zh-CN"/>
        </w:rPr>
        <w:t>（1）采用调直机冷拉或人工方法调直。</w:t>
      </w:r>
    </w:p>
    <w:p w14:paraId="76572D20">
      <w:pPr>
        <w:ind w:firstLine="480"/>
        <w:rPr>
          <w:rFonts w:hint="eastAsia" w:ascii="宋体" w:hAnsi="宋体" w:cs="宋体"/>
          <w:lang w:val="en-US" w:eastAsia="zh-CN"/>
        </w:rPr>
      </w:pPr>
      <w:r>
        <w:rPr>
          <w:rFonts w:hint="eastAsia" w:ascii="宋体" w:hAnsi="宋体" w:cs="宋体"/>
          <w:lang w:val="en-US" w:eastAsia="zh-CN"/>
        </w:rPr>
        <w:t>（2）对严重曲折钢筋，曲折处圆弧半径较小的硬弯，调直后检查有无裂纹。</w:t>
      </w:r>
    </w:p>
    <w:p w14:paraId="1CD7590C">
      <w:pPr>
        <w:ind w:firstLine="480"/>
        <w:rPr>
          <w:rFonts w:hint="eastAsia" w:ascii="宋体" w:hAnsi="宋体" w:cs="宋体"/>
          <w:lang w:val="en-US" w:eastAsia="zh-CN"/>
        </w:rPr>
      </w:pPr>
      <w:r>
        <w:rPr>
          <w:rFonts w:hint="eastAsia" w:ascii="宋体" w:hAnsi="宋体" w:cs="宋体"/>
          <w:lang w:val="en-US" w:eastAsia="zh-CN"/>
        </w:rPr>
        <w:t>（3）对矫正后仍不直的钢筋，不准用作受力筋。</w:t>
      </w:r>
    </w:p>
    <w:p w14:paraId="56A823AE">
      <w:pPr>
        <w:ind w:firstLine="480"/>
        <w:rPr>
          <w:rFonts w:hint="eastAsia" w:ascii="宋体" w:hAnsi="宋体" w:cs="宋体"/>
          <w:lang w:val="en-US" w:eastAsia="zh-CN"/>
        </w:rPr>
      </w:pPr>
      <w:r>
        <w:rPr>
          <w:rFonts w:hint="eastAsia" w:ascii="宋体" w:hAnsi="宋体" w:cs="宋体"/>
          <w:lang w:val="en-US" w:eastAsia="zh-CN"/>
        </w:rPr>
        <w:t>3、咬边焊缝与钢筋交接处有缺口</w:t>
      </w:r>
    </w:p>
    <w:p w14:paraId="5DBA088D">
      <w:pPr>
        <w:ind w:firstLine="480"/>
        <w:rPr>
          <w:rFonts w:hint="eastAsia" w:ascii="宋体" w:hAnsi="宋体" w:cs="宋体"/>
          <w:lang w:val="en-US" w:eastAsia="zh-CN"/>
        </w:rPr>
      </w:pPr>
      <w:r>
        <w:rPr>
          <w:rFonts w:hint="eastAsia" w:ascii="宋体" w:hAnsi="宋体" w:cs="宋体"/>
          <w:lang w:val="en-US" w:eastAsia="zh-CN"/>
        </w:rPr>
        <w:t>预防措施：选用合适电流，防止电流过大。焊弧不可拉得过大。控制焊条角度和焊接方法。</w:t>
      </w:r>
    </w:p>
    <w:p w14:paraId="6D511418">
      <w:pPr>
        <w:ind w:firstLine="480"/>
        <w:rPr>
          <w:rFonts w:hint="eastAsia" w:ascii="宋体" w:hAnsi="宋体" w:cs="宋体"/>
          <w:lang w:val="en-US" w:eastAsia="zh-CN"/>
        </w:rPr>
      </w:pPr>
      <w:r>
        <w:rPr>
          <w:rFonts w:hint="eastAsia" w:ascii="宋体" w:hAnsi="宋体" w:cs="宋体"/>
          <w:lang w:val="en-US" w:eastAsia="zh-CN"/>
        </w:rPr>
        <w:t>4、混凝土强度及保护层控制</w:t>
      </w:r>
    </w:p>
    <w:p w14:paraId="6BA3FBDF">
      <w:pPr>
        <w:ind w:firstLine="480"/>
        <w:rPr>
          <w:rFonts w:hint="eastAsia" w:ascii="宋体" w:hAnsi="宋体" w:cs="宋体"/>
          <w:lang w:val="en-US" w:eastAsia="zh-CN"/>
        </w:rPr>
      </w:pPr>
      <w:r>
        <w:rPr>
          <w:rFonts w:hint="eastAsia" w:ascii="宋体" w:hAnsi="宋体" w:cs="宋体"/>
          <w:lang w:val="en-US" w:eastAsia="zh-CN"/>
        </w:rPr>
        <w:t>（1）要严格按照设计规范要求和图纸设计内容控制混凝土施工，及时对到期混凝土实体进行回弹验证强度。</w:t>
      </w:r>
    </w:p>
    <w:p w14:paraId="24E756F7">
      <w:pPr>
        <w:ind w:firstLine="480"/>
        <w:rPr>
          <w:rFonts w:hint="eastAsia" w:ascii="宋体" w:hAnsi="宋体" w:cs="宋体"/>
          <w:lang w:val="en-US" w:eastAsia="zh-CN"/>
        </w:rPr>
      </w:pPr>
      <w:r>
        <w:rPr>
          <w:rFonts w:hint="eastAsia" w:ascii="宋体" w:hAnsi="宋体" w:cs="宋体"/>
          <w:lang w:val="en-US" w:eastAsia="zh-CN"/>
        </w:rPr>
        <w:t>（2）采用钢筋保护测定仪测定桥梁墩柱、预制T梁等的钢筋，并加强现场控制，确保保护层在设计范围内。</w:t>
      </w:r>
    </w:p>
    <w:p w14:paraId="2E39FA5B">
      <w:pPr>
        <w:ind w:firstLine="480"/>
        <w:rPr>
          <w:rFonts w:hint="eastAsia" w:ascii="宋体" w:hAnsi="宋体" w:cs="宋体"/>
          <w:lang w:val="en-US" w:eastAsia="zh-CN"/>
        </w:rPr>
      </w:pPr>
      <w:r>
        <w:rPr>
          <w:rFonts w:hint="eastAsia" w:ascii="宋体" w:hAnsi="宋体" w:cs="宋体"/>
          <w:lang w:val="en-US" w:eastAsia="zh-CN"/>
        </w:rPr>
        <w:t>（3）对立模后的钢筋和模板进行检查，不合格严格进行返工，提高保护层的合格率，确保实体质量。</w:t>
      </w:r>
    </w:p>
    <w:p w14:paraId="2A4097E7">
      <w:pPr>
        <w:pStyle w:val="2"/>
        <w:numPr>
          <w:ilvl w:val="0"/>
          <w:numId w:val="0"/>
        </w:numPr>
        <w:spacing w:line="360" w:lineRule="auto"/>
        <w:ind w:left="432" w:leftChars="0" w:hanging="432" w:firstLineChars="0"/>
        <w:jc w:val="left"/>
        <w:rPr>
          <w:color w:val="auto"/>
        </w:rPr>
      </w:pPr>
      <w:bookmarkStart w:id="2108" w:name="_Toc10095"/>
      <w:bookmarkStart w:id="2109" w:name="_Toc9139"/>
      <w:bookmarkStart w:id="2110" w:name="_Toc23717"/>
      <w:bookmarkStart w:id="2111" w:name="_Toc392933550"/>
      <w:bookmarkStart w:id="2112" w:name="_Toc260036575"/>
      <w:bookmarkStart w:id="2113" w:name="_Toc4081"/>
      <w:bookmarkStart w:id="2114" w:name="_Toc392165649"/>
      <w:bookmarkStart w:id="2115" w:name="_Toc5542"/>
      <w:bookmarkStart w:id="2116" w:name="_Toc260037205"/>
      <w:bookmarkStart w:id="2117" w:name="_Toc4666"/>
      <w:bookmarkStart w:id="2118" w:name="_Toc26697"/>
      <w:bookmarkStart w:id="2119" w:name="_Toc9287"/>
      <w:bookmarkStart w:id="2120" w:name="_Toc28298"/>
      <w:bookmarkStart w:id="2121" w:name="_Toc19998"/>
      <w:bookmarkStart w:id="2122" w:name="_Toc15792"/>
      <w:bookmarkStart w:id="2123" w:name="_Toc25981"/>
      <w:bookmarkStart w:id="2124" w:name="_Toc29668"/>
      <w:bookmarkStart w:id="2125" w:name="_Toc736"/>
      <w:bookmarkStart w:id="2126" w:name="_Toc23302"/>
      <w:bookmarkStart w:id="2127" w:name="_Toc13193"/>
      <w:bookmarkStart w:id="2128" w:name="_Toc6792"/>
      <w:bookmarkStart w:id="2129" w:name="_Toc25840"/>
      <w:bookmarkStart w:id="2130" w:name="_Toc29384"/>
      <w:r>
        <w:rPr>
          <w:rFonts w:hint="eastAsia" w:cs="Times New Roman"/>
          <w:b/>
          <w:bCs/>
          <w:color w:val="auto"/>
          <w:kern w:val="36"/>
          <w:sz w:val="36"/>
          <w:szCs w:val="48"/>
          <w:lang w:val="en-US" w:eastAsia="zh-CN" w:bidi="ar-SA"/>
        </w:rPr>
        <w:t xml:space="preserve">第十三章  </w:t>
      </w:r>
      <w:r>
        <w:rPr>
          <w:rFonts w:hint="eastAsia"/>
          <w:color w:val="auto"/>
        </w:rPr>
        <w:t>安全生产组织体系及</w:t>
      </w:r>
      <w:bookmarkEnd w:id="2108"/>
      <w:bookmarkEnd w:id="2109"/>
      <w:bookmarkEnd w:id="2110"/>
      <w:bookmarkEnd w:id="2111"/>
      <w:bookmarkEnd w:id="2112"/>
      <w:bookmarkEnd w:id="2113"/>
      <w:bookmarkEnd w:id="2114"/>
      <w:bookmarkEnd w:id="2115"/>
      <w:bookmarkEnd w:id="2116"/>
      <w:bookmarkEnd w:id="2117"/>
      <w:bookmarkEnd w:id="2118"/>
      <w:r>
        <w:rPr>
          <w:rFonts w:hint="eastAsia"/>
          <w:color w:val="auto"/>
        </w:rPr>
        <w:t>保证体系</w:t>
      </w:r>
      <w:bookmarkEnd w:id="2119"/>
      <w:bookmarkEnd w:id="2120"/>
      <w:bookmarkEnd w:id="2121"/>
      <w:bookmarkEnd w:id="2122"/>
      <w:bookmarkEnd w:id="2123"/>
    </w:p>
    <w:p w14:paraId="3226F683">
      <w:pPr>
        <w:pStyle w:val="4"/>
        <w:numPr>
          <w:ilvl w:val="1"/>
          <w:numId w:val="0"/>
        </w:numPr>
        <w:spacing w:line="360" w:lineRule="auto"/>
        <w:ind w:firstLine="0" w:firstLineChars="0"/>
        <w:rPr>
          <w:color w:val="auto"/>
        </w:rPr>
      </w:pPr>
      <w:bookmarkStart w:id="2131" w:name="_Toc11836"/>
      <w:bookmarkStart w:id="2132" w:name="_Toc28033"/>
      <w:bookmarkStart w:id="2133" w:name="_Toc24794"/>
      <w:bookmarkStart w:id="2134" w:name="_Toc17351"/>
      <w:bookmarkStart w:id="2135" w:name="_Toc3262"/>
      <w:bookmarkStart w:id="2136" w:name="_Toc21144"/>
      <w:bookmarkStart w:id="2137" w:name="_Toc260036578"/>
      <w:bookmarkStart w:id="2138" w:name="_Toc20022"/>
      <w:bookmarkStart w:id="2139" w:name="_Toc392165652"/>
      <w:bookmarkStart w:id="2140" w:name="_Toc10639"/>
      <w:bookmarkStart w:id="2141" w:name="_Toc32086"/>
      <w:bookmarkStart w:id="2142" w:name="_Toc392933553"/>
      <w:bookmarkStart w:id="2143" w:name="_Toc14224"/>
      <w:bookmarkStart w:id="2144" w:name="_Toc260037208"/>
      <w:bookmarkStart w:id="2145" w:name="_Toc8936"/>
      <w:bookmarkStart w:id="2146" w:name="_Toc21286"/>
      <w:bookmarkStart w:id="2147" w:name="_Toc260036577"/>
      <w:bookmarkStart w:id="2148" w:name="_Toc260037207"/>
      <w:bookmarkStart w:id="2149" w:name="_Toc392933555"/>
      <w:bookmarkStart w:id="2150" w:name="_Toc18612"/>
      <w:bookmarkStart w:id="2151" w:name="_Toc260036580"/>
      <w:bookmarkStart w:id="2152" w:name="_Toc392165654"/>
      <w:bookmarkStart w:id="2153" w:name="_Toc16806"/>
      <w:bookmarkStart w:id="2154" w:name="_Toc30619"/>
      <w:bookmarkStart w:id="2155" w:name="_Toc3129"/>
      <w:bookmarkStart w:id="2156" w:name="_Toc392933558"/>
      <w:bookmarkStart w:id="2157" w:name="_Toc260037210"/>
      <w:bookmarkStart w:id="2158" w:name="_Toc392933552"/>
      <w:bookmarkStart w:id="2159" w:name="_Toc6042"/>
      <w:bookmarkStart w:id="2160" w:name="_Toc232929402"/>
      <w:bookmarkStart w:id="2161" w:name="_Toc392165651"/>
      <w:bookmarkStart w:id="2162" w:name="_Toc20714"/>
      <w:bookmarkStart w:id="2163" w:name="_Toc3157"/>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3</w:t>
      </w:r>
      <w:r>
        <w:rPr>
          <w:rFonts w:hint="default" w:ascii="Arial" w:hAnsi="Arial" w:eastAsia="宋体" w:cs="Times New Roman"/>
          <w:b/>
          <w:bCs/>
          <w:color w:val="auto"/>
          <w:kern w:val="2"/>
          <w:sz w:val="32"/>
          <w:szCs w:val="32"/>
          <w:lang w:val="en-US" w:eastAsia="zh-CN" w:bidi="ar-SA"/>
        </w:rPr>
        <w:t>.1.</w:t>
      </w:r>
      <w:r>
        <w:rPr>
          <w:rFonts w:hint="eastAsia"/>
          <w:color w:val="auto"/>
        </w:rPr>
        <w:t>安全生产组织机构</w:t>
      </w:r>
      <w:bookmarkEnd w:id="2131"/>
      <w:bookmarkEnd w:id="2132"/>
      <w:bookmarkEnd w:id="2133"/>
      <w:bookmarkEnd w:id="2134"/>
      <w:bookmarkEnd w:id="2135"/>
    </w:p>
    <w:p w14:paraId="1E518C82">
      <w:pPr>
        <w:ind w:firstLine="480"/>
        <w:rPr>
          <w:rFonts w:hint="eastAsia" w:ascii="宋体" w:hAnsi="宋体" w:cs="宋体"/>
          <w:lang w:val="en-US" w:eastAsia="zh-CN"/>
        </w:rPr>
      </w:pPr>
      <w:r>
        <w:rPr>
          <w:rFonts w:hint="eastAsia" w:ascii="宋体" w:hAnsi="宋体" w:cs="宋体"/>
          <w:lang w:val="en-US" w:eastAsia="zh-CN"/>
        </w:rPr>
        <w:t>完善本项目安全机构的建设，成立安全生产领导小组，明确安全管理职责，实行安全目标责任制管理，并落到实处。</w:t>
      </w:r>
    </w:p>
    <w:p w14:paraId="3D035765">
      <w:pPr>
        <w:ind w:firstLine="480"/>
        <w:rPr>
          <w:rFonts w:hint="eastAsia" w:ascii="宋体" w:hAnsi="宋体" w:cs="宋体"/>
          <w:lang w:val="en-US" w:eastAsia="zh-CN"/>
        </w:rPr>
      </w:pPr>
      <w:r>
        <w:rPr>
          <w:rFonts w:hint="eastAsia" w:ascii="宋体" w:hAnsi="宋体" w:cs="宋体"/>
          <w:lang w:val="en-US" w:eastAsia="zh-CN"/>
        </w:rPr>
        <w:t>项目部设立安全管理部门，并配备满足需要的专职安全管理人员，专职安全管理人员应选用懂技术、责任心强、身体健康，并经有关主管部门对其安全生产知识和管理能力考核合格后，取得“安全生产考核合格证书”的人员担任。专职安全管理人员配备</w:t>
      </w:r>
    </w:p>
    <w:p w14:paraId="5C36F2B4">
      <w:pPr>
        <w:ind w:firstLine="480"/>
        <w:rPr>
          <w:rFonts w:hint="eastAsia" w:ascii="宋体" w:hAnsi="宋体" w:cs="宋体"/>
          <w:lang w:val="en-US" w:eastAsia="zh-CN"/>
        </w:rPr>
      </w:pPr>
      <w:r>
        <w:rPr>
          <w:rFonts w:hint="eastAsia" w:ascii="宋体" w:hAnsi="宋体" w:cs="宋体"/>
          <w:lang w:val="en-US" w:eastAsia="zh-CN"/>
        </w:rPr>
        <w:t>项目部设安全工程师1人，专职安全员5人。项目部的安全组织机构应做到横向到边、纵向到底。纵向到底：即由项目经理部、施工工区、施工班组三级组成，实行分级管理，各负其责；横向到边：各岗位人员和各职能部门认真履行安全责任制，各负其责；纵横联锁，形成管理网络的安全保证体系。</w:t>
      </w:r>
    </w:p>
    <w:p w14:paraId="500AE2E4">
      <w:pPr>
        <w:ind w:firstLine="480"/>
        <w:rPr>
          <w:rFonts w:hint="eastAsia" w:ascii="宋体" w:hAnsi="宋体" w:cs="宋体"/>
          <w:lang w:val="en-US" w:eastAsia="zh-CN"/>
        </w:rPr>
      </w:pPr>
      <w:r>
        <w:rPr>
          <w:rFonts w:hint="eastAsia" w:ascii="宋体" w:hAnsi="宋体" w:cs="宋体"/>
          <w:lang w:val="en-US" w:eastAsia="zh-CN"/>
        </w:rPr>
        <w:t>（一）成立安全生产领导小组：</w:t>
      </w:r>
    </w:p>
    <w:p w14:paraId="4B0BAA4B">
      <w:pPr>
        <w:ind w:firstLine="480"/>
        <w:rPr>
          <w:rFonts w:hint="default" w:ascii="宋体" w:hAnsi="宋体" w:cs="宋体"/>
          <w:lang w:val="en-US" w:eastAsia="zh-CN"/>
        </w:rPr>
      </w:pPr>
      <w:r>
        <w:rPr>
          <w:rFonts w:hint="eastAsia" w:ascii="宋体" w:hAnsi="宋体" w:cs="宋体"/>
          <w:lang w:val="en-US" w:eastAsia="zh-CN"/>
        </w:rPr>
        <w:t>组  长：李令举</w:t>
      </w:r>
    </w:p>
    <w:p w14:paraId="71A98D9C">
      <w:pPr>
        <w:ind w:firstLine="480"/>
        <w:rPr>
          <w:rFonts w:hint="eastAsia" w:ascii="宋体" w:hAnsi="宋体" w:cs="宋体"/>
          <w:lang w:val="en-US" w:eastAsia="zh-CN"/>
        </w:rPr>
      </w:pPr>
      <w:r>
        <w:rPr>
          <w:rFonts w:hint="eastAsia" w:ascii="宋体" w:hAnsi="宋体" w:cs="宋体"/>
          <w:lang w:val="en-US" w:eastAsia="zh-CN"/>
        </w:rPr>
        <w:t>副组长：王 磊、陈  天、刘重阳</w:t>
      </w:r>
    </w:p>
    <w:p w14:paraId="07D84976">
      <w:pPr>
        <w:ind w:firstLine="480"/>
        <w:rPr>
          <w:rFonts w:hint="eastAsia" w:ascii="宋体" w:hAnsi="宋体" w:cs="宋体"/>
          <w:lang w:val="en-US" w:eastAsia="zh-CN"/>
        </w:rPr>
      </w:pPr>
      <w:r>
        <w:rPr>
          <w:rFonts w:hint="eastAsia" w:ascii="宋体" w:hAnsi="宋体" w:cs="宋体"/>
          <w:lang w:val="en-US" w:eastAsia="zh-CN"/>
        </w:rPr>
        <w:t>组  员：费露、王帅军、叶卫卫、沈志伟、乔迈、陈建、孙阿伟、阙胜永</w:t>
      </w:r>
    </w:p>
    <w:p w14:paraId="27A2A81F">
      <w:pPr>
        <w:ind w:firstLine="480"/>
        <w:rPr>
          <w:rFonts w:hint="default" w:ascii="宋体" w:hAnsi="宋体" w:cs="宋体"/>
          <w:lang w:val="en-US" w:eastAsia="zh-CN"/>
        </w:rPr>
      </w:pPr>
      <w:r>
        <w:rPr>
          <w:rFonts w:hint="eastAsia" w:ascii="宋体" w:hAnsi="宋体" w:cs="宋体"/>
          <w:lang w:val="en-US" w:eastAsia="zh-CN"/>
        </w:rPr>
        <w:t>项目经理部设立安全生产领导小组，由项目经理任组长，总工程师及项目副经理任副组长，安全工程师、专职安全员、各部门负责人、各现场负责人等为组员，全面负责本项目的安全生产管理工作，专职安全管理人员协助主管安全工作的领导做好日常安全生产及环境保护管理和检查工作。工区、施工队（作业班组）设兼职安全员，负责各项安全活动的开展以及有关记录的填写、保管工作，日常检查本班组安全生产情况，协助工区负责人做好本班组的安全生产工作。安全生产机构框图见后附。</w:t>
      </w:r>
    </w:p>
    <w:p w14:paraId="66C7C5FB">
      <w:pPr>
        <w:ind w:firstLine="480"/>
        <w:rPr>
          <w:rFonts w:hint="eastAsia"/>
        </w:rPr>
      </w:pPr>
    </w:p>
    <w:p w14:paraId="79E47013">
      <w:pPr>
        <w:ind w:left="0" w:leftChars="0" w:firstLine="0" w:firstLineChars="0"/>
      </w:pPr>
    </w:p>
    <w:p w14:paraId="5E5A7EE7">
      <w:pPr>
        <w:pStyle w:val="103"/>
        <w:rPr>
          <w:rFonts w:hint="eastAsia"/>
          <w:color w:val="auto"/>
          <w:highlight w:val="none"/>
        </w:rPr>
      </w:pPr>
      <w:r>
        <w:rPr>
          <w:highlight w:val="none"/>
        </w:rPr>
        <mc:AlternateContent>
          <mc:Choice Requires="wpg">
            <w:drawing>
              <wp:anchor distT="0" distB="0" distL="114300" distR="114300" simplePos="0" relativeHeight="251668480" behindDoc="0" locked="0" layoutInCell="1" allowOverlap="1">
                <wp:simplePos x="0" y="0"/>
                <wp:positionH relativeFrom="column">
                  <wp:posOffset>641985</wp:posOffset>
                </wp:positionH>
                <wp:positionV relativeFrom="paragraph">
                  <wp:posOffset>252095</wp:posOffset>
                </wp:positionV>
                <wp:extent cx="4560570" cy="5300345"/>
                <wp:effectExtent l="5080" t="5080" r="6350" b="13335"/>
                <wp:wrapTopAndBottom/>
                <wp:docPr id="857" name="组合 2005"/>
                <wp:cNvGraphicFramePr/>
                <a:graphic xmlns:a="http://schemas.openxmlformats.org/drawingml/2006/main">
                  <a:graphicData uri="http://schemas.microsoft.com/office/word/2010/wordprocessingGroup">
                    <wpg:wgp>
                      <wpg:cNvGrpSpPr/>
                      <wpg:grpSpPr>
                        <a:xfrm>
                          <a:off x="0" y="0"/>
                          <a:ext cx="4560570" cy="5300345"/>
                          <a:chOff x="3131" y="1519"/>
                          <a:chExt cx="5600" cy="8350"/>
                        </a:xfrm>
                      </wpg:grpSpPr>
                      <wps:wsp>
                        <wps:cNvPr id="823" name="矩形 1191"/>
                        <wps:cNvSpPr/>
                        <wps:spPr>
                          <a:xfrm>
                            <a:off x="4395" y="1519"/>
                            <a:ext cx="2992" cy="497"/>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5171372A">
                              <w:pPr>
                                <w:pStyle w:val="105"/>
                                <w:rPr>
                                  <w:rFonts w:hint="default" w:eastAsia="宋体"/>
                                  <w:lang w:val="en-US" w:eastAsia="zh-CN"/>
                                </w:rPr>
                              </w:pPr>
                              <w:r>
                                <w:rPr>
                                  <w:rFonts w:hint="eastAsia"/>
                                </w:rPr>
                                <w:t>项目经理：</w:t>
                              </w:r>
                              <w:r>
                                <w:rPr>
                                  <w:rFonts w:hint="eastAsia"/>
                                  <w:lang w:val="en-US" w:eastAsia="zh-CN"/>
                                </w:rPr>
                                <w:t>李令举</w:t>
                              </w:r>
                            </w:p>
                            <w:p w14:paraId="170D03C2">
                              <w:pPr>
                                <w:spacing w:line="240" w:lineRule="atLeast"/>
                                <w:ind w:firstLine="31680"/>
                              </w:pPr>
                            </w:p>
                          </w:txbxContent>
                        </wps:txbx>
                        <wps:bodyPr lIns="18000" tIns="46800" rIns="18000" bIns="10800" upright="1"/>
                      </wps:wsp>
                      <wps:wsp>
                        <wps:cNvPr id="824" name="矩形 1192"/>
                        <wps:cNvSpPr/>
                        <wps:spPr>
                          <a:xfrm>
                            <a:off x="3131" y="3487"/>
                            <a:ext cx="1496" cy="476"/>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6DDAD5B3">
                              <w:pPr>
                                <w:pStyle w:val="105"/>
                                <w:rPr>
                                  <w:szCs w:val="24"/>
                                </w:rPr>
                              </w:pPr>
                              <w:r>
                                <w:rPr>
                                  <w:rFonts w:hint="eastAsia"/>
                                  <w:szCs w:val="24"/>
                                </w:rPr>
                                <w:t>物资部</w:t>
                              </w:r>
                            </w:p>
                          </w:txbxContent>
                        </wps:txbx>
                        <wps:bodyPr lIns="0" tIns="45720" rIns="0" bIns="45720" upright="1"/>
                      </wps:wsp>
                      <wps:wsp>
                        <wps:cNvPr id="825" name="矩形 1193"/>
                        <wps:cNvSpPr/>
                        <wps:spPr>
                          <a:xfrm>
                            <a:off x="7236" y="3478"/>
                            <a:ext cx="1495" cy="476"/>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008A418E">
                              <w:pPr>
                                <w:spacing w:line="240" w:lineRule="auto"/>
                                <w:ind w:firstLine="0" w:firstLineChars="0"/>
                                <w:jc w:val="center"/>
                                <w:rPr>
                                  <w:rFonts w:ascii="宋体"/>
                                  <w:sz w:val="21"/>
                                </w:rPr>
                              </w:pPr>
                              <w:r>
                                <w:rPr>
                                  <w:rFonts w:hint="eastAsia" w:ascii="宋体" w:hAnsi="宋体"/>
                                  <w:sz w:val="21"/>
                                </w:rPr>
                                <w:t>工程部</w:t>
                              </w:r>
                            </w:p>
                          </w:txbxContent>
                        </wps:txbx>
                        <wps:bodyPr lIns="0" tIns="45720" rIns="0" bIns="45720" upright="1"/>
                      </wps:wsp>
                      <wps:wsp>
                        <wps:cNvPr id="826" name="直线 1194"/>
                        <wps:cNvCnPr/>
                        <wps:spPr>
                          <a:xfrm rot="5400000">
                            <a:off x="7028" y="3505"/>
                            <a:ext cx="0" cy="377"/>
                          </a:xfrm>
                          <a:prstGeom prst="line">
                            <a:avLst/>
                          </a:prstGeom>
                          <a:ln w="9525" cap="flat" cmpd="sng">
                            <a:solidFill>
                              <a:srgbClr val="000000"/>
                            </a:solidFill>
                            <a:prstDash val="solid"/>
                            <a:headEnd type="none" w="med" len="med"/>
                            <a:tailEnd type="none" w="sm" len="lg"/>
                          </a:ln>
                        </wps:spPr>
                        <wps:bodyPr upright="1"/>
                      </wps:wsp>
                      <wps:wsp>
                        <wps:cNvPr id="827" name="直线 1195"/>
                        <wps:cNvCnPr/>
                        <wps:spPr>
                          <a:xfrm rot="-5400000">
                            <a:off x="4835" y="3538"/>
                            <a:ext cx="0" cy="376"/>
                          </a:xfrm>
                          <a:prstGeom prst="line">
                            <a:avLst/>
                          </a:prstGeom>
                          <a:ln w="9525" cap="flat" cmpd="sng">
                            <a:solidFill>
                              <a:srgbClr val="000000"/>
                            </a:solidFill>
                            <a:prstDash val="solid"/>
                            <a:headEnd type="none" w="med" len="med"/>
                            <a:tailEnd type="none" w="sm" len="lg"/>
                          </a:ln>
                        </wps:spPr>
                        <wps:bodyPr upright="1"/>
                      </wps:wsp>
                      <wps:wsp>
                        <wps:cNvPr id="828" name="矩形 1196"/>
                        <wps:cNvSpPr/>
                        <wps:spPr>
                          <a:xfrm>
                            <a:off x="4443" y="2524"/>
                            <a:ext cx="2991" cy="541"/>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458060C3">
                              <w:pPr>
                                <w:pStyle w:val="105"/>
                                <w:rPr>
                                  <w:rFonts w:hint="default" w:eastAsia="宋体"/>
                                  <w:lang w:val="en-US" w:eastAsia="zh-CN"/>
                                </w:rPr>
                              </w:pPr>
                              <w:r>
                                <w:rPr>
                                  <w:rFonts w:hint="eastAsia"/>
                                </w:rPr>
                                <w:t>安全总监：</w:t>
                              </w:r>
                              <w:r>
                                <w:rPr>
                                  <w:rFonts w:hint="eastAsia"/>
                                  <w:lang w:val="en-US" w:eastAsia="zh-CN"/>
                                </w:rPr>
                                <w:t>费露</w:t>
                              </w:r>
                            </w:p>
                          </w:txbxContent>
                        </wps:txbx>
                        <wps:bodyPr lIns="18000" tIns="82800" rIns="18000" bIns="10800" upright="1"/>
                      </wps:wsp>
                      <wps:wsp>
                        <wps:cNvPr id="829" name="矩形 1197"/>
                        <wps:cNvSpPr/>
                        <wps:spPr>
                          <a:xfrm>
                            <a:off x="5026" y="3486"/>
                            <a:ext cx="1795" cy="476"/>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4498E443">
                              <w:pPr>
                                <w:pStyle w:val="105"/>
                              </w:pPr>
                              <w:r>
                                <w:rPr>
                                  <w:rFonts w:hint="eastAsia"/>
                                </w:rPr>
                                <w:t>安全环保部</w:t>
                              </w:r>
                            </w:p>
                          </w:txbxContent>
                        </wps:txbx>
                        <wps:bodyPr lIns="18000" tIns="45720" rIns="18000" bIns="45720" upright="1"/>
                      </wps:wsp>
                      <wps:wsp>
                        <wps:cNvPr id="830" name="矩形 1198"/>
                        <wps:cNvSpPr/>
                        <wps:spPr>
                          <a:xfrm>
                            <a:off x="4148" y="4544"/>
                            <a:ext cx="3725" cy="476"/>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55317C4">
                              <w:pPr>
                                <w:pStyle w:val="105"/>
                                <w:rPr>
                                  <w:rFonts w:ascii="宋体"/>
                                </w:rPr>
                              </w:pPr>
                              <w:r>
                                <w:rPr>
                                  <w:rFonts w:hint="eastAsia" w:ascii="宋体" w:hAnsi="宋体"/>
                                </w:rPr>
                                <w:t>专职安全</w:t>
                              </w:r>
                              <w:r>
                                <w:rPr>
                                  <w:rFonts w:hint="eastAsia"/>
                                </w:rPr>
                                <w:t>工程师</w:t>
                              </w:r>
                            </w:p>
                          </w:txbxContent>
                        </wps:txbx>
                        <wps:bodyPr upright="1"/>
                      </wps:wsp>
                      <wps:wsp>
                        <wps:cNvPr id="831" name="直线 1199"/>
                        <wps:cNvCnPr/>
                        <wps:spPr>
                          <a:xfrm>
                            <a:off x="5972" y="3074"/>
                            <a:ext cx="0" cy="433"/>
                          </a:xfrm>
                          <a:prstGeom prst="line">
                            <a:avLst/>
                          </a:prstGeom>
                          <a:ln w="9525" cap="flat" cmpd="sng">
                            <a:solidFill>
                              <a:srgbClr val="000000"/>
                            </a:solidFill>
                            <a:prstDash val="solid"/>
                            <a:headEnd type="none" w="med" len="med"/>
                            <a:tailEnd type="none" w="med" len="med"/>
                          </a:ln>
                        </wps:spPr>
                        <wps:bodyPr upright="1"/>
                      </wps:wsp>
                      <wps:wsp>
                        <wps:cNvPr id="832" name="直线 1200"/>
                        <wps:cNvCnPr/>
                        <wps:spPr>
                          <a:xfrm>
                            <a:off x="6032" y="5017"/>
                            <a:ext cx="0" cy="282"/>
                          </a:xfrm>
                          <a:prstGeom prst="line">
                            <a:avLst/>
                          </a:prstGeom>
                          <a:ln w="9525" cap="flat" cmpd="sng">
                            <a:solidFill>
                              <a:srgbClr val="000000"/>
                            </a:solidFill>
                            <a:prstDash val="solid"/>
                            <a:headEnd type="none" w="med" len="med"/>
                            <a:tailEnd type="none" w="med" len="med"/>
                          </a:ln>
                        </wps:spPr>
                        <wps:bodyPr upright="1"/>
                      </wps:wsp>
                      <wps:wsp>
                        <wps:cNvPr id="833" name="矩形 1201"/>
                        <wps:cNvSpPr/>
                        <wps:spPr>
                          <a:xfrm>
                            <a:off x="4518" y="5628"/>
                            <a:ext cx="616" cy="3092"/>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5CE10C33">
                              <w:pPr>
                                <w:pStyle w:val="105"/>
                                <w:ind w:firstLine="210" w:firstLineChars="100"/>
                                <w:jc w:val="both"/>
                              </w:pPr>
                              <w:r>
                                <w:rPr>
                                  <w:rFonts w:hint="eastAsia"/>
                                </w:rPr>
                                <w:t>路基专职安全员</w:t>
                              </w:r>
                            </w:p>
                            <w:p w14:paraId="7A410886">
                              <w:pPr>
                                <w:ind w:firstLine="31680"/>
                              </w:pPr>
                            </w:p>
                          </w:txbxContent>
                        </wps:txbx>
                        <wps:bodyPr vert="eaVert" upright="1"/>
                      </wps:wsp>
                      <wps:wsp>
                        <wps:cNvPr id="834" name="矩形 1202"/>
                        <wps:cNvSpPr/>
                        <wps:spPr>
                          <a:xfrm>
                            <a:off x="5462" y="5633"/>
                            <a:ext cx="616" cy="3092"/>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01EF19BF">
                              <w:pPr>
                                <w:pStyle w:val="105"/>
                                <w:ind w:firstLine="210" w:firstLineChars="100"/>
                                <w:jc w:val="both"/>
                              </w:pPr>
                              <w:r>
                                <w:rPr>
                                  <w:rFonts w:hint="eastAsia"/>
                                </w:rPr>
                                <w:t>路面专职安全员</w:t>
                              </w:r>
                            </w:p>
                            <w:p w14:paraId="52706E7D">
                              <w:pPr>
                                <w:ind w:firstLine="31680"/>
                              </w:pPr>
                            </w:p>
                          </w:txbxContent>
                        </wps:txbx>
                        <wps:bodyPr vert="eaVert" lIns="90000" tIns="72000" rIns="90000" bIns="0" upright="1"/>
                      </wps:wsp>
                      <wps:wsp>
                        <wps:cNvPr id="835" name="直线 1203"/>
                        <wps:cNvCnPr/>
                        <wps:spPr>
                          <a:xfrm>
                            <a:off x="5733" y="5278"/>
                            <a:ext cx="0" cy="365"/>
                          </a:xfrm>
                          <a:prstGeom prst="line">
                            <a:avLst/>
                          </a:prstGeom>
                          <a:ln w="9525" cap="flat" cmpd="sng">
                            <a:solidFill>
                              <a:srgbClr val="000000"/>
                            </a:solidFill>
                            <a:prstDash val="solid"/>
                            <a:headEnd type="none" w="med" len="med"/>
                            <a:tailEnd type="none" w="med" len="med"/>
                          </a:ln>
                        </wps:spPr>
                        <wps:bodyPr upright="1"/>
                      </wps:wsp>
                      <wps:wsp>
                        <wps:cNvPr id="836" name="直线 1204"/>
                        <wps:cNvCnPr/>
                        <wps:spPr>
                          <a:xfrm>
                            <a:off x="6694" y="5295"/>
                            <a:ext cx="0" cy="365"/>
                          </a:xfrm>
                          <a:prstGeom prst="line">
                            <a:avLst/>
                          </a:prstGeom>
                          <a:ln w="9525" cap="flat" cmpd="sng">
                            <a:solidFill>
                              <a:srgbClr val="000000"/>
                            </a:solidFill>
                            <a:prstDash val="solid"/>
                            <a:headEnd type="none" w="med" len="med"/>
                            <a:tailEnd type="none" w="med" len="med"/>
                          </a:ln>
                        </wps:spPr>
                        <wps:bodyPr upright="1"/>
                      </wps:wsp>
                      <wps:wsp>
                        <wps:cNvPr id="837" name="直线 1205"/>
                        <wps:cNvCnPr/>
                        <wps:spPr>
                          <a:xfrm>
                            <a:off x="4810" y="5276"/>
                            <a:ext cx="0" cy="365"/>
                          </a:xfrm>
                          <a:prstGeom prst="line">
                            <a:avLst/>
                          </a:prstGeom>
                          <a:ln w="9525" cap="flat" cmpd="sng">
                            <a:solidFill>
                              <a:srgbClr val="000000"/>
                            </a:solidFill>
                            <a:prstDash val="solid"/>
                            <a:headEnd type="none" w="med" len="med"/>
                            <a:tailEnd type="none" w="med" len="med"/>
                          </a:ln>
                        </wps:spPr>
                        <wps:bodyPr upright="1"/>
                      </wps:wsp>
                      <wps:wsp>
                        <wps:cNvPr id="838" name="直线 1206"/>
                        <wps:cNvCnPr/>
                        <wps:spPr>
                          <a:xfrm>
                            <a:off x="3867" y="5288"/>
                            <a:ext cx="0" cy="365"/>
                          </a:xfrm>
                          <a:prstGeom prst="line">
                            <a:avLst/>
                          </a:prstGeom>
                          <a:ln w="9525" cap="flat" cmpd="sng">
                            <a:solidFill>
                              <a:srgbClr val="000000"/>
                            </a:solidFill>
                            <a:prstDash val="solid"/>
                            <a:headEnd type="none" w="med" len="med"/>
                            <a:tailEnd type="none" w="med" len="med"/>
                          </a:ln>
                        </wps:spPr>
                        <wps:bodyPr upright="1"/>
                      </wps:wsp>
                      <wps:wsp>
                        <wps:cNvPr id="839" name="直线 1207"/>
                        <wps:cNvCnPr/>
                        <wps:spPr>
                          <a:xfrm>
                            <a:off x="4819" y="8746"/>
                            <a:ext cx="0" cy="365"/>
                          </a:xfrm>
                          <a:prstGeom prst="line">
                            <a:avLst/>
                          </a:prstGeom>
                          <a:ln w="9525" cap="flat" cmpd="sng">
                            <a:solidFill>
                              <a:srgbClr val="000000"/>
                            </a:solidFill>
                            <a:prstDash val="solid"/>
                            <a:headEnd type="none" w="med" len="med"/>
                            <a:tailEnd type="none" w="med" len="med"/>
                          </a:ln>
                        </wps:spPr>
                        <wps:bodyPr upright="1"/>
                      </wps:wsp>
                      <wps:wsp>
                        <wps:cNvPr id="840" name="直线 1208"/>
                        <wps:cNvCnPr/>
                        <wps:spPr>
                          <a:xfrm>
                            <a:off x="6676" y="8749"/>
                            <a:ext cx="0" cy="365"/>
                          </a:xfrm>
                          <a:prstGeom prst="line">
                            <a:avLst/>
                          </a:prstGeom>
                          <a:ln w="9525" cap="flat" cmpd="sng">
                            <a:solidFill>
                              <a:srgbClr val="000000"/>
                            </a:solidFill>
                            <a:prstDash val="solid"/>
                            <a:headEnd type="none" w="med" len="med"/>
                            <a:tailEnd type="none" w="med" len="med"/>
                          </a:ln>
                        </wps:spPr>
                        <wps:bodyPr upright="1"/>
                      </wps:wsp>
                      <wps:wsp>
                        <wps:cNvPr id="841" name="直线 1209"/>
                        <wps:cNvCnPr/>
                        <wps:spPr>
                          <a:xfrm>
                            <a:off x="5777" y="8746"/>
                            <a:ext cx="0" cy="365"/>
                          </a:xfrm>
                          <a:prstGeom prst="line">
                            <a:avLst/>
                          </a:prstGeom>
                          <a:ln w="9525" cap="flat" cmpd="sng">
                            <a:solidFill>
                              <a:srgbClr val="000000"/>
                            </a:solidFill>
                            <a:prstDash val="solid"/>
                            <a:headEnd type="none" w="med" len="med"/>
                            <a:tailEnd type="none" w="med" len="med"/>
                          </a:ln>
                        </wps:spPr>
                        <wps:bodyPr upright="1"/>
                      </wps:wsp>
                      <wps:wsp>
                        <wps:cNvPr id="842" name="直线 1210"/>
                        <wps:cNvCnPr/>
                        <wps:spPr>
                          <a:xfrm>
                            <a:off x="3876" y="8761"/>
                            <a:ext cx="0" cy="365"/>
                          </a:xfrm>
                          <a:prstGeom prst="line">
                            <a:avLst/>
                          </a:prstGeom>
                          <a:ln w="9525" cap="flat" cmpd="sng">
                            <a:solidFill>
                              <a:srgbClr val="000000"/>
                            </a:solidFill>
                            <a:prstDash val="solid"/>
                            <a:headEnd type="none" w="med" len="med"/>
                            <a:tailEnd type="none" w="med" len="med"/>
                          </a:ln>
                        </wps:spPr>
                        <wps:bodyPr upright="1"/>
                      </wps:wsp>
                      <wps:wsp>
                        <wps:cNvPr id="843" name="矩形 1211"/>
                        <wps:cNvSpPr/>
                        <wps:spPr>
                          <a:xfrm>
                            <a:off x="3574" y="5636"/>
                            <a:ext cx="616" cy="3091"/>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52BD6E95">
                              <w:pPr>
                                <w:pStyle w:val="105"/>
                                <w:ind w:firstLine="210" w:firstLineChars="100"/>
                                <w:jc w:val="both"/>
                              </w:pPr>
                              <w:r>
                                <w:rPr>
                                  <w:rFonts w:hint="eastAsia"/>
                                </w:rPr>
                                <w:t>桥梁专职安全员</w:t>
                              </w:r>
                            </w:p>
                          </w:txbxContent>
                        </wps:txbx>
                        <wps:bodyPr vert="eaVert" upright="1"/>
                      </wps:wsp>
                      <wps:wsp>
                        <wps:cNvPr id="844" name="矩形 1212"/>
                        <wps:cNvSpPr/>
                        <wps:spPr>
                          <a:xfrm>
                            <a:off x="4635" y="9388"/>
                            <a:ext cx="2813" cy="481"/>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644F9C81">
                              <w:pPr>
                                <w:pStyle w:val="105"/>
                                <w:jc w:val="center"/>
                              </w:pPr>
                              <w:r>
                                <w:rPr>
                                  <w:rFonts w:hint="eastAsia"/>
                                </w:rPr>
                                <w:t>各施工班组兼职安全员</w:t>
                              </w:r>
                            </w:p>
                          </w:txbxContent>
                        </wps:txbx>
                        <wps:bodyPr upright="1"/>
                      </wps:wsp>
                      <wps:wsp>
                        <wps:cNvPr id="845" name="矩形 1213"/>
                        <wps:cNvSpPr/>
                        <wps:spPr>
                          <a:xfrm>
                            <a:off x="6376" y="5644"/>
                            <a:ext cx="616" cy="3092"/>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0F354C39">
                              <w:pPr>
                                <w:pStyle w:val="105"/>
                                <w:ind w:firstLine="210" w:firstLineChars="100"/>
                                <w:jc w:val="both"/>
                              </w:pPr>
                              <w:r>
                                <w:rPr>
                                  <w:rFonts w:hint="eastAsia"/>
                                </w:rPr>
                                <w:t>管线专职安全员</w:t>
                              </w:r>
                            </w:p>
                          </w:txbxContent>
                        </wps:txbx>
                        <wps:bodyPr vert="eaVert" lIns="90000" tIns="36000" rIns="90000" bIns="36000" upright="1"/>
                      </wps:wsp>
                      <wps:wsp>
                        <wps:cNvPr id="846" name="直线 1214"/>
                        <wps:cNvCnPr/>
                        <wps:spPr>
                          <a:xfrm>
                            <a:off x="6071" y="9089"/>
                            <a:ext cx="0" cy="285"/>
                          </a:xfrm>
                          <a:prstGeom prst="line">
                            <a:avLst/>
                          </a:prstGeom>
                          <a:ln w="9525" cap="flat" cmpd="sng">
                            <a:solidFill>
                              <a:srgbClr val="000000"/>
                            </a:solidFill>
                            <a:prstDash val="solid"/>
                            <a:headEnd type="none" w="med" len="med"/>
                            <a:tailEnd type="none" w="med" len="med"/>
                          </a:ln>
                        </wps:spPr>
                        <wps:bodyPr upright="1"/>
                      </wps:wsp>
                      <wps:wsp>
                        <wps:cNvPr id="847" name="直线 1215"/>
                        <wps:cNvCnPr/>
                        <wps:spPr>
                          <a:xfrm flipV="1">
                            <a:off x="6006" y="3983"/>
                            <a:ext cx="0" cy="568"/>
                          </a:xfrm>
                          <a:prstGeom prst="line">
                            <a:avLst/>
                          </a:prstGeom>
                          <a:ln w="9525" cap="flat" cmpd="sng">
                            <a:solidFill>
                              <a:srgbClr val="000000"/>
                            </a:solidFill>
                            <a:prstDash val="solid"/>
                            <a:headEnd type="none" w="med" len="med"/>
                            <a:tailEnd type="none" w="med" len="med"/>
                          </a:ln>
                        </wps:spPr>
                        <wps:bodyPr upright="1"/>
                      </wps:wsp>
                      <wps:wsp>
                        <wps:cNvPr id="848" name="直线 1216"/>
                        <wps:cNvCnPr/>
                        <wps:spPr>
                          <a:xfrm>
                            <a:off x="5970" y="2003"/>
                            <a:ext cx="0" cy="568"/>
                          </a:xfrm>
                          <a:prstGeom prst="line">
                            <a:avLst/>
                          </a:prstGeom>
                          <a:ln w="9525" cap="flat" cmpd="sng">
                            <a:solidFill>
                              <a:srgbClr val="000000"/>
                            </a:solidFill>
                            <a:prstDash val="solid"/>
                            <a:headEnd type="none" w="med" len="med"/>
                            <a:tailEnd type="none" w="med" len="med"/>
                          </a:ln>
                        </wps:spPr>
                        <wps:bodyPr upright="1"/>
                      </wps:wsp>
                      <wps:wsp>
                        <wps:cNvPr id="849" name="矩形 1217"/>
                        <wps:cNvSpPr/>
                        <wps:spPr>
                          <a:xfrm>
                            <a:off x="7950" y="5620"/>
                            <a:ext cx="616" cy="3091"/>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13B983D6">
                              <w:pPr>
                                <w:pStyle w:val="105"/>
                                <w:ind w:firstLine="210" w:firstLineChars="100"/>
                                <w:jc w:val="both"/>
                              </w:pPr>
                              <w:r>
                                <w:rPr>
                                  <w:rFonts w:hint="eastAsia"/>
                                </w:rPr>
                                <w:t>安全设施维护道改指挥</w:t>
                              </w:r>
                            </w:p>
                            <w:p w14:paraId="5CE22169">
                              <w:pPr>
                                <w:pStyle w:val="105"/>
                                <w:ind w:firstLine="480"/>
                              </w:pPr>
                            </w:p>
                          </w:txbxContent>
                        </wps:txbx>
                        <wps:bodyPr vert="eaVert" upright="1"/>
                      </wps:wsp>
                      <wps:wsp>
                        <wps:cNvPr id="850" name="直线 1218"/>
                        <wps:cNvCnPr/>
                        <wps:spPr>
                          <a:xfrm>
                            <a:off x="8235" y="5272"/>
                            <a:ext cx="0" cy="365"/>
                          </a:xfrm>
                          <a:prstGeom prst="line">
                            <a:avLst/>
                          </a:prstGeom>
                          <a:ln w="9525" cap="flat" cmpd="sng">
                            <a:solidFill>
                              <a:srgbClr val="000000"/>
                            </a:solidFill>
                            <a:prstDash val="solid"/>
                            <a:headEnd type="none" w="med" len="med"/>
                            <a:tailEnd type="none" w="med" len="med"/>
                          </a:ln>
                        </wps:spPr>
                        <wps:bodyPr upright="1"/>
                      </wps:wsp>
                      <wps:wsp>
                        <wps:cNvPr id="851" name="直线 1219"/>
                        <wps:cNvCnPr/>
                        <wps:spPr>
                          <a:xfrm>
                            <a:off x="8265" y="8745"/>
                            <a:ext cx="0" cy="365"/>
                          </a:xfrm>
                          <a:prstGeom prst="line">
                            <a:avLst/>
                          </a:prstGeom>
                          <a:ln w="9525" cap="flat" cmpd="sng">
                            <a:solidFill>
                              <a:srgbClr val="000000"/>
                            </a:solidFill>
                            <a:prstDash val="solid"/>
                            <a:headEnd type="none" w="med" len="med"/>
                            <a:tailEnd type="none" w="med" len="med"/>
                          </a:ln>
                        </wps:spPr>
                        <wps:bodyPr upright="1"/>
                      </wps:wsp>
                      <wps:wsp>
                        <wps:cNvPr id="852" name="直线 1220"/>
                        <wps:cNvCnPr/>
                        <wps:spPr>
                          <a:xfrm>
                            <a:off x="3870" y="9097"/>
                            <a:ext cx="4410" cy="0"/>
                          </a:xfrm>
                          <a:prstGeom prst="line">
                            <a:avLst/>
                          </a:prstGeom>
                          <a:ln w="9525" cap="flat" cmpd="sng">
                            <a:solidFill>
                              <a:srgbClr val="000000"/>
                            </a:solidFill>
                            <a:prstDash val="solid"/>
                            <a:headEnd type="none" w="med" len="med"/>
                            <a:tailEnd type="none" w="med" len="med"/>
                          </a:ln>
                        </wps:spPr>
                        <wps:bodyPr upright="1"/>
                      </wps:wsp>
                      <wps:wsp>
                        <wps:cNvPr id="853" name="直线 1221"/>
                        <wps:cNvCnPr/>
                        <wps:spPr>
                          <a:xfrm>
                            <a:off x="3840" y="5263"/>
                            <a:ext cx="4410" cy="0"/>
                          </a:xfrm>
                          <a:prstGeom prst="line">
                            <a:avLst/>
                          </a:prstGeom>
                          <a:ln w="9525" cap="flat" cmpd="sng">
                            <a:solidFill>
                              <a:srgbClr val="000000"/>
                            </a:solidFill>
                            <a:prstDash val="solid"/>
                            <a:headEnd type="none" w="med" len="med"/>
                            <a:tailEnd type="none" w="med" len="med"/>
                          </a:ln>
                        </wps:spPr>
                        <wps:bodyPr upright="1"/>
                      </wps:wsp>
                      <wps:wsp>
                        <wps:cNvPr id="854" name="矩形 2002"/>
                        <wps:cNvSpPr/>
                        <wps:spPr>
                          <a:xfrm>
                            <a:off x="7191" y="5620"/>
                            <a:ext cx="616" cy="3091"/>
                          </a:xfrm>
                          <a:prstGeom prst="rect">
                            <a:avLst/>
                          </a:prstGeom>
                          <a:solidFill>
                            <a:srgbClr val="C6D9F1"/>
                          </a:solidFill>
                          <a:ln w="9525" cap="flat" cmpd="sng">
                            <a:solidFill>
                              <a:srgbClr val="000000"/>
                            </a:solidFill>
                            <a:prstDash val="solid"/>
                            <a:miter/>
                            <a:headEnd type="none" w="med" len="med"/>
                            <a:tailEnd type="none" w="med" len="med"/>
                          </a:ln>
                        </wps:spPr>
                        <wps:txbx>
                          <w:txbxContent>
                            <w:p w14:paraId="773B63BF">
                              <w:pPr>
                                <w:pStyle w:val="105"/>
                                <w:ind w:firstLine="210" w:firstLineChars="100"/>
                                <w:jc w:val="both"/>
                              </w:pPr>
                              <w:r>
                                <w:rPr>
                                  <w:rFonts w:hint="eastAsia"/>
                                </w:rPr>
                                <w:t>机电工程师</w:t>
                              </w:r>
                            </w:p>
                          </w:txbxContent>
                        </wps:txbx>
                        <wps:bodyPr vert="eaVert" upright="1"/>
                      </wps:wsp>
                      <wps:wsp>
                        <wps:cNvPr id="855" name="直线 2003"/>
                        <wps:cNvCnPr/>
                        <wps:spPr>
                          <a:xfrm>
                            <a:off x="7476" y="5272"/>
                            <a:ext cx="0" cy="365"/>
                          </a:xfrm>
                          <a:prstGeom prst="line">
                            <a:avLst/>
                          </a:prstGeom>
                          <a:ln w="9525" cap="flat" cmpd="sng">
                            <a:solidFill>
                              <a:srgbClr val="000000"/>
                            </a:solidFill>
                            <a:prstDash val="solid"/>
                            <a:headEnd type="none" w="med" len="med"/>
                            <a:tailEnd type="none" w="med" len="med"/>
                          </a:ln>
                        </wps:spPr>
                        <wps:bodyPr upright="1"/>
                      </wps:wsp>
                      <wps:wsp>
                        <wps:cNvPr id="856" name="直线 2004"/>
                        <wps:cNvCnPr/>
                        <wps:spPr>
                          <a:xfrm>
                            <a:off x="7506" y="8745"/>
                            <a:ext cx="0" cy="365"/>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组合 2005" o:spid="_x0000_s1026" o:spt="203" style="position:absolute;left:0pt;margin-left:50.55pt;margin-top:19.85pt;height:417.35pt;width:359.1pt;mso-wrap-distance-bottom:0pt;mso-wrap-distance-top:0pt;z-index:251668480;mso-width-relative:page;mso-height-relative:page;" coordorigin="3131,1519" coordsize="5600,8350" o:gfxdata="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">
                <o:lock v:ext="edit" aspectratio="f"/>
                <v:rect id="矩形 1191" o:spid="_x0000_s1026" o:spt="1" style="position:absolute;left:4395;top:1519;height:497;width:2992;" fillcolor="#C6D9F1" filled="t" stroked="t" coordsize="21600,21600" o:gfxdata="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n8c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5mm,1.3mm,0.5mm,0.3mm">
                    <w:txbxContent>
                      <w:p w14:paraId="5171372A">
                        <w:pPr>
                          <w:pStyle w:val="105"/>
                          <w:rPr>
                            <w:rFonts w:hint="default" w:eastAsia="宋体"/>
                            <w:lang w:val="en-US" w:eastAsia="zh-CN"/>
                          </w:rPr>
                        </w:pPr>
                        <w:r>
                          <w:rPr>
                            <w:rFonts w:hint="eastAsia"/>
                          </w:rPr>
                          <w:t>项目经理：</w:t>
                        </w:r>
                        <w:r>
                          <w:rPr>
                            <w:rFonts w:hint="eastAsia"/>
                            <w:lang w:val="en-US" w:eastAsia="zh-CN"/>
                          </w:rPr>
                          <w:t>李令举</w:t>
                        </w:r>
                      </w:p>
                      <w:p w14:paraId="170D03C2">
                        <w:pPr>
                          <w:spacing w:line="240" w:lineRule="atLeast"/>
                          <w:ind w:firstLine="31680"/>
                        </w:pPr>
                      </w:p>
                    </w:txbxContent>
                  </v:textbox>
                </v:rect>
                <v:rect id="矩形 1192" o:spid="_x0000_s1026" o:spt="1" style="position:absolute;left:3131;top:3487;height:476;width:1496;" fillcolor="#C6D9F1" filled="t" stroked="t" coordsize="21600,21600" o:gfxdata="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KDJc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1.27mm,0mm,1.27mm">
                    <w:txbxContent>
                      <w:p w14:paraId="6DDAD5B3">
                        <w:pPr>
                          <w:pStyle w:val="105"/>
                          <w:rPr>
                            <w:szCs w:val="24"/>
                          </w:rPr>
                        </w:pPr>
                        <w:r>
                          <w:rPr>
                            <w:rFonts w:hint="eastAsia"/>
                            <w:szCs w:val="24"/>
                          </w:rPr>
                          <w:t>物资部</w:t>
                        </w:r>
                      </w:p>
                    </w:txbxContent>
                  </v:textbox>
                </v:rect>
                <v:rect id="矩形 1193" o:spid="_x0000_s1026" o:spt="1" style="position:absolute;left:7236;top:3478;height:476;width:1495;" fillcolor="#C6D9F1" filled="t" stroked="t" coordsize="21600,21600" o:gfxdata="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PgF+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1.27mm,0mm,1.27mm">
                    <w:txbxContent>
                      <w:p w14:paraId="008A418E">
                        <w:pPr>
                          <w:spacing w:line="240" w:lineRule="auto"/>
                          <w:ind w:firstLine="0" w:firstLineChars="0"/>
                          <w:jc w:val="center"/>
                          <w:rPr>
                            <w:rFonts w:ascii="宋体"/>
                            <w:sz w:val="21"/>
                          </w:rPr>
                        </w:pPr>
                        <w:r>
                          <w:rPr>
                            <w:rFonts w:hint="eastAsia" w:ascii="宋体" w:hAnsi="宋体"/>
                            <w:sz w:val="21"/>
                          </w:rPr>
                          <w:t>工程部</w:t>
                        </w:r>
                      </w:p>
                    </w:txbxContent>
                  </v:textbox>
                </v:rect>
                <v:line id="直线 1194" o:spid="_x0000_s1026" o:spt="20" style="position:absolute;left:7028;top:3505;height:377;width:0;rotation:5898240f;" filled="f" stroked="t" coordsize="21600,21600" o:gfxdata="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qOcavQAA&#10;ANwAAAAPAAAAAAAAAAEAIAAAACIAAABkcnMvZG93bnJldi54bWxQSwECFAAUAAAACACHTuJAMy8F&#10;njsAAAA5AAAAEAAAAAAAAAABACAAAAAMAQAAZHJzL3NoYXBleG1sLnhtbFBLBQYAAAAABgAGAFsB&#10;AAC2AwAAAAA=&#10;">
                  <v:fill on="f" focussize="0,0"/>
                  <v:stroke color="#000000" joinstyle="round" endarrowwidth="narrow" endarrowlength="long"/>
                  <v:imagedata o:title=""/>
                  <o:lock v:ext="edit" aspectratio="f"/>
                </v:line>
                <v:line id="直线 1195" o:spid="_x0000_s1026" o:spt="20" style="position:absolute;left:4835;top:3538;height:376;width:0;rotation:-5898240f;" filled="f" stroked="t" coordsize="21600,21600" o:gfxdata="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EfwI&#10;wAAAANwAAAAPAAAAAAAAAAEAIAAAACIAAABkcnMvZG93bnJldi54bWxQSwECFAAUAAAACACHTuJA&#10;My8FnjsAAAA5AAAAEAAAAAAAAAABACAAAAAPAQAAZHJzL3NoYXBleG1sLnhtbFBLBQYAAAAABgAG&#10;AFsBAAC5AwAAAAA=&#10;">
                  <v:fill on="f" focussize="0,0"/>
                  <v:stroke color="#000000" joinstyle="round" endarrowwidth="narrow" endarrowlength="long"/>
                  <v:imagedata o:title=""/>
                  <o:lock v:ext="edit" aspectratio="f"/>
                </v:line>
                <v:rect id="矩形 1196" o:spid="_x0000_s1026" o:spt="1" style="position:absolute;left:4443;top:2524;height:541;width:2991;" fillcolor="#C6D9F1" filled="t" stroked="t" coordsize="21600,21600" o:gfxdata="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RV0A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5mm,2.3mm,0.5mm,0.3mm">
                    <w:txbxContent>
                      <w:p w14:paraId="458060C3">
                        <w:pPr>
                          <w:pStyle w:val="105"/>
                          <w:rPr>
                            <w:rFonts w:hint="default" w:eastAsia="宋体"/>
                            <w:lang w:val="en-US" w:eastAsia="zh-CN"/>
                          </w:rPr>
                        </w:pPr>
                        <w:r>
                          <w:rPr>
                            <w:rFonts w:hint="eastAsia"/>
                          </w:rPr>
                          <w:t>安全总监：</w:t>
                        </w:r>
                        <w:r>
                          <w:rPr>
                            <w:rFonts w:hint="eastAsia"/>
                            <w:lang w:val="en-US" w:eastAsia="zh-CN"/>
                          </w:rPr>
                          <w:t>费露</w:t>
                        </w:r>
                      </w:p>
                    </w:txbxContent>
                  </v:textbox>
                </v:rect>
                <v:rect id="矩形 1197" o:spid="_x0000_s1026" o:spt="1" style="position:absolute;left:5026;top:3486;height:476;width:1795;" fillcolor="#C6D9F1" filled="t" stroked="t" coordsize="21600,21600" o:gfxdata="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CImBW5AAAA3A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inset="0.5mm,1.27mm,0.5mm,1.27mm">
                    <w:txbxContent>
                      <w:p w14:paraId="4498E443">
                        <w:pPr>
                          <w:pStyle w:val="105"/>
                        </w:pPr>
                        <w:r>
                          <w:rPr>
                            <w:rFonts w:hint="eastAsia"/>
                          </w:rPr>
                          <w:t>安全环保部</w:t>
                        </w:r>
                      </w:p>
                    </w:txbxContent>
                  </v:textbox>
                </v:rect>
                <v:rect id="矩形 1198" o:spid="_x0000_s1026" o:spt="1" style="position:absolute;left:4148;top:4544;height:476;width:3725;" fillcolor="#C6D9F1" filled="t" stroked="t" coordsize="21600,21600" o:gfxdata="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rWQcb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155317C4">
                        <w:pPr>
                          <w:pStyle w:val="105"/>
                          <w:rPr>
                            <w:rFonts w:ascii="宋体"/>
                          </w:rPr>
                        </w:pPr>
                        <w:r>
                          <w:rPr>
                            <w:rFonts w:hint="eastAsia" w:ascii="宋体" w:hAnsi="宋体"/>
                          </w:rPr>
                          <w:t>专职安全</w:t>
                        </w:r>
                        <w:r>
                          <w:rPr>
                            <w:rFonts w:hint="eastAsia"/>
                          </w:rPr>
                          <w:t>工程师</w:t>
                        </w:r>
                      </w:p>
                    </w:txbxContent>
                  </v:textbox>
                </v:rect>
                <v:line id="直线 1199" o:spid="_x0000_s1026" o:spt="20" style="position:absolute;left:5972;top:3074;height:433;width:0;" filled="f" stroked="t" coordsize="21600,21600" o:gfxdata="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ioK+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1200" o:spid="_x0000_s1026" o:spt="20" style="position:absolute;left:6032;top:5017;height:282;width:0;" filled="f" stroked="t" coordsize="21600,21600" o:gfxdata="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fA+2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矩形 1201" o:spid="_x0000_s1026" o:spt="1" style="position:absolute;left:4518;top:5628;height:3092;width:616;" fillcolor="#C6D9F1" filled="t" stroked="t" coordsize="21600,21600" o:gfxdata="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fea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style="layout-flow:vertical-ideographic;">
                    <w:txbxContent>
                      <w:p w14:paraId="5CE10C33">
                        <w:pPr>
                          <w:pStyle w:val="105"/>
                          <w:ind w:firstLine="210" w:firstLineChars="100"/>
                          <w:jc w:val="both"/>
                        </w:pPr>
                        <w:r>
                          <w:rPr>
                            <w:rFonts w:hint="eastAsia"/>
                          </w:rPr>
                          <w:t>路基专职安全员</w:t>
                        </w:r>
                      </w:p>
                      <w:p w14:paraId="7A410886">
                        <w:pPr>
                          <w:ind w:firstLine="31680"/>
                        </w:pPr>
                      </w:p>
                    </w:txbxContent>
                  </v:textbox>
                </v:rect>
                <v:rect id="矩形 1202" o:spid="_x0000_s1026" o:spt="1" style="position:absolute;left:5462;top:5633;height:3092;width:616;" fillcolor="#C6D9F1" filled="t" stroked="t" coordsize="21600,21600" o:gfxdata="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iPQk&#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2.5mm,2mm,2.5mm,0mm" style="layout-flow:vertical-ideographic;">
                    <w:txbxContent>
                      <w:p w14:paraId="01EF19BF">
                        <w:pPr>
                          <w:pStyle w:val="105"/>
                          <w:ind w:firstLine="210" w:firstLineChars="100"/>
                          <w:jc w:val="both"/>
                        </w:pPr>
                        <w:r>
                          <w:rPr>
                            <w:rFonts w:hint="eastAsia"/>
                          </w:rPr>
                          <w:t>路面专职安全员</w:t>
                        </w:r>
                      </w:p>
                      <w:p w14:paraId="52706E7D">
                        <w:pPr>
                          <w:ind w:firstLine="31680"/>
                        </w:pPr>
                      </w:p>
                    </w:txbxContent>
                  </v:textbox>
                </v:rect>
                <v:line id="直线 1203" o:spid="_x0000_s1026" o:spt="20" style="position:absolute;left:5733;top:5278;height:365;width:0;" filled="f" stroked="t" coordsize="21600,21600" o:gfxdata="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Gaas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204" o:spid="_x0000_s1026" o:spt="20" style="position:absolute;left:6694;top:5295;height:365;width:0;" filled="f" stroked="t" coordsize="21600,21600" o:gfxdata="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ss42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205" o:spid="_x0000_s1026" o:spt="20" style="position:absolute;left:4810;top:5276;height:365;width:0;" filled="f" stroked="t" coordsize="21600,21600" o:gfxdata="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h51A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206" o:spid="_x0000_s1026" o:spt="20" style="position:absolute;left:3867;top:5288;height:365;width:0;" filled="f" stroked="t" coordsize="21600,21600" o:gfxdata="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BgJMr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1207" o:spid="_x0000_s1026" o:spt="20" style="position:absolute;left:4819;top:8746;height:365;width:0;" filled="f" stroked="t" coordsize="21600,21600" o:gfxdata="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VKyp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208" o:spid="_x0000_s1026" o:spt="20" style="position:absolute;left:6676;top:8749;height:365;width:0;" filled="f" stroked="t" coordsize="21600,21600" o:gfxdata="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mh2Sb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1209" o:spid="_x0000_s1026" o:spt="20" style="position:absolute;left:5777;top:8746;height:365;width:0;" filled="f" stroked="t" coordsize="21600,21600" o:gfxdata="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0k09K/&#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1210" o:spid="_x0000_s1026" o:spt="20" style="position:absolute;left:3876;top:8761;height:365;width:0;" filled="f" stroked="t" coordsize="21600,21600" o:gfxdata="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fZNp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矩形 1211" o:spid="_x0000_s1026" o:spt="1" style="position:absolute;left:3574;top:5636;height:3091;width:616;" fillcolor="#C6D9F1" filled="t" stroked="t" coordsize="21600,21600" o:gfxdata="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ZCty/&#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style="layout-flow:vertical-ideographic;">
                    <w:txbxContent>
                      <w:p w14:paraId="52BD6E95">
                        <w:pPr>
                          <w:pStyle w:val="105"/>
                          <w:ind w:firstLine="210" w:firstLineChars="100"/>
                          <w:jc w:val="both"/>
                        </w:pPr>
                        <w:r>
                          <w:rPr>
                            <w:rFonts w:hint="eastAsia"/>
                          </w:rPr>
                          <w:t>桥梁专职安全员</w:t>
                        </w:r>
                      </w:p>
                    </w:txbxContent>
                  </v:textbox>
                </v:rect>
                <v:rect id="矩形 1212" o:spid="_x0000_s1026" o:spt="1" style="position:absolute;left:4635;top:9388;height:481;width:2813;" fillcolor="#C6D9F1" filled="t" stroked="t" coordsize="21600,21600" o:gfxdata="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I5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644F9C81">
                        <w:pPr>
                          <w:pStyle w:val="105"/>
                          <w:jc w:val="center"/>
                        </w:pPr>
                        <w:r>
                          <w:rPr>
                            <w:rFonts w:hint="eastAsia"/>
                          </w:rPr>
                          <w:t>各施工班组兼职安全员</w:t>
                        </w:r>
                      </w:p>
                    </w:txbxContent>
                  </v:textbox>
                </v:rect>
                <v:rect id="矩形 1213" o:spid="_x0000_s1026" o:spt="1" style="position:absolute;left:6376;top:5644;height:3092;width:616;" fillcolor="#C6D9F1" filled="t" stroked="t" coordsize="21600,21600" o:gfxdata="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TJ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2.5mm,1mm,2.5mm,1mm" style="layout-flow:vertical-ideographic;">
                    <w:txbxContent>
                      <w:p w14:paraId="0F354C39">
                        <w:pPr>
                          <w:pStyle w:val="105"/>
                          <w:ind w:firstLine="210" w:firstLineChars="100"/>
                          <w:jc w:val="both"/>
                        </w:pPr>
                        <w:r>
                          <w:rPr>
                            <w:rFonts w:hint="eastAsia"/>
                          </w:rPr>
                          <w:t>管线专职安全员</w:t>
                        </w:r>
                      </w:p>
                    </w:txbxContent>
                  </v:textbox>
                </v:rect>
                <v:line id="直线 1214" o:spid="_x0000_s1026" o:spt="20" style="position:absolute;left:6071;top:9089;height:285;width:0;" filled="f" stroked="t" coordsize="21600,21600" o:gfxdata="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LNS6a/&#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1215" o:spid="_x0000_s1026" o:spt="20" style="position:absolute;left:6006;top:3983;flip:y;height:568;width:0;" filled="f" stroked="t" coordsize="21600,21600" o:gfxdata="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8ab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216" o:spid="_x0000_s1026" o:spt="20" style="position:absolute;left:5970;top:2003;height:568;width:0;" filled="f" stroked="t" coordsize="21600,21600" o:gfxdata="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B56T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rect id="矩形 1217" o:spid="_x0000_s1026" o:spt="1" style="position:absolute;left:7950;top:5620;height:3091;width:616;" fillcolor="#C6D9F1" filled="t" stroked="t" coordsize="21600,21600" o:gfxdata="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sT02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style="layout-flow:vertical-ideographic;">
                    <w:txbxContent>
                      <w:p w14:paraId="13B983D6">
                        <w:pPr>
                          <w:pStyle w:val="105"/>
                          <w:ind w:firstLine="210" w:firstLineChars="100"/>
                          <w:jc w:val="both"/>
                        </w:pPr>
                        <w:r>
                          <w:rPr>
                            <w:rFonts w:hint="eastAsia"/>
                          </w:rPr>
                          <w:t>安全设施维护道改指挥</w:t>
                        </w:r>
                      </w:p>
                      <w:p w14:paraId="5CE22169">
                        <w:pPr>
                          <w:pStyle w:val="105"/>
                          <w:ind w:firstLine="480"/>
                        </w:pPr>
                      </w:p>
                    </w:txbxContent>
                  </v:textbox>
                </v:rect>
                <v:line id="直线 1218" o:spid="_x0000_s1026" o:spt="20" style="position:absolute;left:8235;top:5272;height:365;width:0;" filled="f" stroked="t" coordsize="21600,21600" o:gfxdata="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7Hgl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1219" o:spid="_x0000_s1026" o:spt="20" style="position:absolute;left:8265;top:8745;height:365;width:0;" filled="f" stroked="t" coordsize="21600,21600" o:gfxdata="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9RQ+/&#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1220" o:spid="_x0000_s1026" o:spt="20" style="position:absolute;left:3870;top:9097;height:0;width:4410;" filled="f" stroked="t" coordsize="21600,21600" o:gfxdata="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be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221" o:spid="_x0000_s1026" o:spt="20" style="position:absolute;left:3840;top:5263;height:0;width:4410;" filled="f" stroked="t" coordsize="21600,21600" o:gfxdata="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Y37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rect id="矩形 2002" o:spid="_x0000_s1026" o:spt="1" style="position:absolute;left:7191;top:5620;height:3091;width:616;" fillcolor="#C6D9F1" filled="t" stroked="t" coordsize="21600,21600" o:gfxdata="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2kEd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layout-flow:vertical-ideographic;">
                    <w:txbxContent>
                      <w:p w14:paraId="773B63BF">
                        <w:pPr>
                          <w:pStyle w:val="105"/>
                          <w:ind w:firstLine="210" w:firstLineChars="100"/>
                          <w:jc w:val="both"/>
                        </w:pPr>
                        <w:r>
                          <w:rPr>
                            <w:rFonts w:hint="eastAsia"/>
                          </w:rPr>
                          <w:t>机电工程师</w:t>
                        </w:r>
                      </w:p>
                    </w:txbxContent>
                  </v:textbox>
                </v:rect>
                <v:line id="直线 2003" o:spid="_x0000_s1026" o:spt="20" style="position:absolute;left:7476;top:5272;height:365;width:0;" filled="f" stroked="t" coordsize="21600,21600" o:gfxdata="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xkM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004" o:spid="_x0000_s1026" o:spt="20" style="position:absolute;left:7506;top:8745;height:365;width:0;" filled="f" stroked="t" coordsize="21600,21600" o:gfxdata="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U3Xu/&#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w10:wrap type="topAndBottom"/>
              </v:group>
            </w:pict>
          </mc:Fallback>
        </mc:AlternateContent>
      </w:r>
    </w:p>
    <w:p w14:paraId="590E0279">
      <w:pPr>
        <w:pStyle w:val="103"/>
      </w:pPr>
      <w:r>
        <w:rPr>
          <w:rFonts w:hint="eastAsia"/>
          <w:color w:val="auto"/>
          <w:highlight w:val="none"/>
        </w:rPr>
        <w:t>安全组织机构框图</w:t>
      </w:r>
    </w:p>
    <w:p w14:paraId="3FC1CEEB">
      <w:pPr>
        <w:ind w:firstLine="480"/>
        <w:rPr>
          <w:rFonts w:hint="eastAsia" w:ascii="宋体" w:hAnsi="宋体" w:cs="宋体"/>
          <w:lang w:val="en-US" w:eastAsia="zh-CN"/>
        </w:rPr>
      </w:pPr>
      <w:r>
        <w:rPr>
          <w:rFonts w:hint="eastAsia" w:ascii="宋体" w:hAnsi="宋体" w:cs="宋体"/>
          <w:lang w:val="en-US" w:eastAsia="zh-CN"/>
        </w:rPr>
        <w:t>（二）项目安全领导小组的职责：</w:t>
      </w:r>
    </w:p>
    <w:p w14:paraId="6961D239">
      <w:pPr>
        <w:ind w:firstLine="480"/>
        <w:rPr>
          <w:rFonts w:hint="eastAsia" w:ascii="宋体" w:hAnsi="宋体" w:cs="宋体"/>
          <w:lang w:val="en-US" w:eastAsia="zh-CN"/>
        </w:rPr>
      </w:pPr>
      <w:r>
        <w:rPr>
          <w:rFonts w:hint="eastAsia" w:ascii="宋体" w:hAnsi="宋体" w:cs="宋体"/>
          <w:lang w:val="en-US" w:eastAsia="zh-CN"/>
        </w:rPr>
        <w:t>1、制度并落实安全生产管理目标以及安全工作计划。</w:t>
      </w:r>
    </w:p>
    <w:p w14:paraId="3238F3D1">
      <w:pPr>
        <w:ind w:firstLine="480"/>
        <w:rPr>
          <w:rFonts w:hint="eastAsia" w:ascii="宋体" w:hAnsi="宋体" w:cs="宋体"/>
          <w:lang w:val="en-US" w:eastAsia="zh-CN"/>
        </w:rPr>
      </w:pPr>
      <w:r>
        <w:rPr>
          <w:rFonts w:hint="eastAsia" w:ascii="宋体" w:hAnsi="宋体" w:cs="宋体"/>
          <w:lang w:val="en-US" w:eastAsia="zh-CN"/>
        </w:rPr>
        <w:t>2、建立健全安全管理机构及安全保障体系。</w:t>
      </w:r>
    </w:p>
    <w:p w14:paraId="27A7CC8F">
      <w:pPr>
        <w:ind w:firstLine="480"/>
        <w:rPr>
          <w:rFonts w:hint="eastAsia" w:ascii="宋体" w:hAnsi="宋体" w:cs="宋体"/>
          <w:lang w:val="en-US" w:eastAsia="zh-CN"/>
        </w:rPr>
      </w:pPr>
      <w:r>
        <w:rPr>
          <w:rFonts w:hint="eastAsia" w:ascii="宋体" w:hAnsi="宋体" w:cs="宋体"/>
          <w:lang w:val="en-US" w:eastAsia="zh-CN"/>
        </w:rPr>
        <w:t>3、制定并落实各项安全生产管理制度。</w:t>
      </w:r>
    </w:p>
    <w:p w14:paraId="585777D2">
      <w:pPr>
        <w:ind w:firstLine="480"/>
        <w:rPr>
          <w:rFonts w:hint="eastAsia" w:ascii="宋体" w:hAnsi="宋体" w:cs="宋体"/>
          <w:lang w:val="en-US" w:eastAsia="zh-CN"/>
        </w:rPr>
      </w:pPr>
      <w:r>
        <w:rPr>
          <w:rFonts w:hint="eastAsia" w:ascii="宋体" w:hAnsi="宋体" w:cs="宋体"/>
          <w:lang w:val="en-US" w:eastAsia="zh-CN"/>
        </w:rPr>
        <w:t>4、落实安全教育、培训，做好安全技术交底、班前会及“一线工人业余学校”工作。</w:t>
      </w:r>
    </w:p>
    <w:p w14:paraId="1E2DC4DB">
      <w:pPr>
        <w:ind w:firstLine="480"/>
        <w:rPr>
          <w:rFonts w:hint="eastAsia" w:ascii="宋体" w:hAnsi="宋体" w:cs="宋体"/>
          <w:lang w:val="en-US" w:eastAsia="zh-CN"/>
        </w:rPr>
      </w:pPr>
      <w:r>
        <w:rPr>
          <w:rFonts w:hint="eastAsia" w:ascii="宋体" w:hAnsi="宋体" w:cs="宋体"/>
          <w:lang w:val="en-US" w:eastAsia="zh-CN"/>
        </w:rPr>
        <w:t>5、落实“三阶段安全风险分析与预防”制度和应急预案的演练工作。</w:t>
      </w:r>
    </w:p>
    <w:p w14:paraId="4D1D9C3E">
      <w:pPr>
        <w:ind w:firstLine="480"/>
        <w:rPr>
          <w:rFonts w:hint="eastAsia" w:ascii="宋体" w:hAnsi="宋体" w:cs="宋体"/>
          <w:lang w:val="en-US" w:eastAsia="zh-CN"/>
        </w:rPr>
      </w:pPr>
      <w:r>
        <w:rPr>
          <w:rFonts w:hint="eastAsia" w:ascii="宋体" w:hAnsi="宋体" w:cs="宋体"/>
          <w:lang w:val="en-US" w:eastAsia="zh-CN"/>
        </w:rPr>
        <w:t>6、定期和不定期进行安全检查，对施工现场安全隐患进行排查整改，落实各项安全保障措施。</w:t>
      </w:r>
    </w:p>
    <w:p w14:paraId="2D3E40DA">
      <w:pPr>
        <w:ind w:firstLine="480"/>
        <w:rPr>
          <w:rFonts w:hint="eastAsia" w:ascii="宋体" w:hAnsi="宋体" w:cs="宋体"/>
          <w:lang w:val="en-US" w:eastAsia="zh-CN"/>
        </w:rPr>
      </w:pPr>
      <w:r>
        <w:rPr>
          <w:rFonts w:hint="eastAsia" w:ascii="宋体" w:hAnsi="宋体" w:cs="宋体"/>
          <w:lang w:val="en-US" w:eastAsia="zh-CN"/>
        </w:rPr>
        <w:t>7、按规定配备安全管理人员，保证安全生产费用足额投入、正确使用；</w:t>
      </w:r>
    </w:p>
    <w:p w14:paraId="17BAD0F0">
      <w:pPr>
        <w:ind w:firstLine="480"/>
      </w:pPr>
      <w:r>
        <w:rPr>
          <w:rFonts w:hint="eastAsia" w:ascii="宋体" w:hAnsi="宋体" w:cs="宋体"/>
          <w:lang w:val="en-US" w:eastAsia="zh-CN"/>
        </w:rPr>
        <w:t>8、定期召开安全生产例会。</w:t>
      </w:r>
    </w:p>
    <w:p w14:paraId="3582DE1B">
      <w:pPr>
        <w:pStyle w:val="4"/>
        <w:numPr>
          <w:ilvl w:val="1"/>
          <w:numId w:val="0"/>
        </w:numPr>
        <w:spacing w:line="360" w:lineRule="auto"/>
        <w:ind w:firstLine="0" w:firstLineChars="0"/>
        <w:rPr>
          <w:color w:val="auto"/>
        </w:rPr>
      </w:pPr>
      <w:bookmarkStart w:id="2164" w:name="_Toc6818"/>
      <w:bookmarkStart w:id="2165" w:name="_Toc12936"/>
      <w:bookmarkStart w:id="2166" w:name="_Toc24157"/>
      <w:bookmarkStart w:id="2167" w:name="_Toc29280"/>
      <w:bookmarkStart w:id="2168" w:name="_Toc330"/>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3</w:t>
      </w:r>
      <w:r>
        <w:rPr>
          <w:rFonts w:hint="default" w:ascii="Arial" w:hAnsi="Arial" w:eastAsia="宋体" w:cs="Times New Roman"/>
          <w:b/>
          <w:bCs/>
          <w:color w:val="auto"/>
          <w:kern w:val="2"/>
          <w:sz w:val="32"/>
          <w:szCs w:val="32"/>
          <w:lang w:val="en-US" w:eastAsia="zh-CN" w:bidi="ar-SA"/>
        </w:rPr>
        <w:t>.2.</w:t>
      </w:r>
      <w:r>
        <w:rPr>
          <w:rFonts w:hint="eastAsia"/>
          <w:color w:val="auto"/>
        </w:rPr>
        <w:t>安全生产保证体系</w:t>
      </w:r>
      <w:bookmarkEnd w:id="2164"/>
      <w:bookmarkEnd w:id="2165"/>
      <w:bookmarkEnd w:id="2166"/>
      <w:bookmarkEnd w:id="2167"/>
      <w:bookmarkEnd w:id="2168"/>
    </w:p>
    <w:p w14:paraId="7D19C026">
      <w:pPr>
        <w:numPr>
          <w:ilvl w:val="0"/>
          <w:numId w:val="0"/>
        </w:numPr>
        <w:adjustRightInd w:val="0"/>
        <w:snapToGrid w:val="0"/>
        <w:jc w:val="center"/>
      </w:pPr>
      <w:r>
        <w:rPr>
          <w:rFonts w:hint="eastAsia" w:ascii="宋体" w:hAnsi="宋体"/>
          <w:b/>
          <w:highlight w:val="none"/>
        </w:rPr>
        <w:t>安全保证工作流程图</w:t>
      </w:r>
    </w:p>
    <w:p w14:paraId="66866AB2">
      <w:pPr>
        <w:ind w:firstLine="4080" w:firstLineChars="1700"/>
      </w:pPr>
      <w:r>
        <w:rPr>
          <w:highlight w:val="none"/>
        </w:rPr>
        <mc:AlternateContent>
          <mc:Choice Requires="wpg">
            <w:drawing>
              <wp:anchor distT="0" distB="0" distL="114300" distR="114300" simplePos="0" relativeHeight="251678720" behindDoc="0" locked="0" layoutInCell="1" allowOverlap="1">
                <wp:simplePos x="0" y="0"/>
                <wp:positionH relativeFrom="column">
                  <wp:posOffset>-31115</wp:posOffset>
                </wp:positionH>
                <wp:positionV relativeFrom="paragraph">
                  <wp:posOffset>424815</wp:posOffset>
                </wp:positionV>
                <wp:extent cx="5402580" cy="7486015"/>
                <wp:effectExtent l="4445" t="5080" r="3175" b="6985"/>
                <wp:wrapTopAndBottom/>
                <wp:docPr id="1361" name="组合 586"/>
                <wp:cNvGraphicFramePr/>
                <a:graphic xmlns:a="http://schemas.openxmlformats.org/drawingml/2006/main">
                  <a:graphicData uri="http://schemas.microsoft.com/office/word/2010/wordprocessingGroup">
                    <wpg:wgp>
                      <wpg:cNvGrpSpPr/>
                      <wpg:grpSpPr>
                        <a:xfrm>
                          <a:off x="0" y="0"/>
                          <a:ext cx="5402580" cy="7486015"/>
                          <a:chOff x="7390" y="4316559"/>
                          <a:chExt cx="8460" cy="11120"/>
                        </a:xfrm>
                      </wpg:grpSpPr>
                      <wps:wsp>
                        <wps:cNvPr id="1329" name="矩形 156"/>
                        <wps:cNvSpPr/>
                        <wps:spPr>
                          <a:xfrm>
                            <a:off x="8261" y="4324524"/>
                            <a:ext cx="6300" cy="837"/>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09CD4C">
                              <w:pPr>
                                <w:pStyle w:val="99"/>
                                <w:ind w:firstLine="643"/>
                                <w:jc w:val="both"/>
                              </w:pPr>
                              <w:r>
                                <w:rPr>
                                  <w:rStyle w:val="98"/>
                                  <w:rFonts w:hint="eastAsia"/>
                                  <w:bCs w:val="0"/>
                                </w:rPr>
                                <w:t>工艺流程按章操作；各工序阶段应有专门安全要求；严格按安全技术规程施工；严格执行各种工</w:t>
                              </w:r>
                              <w:r>
                                <w:rPr>
                                  <w:rFonts w:hint="eastAsia"/>
                                </w:rPr>
                                <w:t>种、设备安全操作规程。</w:t>
                              </w:r>
                            </w:p>
                          </w:txbxContent>
                        </wps:txbx>
                        <wps:bodyPr upright="1"/>
                      </wps:wsp>
                      <wps:wsp>
                        <wps:cNvPr id="1330" name="自选图形 158"/>
                        <wps:cNvSpPr/>
                        <wps:spPr>
                          <a:xfrm>
                            <a:off x="10449" y="4325704"/>
                            <a:ext cx="1800" cy="1248"/>
                          </a:xfrm>
                          <a:prstGeom prst="diamond">
                            <a:avLst/>
                          </a:prstGeom>
                          <a:solidFill>
                            <a:srgbClr val="FFFFFF"/>
                          </a:solidFill>
                          <a:ln w="9525" cap="flat" cmpd="sng">
                            <a:solidFill>
                              <a:srgbClr val="000000"/>
                            </a:solidFill>
                            <a:prstDash val="solid"/>
                            <a:miter/>
                            <a:headEnd type="none" w="med" len="med"/>
                            <a:tailEnd type="none" w="med" len="med"/>
                          </a:ln>
                        </wps:spPr>
                        <wps:txbx>
                          <w:txbxContent>
                            <w:p w14:paraId="5936F02D">
                              <w:pPr>
                                <w:pStyle w:val="99"/>
                                <w:ind w:firstLine="210" w:firstLineChars="100"/>
                                <w:jc w:val="both"/>
                              </w:pPr>
                              <w:r>
                                <w:rPr>
                                  <w:rFonts w:hint="eastAsia"/>
                                </w:rPr>
                                <w:t>合格</w:t>
                              </w:r>
                            </w:p>
                          </w:txbxContent>
                        </wps:txbx>
                        <wps:bodyPr upright="1"/>
                      </wps:wsp>
                      <wps:wsp>
                        <wps:cNvPr id="1331" name="矩形 154"/>
                        <wps:cNvSpPr/>
                        <wps:spPr>
                          <a:xfrm>
                            <a:off x="8076" y="4323409"/>
                            <a:ext cx="6480" cy="8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6D832B5">
                              <w:pPr>
                                <w:pStyle w:val="99"/>
                                <w:ind w:firstLine="643"/>
                                <w:jc w:val="both"/>
                              </w:pPr>
                              <w:r>
                                <w:rPr>
                                  <w:rStyle w:val="98"/>
                                  <w:rFonts w:hint="eastAsia"/>
                                  <w:bCs w:val="0"/>
                                </w:rPr>
                                <w:t>安全技术交底：重大施工危险作业编制专门安全施工方案、向施工人员清楚交底并签字记录；各类危险作业均须安全技术交底</w:t>
                              </w:r>
                              <w:r>
                                <w:rPr>
                                  <w:rFonts w:hint="eastAsia"/>
                                </w:rPr>
                                <w:t>。</w:t>
                              </w:r>
                            </w:p>
                          </w:txbxContent>
                        </wps:txbx>
                        <wps:bodyPr upright="1"/>
                      </wps:wsp>
                      <wps:wsp>
                        <wps:cNvPr id="1332" name="自选图形 150"/>
                        <wps:cNvSpPr/>
                        <wps:spPr>
                          <a:xfrm>
                            <a:off x="10629" y="4322141"/>
                            <a:ext cx="1440" cy="936"/>
                          </a:xfrm>
                          <a:prstGeom prst="diamond">
                            <a:avLst/>
                          </a:prstGeom>
                          <a:solidFill>
                            <a:srgbClr val="FFFFFF"/>
                          </a:solidFill>
                          <a:ln w="9525" cap="flat" cmpd="sng">
                            <a:solidFill>
                              <a:srgbClr val="000000"/>
                            </a:solidFill>
                            <a:prstDash val="solid"/>
                            <a:miter/>
                            <a:headEnd type="none" w="med" len="med"/>
                            <a:tailEnd type="none" w="med" len="med"/>
                          </a:ln>
                        </wps:spPr>
                        <wps:txbx>
                          <w:txbxContent>
                            <w:p w14:paraId="58052FC5">
                              <w:pPr>
                                <w:pStyle w:val="99"/>
                                <w:jc w:val="both"/>
                              </w:pPr>
                              <w:r>
                                <w:rPr>
                                  <w:rStyle w:val="98"/>
                                  <w:rFonts w:hint="eastAsia"/>
                                  <w:bCs w:val="0"/>
                                </w:rPr>
                                <w:t>合</w:t>
                              </w:r>
                              <w:r>
                                <w:rPr>
                                  <w:rFonts w:hint="eastAsia"/>
                                </w:rPr>
                                <w:t>格</w:t>
                              </w:r>
                            </w:p>
                          </w:txbxContent>
                        </wps:txbx>
                        <wps:bodyPr upright="1"/>
                      </wps:wsp>
                      <wps:wsp>
                        <wps:cNvPr id="1333" name="矩形 1831"/>
                        <wps:cNvSpPr/>
                        <wps:spPr>
                          <a:xfrm>
                            <a:off x="13120" y="4325978"/>
                            <a:ext cx="234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CA1F45C">
                              <w:pPr>
                                <w:pStyle w:val="99"/>
                                <w:jc w:val="both"/>
                              </w:pPr>
                              <w:r>
                                <w:rPr>
                                  <w:rStyle w:val="98"/>
                                  <w:rFonts w:hint="eastAsia"/>
                                  <w:bCs w:val="0"/>
                                </w:rPr>
                                <w:t>发生工伤、机损事</w:t>
                              </w:r>
                              <w:r>
                                <w:rPr>
                                  <w:rFonts w:hint="eastAsia"/>
                                </w:rPr>
                                <w:t>故</w:t>
                              </w:r>
                            </w:p>
                          </w:txbxContent>
                        </wps:txbx>
                        <wps:bodyPr upright="1"/>
                      </wps:wsp>
                      <wps:wsp>
                        <wps:cNvPr id="1334" name="矩形 1832"/>
                        <wps:cNvSpPr/>
                        <wps:spPr>
                          <a:xfrm>
                            <a:off x="7930" y="4320929"/>
                            <a:ext cx="6511" cy="1048"/>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473A5C8">
                              <w:pPr>
                                <w:pStyle w:val="99"/>
                                <w:jc w:val="both"/>
                              </w:pPr>
                              <w:r>
                                <w:rPr>
                                  <w:rStyle w:val="98"/>
                                  <w:rFonts w:hint="eastAsia"/>
                                  <w:bCs w:val="0"/>
                                </w:rPr>
                                <w:t>安全检查：项目部按日常检查、旬、月度检查；专项检查、节假日和季节性检查；整改查处各类隐患；狠</w:t>
                              </w:r>
                              <w:r>
                                <w:rPr>
                                  <w:rFonts w:hint="eastAsia"/>
                                </w:rPr>
                                <w:t>抓“三违”；记录齐全；实施奖罚。</w:t>
                              </w:r>
                            </w:p>
                          </w:txbxContent>
                        </wps:txbx>
                        <wps:bodyPr upright="1"/>
                      </wps:wsp>
                      <wps:wsp>
                        <wps:cNvPr id="1335" name="文本框 145"/>
                        <wps:cNvSpPr txBox="1"/>
                        <wps:spPr>
                          <a:xfrm>
                            <a:off x="7930" y="4319645"/>
                            <a:ext cx="6480" cy="116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CB45638">
                              <w:pPr>
                                <w:pStyle w:val="99"/>
                                <w:jc w:val="both"/>
                                <w:rPr>
                                  <w:rStyle w:val="98"/>
                                  <w:rFonts w:hint="eastAsia" w:hAnsi="Times New Roman" w:cs="Times New Roman"/>
                                  <w:bCs w:val="0"/>
                                </w:rPr>
                              </w:pPr>
                              <w:r>
                                <w:rPr>
                                  <w:rStyle w:val="98"/>
                                  <w:rFonts w:hint="eastAsia"/>
                                  <w:bCs w:val="0"/>
                                  <w:color w:val="000000" w:themeColor="text1"/>
                                  <w:sz w:val="20"/>
                                  <w:szCs w:val="18"/>
                                  <w14:textFill>
                                    <w14:solidFill>
                                      <w14:schemeClr w14:val="tx1"/>
                                    </w14:solidFill>
                                  </w14:textFill>
                                </w:rPr>
                                <w:t>专</w:t>
                              </w:r>
                              <w:r>
                                <w:rPr>
                                  <w:rStyle w:val="98"/>
                                  <w:rFonts w:hint="eastAsia" w:hAnsi="Times New Roman" w:cs="Times New Roman"/>
                                  <w:bCs w:val="0"/>
                                </w:rPr>
                                <w:t>项施工安全措施、</w:t>
                              </w:r>
                              <w:r>
                                <w:rPr>
                                  <w:rStyle w:val="98"/>
                                  <w:rFonts w:hint="eastAsia" w:hAnsi="Times New Roman" w:cs="Times New Roman"/>
                                  <w:bCs w:val="0"/>
                                  <w:lang w:eastAsia="zh-CN"/>
                                </w:rPr>
                                <w:t>编制安全管理制度并严格监督制度落实，</w:t>
                              </w:r>
                              <w:r>
                                <w:rPr>
                                  <w:rStyle w:val="98"/>
                                  <w:rFonts w:hint="eastAsia" w:hAnsi="Times New Roman" w:cs="Times New Roman"/>
                                  <w:bCs w:val="0"/>
                                </w:rPr>
                                <w:t>安全技术交底、操作规程；</w:t>
                              </w:r>
                              <w:r>
                                <w:rPr>
                                  <w:rStyle w:val="98"/>
                                  <w:rFonts w:hint="eastAsia" w:hAnsi="Times New Roman" w:cs="Times New Roman"/>
                                  <w:bCs w:val="0"/>
                                  <w:lang w:eastAsia="zh-CN"/>
                                </w:rPr>
                                <w:t>加强</w:t>
                              </w:r>
                              <w:r>
                                <w:rPr>
                                  <w:rStyle w:val="98"/>
                                  <w:rFonts w:hint="eastAsia" w:hAnsi="Times New Roman" w:cs="Times New Roman"/>
                                  <w:bCs w:val="0"/>
                                </w:rPr>
                                <w:t>四口五临边安全防护；用电安全管理；特种作业持证上岗；编制应急预案并</w:t>
                              </w:r>
                              <w:r>
                                <w:rPr>
                                  <w:rStyle w:val="98"/>
                                  <w:rFonts w:hint="eastAsia" w:hAnsi="Times New Roman" w:cs="Times New Roman"/>
                                  <w:bCs w:val="0"/>
                                  <w:lang w:eastAsia="zh-CN"/>
                                </w:rPr>
                                <w:t>组织演练和</w:t>
                              </w:r>
                              <w:r>
                                <w:rPr>
                                  <w:rStyle w:val="98"/>
                                  <w:rFonts w:hint="eastAsia" w:hAnsi="Times New Roman" w:cs="Times New Roman"/>
                                  <w:bCs w:val="0"/>
                                </w:rPr>
                                <w:t>落实</w:t>
                              </w:r>
                              <w:r>
                                <w:rPr>
                                  <w:rStyle w:val="98"/>
                                  <w:rFonts w:hint="eastAsia" w:hAnsi="Times New Roman" w:cs="Times New Roman"/>
                                  <w:bCs w:val="0"/>
                                  <w:lang w:eastAsia="zh-CN"/>
                                </w:rPr>
                                <w:t>应急物资储备，建设标准化工地</w:t>
                              </w:r>
                              <w:r>
                                <w:rPr>
                                  <w:rStyle w:val="98"/>
                                  <w:rFonts w:hint="eastAsia" w:hAnsi="Times New Roman" w:cs="Times New Roman"/>
                                  <w:bCs w:val="0"/>
                                </w:rPr>
                                <w:t>。</w:t>
                              </w:r>
                            </w:p>
                          </w:txbxContent>
                        </wps:txbx>
                        <wps:bodyPr upright="1"/>
                      </wps:wsp>
                      <wps:wsp>
                        <wps:cNvPr id="1336" name="文本框 141"/>
                        <wps:cNvSpPr txBox="1"/>
                        <wps:spPr>
                          <a:xfrm>
                            <a:off x="7913" y="4318609"/>
                            <a:ext cx="6480" cy="8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3C2339">
                              <w:pPr>
                                <w:spacing w:line="240" w:lineRule="auto"/>
                                <w:ind w:left="0" w:leftChars="0" w:firstLine="0" w:firstLineChars="0"/>
                                <w:rPr>
                                  <w:sz w:val="21"/>
                                </w:rPr>
                              </w:pPr>
                              <w:r>
                                <w:rPr>
                                  <w:rFonts w:hint="eastAsia"/>
                                  <w:sz w:val="21"/>
                                </w:rPr>
                                <w:t>工程危险点分析：高处作业、起重安装大型箱梁、临河作业、场内车辆作业、特种作业（登高架设、电工、起重、电焊等）。</w:t>
                              </w:r>
                            </w:p>
                          </w:txbxContent>
                        </wps:txbx>
                        <wps:bodyPr upright="1"/>
                      </wps:wsp>
                      <wpg:grpSp>
                        <wpg:cNvPr id="1354" name="组合 595"/>
                        <wpg:cNvGrpSpPr/>
                        <wpg:grpSpPr>
                          <a:xfrm>
                            <a:off x="7390" y="4316559"/>
                            <a:ext cx="8460" cy="10903"/>
                            <a:chOff x="2785" y="2159313"/>
                            <a:chExt cx="8460" cy="10903"/>
                          </a:xfrm>
                        </wpg:grpSpPr>
                        <wps:wsp>
                          <wps:cNvPr id="1337" name="直线 1836"/>
                          <wps:cNvCnPr/>
                          <wps:spPr>
                            <a:xfrm flipH="1">
                              <a:off x="10705" y="2159802"/>
                              <a:ext cx="540" cy="1"/>
                            </a:xfrm>
                            <a:prstGeom prst="line">
                              <a:avLst/>
                            </a:prstGeom>
                            <a:ln w="9525" cap="flat" cmpd="sng">
                              <a:solidFill>
                                <a:srgbClr val="000000"/>
                              </a:solidFill>
                              <a:prstDash val="solid"/>
                              <a:headEnd type="none" w="med" len="med"/>
                              <a:tailEnd type="triangle" w="med" len="med"/>
                            </a:ln>
                          </wps:spPr>
                          <wps:bodyPr upright="1"/>
                        </wps:wsp>
                        <wps:wsp>
                          <wps:cNvPr id="1338" name="直线 135"/>
                          <wps:cNvCnPr/>
                          <wps:spPr>
                            <a:xfrm flipH="1">
                              <a:off x="11189" y="2159829"/>
                              <a:ext cx="43" cy="8982"/>
                            </a:xfrm>
                            <a:prstGeom prst="line">
                              <a:avLst/>
                            </a:prstGeom>
                            <a:ln w="9525" cap="flat" cmpd="sng">
                              <a:solidFill>
                                <a:srgbClr val="000000"/>
                              </a:solidFill>
                              <a:prstDash val="solid"/>
                              <a:headEnd type="none" w="med" len="med"/>
                              <a:tailEnd type="none" w="med" len="med"/>
                            </a:ln>
                          </wps:spPr>
                          <wps:bodyPr upright="1"/>
                        </wps:wsp>
                        <wps:wsp>
                          <wps:cNvPr id="1339" name="直线 151"/>
                          <wps:cNvCnPr/>
                          <wps:spPr>
                            <a:xfrm>
                              <a:off x="7480" y="2165292"/>
                              <a:ext cx="3060" cy="1"/>
                            </a:xfrm>
                            <a:prstGeom prst="line">
                              <a:avLst/>
                            </a:prstGeom>
                            <a:ln w="9525" cap="flat" cmpd="sng">
                              <a:solidFill>
                                <a:srgbClr val="000000"/>
                              </a:solidFill>
                              <a:prstDash val="solid"/>
                              <a:headEnd type="none" w="med" len="med"/>
                              <a:tailEnd type="none" w="med" len="med"/>
                            </a:ln>
                          </wps:spPr>
                          <wps:bodyPr upright="1"/>
                        </wps:wsp>
                        <wps:wsp>
                          <wps:cNvPr id="1340" name="直线 142"/>
                          <wps:cNvCnPr/>
                          <wps:spPr>
                            <a:xfrm flipH="1">
                              <a:off x="10525" y="2161893"/>
                              <a:ext cx="1" cy="3344"/>
                            </a:xfrm>
                            <a:prstGeom prst="line">
                              <a:avLst/>
                            </a:prstGeom>
                            <a:ln w="9525" cap="flat" cmpd="sng">
                              <a:solidFill>
                                <a:srgbClr val="000000"/>
                              </a:solidFill>
                              <a:prstDash val="solid"/>
                              <a:headEnd type="none" w="med" len="med"/>
                              <a:tailEnd type="none" w="med" len="med"/>
                            </a:ln>
                          </wps:spPr>
                          <wps:bodyPr upright="1"/>
                        </wps:wsp>
                        <wps:wsp>
                          <wps:cNvPr id="1341" name="直线 1840"/>
                          <wps:cNvCnPr/>
                          <wps:spPr>
                            <a:xfrm flipH="1">
                              <a:off x="9805" y="2161893"/>
                              <a:ext cx="720" cy="1"/>
                            </a:xfrm>
                            <a:prstGeom prst="line">
                              <a:avLst/>
                            </a:prstGeom>
                            <a:ln w="9525" cap="flat" cmpd="sng">
                              <a:solidFill>
                                <a:srgbClr val="000000"/>
                              </a:solidFill>
                              <a:prstDash val="solid"/>
                              <a:headEnd type="none" w="med" len="med"/>
                              <a:tailEnd type="triangle" w="med" len="med"/>
                            </a:ln>
                          </wps:spPr>
                          <wps:bodyPr upright="1"/>
                        </wps:wsp>
                        <wps:wsp>
                          <wps:cNvPr id="1342" name="直线 1841"/>
                          <wps:cNvCnPr/>
                          <wps:spPr>
                            <a:xfrm>
                              <a:off x="6744" y="2165690"/>
                              <a:ext cx="1" cy="542"/>
                            </a:xfrm>
                            <a:prstGeom prst="line">
                              <a:avLst/>
                            </a:prstGeom>
                            <a:ln w="9525" cap="flat" cmpd="sng">
                              <a:solidFill>
                                <a:srgbClr val="000000"/>
                              </a:solidFill>
                              <a:prstDash val="solid"/>
                              <a:headEnd type="none" w="med" len="med"/>
                              <a:tailEnd type="triangle" w="med" len="med"/>
                            </a:ln>
                          </wps:spPr>
                          <wps:bodyPr upright="1"/>
                        </wps:wsp>
                        <wps:wsp>
                          <wps:cNvPr id="1343" name="直线 148"/>
                          <wps:cNvCnPr/>
                          <wps:spPr>
                            <a:xfrm>
                              <a:off x="6745" y="2164358"/>
                              <a:ext cx="1" cy="624"/>
                            </a:xfrm>
                            <a:prstGeom prst="line">
                              <a:avLst/>
                            </a:prstGeom>
                            <a:ln w="9525" cap="flat" cmpd="sng">
                              <a:solidFill>
                                <a:srgbClr val="000000"/>
                              </a:solidFill>
                              <a:prstDash val="solid"/>
                              <a:headEnd type="none" w="med" len="med"/>
                              <a:tailEnd type="triangle" w="med" len="med"/>
                            </a:ln>
                          </wps:spPr>
                          <wps:bodyPr upright="1"/>
                        </wps:wsp>
                        <wps:wsp>
                          <wps:cNvPr id="1344" name="直线 1843"/>
                          <wps:cNvCnPr/>
                          <wps:spPr>
                            <a:xfrm>
                              <a:off x="6759" y="2166900"/>
                              <a:ext cx="1" cy="468"/>
                            </a:xfrm>
                            <a:prstGeom prst="line">
                              <a:avLst/>
                            </a:prstGeom>
                            <a:ln w="9525" cap="flat" cmpd="sng">
                              <a:solidFill>
                                <a:srgbClr val="000000"/>
                              </a:solidFill>
                              <a:prstDash val="solid"/>
                              <a:headEnd type="none" w="med" len="med"/>
                              <a:tailEnd type="triangle" w="med" len="med"/>
                            </a:ln>
                          </wps:spPr>
                          <wps:bodyPr upright="1"/>
                        </wps:wsp>
                        <wps:wsp>
                          <wps:cNvPr id="1345" name="直线 1844"/>
                          <wps:cNvCnPr/>
                          <wps:spPr>
                            <a:xfrm>
                              <a:off x="6652" y="2163274"/>
                              <a:ext cx="1" cy="468"/>
                            </a:xfrm>
                            <a:prstGeom prst="line">
                              <a:avLst/>
                            </a:prstGeom>
                            <a:ln w="9525" cap="flat" cmpd="sng">
                              <a:solidFill>
                                <a:srgbClr val="000000"/>
                              </a:solidFill>
                              <a:prstDash val="solid"/>
                              <a:headEnd type="none" w="med" len="med"/>
                              <a:tailEnd type="triangle" w="med" len="med"/>
                            </a:ln>
                          </wps:spPr>
                          <wps:bodyPr upright="1"/>
                        </wps:wsp>
                        <wps:wsp>
                          <wps:cNvPr id="1346" name="直线 144"/>
                          <wps:cNvCnPr/>
                          <wps:spPr>
                            <a:xfrm>
                              <a:off x="6670" y="2162113"/>
                              <a:ext cx="1" cy="345"/>
                            </a:xfrm>
                            <a:prstGeom prst="line">
                              <a:avLst/>
                            </a:prstGeom>
                            <a:ln w="9525" cap="flat" cmpd="sng">
                              <a:solidFill>
                                <a:srgbClr val="000000"/>
                              </a:solidFill>
                              <a:prstDash val="solid"/>
                              <a:headEnd type="none" w="med" len="med"/>
                              <a:tailEnd type="triangle" w="med" len="med"/>
                            </a:ln>
                          </wps:spPr>
                          <wps:bodyPr upright="1"/>
                        </wps:wsp>
                        <wps:wsp>
                          <wps:cNvPr id="1347" name="直线 140"/>
                          <wps:cNvCnPr/>
                          <wps:spPr>
                            <a:xfrm>
                              <a:off x="6651" y="2160854"/>
                              <a:ext cx="1" cy="570"/>
                            </a:xfrm>
                            <a:prstGeom prst="line">
                              <a:avLst/>
                            </a:prstGeom>
                            <a:ln w="9525" cap="flat" cmpd="sng">
                              <a:solidFill>
                                <a:srgbClr val="000000"/>
                              </a:solidFill>
                              <a:prstDash val="solid"/>
                              <a:headEnd type="none" w="med" len="med"/>
                              <a:tailEnd type="triangle" w="med" len="med"/>
                            </a:ln>
                          </wps:spPr>
                          <wps:bodyPr upright="1"/>
                        </wps:wsp>
                        <wps:wsp>
                          <wps:cNvPr id="1348" name="直线 1847"/>
                          <wps:cNvCnPr/>
                          <wps:spPr>
                            <a:xfrm>
                              <a:off x="6745" y="2168000"/>
                              <a:ext cx="1" cy="468"/>
                            </a:xfrm>
                            <a:prstGeom prst="line">
                              <a:avLst/>
                            </a:prstGeom>
                            <a:ln w="9525" cap="flat" cmpd="sng">
                              <a:solidFill>
                                <a:srgbClr val="000000"/>
                              </a:solidFill>
                              <a:prstDash val="solid"/>
                              <a:headEnd type="none" w="med" len="med"/>
                              <a:tailEnd type="triangle" w="med" len="med"/>
                            </a:ln>
                          </wps:spPr>
                          <wps:bodyPr upright="1"/>
                        </wps:wsp>
                        <wps:wsp>
                          <wps:cNvPr id="1349" name="直线 160"/>
                          <wps:cNvCnPr/>
                          <wps:spPr>
                            <a:xfrm>
                              <a:off x="10870" y="2168778"/>
                              <a:ext cx="360" cy="1"/>
                            </a:xfrm>
                            <a:prstGeom prst="line">
                              <a:avLst/>
                            </a:prstGeom>
                            <a:ln w="9525" cap="flat" cmpd="sng">
                              <a:solidFill>
                                <a:srgbClr val="000000"/>
                              </a:solidFill>
                              <a:prstDash val="solid"/>
                              <a:headEnd type="none" w="med" len="med"/>
                              <a:tailEnd type="none" w="med" len="med"/>
                            </a:ln>
                          </wps:spPr>
                          <wps:bodyPr upright="1"/>
                        </wps:wsp>
                        <wps:wsp>
                          <wps:cNvPr id="1350" name="直线 138"/>
                          <wps:cNvCnPr/>
                          <wps:spPr>
                            <a:xfrm flipH="1">
                              <a:off x="6701" y="2159922"/>
                              <a:ext cx="18" cy="279"/>
                            </a:xfrm>
                            <a:prstGeom prst="line">
                              <a:avLst/>
                            </a:prstGeom>
                            <a:ln w="9525" cap="flat" cmpd="sng">
                              <a:solidFill>
                                <a:srgbClr val="000000"/>
                              </a:solidFill>
                              <a:prstDash val="solid"/>
                              <a:headEnd type="none" w="med" len="med"/>
                              <a:tailEnd type="triangle" w="med" len="med"/>
                            </a:ln>
                          </wps:spPr>
                          <wps:bodyPr upright="1"/>
                        </wps:wsp>
                        <wps:wsp>
                          <wps:cNvPr id="1351" name="直线 162"/>
                          <wps:cNvCnPr/>
                          <wps:spPr>
                            <a:xfrm>
                              <a:off x="7630" y="2168958"/>
                              <a:ext cx="900" cy="1"/>
                            </a:xfrm>
                            <a:prstGeom prst="line">
                              <a:avLst/>
                            </a:prstGeom>
                            <a:ln w="9525" cap="flat" cmpd="sng">
                              <a:solidFill>
                                <a:srgbClr val="000000"/>
                              </a:solidFill>
                              <a:prstDash val="solid"/>
                              <a:headEnd type="none" w="med" len="med"/>
                              <a:tailEnd type="triangle" w="med" len="med"/>
                            </a:ln>
                          </wps:spPr>
                          <wps:bodyPr upright="1"/>
                        </wps:wsp>
                        <wps:wsp>
                          <wps:cNvPr id="1352" name="文本框 137"/>
                          <wps:cNvSpPr txBox="1"/>
                          <wps:spPr>
                            <a:xfrm>
                              <a:off x="2785" y="2159313"/>
                              <a:ext cx="7920" cy="76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ED14CA">
                                <w:pPr>
                                  <w:pStyle w:val="99"/>
                                  <w:ind w:firstLine="480"/>
                                  <w:jc w:val="left"/>
                                </w:pPr>
                                <w:r>
                                  <w:rPr>
                                    <w:rFonts w:hint="eastAsia"/>
                                  </w:rPr>
                                  <w:t>安全目标：杜绝死亡性安全生产责任事故，千万元重伤率控制在</w:t>
                                </w:r>
                                <w:r>
                                  <w:t>0.02</w:t>
                                </w:r>
                                <w:r>
                                  <w:rPr>
                                    <w:rFonts w:hint="eastAsia"/>
                                  </w:rPr>
                                  <w:t>以下，千万元轻伤率控制在</w:t>
                                </w:r>
                                <w:r>
                                  <w:t>0.1</w:t>
                                </w:r>
                                <w:r>
                                  <w:rPr>
                                    <w:rFonts w:hint="eastAsia"/>
                                  </w:rPr>
                                  <w:t>以下。</w:t>
                                </w:r>
                              </w:p>
                            </w:txbxContent>
                          </wps:txbx>
                          <wps:bodyPr upright="1"/>
                        </wps:wsp>
                        <wps:wsp>
                          <wps:cNvPr id="1353" name="直线 164"/>
                          <wps:cNvCnPr/>
                          <wps:spPr>
                            <a:xfrm>
                              <a:off x="6719" y="2169592"/>
                              <a:ext cx="1" cy="624"/>
                            </a:xfrm>
                            <a:prstGeom prst="line">
                              <a:avLst/>
                            </a:prstGeom>
                            <a:ln w="9525" cap="flat" cmpd="sng">
                              <a:solidFill>
                                <a:srgbClr val="000000"/>
                              </a:solidFill>
                              <a:prstDash val="solid"/>
                              <a:headEnd type="none" w="med" len="med"/>
                              <a:tailEnd type="triangle" w="med" len="med"/>
                            </a:ln>
                          </wps:spPr>
                          <wps:bodyPr upright="1"/>
                        </wps:wsp>
                      </wpg:grpSp>
                      <wps:wsp>
                        <wps:cNvPr id="1355" name="文本框 139"/>
                        <wps:cNvSpPr txBox="1"/>
                        <wps:spPr>
                          <a:xfrm>
                            <a:off x="7966" y="4317494"/>
                            <a:ext cx="6444" cy="77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662AACD">
                              <w:pPr>
                                <w:pStyle w:val="99"/>
                                <w:jc w:val="both"/>
                              </w:pPr>
                              <w:r>
                                <w:rPr>
                                  <w:rStyle w:val="98"/>
                                  <w:rFonts w:hint="eastAsia"/>
                                  <w:bCs w:val="0"/>
                                </w:rPr>
                                <w:t>安全教育培训：坚持安全例会制度；新职工岗前安全教育、特种作业人员培训发证；施工安全技术</w:t>
                              </w:r>
                              <w:r>
                                <w:rPr>
                                  <w:rFonts w:hint="eastAsia"/>
                                </w:rPr>
                                <w:t>教育、专职安全员培训。</w:t>
                              </w:r>
                            </w:p>
                          </w:txbxContent>
                        </wps:txbx>
                        <wps:bodyPr upright="1"/>
                      </wps:wsp>
                      <wps:wsp>
                        <wps:cNvPr id="1356" name="矩形 165"/>
                        <wps:cNvSpPr/>
                        <wps:spPr>
                          <a:xfrm>
                            <a:off x="7913" y="4327085"/>
                            <a:ext cx="6900" cy="5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A1B9A17">
                              <w:pPr>
                                <w:tabs>
                                  <w:tab w:val="left" w:pos="6825"/>
                                </w:tabs>
                                <w:ind w:firstLine="210" w:firstLineChars="100"/>
                              </w:pPr>
                              <w:r>
                                <w:rPr>
                                  <w:rStyle w:val="98"/>
                                  <w:rFonts w:hint="eastAsia" w:hAnsi="宋体" w:cs="宋体"/>
                                  <w:bCs/>
                                </w:rPr>
                                <w:t>总结推广：月季年度总结；节点工序完成后安全总结；交流推广。</w:t>
                              </w:r>
                            </w:p>
                          </w:txbxContent>
                        </wps:txbx>
                        <wps:bodyPr upright="1"/>
                      </wps:wsp>
                      <wps:wsp>
                        <wps:cNvPr id="1357" name="矩形 523"/>
                        <wps:cNvSpPr/>
                        <wps:spPr>
                          <a:xfrm>
                            <a:off x="10886" y="4322936"/>
                            <a:ext cx="386" cy="468"/>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14:paraId="173D3F9A">
                              <w:pPr>
                                <w:pStyle w:val="19"/>
                                <w:rPr>
                                  <w:rFonts w:hint="eastAsia" w:eastAsia="宋体"/>
                                  <w:lang w:val="en-US" w:eastAsia="zh-CN"/>
                                </w:rPr>
                              </w:pPr>
                              <w:r>
                                <w:rPr>
                                  <w:rStyle w:val="98"/>
                                  <w:rFonts w:hint="eastAsia" w:hAnsi="宋体" w:cs="宋体"/>
                                  <w:szCs w:val="21"/>
                                  <w:lang w:val="en-US" w:eastAsia="zh-CN"/>
                                </w:rPr>
                                <w:t>是</w:t>
                              </w:r>
                            </w:p>
                          </w:txbxContent>
                        </wps:txbx>
                        <wps:bodyPr upright="1"/>
                      </wps:wsp>
                      <wps:wsp>
                        <wps:cNvPr id="1358" name="矩形 536"/>
                        <wps:cNvSpPr/>
                        <wps:spPr>
                          <a:xfrm>
                            <a:off x="10510" y="4326801"/>
                            <a:ext cx="705" cy="468"/>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14:paraId="2A265C75">
                              <w:pPr>
                                <w:pStyle w:val="19"/>
                                <w:rPr>
                                  <w:rFonts w:hint="eastAsia" w:eastAsia="宋体"/>
                                  <w:lang w:val="en-US" w:eastAsia="zh-CN"/>
                                </w:rPr>
                              </w:pPr>
                              <w:r>
                                <w:rPr>
                                  <w:rFonts w:hint="eastAsia"/>
                                  <w:lang w:val="en-US" w:eastAsia="zh-CN"/>
                                </w:rPr>
                                <w:t>是</w:t>
                              </w:r>
                            </w:p>
                            <w:p w14:paraId="52EF7C2B">
                              <w:pPr>
                                <w:pStyle w:val="99"/>
                                <w:ind w:left="209" w:leftChars="87" w:firstLine="350" w:firstLineChars="167"/>
                                <w:jc w:val="both"/>
                                <w:rPr>
                                  <w:rStyle w:val="98"/>
                                  <w:bCs w:val="0"/>
                                </w:rPr>
                              </w:pPr>
                              <w:r>
                                <w:rPr>
                                  <w:rStyle w:val="98"/>
                                  <w:bCs w:val="0"/>
                                </w:rPr>
                                <w:t>Y</w:t>
                              </w:r>
                            </w:p>
                            <w:p w14:paraId="78BCE190">
                              <w:pPr>
                                <w:pStyle w:val="99"/>
                                <w:ind w:left="209" w:leftChars="87" w:firstLine="350" w:firstLineChars="167"/>
                                <w:jc w:val="both"/>
                                <w:rPr>
                                  <w:rStyle w:val="98"/>
                                  <w:bCs w:val="0"/>
                                </w:rPr>
                              </w:pPr>
                            </w:p>
                          </w:txbxContent>
                        </wps:txbx>
                        <wps:bodyPr upright="1"/>
                      </wps:wsp>
                      <wps:wsp>
                        <wps:cNvPr id="1359" name="矩形 531"/>
                        <wps:cNvSpPr/>
                        <wps:spPr>
                          <a:xfrm>
                            <a:off x="12352" y="4325696"/>
                            <a:ext cx="618" cy="648"/>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14:paraId="0A7DF4FE">
                              <w:pPr>
                                <w:pStyle w:val="99"/>
                                <w:ind w:firstLine="105" w:firstLineChars="50"/>
                                <w:jc w:val="both"/>
                                <w:rPr>
                                  <w:rFonts w:hint="eastAsia" w:eastAsia="宋体"/>
                                  <w:lang w:val="en-US" w:eastAsia="zh-CN"/>
                                </w:rPr>
                              </w:pPr>
                              <w:r>
                                <w:rPr>
                                  <w:rStyle w:val="98"/>
                                  <w:rFonts w:hint="eastAsia"/>
                                  <w:bCs w:val="0"/>
                                  <w:lang w:val="en-US" w:eastAsia="zh-CN"/>
                                </w:rPr>
                                <w:t>负</w:t>
                              </w:r>
                            </w:p>
                          </w:txbxContent>
                        </wps:txbx>
                        <wps:bodyPr upright="1"/>
                      </wps:wsp>
                      <wps:wsp>
                        <wps:cNvPr id="1360" name="矩形 519"/>
                        <wps:cNvSpPr/>
                        <wps:spPr>
                          <a:xfrm>
                            <a:off x="13146" y="4322182"/>
                            <a:ext cx="686" cy="468"/>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14:paraId="69ED6A39">
                              <w:pPr>
                                <w:pStyle w:val="131"/>
                                <w:rPr>
                                  <w:rFonts w:hint="eastAsia" w:eastAsia="宋体"/>
                                  <w:lang w:val="en-US" w:eastAsia="zh-CN"/>
                                </w:rPr>
                              </w:pPr>
                              <w:r>
                                <w:rPr>
                                  <w:rStyle w:val="98"/>
                                  <w:rFonts w:hint="eastAsia" w:hAnsi="宋体" w:cs="宋体"/>
                                  <w:lang w:val="en-US" w:eastAsia="zh-CN"/>
                                </w:rPr>
                                <w:t>否</w:t>
                              </w:r>
                            </w:p>
                          </w:txbxContent>
                        </wps:txbx>
                        <wps:bodyPr upright="1"/>
                      </wps:wsp>
                    </wpg:wgp>
                  </a:graphicData>
                </a:graphic>
              </wp:anchor>
            </w:drawing>
          </mc:Choice>
          <mc:Fallback>
            <w:pict>
              <v:group id="组合 586" o:spid="_x0000_s1026" o:spt="203" style="position:absolute;left:0pt;margin-left:-2.45pt;margin-top:33.45pt;height:589.45pt;width:425.4pt;mso-wrap-distance-bottom:0pt;mso-wrap-distance-top:0pt;z-index:251678720;mso-width-relative:page;mso-height-relative:page;" coordorigin="7390,4316559" coordsize="8460,11120" o:gfxdata="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">
                <o:lock v:ext="edit" aspectratio="f"/>
                <v:rect id="矩形 156" o:spid="_x0000_s1026" o:spt="1" style="position:absolute;left:8261;top:4324524;height:837;width:6300;" fillcolor="#FFFFFF" filled="t" stroked="t" coordsize="21600,21600" o:gfxdata="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8kI7r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7109CD4C">
                        <w:pPr>
                          <w:pStyle w:val="99"/>
                          <w:ind w:firstLine="643"/>
                          <w:jc w:val="both"/>
                        </w:pPr>
                        <w:r>
                          <w:rPr>
                            <w:rStyle w:val="98"/>
                            <w:rFonts w:hint="eastAsia"/>
                            <w:bCs w:val="0"/>
                          </w:rPr>
                          <w:t>工艺流程按章操作；各工序阶段应有专门安全要求；严格按安全技术规程施工；严格执行各种工</w:t>
                        </w:r>
                        <w:r>
                          <w:rPr>
                            <w:rFonts w:hint="eastAsia"/>
                          </w:rPr>
                          <w:t>种、设备安全操作规程。</w:t>
                        </w:r>
                      </w:p>
                    </w:txbxContent>
                  </v:textbox>
                </v:rect>
                <v:shape id="自选图形 158" o:spid="_x0000_s1026" o:spt="4" type="#_x0000_t4" style="position:absolute;left:10449;top:4325704;height:1248;width:1800;" fillcolor="#FFFFFF" filled="t" stroked="t" coordsize="21600,21600" o:gfxdata="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xtG/&#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5936F02D">
                        <w:pPr>
                          <w:pStyle w:val="99"/>
                          <w:ind w:firstLine="210" w:firstLineChars="100"/>
                          <w:jc w:val="both"/>
                        </w:pPr>
                        <w:r>
                          <w:rPr>
                            <w:rFonts w:hint="eastAsia"/>
                          </w:rPr>
                          <w:t>合格</w:t>
                        </w:r>
                      </w:p>
                    </w:txbxContent>
                  </v:textbox>
                </v:shape>
                <v:rect id="矩形 154" o:spid="_x0000_s1026" o:spt="1" style="position:absolute;left:8076;top:4323409;height:825;width:6480;" fillcolor="#FFFFFF" filled="t" stroked="t" coordsize="21600,21600" o:gfxdata="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mkjW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76D832B5">
                        <w:pPr>
                          <w:pStyle w:val="99"/>
                          <w:ind w:firstLine="643"/>
                          <w:jc w:val="both"/>
                        </w:pPr>
                        <w:r>
                          <w:rPr>
                            <w:rStyle w:val="98"/>
                            <w:rFonts w:hint="eastAsia"/>
                            <w:bCs w:val="0"/>
                          </w:rPr>
                          <w:t>安全技术交底：重大施工危险作业编制专门安全施工方案、向施工人员清楚交底并签字记录；各类危险作业均须安全技术交底</w:t>
                        </w:r>
                        <w:r>
                          <w:rPr>
                            <w:rFonts w:hint="eastAsia"/>
                          </w:rPr>
                          <w:t>。</w:t>
                        </w:r>
                      </w:p>
                    </w:txbxContent>
                  </v:textbox>
                </v:rect>
                <v:shape id="自选图形 150" o:spid="_x0000_s1026" o:spt="4" type="#_x0000_t4" style="position:absolute;left:10629;top:4322141;height:936;width:1440;" fillcolor="#FFFFFF" filled="t" stroked="t" coordsize="21600,21600" o:gfxdata="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eH9Pb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58052FC5">
                        <w:pPr>
                          <w:pStyle w:val="99"/>
                          <w:jc w:val="both"/>
                        </w:pPr>
                        <w:r>
                          <w:rPr>
                            <w:rStyle w:val="98"/>
                            <w:rFonts w:hint="eastAsia"/>
                            <w:bCs w:val="0"/>
                          </w:rPr>
                          <w:t>合</w:t>
                        </w:r>
                        <w:r>
                          <w:rPr>
                            <w:rFonts w:hint="eastAsia"/>
                          </w:rPr>
                          <w:t>格</w:t>
                        </w:r>
                      </w:p>
                    </w:txbxContent>
                  </v:textbox>
                </v:shape>
                <v:rect id="矩形 1831" o:spid="_x0000_s1026" o:spt="1" style="position:absolute;left:13120;top:4325978;height:468;width:2340;" fillcolor="#FFFFFF" filled="t" stroked="t" coordsize="21600,21600" o:gfxdata="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KnZ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CA1F45C">
                        <w:pPr>
                          <w:pStyle w:val="99"/>
                          <w:jc w:val="both"/>
                        </w:pPr>
                        <w:r>
                          <w:rPr>
                            <w:rStyle w:val="98"/>
                            <w:rFonts w:hint="eastAsia"/>
                            <w:bCs w:val="0"/>
                          </w:rPr>
                          <w:t>发生工伤、机损事</w:t>
                        </w:r>
                        <w:r>
                          <w:rPr>
                            <w:rFonts w:hint="eastAsia"/>
                          </w:rPr>
                          <w:t>故</w:t>
                        </w:r>
                      </w:p>
                    </w:txbxContent>
                  </v:textbox>
                </v:rect>
                <v:rect id="矩形 1832" o:spid="_x0000_s1026" o:spt="1" style="position:absolute;left:7930;top:4320929;height:1048;width:6511;" fillcolor="#FFFFFF" filled="t" stroked="t" coordsize="21600,21600" o:gfxdata="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RMa2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2473A5C8">
                        <w:pPr>
                          <w:pStyle w:val="99"/>
                          <w:jc w:val="both"/>
                        </w:pPr>
                        <w:r>
                          <w:rPr>
                            <w:rStyle w:val="98"/>
                            <w:rFonts w:hint="eastAsia"/>
                            <w:bCs w:val="0"/>
                          </w:rPr>
                          <w:t>安全检查：项目部按日常检查、旬、月度检查；专项检查、节假日和季节性检查；整改查处各类隐患；狠</w:t>
                        </w:r>
                        <w:r>
                          <w:rPr>
                            <w:rFonts w:hint="eastAsia"/>
                          </w:rPr>
                          <w:t>抓“三违”；记录齐全；实施奖罚。</w:t>
                        </w:r>
                      </w:p>
                    </w:txbxContent>
                  </v:textbox>
                </v:rect>
                <v:shape id="文本框 145" o:spid="_x0000_s1026" o:spt="202" type="#_x0000_t202" style="position:absolute;left:7930;top:4319645;height:1160;width:6480;" fillcolor="#FFFFFF" filled="t" stroked="t" coordsize="21600,21600" o:gfxdata="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4ZUG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CB45638">
                        <w:pPr>
                          <w:pStyle w:val="99"/>
                          <w:jc w:val="both"/>
                          <w:rPr>
                            <w:rStyle w:val="98"/>
                            <w:rFonts w:hint="eastAsia" w:hAnsi="Times New Roman" w:cs="Times New Roman"/>
                            <w:bCs w:val="0"/>
                          </w:rPr>
                        </w:pPr>
                        <w:r>
                          <w:rPr>
                            <w:rStyle w:val="98"/>
                            <w:rFonts w:hint="eastAsia"/>
                            <w:bCs w:val="0"/>
                            <w:color w:val="000000" w:themeColor="text1"/>
                            <w:sz w:val="20"/>
                            <w:szCs w:val="18"/>
                            <w14:textFill>
                              <w14:solidFill>
                                <w14:schemeClr w14:val="tx1"/>
                              </w14:solidFill>
                            </w14:textFill>
                          </w:rPr>
                          <w:t>专</w:t>
                        </w:r>
                        <w:r>
                          <w:rPr>
                            <w:rStyle w:val="98"/>
                            <w:rFonts w:hint="eastAsia" w:hAnsi="Times New Roman" w:cs="Times New Roman"/>
                            <w:bCs w:val="0"/>
                          </w:rPr>
                          <w:t>项施工安全措施、</w:t>
                        </w:r>
                        <w:r>
                          <w:rPr>
                            <w:rStyle w:val="98"/>
                            <w:rFonts w:hint="eastAsia" w:hAnsi="Times New Roman" w:cs="Times New Roman"/>
                            <w:bCs w:val="0"/>
                            <w:lang w:eastAsia="zh-CN"/>
                          </w:rPr>
                          <w:t>编制安全管理制度并严格监督制度落实，</w:t>
                        </w:r>
                        <w:r>
                          <w:rPr>
                            <w:rStyle w:val="98"/>
                            <w:rFonts w:hint="eastAsia" w:hAnsi="Times New Roman" w:cs="Times New Roman"/>
                            <w:bCs w:val="0"/>
                          </w:rPr>
                          <w:t>安全技术交底、操作规程；</w:t>
                        </w:r>
                        <w:r>
                          <w:rPr>
                            <w:rStyle w:val="98"/>
                            <w:rFonts w:hint="eastAsia" w:hAnsi="Times New Roman" w:cs="Times New Roman"/>
                            <w:bCs w:val="0"/>
                            <w:lang w:eastAsia="zh-CN"/>
                          </w:rPr>
                          <w:t>加强</w:t>
                        </w:r>
                        <w:r>
                          <w:rPr>
                            <w:rStyle w:val="98"/>
                            <w:rFonts w:hint="eastAsia" w:hAnsi="Times New Roman" w:cs="Times New Roman"/>
                            <w:bCs w:val="0"/>
                          </w:rPr>
                          <w:t>四口五临边安全防护；用电安全管理；特种作业持证上岗；编制应急预案并</w:t>
                        </w:r>
                        <w:r>
                          <w:rPr>
                            <w:rStyle w:val="98"/>
                            <w:rFonts w:hint="eastAsia" w:hAnsi="Times New Roman" w:cs="Times New Roman"/>
                            <w:bCs w:val="0"/>
                            <w:lang w:eastAsia="zh-CN"/>
                          </w:rPr>
                          <w:t>组织演练和</w:t>
                        </w:r>
                        <w:r>
                          <w:rPr>
                            <w:rStyle w:val="98"/>
                            <w:rFonts w:hint="eastAsia" w:hAnsi="Times New Roman" w:cs="Times New Roman"/>
                            <w:bCs w:val="0"/>
                          </w:rPr>
                          <w:t>落实</w:t>
                        </w:r>
                        <w:r>
                          <w:rPr>
                            <w:rStyle w:val="98"/>
                            <w:rFonts w:hint="eastAsia" w:hAnsi="Times New Roman" w:cs="Times New Roman"/>
                            <w:bCs w:val="0"/>
                            <w:lang w:eastAsia="zh-CN"/>
                          </w:rPr>
                          <w:t>应急物资储备，建设标准化工地</w:t>
                        </w:r>
                        <w:r>
                          <w:rPr>
                            <w:rStyle w:val="98"/>
                            <w:rFonts w:hint="eastAsia" w:hAnsi="Times New Roman" w:cs="Times New Roman"/>
                            <w:bCs w:val="0"/>
                          </w:rPr>
                          <w:t>。</w:t>
                        </w:r>
                      </w:p>
                    </w:txbxContent>
                  </v:textbox>
                </v:shape>
                <v:shape id="文本框 141" o:spid="_x0000_s1026" o:spt="202" type="#_x0000_t202" style="position:absolute;left:7913;top:4318609;height:833;width:6480;" fillcolor="#FFFFFF" filled="t" stroked="t" coordsize="21600,21600" o:gfxdata="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Mwtx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03C2339">
                        <w:pPr>
                          <w:spacing w:line="240" w:lineRule="auto"/>
                          <w:ind w:left="0" w:leftChars="0" w:firstLine="0" w:firstLineChars="0"/>
                          <w:rPr>
                            <w:sz w:val="21"/>
                          </w:rPr>
                        </w:pPr>
                        <w:r>
                          <w:rPr>
                            <w:rFonts w:hint="eastAsia"/>
                            <w:sz w:val="21"/>
                          </w:rPr>
                          <w:t>工程危险点分析：高处作业、起重安装大型箱梁、临河作业、场内车辆作业、特种作业（登高架设、电工、起重、电焊等）。</w:t>
                        </w:r>
                      </w:p>
                    </w:txbxContent>
                  </v:textbox>
                </v:shape>
                <v:group id="组合 595" o:spid="_x0000_s1026" o:spt="203" style="position:absolute;left:7390;top:4316559;height:10903;width:8460;" coordorigin="2785,2159313" coordsize="8460,10903" o:gfxdata="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DV6tzvAAAAN0AAAAPAAAAAAAAAAEAIAAAACIAAABkcnMvZG93bnJldi54bWxQ&#10;SwECFAAUAAAACACHTuJAMy8FnjsAAAA5AAAAFQAAAAAAAAABACAAAAALAQAAZHJzL2dyb3Vwc2hh&#10;cGV4bWwueG1sUEsFBgAAAAAGAAYAYAEAAMgDAAAAAA==&#10;">
                  <o:lock v:ext="edit" aspectratio="f"/>
                  <v:line id="直线 1836" o:spid="_x0000_s1026" o:spt="20" style="position:absolute;left:10705;top:2159802;flip:x;height:1;width:540;" filled="f" stroked="t" coordsize="21600,21600" o:gfxdata="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8cGur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35" o:spid="_x0000_s1026" o:spt="20" style="position:absolute;left:11189;top:2159829;flip:x;height:8982;width:43;" filled="f" stroked="t" coordsize="21600,21600" o:gfxdata="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8YOcO/&#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151" o:spid="_x0000_s1026" o:spt="20" style="position:absolute;left:7480;top:2165292;height:1;width:3060;" filled="f" stroked="t" coordsize="21600,21600" o:gfxdata="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UeXm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142" o:spid="_x0000_s1026" o:spt="20" style="position:absolute;left:10525;top:2161893;flip:x;height:3344;width:1;" filled="f" stroked="t" coordsize="21600,21600" o:gfxdata="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aEa4&#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直线 1840" o:spid="_x0000_s1026" o:spt="20" style="position:absolute;left:9805;top:2161893;flip:x;height:1;width:720;" filled="f" stroked="t" coordsize="21600,21600" o:gfxdata="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2RIK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841" o:spid="_x0000_s1026" o:spt="20" style="position:absolute;left:6744;top:2165690;height:542;width:1;" filled="f" stroked="t" coordsize="21600,21600" o:gfxdata="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AHm7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48" o:spid="_x0000_s1026" o:spt="20" style="position:absolute;left:6745;top:2164358;height:624;width:1;" filled="f" stroked="t" coordsize="21600,21600" o:gfxdata="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yiA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843" o:spid="_x0000_s1026" o:spt="20" style="position:absolute;left:6759;top:2166900;height:468;width:1;" filled="f" stroked="t" coordsize="21600,21600" o:gfxdata="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U6d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844" o:spid="_x0000_s1026" o:spt="20" style="position:absolute;left:6652;top:2163274;height:468;width:1;" filled="f" stroked="t" coordsize="21600,21600" o:gfxdata="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4Zn++/&#10;AAAA3Q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44" o:spid="_x0000_s1026" o:spt="20" style="position:absolute;left:6670;top:2162113;height:345;width:1;" filled="f" stroked="t" coordsize="21600,21600" o:gfxdata="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ssBmL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40" o:spid="_x0000_s1026" o:spt="20" style="position:absolute;left:6651;top:2160854;height:570;width:1;" filled="f" stroked="t" coordsize="21600,21600" o:gfxdata="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HpAO/&#10;AAAA3Q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847" o:spid="_x0000_s1026" o:spt="20" style="position:absolute;left:6745;top:2168000;height:468;width:1;" filled="f" stroked="t" coordsize="21600,21600" o:gfxdata="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Bgw&#10;ccEAAADd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直线 160" o:spid="_x0000_s1026" o:spt="20" style="position:absolute;left:10870;top:2168778;height:1;width:360;" filled="f" stroked="t" coordsize="21600,21600" o:gfxdata="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IKB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138" o:spid="_x0000_s1026" o:spt="20" style="position:absolute;left:6701;top:2159922;flip:x;height:279;width:18;" filled="f" stroked="t" coordsize="21600,21600" o:gfxdata="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8Xtu&#10;wAAAAN0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162" o:spid="_x0000_s1026" o:spt="20" style="position:absolute;left:7630;top:2168958;height:1;width:900;" filled="f" stroked="t" coordsize="21600,21600" o:gfxdata="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PsPM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文本框 137" o:spid="_x0000_s1026" o:spt="202" type="#_x0000_t202" style="position:absolute;left:2785;top:2159313;height:769;width:7920;" fillcolor="#FFFFFF" filled="t" stroked="t" coordsize="21600,21600" o:gfxdata="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1+jS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EED14CA">
                          <w:pPr>
                            <w:pStyle w:val="99"/>
                            <w:ind w:firstLine="480"/>
                            <w:jc w:val="left"/>
                          </w:pPr>
                          <w:r>
                            <w:rPr>
                              <w:rFonts w:hint="eastAsia"/>
                            </w:rPr>
                            <w:t>安全目标：杜绝死亡性安全生产责任事故，千万元重伤率控制在</w:t>
                          </w:r>
                          <w:r>
                            <w:t>0.02</w:t>
                          </w:r>
                          <w:r>
                            <w:rPr>
                              <w:rFonts w:hint="eastAsia"/>
                            </w:rPr>
                            <w:t>以下，千万元轻伤率控制在</w:t>
                          </w:r>
                          <w:r>
                            <w:t>0.1</w:t>
                          </w:r>
                          <w:r>
                            <w:rPr>
                              <w:rFonts w:hint="eastAsia"/>
                            </w:rPr>
                            <w:t>以下。</w:t>
                          </w:r>
                        </w:p>
                      </w:txbxContent>
                    </v:textbox>
                  </v:shape>
                  <v:line id="直线 164" o:spid="_x0000_s1026" o:spt="20" style="position:absolute;left:6719;top:2169592;height:624;width:1;" filled="f" stroked="t" coordsize="21600,21600" o:gfxdata="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2U03b4A&#10;AADd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group>
                <v:shape id="文本框 139" o:spid="_x0000_s1026" o:spt="202" type="#_x0000_t202" style="position:absolute;left:7966;top:4317494;height:770;width:6444;" fillcolor="#FFFFFF" filled="t" stroked="t" coordsize="21600,21600" o:gfxdata="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PnCm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662AACD">
                        <w:pPr>
                          <w:pStyle w:val="99"/>
                          <w:jc w:val="both"/>
                        </w:pPr>
                        <w:r>
                          <w:rPr>
                            <w:rStyle w:val="98"/>
                            <w:rFonts w:hint="eastAsia"/>
                            <w:bCs w:val="0"/>
                          </w:rPr>
                          <w:t>安全教育培训：坚持安全例会制度；新职工岗前安全教育、特种作业人员培训发证；施工安全技术</w:t>
                        </w:r>
                        <w:r>
                          <w:rPr>
                            <w:rFonts w:hint="eastAsia"/>
                          </w:rPr>
                          <w:t>教育、专职安全员培训。</w:t>
                        </w:r>
                      </w:p>
                    </w:txbxContent>
                  </v:textbox>
                </v:shape>
                <v:rect id="矩形 165" o:spid="_x0000_s1026" o:spt="1" style="position:absolute;left:7913;top:4327085;height:595;width:6900;" fillcolor="#FFFFFF" filled="t" stroked="t" coordsize="21600,21600" o:gfxdata="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Q7+G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0A1B9A17">
                        <w:pPr>
                          <w:tabs>
                            <w:tab w:val="left" w:pos="6825"/>
                          </w:tabs>
                          <w:ind w:firstLine="210" w:firstLineChars="100"/>
                        </w:pPr>
                        <w:r>
                          <w:rPr>
                            <w:rStyle w:val="98"/>
                            <w:rFonts w:hint="eastAsia" w:hAnsi="宋体" w:cs="宋体"/>
                            <w:bCs/>
                          </w:rPr>
                          <w:t>总结推广：月季年度总结；节点工序完成后安全总结；交流推广。</w:t>
                        </w:r>
                      </w:p>
                    </w:txbxContent>
                  </v:textbox>
                </v:rect>
                <v:rect id="矩形 523" o:spid="_x0000_s1026" o:spt="1" style="position:absolute;left:10886;top:4322936;height:468;width:386;" fillcolor="#FFFFFF" filled="t" stroked="t" coordsize="21600,21600" o:gfxdata="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RQ5MrsAAADd&#10;AAAADwAAAAAAAAABACAAAAAiAAAAZHJzL2Rvd25yZXYueG1sUEsBAhQAFAAAAAgAh07iQDMvBZ47&#10;AAAAOQAAABAAAAAAAAAAAQAgAAAACgEAAGRycy9zaGFwZXhtbC54bWxQSwUGAAAAAAYABgBbAQAA&#10;tAMAAAAA&#10;">
                  <v:fill on="t" opacity="0f" focussize="0,0"/>
                  <v:stroke color="#FFFFFF" joinstyle="miter"/>
                  <v:imagedata o:title=""/>
                  <o:lock v:ext="edit" aspectratio="f"/>
                  <v:textbox>
                    <w:txbxContent>
                      <w:p w14:paraId="173D3F9A">
                        <w:pPr>
                          <w:pStyle w:val="19"/>
                          <w:rPr>
                            <w:rFonts w:hint="eastAsia" w:eastAsia="宋体"/>
                            <w:lang w:val="en-US" w:eastAsia="zh-CN"/>
                          </w:rPr>
                        </w:pPr>
                        <w:r>
                          <w:rPr>
                            <w:rStyle w:val="98"/>
                            <w:rFonts w:hint="eastAsia" w:hAnsi="宋体" w:cs="宋体"/>
                            <w:szCs w:val="21"/>
                            <w:lang w:val="en-US" w:eastAsia="zh-CN"/>
                          </w:rPr>
                          <w:t>是</w:t>
                        </w:r>
                      </w:p>
                    </w:txbxContent>
                  </v:textbox>
                </v:rect>
                <v:rect id="矩形 536" o:spid="_x0000_s1026" o:spt="1" style="position:absolute;left:10510;top:4326801;height:468;width:705;" fillcolor="#FFFFFF" filled="t" stroked="t" coordsize="21600,21600" o:gfxdata="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i61AvQAA&#10;AN0AAAAPAAAAAAAAAAEAIAAAACIAAABkcnMvZG93bnJldi54bWxQSwECFAAUAAAACACHTuJAMy8F&#10;njsAAAA5AAAAEAAAAAAAAAABACAAAAAMAQAAZHJzL3NoYXBleG1sLnhtbFBLBQYAAAAABgAGAFsB&#10;AAC2AwAAAAA=&#10;">
                  <v:fill on="t" opacity="0f" focussize="0,0"/>
                  <v:stroke color="#FFFFFF" joinstyle="miter"/>
                  <v:imagedata o:title=""/>
                  <o:lock v:ext="edit" aspectratio="f"/>
                  <v:textbox>
                    <w:txbxContent>
                      <w:p w14:paraId="2A265C75">
                        <w:pPr>
                          <w:pStyle w:val="19"/>
                          <w:rPr>
                            <w:rFonts w:hint="eastAsia" w:eastAsia="宋体"/>
                            <w:lang w:val="en-US" w:eastAsia="zh-CN"/>
                          </w:rPr>
                        </w:pPr>
                        <w:r>
                          <w:rPr>
                            <w:rFonts w:hint="eastAsia"/>
                            <w:lang w:val="en-US" w:eastAsia="zh-CN"/>
                          </w:rPr>
                          <w:t>是</w:t>
                        </w:r>
                      </w:p>
                      <w:p w14:paraId="52EF7C2B">
                        <w:pPr>
                          <w:pStyle w:val="99"/>
                          <w:ind w:left="209" w:leftChars="87" w:firstLine="350" w:firstLineChars="167"/>
                          <w:jc w:val="both"/>
                          <w:rPr>
                            <w:rStyle w:val="98"/>
                            <w:bCs w:val="0"/>
                          </w:rPr>
                        </w:pPr>
                        <w:r>
                          <w:rPr>
                            <w:rStyle w:val="98"/>
                            <w:bCs w:val="0"/>
                          </w:rPr>
                          <w:t>Y</w:t>
                        </w:r>
                      </w:p>
                      <w:p w14:paraId="78BCE190">
                        <w:pPr>
                          <w:pStyle w:val="99"/>
                          <w:ind w:left="209" w:leftChars="87" w:firstLine="350" w:firstLineChars="167"/>
                          <w:jc w:val="both"/>
                          <w:rPr>
                            <w:rStyle w:val="98"/>
                            <w:bCs w:val="0"/>
                          </w:rPr>
                        </w:pPr>
                      </w:p>
                    </w:txbxContent>
                  </v:textbox>
                </v:rect>
                <v:rect id="矩形 531" o:spid="_x0000_s1026" o:spt="1" style="position:absolute;left:12352;top:4325696;height:648;width:618;" fillcolor="#FFFFFF" filled="t" stroked="t" coordsize="21600,21600" o:gfxdata="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8cI27sAAADd&#10;AAAADwAAAAAAAAABACAAAAAiAAAAZHJzL2Rvd25yZXYueG1sUEsBAhQAFAAAAAgAh07iQDMvBZ47&#10;AAAAOQAAABAAAAAAAAAAAQAgAAAACgEAAGRycy9zaGFwZXhtbC54bWxQSwUGAAAAAAYABgBbAQAA&#10;tAMAAAAA&#10;">
                  <v:fill on="t" opacity="0f" focussize="0,0"/>
                  <v:stroke color="#FFFFFF" joinstyle="miter"/>
                  <v:imagedata o:title=""/>
                  <o:lock v:ext="edit" aspectratio="f"/>
                  <v:textbox>
                    <w:txbxContent>
                      <w:p w14:paraId="0A7DF4FE">
                        <w:pPr>
                          <w:pStyle w:val="99"/>
                          <w:ind w:firstLine="105" w:firstLineChars="50"/>
                          <w:jc w:val="both"/>
                          <w:rPr>
                            <w:rFonts w:hint="eastAsia" w:eastAsia="宋体"/>
                            <w:lang w:val="en-US" w:eastAsia="zh-CN"/>
                          </w:rPr>
                        </w:pPr>
                        <w:r>
                          <w:rPr>
                            <w:rStyle w:val="98"/>
                            <w:rFonts w:hint="eastAsia"/>
                            <w:bCs w:val="0"/>
                            <w:lang w:val="en-US" w:eastAsia="zh-CN"/>
                          </w:rPr>
                          <w:t>负</w:t>
                        </w:r>
                      </w:p>
                    </w:txbxContent>
                  </v:textbox>
                </v:rect>
                <v:rect id="矩形 519" o:spid="_x0000_s1026" o:spt="1" style="position:absolute;left:13146;top:4322182;height:468;width:686;" fillcolor="#FFFFFF" filled="t" stroked="t" coordsize="21600,21600" o:gfxdata="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kWv7vQAA&#10;AN0AAAAPAAAAAAAAAAEAIAAAACIAAABkcnMvZG93bnJldi54bWxQSwECFAAUAAAACACHTuJAMy8F&#10;njsAAAA5AAAAEAAAAAAAAAABACAAAAAMAQAAZHJzL3NoYXBleG1sLnhtbFBLBQYAAAAABgAGAFsB&#10;AAC2AwAAAAA=&#10;">
                  <v:fill on="t" opacity="0f" focussize="0,0"/>
                  <v:stroke color="#FFFFFF" joinstyle="miter"/>
                  <v:imagedata o:title=""/>
                  <o:lock v:ext="edit" aspectratio="f"/>
                  <v:textbox>
                    <w:txbxContent>
                      <w:p w14:paraId="69ED6A39">
                        <w:pPr>
                          <w:pStyle w:val="131"/>
                          <w:rPr>
                            <w:rFonts w:hint="eastAsia" w:eastAsia="宋体"/>
                            <w:lang w:val="en-US" w:eastAsia="zh-CN"/>
                          </w:rPr>
                        </w:pPr>
                        <w:r>
                          <w:rPr>
                            <w:rStyle w:val="98"/>
                            <w:rFonts w:hint="eastAsia" w:hAnsi="宋体" w:cs="宋体"/>
                            <w:lang w:val="en-US" w:eastAsia="zh-CN"/>
                          </w:rPr>
                          <w:t>否</w:t>
                        </w:r>
                      </w:p>
                    </w:txbxContent>
                  </v:textbox>
                </v:rect>
                <w10:wrap type="topAndBottom"/>
              </v:group>
            </w:pict>
          </mc:Fallback>
        </mc:AlternateContent>
      </w:r>
      <w:r>
        <w:rPr>
          <w:rFonts w:hint="eastAsia"/>
          <w:b/>
          <w:bCs/>
        </w:rPr>
        <w:t>安全生产保证体系</w:t>
      </w:r>
    </w:p>
    <w:p w14:paraId="586B4381">
      <w:pPr>
        <w:ind w:firstLine="482"/>
        <w:rPr>
          <w:b/>
          <w:bCs/>
        </w:rPr>
      </w:pPr>
      <w:r>
        <w:rPr>
          <w:rFonts w:hint="eastAsia"/>
          <w:b/>
          <w:bCs/>
        </w:rPr>
        <w:t>一、安全生产责任制度</w:t>
      </w:r>
    </w:p>
    <w:p w14:paraId="2A7955BC">
      <w:pPr>
        <w:ind w:firstLine="480"/>
        <w:rPr>
          <w:rFonts w:hint="eastAsia" w:ascii="宋体" w:hAnsi="宋体" w:cs="宋体"/>
          <w:lang w:val="en-US" w:eastAsia="zh-CN"/>
        </w:rPr>
      </w:pPr>
      <w:r>
        <w:rPr>
          <w:rFonts w:hint="eastAsia" w:ascii="宋体" w:hAnsi="宋体" w:cs="宋体"/>
          <w:lang w:val="en-US" w:eastAsia="zh-CN"/>
        </w:rPr>
        <w:t>建立健全安全生产责任制度、安全生产技术交底制度、加强安全生产教育与培训、做好专项安全技术方案的编制与审批、制定安全生产操作规程，提高和增强安全意识，经常对全员进行遵章守纪的安全教育，建立和完善各级安全生产责任制。</w:t>
      </w:r>
    </w:p>
    <w:p w14:paraId="467B7F59">
      <w:pPr>
        <w:ind w:firstLine="482"/>
        <w:rPr>
          <w:rFonts w:hint="eastAsia"/>
          <w:b/>
          <w:bCs/>
        </w:rPr>
      </w:pPr>
    </w:p>
    <w:p w14:paraId="4B5D3A58">
      <w:pPr>
        <w:ind w:firstLine="482"/>
        <w:rPr>
          <w:rFonts w:hint="eastAsia"/>
          <w:b/>
          <w:bCs/>
        </w:rPr>
      </w:pPr>
      <w:r>
        <w:rPr>
          <w:u w:val="double"/>
        </w:rPr>
        <mc:AlternateContent>
          <mc:Choice Requires="wpg">
            <w:drawing>
              <wp:anchor distT="0" distB="0" distL="114300" distR="114300" simplePos="0" relativeHeight="251674624" behindDoc="0" locked="0" layoutInCell="1" allowOverlap="1">
                <wp:simplePos x="0" y="0"/>
                <wp:positionH relativeFrom="column">
                  <wp:posOffset>184785</wp:posOffset>
                </wp:positionH>
                <wp:positionV relativeFrom="paragraph">
                  <wp:posOffset>86360</wp:posOffset>
                </wp:positionV>
                <wp:extent cx="5842635" cy="5944235"/>
                <wp:effectExtent l="6350" t="6350" r="18415" b="8255"/>
                <wp:wrapTopAndBottom/>
                <wp:docPr id="1166" name="组合 300"/>
                <wp:cNvGraphicFramePr/>
                <a:graphic xmlns:a="http://schemas.openxmlformats.org/drawingml/2006/main">
                  <a:graphicData uri="http://schemas.microsoft.com/office/word/2010/wordprocessingGroup">
                    <wpg:wgp>
                      <wpg:cNvGrpSpPr/>
                      <wpg:grpSpPr>
                        <a:xfrm>
                          <a:off x="0" y="0"/>
                          <a:ext cx="5842635" cy="5944235"/>
                          <a:chOff x="5929" y="4660078"/>
                          <a:chExt cx="8105" cy="6652"/>
                        </a:xfrm>
                      </wpg:grpSpPr>
                      <wps:wsp>
                        <wps:cNvPr id="1079" name="自选图形 280"/>
                        <wps:cNvSpPr/>
                        <wps:spPr>
                          <a:xfrm>
                            <a:off x="10275" y="4660472"/>
                            <a:ext cx="1" cy="29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15"/>
                              <a:gd name="txR" fmla="*/ 1 w 1"/>
                              <a:gd name="txB" fmla="*/ 315 h 315"/>
                            </a:gdLst>
                            <a:ahLst/>
                            <a:cxnLst>
                              <a:cxn ang="0">
                                <a:pos x="G44" y="G45"/>
                              </a:cxn>
                              <a:cxn ang="0">
                                <a:pos x="G48" y="G49"/>
                              </a:cxn>
                              <a:cxn ang="0">
                                <a:pos x="G46" y="G47"/>
                              </a:cxn>
                              <a:cxn ang="0">
                                <a:pos x="G17" y="G18"/>
                              </a:cxn>
                              <a:cxn ang="0">
                                <a:pos x="G24" y="G25"/>
                              </a:cxn>
                              <a:cxn ang="0">
                                <a:pos x="G15" y="G16"/>
                              </a:cxn>
                            </a:cxnLst>
                            <a:rect l="txL" t="txT" r="txR" b="txB"/>
                            <a:pathLst>
                              <a:path w="1" h="315">
                                <a:moveTo>
                                  <a:pt x="0" y="0"/>
                                </a:moveTo>
                                <a:lnTo>
                                  <a:pt x="0" y="315"/>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080" name="文本框 65"/>
                        <wps:cNvSpPr txBox="1"/>
                        <wps:spPr>
                          <a:xfrm>
                            <a:off x="9081" y="4660078"/>
                            <a:ext cx="2372" cy="381"/>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95FD4B7">
                              <w:pPr>
                                <w:pStyle w:val="105"/>
                                <w:rPr>
                                  <w:rFonts w:ascii="宋体"/>
                                  <w:color w:val="000000"/>
                                </w:rPr>
                              </w:pPr>
                              <w:r>
                                <w:rPr>
                                  <w:rFonts w:hint="eastAsia" w:ascii="宋体"/>
                                  <w:color w:val="000000"/>
                                </w:rPr>
                                <w:t>安全</w:t>
                              </w:r>
                              <w:r>
                                <w:rPr>
                                  <w:rFonts w:hint="eastAsia"/>
                                </w:rPr>
                                <w:t>管理</w:t>
                              </w:r>
                              <w:r>
                                <w:rPr>
                                  <w:rFonts w:hint="eastAsia" w:ascii="宋体"/>
                                  <w:color w:val="000000"/>
                                </w:rPr>
                                <w:t>体系</w:t>
                              </w:r>
                            </w:p>
                          </w:txbxContent>
                        </wps:txbx>
                        <wps:bodyPr lIns="0" tIns="0" rIns="0" bIns="0" upright="1"/>
                      </wps:wsp>
                      <wps:wsp>
                        <wps:cNvPr id="1081" name="直线 135"/>
                        <wps:cNvCnPr/>
                        <wps:spPr>
                          <a:xfrm>
                            <a:off x="7855" y="4660767"/>
                            <a:ext cx="2" cy="319"/>
                          </a:xfrm>
                          <a:prstGeom prst="line">
                            <a:avLst/>
                          </a:prstGeom>
                          <a:ln w="12700" cap="flat" cmpd="sng">
                            <a:solidFill>
                              <a:srgbClr val="000000"/>
                            </a:solidFill>
                            <a:prstDash val="solid"/>
                            <a:headEnd type="none" w="med" len="med"/>
                            <a:tailEnd type="none" w="med" len="med"/>
                          </a:ln>
                        </wps:spPr>
                        <wps:bodyPr upright="1"/>
                      </wps:wsp>
                      <wps:wsp>
                        <wps:cNvPr id="1082" name="自选图形 304"/>
                        <wps:cNvSpPr/>
                        <wps:spPr>
                          <a:xfrm>
                            <a:off x="6531" y="4660772"/>
                            <a:ext cx="6962" cy="1"/>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6576"/>
                              <a:gd name="txT" fmla="*/ 0 h 2"/>
                              <a:gd name="txR" fmla="*/ 6576 w 6576"/>
                              <a:gd name="txB" fmla="*/ 2 h 2"/>
                            </a:gdLst>
                            <a:ahLst/>
                            <a:cxnLst>
                              <a:cxn ang="0">
                                <a:pos x="G44" y="G45"/>
                              </a:cxn>
                              <a:cxn ang="0">
                                <a:pos x="G48" y="G49"/>
                              </a:cxn>
                              <a:cxn ang="0">
                                <a:pos x="G46" y="G47"/>
                              </a:cxn>
                              <a:cxn ang="0">
                                <a:pos x="G17" y="G18"/>
                              </a:cxn>
                              <a:cxn ang="0">
                                <a:pos x="G24" y="G25"/>
                              </a:cxn>
                              <a:cxn ang="0">
                                <a:pos x="G15" y="G16"/>
                              </a:cxn>
                            </a:cxnLst>
                            <a:rect l="txL" t="txT" r="txR" b="txB"/>
                            <a:pathLst>
                              <a:path w="6576" h="2">
                                <a:moveTo>
                                  <a:pt x="0" y="2"/>
                                </a:moveTo>
                                <a:lnTo>
                                  <a:pt x="6576" y="0"/>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083" name="自选图形 297"/>
                        <wps:cNvSpPr/>
                        <wps:spPr>
                          <a:xfrm>
                            <a:off x="13466" y="4660782"/>
                            <a:ext cx="1" cy="334"/>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452"/>
                              <a:gd name="txR" fmla="*/ 1 w 1"/>
                              <a:gd name="txB" fmla="*/ 452 h 452"/>
                            </a:gdLst>
                            <a:ahLst/>
                            <a:cxnLst>
                              <a:cxn ang="0">
                                <a:pos x="G44" y="G45"/>
                              </a:cxn>
                              <a:cxn ang="0">
                                <a:pos x="G48" y="G49"/>
                              </a:cxn>
                              <a:cxn ang="0">
                                <a:pos x="G46" y="G47"/>
                              </a:cxn>
                              <a:cxn ang="0">
                                <a:pos x="G17" y="G18"/>
                              </a:cxn>
                              <a:cxn ang="0">
                                <a:pos x="G24" y="G25"/>
                              </a:cxn>
                              <a:cxn ang="0">
                                <a:pos x="G15" y="G16"/>
                              </a:cxn>
                            </a:cxnLst>
                            <a:rect l="txL" t="txT" r="txR" b="txB"/>
                            <a:pathLst>
                              <a:path w="1" h="452">
                                <a:moveTo>
                                  <a:pt x="0" y="0"/>
                                </a:moveTo>
                                <a:lnTo>
                                  <a:pt x="1" y="452"/>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084" name="自选图形 296"/>
                        <wps:cNvSpPr/>
                        <wps:spPr>
                          <a:xfrm flipH="1">
                            <a:off x="10262" y="4660782"/>
                            <a:ext cx="1" cy="321"/>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449"/>
                              <a:gd name="txR" fmla="*/ 1 w 1"/>
                              <a:gd name="txB" fmla="*/ 449 h 449"/>
                            </a:gdLst>
                            <a:ahLst/>
                            <a:cxnLst>
                              <a:cxn ang="0">
                                <a:pos x="G44" y="G45"/>
                              </a:cxn>
                              <a:cxn ang="0">
                                <a:pos x="G48" y="G49"/>
                              </a:cxn>
                              <a:cxn ang="0">
                                <a:pos x="G46" y="G47"/>
                              </a:cxn>
                              <a:cxn ang="0">
                                <a:pos x="G17" y="G18"/>
                              </a:cxn>
                              <a:cxn ang="0">
                                <a:pos x="G24" y="G25"/>
                              </a:cxn>
                              <a:cxn ang="0">
                                <a:pos x="G15" y="G16"/>
                              </a:cxn>
                            </a:cxnLst>
                            <a:rect l="txL" t="txT" r="txR" b="txB"/>
                            <a:pathLst>
                              <a:path w="1" h="449">
                                <a:moveTo>
                                  <a:pt x="0" y="0"/>
                                </a:moveTo>
                                <a:lnTo>
                                  <a:pt x="0" y="449"/>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085" name="直线 986"/>
                        <wps:cNvCnPr/>
                        <wps:spPr>
                          <a:xfrm>
                            <a:off x="6531" y="4660767"/>
                            <a:ext cx="0" cy="319"/>
                          </a:xfrm>
                          <a:prstGeom prst="line">
                            <a:avLst/>
                          </a:prstGeom>
                          <a:ln w="12700" cap="flat" cmpd="sng">
                            <a:solidFill>
                              <a:srgbClr val="000000"/>
                            </a:solidFill>
                            <a:prstDash val="solid"/>
                            <a:headEnd type="none" w="med" len="med"/>
                            <a:tailEnd type="none" w="med" len="med"/>
                          </a:ln>
                        </wps:spPr>
                        <wps:bodyPr upright="1"/>
                      </wps:wsp>
                      <wps:wsp>
                        <wps:cNvPr id="1086" name="直线 987"/>
                        <wps:cNvCnPr/>
                        <wps:spPr>
                          <a:xfrm>
                            <a:off x="11942" y="4660790"/>
                            <a:ext cx="0" cy="306"/>
                          </a:xfrm>
                          <a:prstGeom prst="line">
                            <a:avLst/>
                          </a:prstGeom>
                          <a:ln w="12700" cap="flat" cmpd="sng">
                            <a:solidFill>
                              <a:srgbClr val="000000"/>
                            </a:solidFill>
                            <a:prstDash val="solid"/>
                            <a:headEnd type="none" w="med" len="med"/>
                            <a:tailEnd type="none" w="med" len="med"/>
                          </a:ln>
                        </wps:spPr>
                        <wps:bodyPr upright="1"/>
                      </wps:wsp>
                      <wps:wsp>
                        <wps:cNvPr id="1087" name="文本框 134"/>
                        <wps:cNvSpPr txBox="1"/>
                        <wps:spPr>
                          <a:xfrm>
                            <a:off x="7373" y="4661086"/>
                            <a:ext cx="1284" cy="381"/>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42F91EC3">
                              <w:pPr>
                                <w:pStyle w:val="105"/>
                                <w:rPr>
                                  <w:rFonts w:ascii="黑体" w:eastAsia="黑体"/>
                                  <w:color w:val="000000"/>
                                </w:rPr>
                              </w:pPr>
                              <w:r>
                                <w:rPr>
                                  <w:rFonts w:hint="eastAsia" w:ascii="宋体"/>
                                  <w:color w:val="000000"/>
                                </w:rPr>
                                <w:t>组织</w:t>
                              </w:r>
                              <w:r>
                                <w:rPr>
                                  <w:rFonts w:hint="eastAsia"/>
                                </w:rPr>
                                <w:t>管理</w:t>
                              </w:r>
                              <w:r>
                                <w:rPr>
                                  <w:rFonts w:hint="eastAsia" w:ascii="宋体"/>
                                  <w:color w:val="000000"/>
                                </w:rPr>
                                <w:t>保证</w:t>
                              </w:r>
                            </w:p>
                          </w:txbxContent>
                        </wps:txbx>
                        <wps:bodyPr lIns="0" tIns="0" rIns="0" bIns="0" upright="1"/>
                      </wps:wsp>
                      <wps:wsp>
                        <wps:cNvPr id="1088" name="文本框 70"/>
                        <wps:cNvSpPr txBox="1"/>
                        <wps:spPr>
                          <a:xfrm>
                            <a:off x="12880" y="4661115"/>
                            <a:ext cx="1155" cy="382"/>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FF2D248">
                              <w:pPr>
                                <w:pStyle w:val="105"/>
                                <w:rPr>
                                  <w:rFonts w:ascii="宋体"/>
                                  <w:color w:val="000000"/>
                                </w:rPr>
                              </w:pPr>
                              <w:r>
                                <w:rPr>
                                  <w:rFonts w:hint="eastAsia" w:ascii="宋体"/>
                                  <w:color w:val="000000"/>
                                </w:rPr>
                                <w:t>经济保证</w:t>
                              </w:r>
                            </w:p>
                          </w:txbxContent>
                        </wps:txbx>
                        <wps:bodyPr lIns="0" tIns="0" rIns="0" bIns="0" upright="1"/>
                      </wps:wsp>
                      <wps:wsp>
                        <wps:cNvPr id="1089" name="文本框 69"/>
                        <wps:cNvSpPr txBox="1"/>
                        <wps:spPr>
                          <a:xfrm>
                            <a:off x="8818" y="4661111"/>
                            <a:ext cx="2247" cy="381"/>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453FBA58">
                              <w:pPr>
                                <w:pStyle w:val="105"/>
                                <w:rPr>
                                  <w:rFonts w:ascii="宋体"/>
                                  <w:color w:val="000000"/>
                                </w:rPr>
                              </w:pPr>
                              <w:r>
                                <w:rPr>
                                  <w:rFonts w:hint="eastAsia" w:ascii="宋体"/>
                                  <w:color w:val="000000"/>
                                </w:rPr>
                                <w:t>管理</w:t>
                              </w:r>
                              <w:r>
                                <w:rPr>
                                  <w:rFonts w:hint="eastAsia"/>
                                </w:rPr>
                                <w:t>制度</w:t>
                              </w:r>
                              <w:r>
                                <w:rPr>
                                  <w:rFonts w:hint="eastAsia" w:ascii="宋体"/>
                                  <w:color w:val="000000"/>
                                </w:rPr>
                                <w:t>保证</w:t>
                              </w:r>
                            </w:p>
                          </w:txbxContent>
                        </wps:txbx>
                        <wps:bodyPr lIns="0" tIns="0" rIns="0" bIns="0" upright="1"/>
                      </wps:wsp>
                      <wps:wsp>
                        <wps:cNvPr id="1090" name="文本框 68"/>
                        <wps:cNvSpPr txBox="1"/>
                        <wps:spPr>
                          <a:xfrm>
                            <a:off x="5929" y="4661086"/>
                            <a:ext cx="1284" cy="381"/>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39C1EA34">
                              <w:pPr>
                                <w:pStyle w:val="105"/>
                                <w:rPr>
                                  <w:rFonts w:ascii="宋体"/>
                                  <w:color w:val="000000"/>
                                </w:rPr>
                              </w:pPr>
                              <w:r>
                                <w:rPr>
                                  <w:rFonts w:hint="eastAsia" w:ascii="宋体"/>
                                  <w:color w:val="000000"/>
                                </w:rPr>
                                <w:t>思想</w:t>
                              </w:r>
                              <w:r>
                                <w:rPr>
                                  <w:rFonts w:hint="eastAsia"/>
                                </w:rPr>
                                <w:t>意识</w:t>
                              </w:r>
                              <w:r>
                                <w:rPr>
                                  <w:rFonts w:hint="eastAsia" w:ascii="宋体"/>
                                  <w:color w:val="000000"/>
                                </w:rPr>
                                <w:t>保证</w:t>
                              </w:r>
                            </w:p>
                          </w:txbxContent>
                        </wps:txbx>
                        <wps:bodyPr lIns="0" tIns="0" rIns="0" bIns="0" upright="1"/>
                      </wps:wsp>
                      <wps:wsp>
                        <wps:cNvPr id="1091" name="文本框 67"/>
                        <wps:cNvSpPr txBox="1"/>
                        <wps:spPr>
                          <a:xfrm>
                            <a:off x="11226" y="4661094"/>
                            <a:ext cx="1320" cy="384"/>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30C9193A">
                              <w:pPr>
                                <w:pStyle w:val="105"/>
                                <w:rPr>
                                  <w:rFonts w:ascii="宋体"/>
                                  <w:color w:val="000000"/>
                                </w:rPr>
                              </w:pPr>
                              <w:r>
                                <w:rPr>
                                  <w:rFonts w:hint="eastAsia" w:ascii="宋体"/>
                                  <w:color w:val="000000"/>
                                </w:rPr>
                                <w:t>技术管理保证</w:t>
                              </w:r>
                            </w:p>
                          </w:txbxContent>
                        </wps:txbx>
                        <wps:bodyPr lIns="0" tIns="0" rIns="0" bIns="0" upright="1"/>
                      </wps:wsp>
                      <wps:wsp>
                        <wps:cNvPr id="1092" name="自选图形 356"/>
                        <wps:cNvSpPr/>
                        <wps:spPr>
                          <a:xfrm>
                            <a:off x="6796" y="4661822"/>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093" name="自选图形 353"/>
                        <wps:cNvSpPr/>
                        <wps:spPr>
                          <a:xfrm>
                            <a:off x="6249" y="4661819"/>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094" name="直线 137"/>
                        <wps:cNvCnPr/>
                        <wps:spPr>
                          <a:xfrm>
                            <a:off x="6250" y="4661816"/>
                            <a:ext cx="531" cy="0"/>
                          </a:xfrm>
                          <a:prstGeom prst="line">
                            <a:avLst/>
                          </a:prstGeom>
                          <a:ln w="12700" cap="flat" cmpd="sng">
                            <a:solidFill>
                              <a:srgbClr val="000000"/>
                            </a:solidFill>
                            <a:prstDash val="solid"/>
                            <a:headEnd type="none" w="med" len="med"/>
                            <a:tailEnd type="none" w="med" len="med"/>
                          </a:ln>
                        </wps:spPr>
                        <wps:bodyPr upright="1"/>
                      </wps:wsp>
                      <wps:wsp>
                        <wps:cNvPr id="1095" name="直线 996"/>
                        <wps:cNvCnPr/>
                        <wps:spPr>
                          <a:xfrm flipH="1">
                            <a:off x="6531" y="4661461"/>
                            <a:ext cx="0" cy="353"/>
                          </a:xfrm>
                          <a:prstGeom prst="line">
                            <a:avLst/>
                          </a:prstGeom>
                          <a:ln w="12700" cap="flat" cmpd="sng">
                            <a:solidFill>
                              <a:srgbClr val="000000"/>
                            </a:solidFill>
                            <a:prstDash val="solid"/>
                            <a:headEnd type="none" w="med" len="med"/>
                            <a:tailEnd type="none" w="med" len="med"/>
                          </a:ln>
                        </wps:spPr>
                        <wps:bodyPr upright="1"/>
                      </wps:wsp>
                      <wps:wsp>
                        <wps:cNvPr id="1096" name="直线 997"/>
                        <wps:cNvCnPr/>
                        <wps:spPr>
                          <a:xfrm>
                            <a:off x="13485" y="4661498"/>
                            <a:ext cx="0" cy="510"/>
                          </a:xfrm>
                          <a:prstGeom prst="line">
                            <a:avLst/>
                          </a:prstGeom>
                          <a:ln w="12700" cap="flat" cmpd="sng">
                            <a:solidFill>
                              <a:srgbClr val="000000"/>
                            </a:solidFill>
                            <a:prstDash val="solid"/>
                            <a:headEnd type="none" w="med" len="med"/>
                            <a:tailEnd type="none" w="med" len="med"/>
                          </a:ln>
                        </wps:spPr>
                        <wps:bodyPr upright="1"/>
                      </wps:wsp>
                      <wps:wsp>
                        <wps:cNvPr id="1097" name="直线 78"/>
                        <wps:cNvCnPr/>
                        <wps:spPr>
                          <a:xfrm>
                            <a:off x="10276" y="4661495"/>
                            <a:ext cx="0" cy="492"/>
                          </a:xfrm>
                          <a:prstGeom prst="line">
                            <a:avLst/>
                          </a:prstGeom>
                          <a:ln w="12700" cap="flat" cmpd="sng">
                            <a:solidFill>
                              <a:srgbClr val="000000"/>
                            </a:solidFill>
                            <a:prstDash val="solid"/>
                            <a:headEnd type="none" w="med" len="med"/>
                            <a:tailEnd type="none" w="med" len="med"/>
                          </a:ln>
                        </wps:spPr>
                        <wps:bodyPr upright="1"/>
                      </wps:wsp>
                      <wps:wsp>
                        <wps:cNvPr id="1098" name="直线 999"/>
                        <wps:cNvCnPr/>
                        <wps:spPr>
                          <a:xfrm flipH="1">
                            <a:off x="7855" y="4661501"/>
                            <a:ext cx="1" cy="354"/>
                          </a:xfrm>
                          <a:prstGeom prst="line">
                            <a:avLst/>
                          </a:prstGeom>
                          <a:ln w="12700" cap="flat" cmpd="sng">
                            <a:solidFill>
                              <a:srgbClr val="000000"/>
                            </a:solidFill>
                            <a:prstDash val="solid"/>
                            <a:headEnd type="none" w="med" len="med"/>
                            <a:tailEnd type="none" w="med" len="med"/>
                          </a:ln>
                        </wps:spPr>
                        <wps:bodyPr upright="1"/>
                      </wps:wsp>
                      <wps:wsp>
                        <wps:cNvPr id="1099" name="直线 1000"/>
                        <wps:cNvCnPr/>
                        <wps:spPr>
                          <a:xfrm>
                            <a:off x="11942" y="4661483"/>
                            <a:ext cx="0" cy="509"/>
                          </a:xfrm>
                          <a:prstGeom prst="line">
                            <a:avLst/>
                          </a:prstGeom>
                          <a:ln w="12700" cap="flat" cmpd="sng">
                            <a:solidFill>
                              <a:srgbClr val="000000"/>
                            </a:solidFill>
                            <a:prstDash val="solid"/>
                            <a:headEnd type="none" w="med" len="med"/>
                            <a:tailEnd type="none" w="med" len="med"/>
                          </a:ln>
                        </wps:spPr>
                        <wps:bodyPr upright="1"/>
                      </wps:wsp>
                      <wps:wsp>
                        <wps:cNvPr id="1100" name="文本框 71"/>
                        <wps:cNvSpPr txBox="1"/>
                        <wps:spPr>
                          <a:xfrm>
                            <a:off x="7213" y="4661864"/>
                            <a:ext cx="1284" cy="612"/>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2494E941">
                              <w:pPr>
                                <w:spacing w:line="320" w:lineRule="exact"/>
                                <w:ind w:firstLine="0" w:firstLineChars="0"/>
                                <w:jc w:val="center"/>
                                <w:rPr>
                                  <w:rFonts w:ascii="宋体"/>
                                  <w:color w:val="000000"/>
                                  <w:sz w:val="21"/>
                                </w:rPr>
                              </w:pPr>
                              <w:r>
                                <w:rPr>
                                  <w:rFonts w:hint="eastAsia" w:ascii="宋体"/>
                                  <w:color w:val="000000"/>
                                  <w:sz w:val="21"/>
                                </w:rPr>
                                <w:t>项目部安全</w:t>
                              </w:r>
                            </w:p>
                            <w:p w14:paraId="0DD7BB7F">
                              <w:pPr>
                                <w:spacing w:line="320" w:lineRule="exact"/>
                                <w:ind w:firstLine="0" w:firstLineChars="0"/>
                                <w:jc w:val="center"/>
                                <w:rPr>
                                  <w:rFonts w:ascii="黑体" w:eastAsia="黑体"/>
                                  <w:color w:val="000000"/>
                                </w:rPr>
                              </w:pPr>
                              <w:r>
                                <w:rPr>
                                  <w:rFonts w:hint="eastAsia" w:ascii="宋体"/>
                                  <w:color w:val="000000"/>
                                  <w:sz w:val="21"/>
                                </w:rPr>
                                <w:t>生产领导小组</w:t>
                              </w:r>
                            </w:p>
                          </w:txbxContent>
                        </wps:txbx>
                        <wps:bodyPr lIns="0" tIns="0" rIns="0" bIns="0" upright="1"/>
                      </wps:wsp>
                      <wps:wsp>
                        <wps:cNvPr id="1101" name="直线 1002"/>
                        <wps:cNvCnPr/>
                        <wps:spPr>
                          <a:xfrm>
                            <a:off x="12550" y="4662191"/>
                            <a:ext cx="228" cy="0"/>
                          </a:xfrm>
                          <a:prstGeom prst="line">
                            <a:avLst/>
                          </a:prstGeom>
                          <a:ln w="12700" cap="flat" cmpd="sng">
                            <a:solidFill>
                              <a:srgbClr val="000000"/>
                            </a:solidFill>
                            <a:prstDash val="solid"/>
                            <a:headEnd type="none" w="med" len="med"/>
                            <a:tailEnd type="none" w="med" len="med"/>
                          </a:ln>
                        </wps:spPr>
                        <wps:bodyPr upright="1"/>
                      </wps:wsp>
                      <wps:wsp>
                        <wps:cNvPr id="1102" name="文本框 144"/>
                        <wps:cNvSpPr txBox="1"/>
                        <wps:spPr>
                          <a:xfrm>
                            <a:off x="11373" y="4662000"/>
                            <a:ext cx="1154" cy="384"/>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5C8CE9D">
                              <w:pPr>
                                <w:pStyle w:val="105"/>
                                <w:rPr>
                                  <w:rFonts w:ascii="宋体"/>
                                  <w:color w:val="000000"/>
                                </w:rPr>
                              </w:pPr>
                              <w:r>
                                <w:rPr>
                                  <w:rFonts w:hint="eastAsia"/>
                                </w:rPr>
                                <w:t>安全</w:t>
                              </w:r>
                              <w:r>
                                <w:rPr>
                                  <w:rFonts w:hint="eastAsia" w:ascii="宋体"/>
                                  <w:color w:val="000000"/>
                                </w:rPr>
                                <w:t>技术措施</w:t>
                              </w:r>
                            </w:p>
                          </w:txbxContent>
                        </wps:txbx>
                        <wps:bodyPr lIns="0" tIns="0" rIns="0" bIns="0" upright="1"/>
                      </wps:wsp>
                      <wps:wsp>
                        <wps:cNvPr id="1103" name="文本框 141"/>
                        <wps:cNvSpPr txBox="1"/>
                        <wps:spPr>
                          <a:xfrm>
                            <a:off x="6665" y="4662106"/>
                            <a:ext cx="284" cy="220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1B86F9CC">
                              <w:pPr>
                                <w:spacing w:line="260" w:lineRule="exact"/>
                                <w:ind w:firstLine="31680"/>
                                <w:jc w:val="center"/>
                                <w:rPr>
                                  <w:rFonts w:ascii="黑体" w:eastAsia="黑体"/>
                                  <w:color w:val="000000"/>
                                </w:rPr>
                              </w:pPr>
                            </w:p>
                            <w:p w14:paraId="57B5D7E5">
                              <w:pPr>
                                <w:spacing w:line="260" w:lineRule="exact"/>
                                <w:ind w:firstLine="31680"/>
                                <w:jc w:val="center"/>
                                <w:rPr>
                                  <w:rFonts w:ascii="黑体" w:eastAsia="黑体"/>
                                  <w:color w:val="000000"/>
                                </w:rPr>
                              </w:pPr>
                            </w:p>
                            <w:p w14:paraId="72A28C6F">
                              <w:pPr>
                                <w:pStyle w:val="105"/>
                                <w:rPr>
                                  <w:rFonts w:ascii="宋体"/>
                                  <w:color w:val="000000"/>
                                </w:rPr>
                              </w:pPr>
                              <w:r>
                                <w:rPr>
                                  <w:rFonts w:hint="eastAsia" w:ascii="宋体"/>
                                  <w:color w:val="000000"/>
                                </w:rPr>
                                <w:t>专业</w:t>
                              </w:r>
                              <w:r>
                                <w:rPr>
                                  <w:rFonts w:hint="eastAsia"/>
                                </w:rPr>
                                <w:t>技能</w:t>
                              </w:r>
                              <w:r>
                                <w:rPr>
                                  <w:rFonts w:hint="eastAsia" w:ascii="宋体"/>
                                  <w:color w:val="000000"/>
                                </w:rPr>
                                <w:t>培训</w:t>
                              </w:r>
                            </w:p>
                          </w:txbxContent>
                        </wps:txbx>
                        <wps:bodyPr lIns="0" tIns="36000" rIns="0" bIns="36000" upright="1"/>
                      </wps:wsp>
                      <wps:wsp>
                        <wps:cNvPr id="1104" name="文本框 138"/>
                        <wps:cNvSpPr txBox="1"/>
                        <wps:spPr>
                          <a:xfrm>
                            <a:off x="6116" y="4662104"/>
                            <a:ext cx="285" cy="220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2BB896E1">
                              <w:pPr>
                                <w:pStyle w:val="105"/>
                                <w:rPr>
                                  <w:rFonts w:ascii="宋体"/>
                                  <w:color w:val="000000"/>
                                </w:rPr>
                              </w:pPr>
                              <w:r>
                                <w:rPr>
                                  <w:rFonts w:hint="eastAsia" w:ascii="宋体"/>
                                  <w:color w:val="000000"/>
                                </w:rPr>
                                <w:t>加强安全生产宣传教育</w:t>
                              </w:r>
                            </w:p>
                          </w:txbxContent>
                        </wps:txbx>
                        <wps:bodyPr lIns="0" tIns="36000" rIns="0" bIns="36000" upright="1"/>
                      </wps:wsp>
                      <wps:wsp>
                        <wps:cNvPr id="1105" name="自选图形 289"/>
                        <wps:cNvSpPr/>
                        <wps:spPr>
                          <a:xfrm flipH="1">
                            <a:off x="12764" y="4662197"/>
                            <a:ext cx="1" cy="939"/>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806"/>
                              <a:gd name="txR" fmla="*/ 1 w 1"/>
                              <a:gd name="txB" fmla="*/ 806 h 806"/>
                            </a:gdLst>
                            <a:ahLst/>
                            <a:cxnLst>
                              <a:cxn ang="0">
                                <a:pos x="G44" y="G45"/>
                              </a:cxn>
                              <a:cxn ang="0">
                                <a:pos x="G48" y="G49"/>
                              </a:cxn>
                              <a:cxn ang="0">
                                <a:pos x="G46" y="G47"/>
                              </a:cxn>
                              <a:cxn ang="0">
                                <a:pos x="G17" y="G18"/>
                              </a:cxn>
                              <a:cxn ang="0">
                                <a:pos x="G24" y="G25"/>
                              </a:cxn>
                              <a:cxn ang="0">
                                <a:pos x="G15" y="G16"/>
                              </a:cxn>
                            </a:cxnLst>
                            <a:rect l="txL" t="txT" r="txR" b="txB"/>
                            <a:pathLst>
                              <a:path w="1" h="806">
                                <a:moveTo>
                                  <a:pt x="1" y="0"/>
                                </a:moveTo>
                                <a:lnTo>
                                  <a:pt x="0" y="806"/>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06" name="文本框 73"/>
                        <wps:cNvSpPr txBox="1"/>
                        <wps:spPr>
                          <a:xfrm>
                            <a:off x="12880" y="4662008"/>
                            <a:ext cx="1155" cy="380"/>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4669F46">
                              <w:pPr>
                                <w:pStyle w:val="105"/>
                                <w:rPr>
                                  <w:rFonts w:ascii="楷体_GB2312" w:eastAsia="楷体_GB2312"/>
                                  <w:color w:val="000000"/>
                                </w:rPr>
                              </w:pPr>
                              <w:r>
                                <w:rPr>
                                  <w:rFonts w:hint="eastAsia"/>
                                </w:rPr>
                                <w:t>奖罚</w:t>
                              </w:r>
                              <w:r>
                                <w:rPr>
                                  <w:rFonts w:hint="eastAsia" w:ascii="楷体_GB2312" w:eastAsia="楷体_GB2312"/>
                                  <w:color w:val="000000"/>
                                </w:rPr>
                                <w:t>制度</w:t>
                              </w:r>
                            </w:p>
                          </w:txbxContent>
                        </wps:txbx>
                        <wps:bodyPr lIns="0" tIns="0" rIns="0" bIns="0" upright="1"/>
                      </wps:wsp>
                      <wps:wsp>
                        <wps:cNvPr id="1107" name="文本框 72"/>
                        <wps:cNvSpPr txBox="1"/>
                        <wps:spPr>
                          <a:xfrm>
                            <a:off x="8658" y="4661999"/>
                            <a:ext cx="2568" cy="382"/>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355B4200">
                              <w:pPr>
                                <w:pStyle w:val="105"/>
                                <w:rPr>
                                  <w:rFonts w:ascii="宋体"/>
                                  <w:color w:val="000000"/>
                                </w:rPr>
                              </w:pPr>
                              <w:r>
                                <w:rPr>
                                  <w:rFonts w:hint="eastAsia" w:ascii="宋体"/>
                                  <w:color w:val="000000"/>
                                </w:rPr>
                                <w:t>制定各项安全管理制度</w:t>
                              </w:r>
                            </w:p>
                          </w:txbxContent>
                        </wps:txbx>
                        <wps:bodyPr lIns="0" tIns="0" rIns="0" bIns="0" upright="1"/>
                      </wps:wsp>
                      <wps:wsp>
                        <wps:cNvPr id="1108" name="自选图形 346"/>
                        <wps:cNvSpPr/>
                        <wps:spPr>
                          <a:xfrm>
                            <a:off x="12139" y="4662811"/>
                            <a:ext cx="1" cy="269"/>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09" name="自选图形 342"/>
                        <wps:cNvSpPr/>
                        <wps:spPr>
                          <a:xfrm>
                            <a:off x="11756" y="4662802"/>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0" name="自选图形 341"/>
                        <wps:cNvSpPr/>
                        <wps:spPr>
                          <a:xfrm>
                            <a:off x="11409" y="4662802"/>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1" name="自选图形 340"/>
                        <wps:cNvSpPr/>
                        <wps:spPr>
                          <a:xfrm>
                            <a:off x="11038" y="4662811"/>
                            <a:ext cx="10"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2" name="自选图形 335"/>
                        <wps:cNvSpPr/>
                        <wps:spPr>
                          <a:xfrm>
                            <a:off x="10665" y="4662802"/>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3" name="自选图形 331"/>
                        <wps:cNvSpPr/>
                        <wps:spPr>
                          <a:xfrm>
                            <a:off x="10317" y="4662802"/>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4" name="直线 1015"/>
                        <wps:cNvCnPr/>
                        <wps:spPr>
                          <a:xfrm>
                            <a:off x="7854" y="4662480"/>
                            <a:ext cx="0" cy="355"/>
                          </a:xfrm>
                          <a:prstGeom prst="line">
                            <a:avLst/>
                          </a:prstGeom>
                          <a:ln w="12700" cap="flat" cmpd="sng">
                            <a:solidFill>
                              <a:srgbClr val="000000"/>
                            </a:solidFill>
                            <a:prstDash val="solid"/>
                            <a:headEnd type="none" w="med" len="med"/>
                            <a:tailEnd type="none" w="med" len="med"/>
                          </a:ln>
                        </wps:spPr>
                        <wps:bodyPr upright="1"/>
                      </wps:wsp>
                      <wps:wsp>
                        <wps:cNvPr id="1115" name="自选图形 323"/>
                        <wps:cNvSpPr/>
                        <wps:spPr>
                          <a:xfrm>
                            <a:off x="9946" y="4662811"/>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6" name="自选图形 322"/>
                        <wps:cNvSpPr/>
                        <wps:spPr>
                          <a:xfrm>
                            <a:off x="9585" y="4662811"/>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7" name="自选图形 321"/>
                        <wps:cNvSpPr/>
                        <wps:spPr>
                          <a:xfrm>
                            <a:off x="9214" y="4662802"/>
                            <a:ext cx="9" cy="297"/>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8" name="自选图形 315"/>
                        <wps:cNvSpPr/>
                        <wps:spPr>
                          <a:xfrm>
                            <a:off x="10325" y="4662385"/>
                            <a:ext cx="0" cy="416"/>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751"/>
                              <a:gd name="txR" fmla="*/ 1 w 1"/>
                              <a:gd name="txB" fmla="*/ 751 h 751"/>
                            </a:gdLst>
                            <a:ahLst/>
                            <a:cxnLst>
                              <a:cxn ang="0">
                                <a:pos x="G44" y="G45"/>
                              </a:cxn>
                              <a:cxn ang="0">
                                <a:pos x="G48" y="G49"/>
                              </a:cxn>
                              <a:cxn ang="0">
                                <a:pos x="G46" y="G47"/>
                              </a:cxn>
                              <a:cxn ang="0">
                                <a:pos x="G17" y="G18"/>
                              </a:cxn>
                              <a:cxn ang="0">
                                <a:pos x="G24" y="G25"/>
                              </a:cxn>
                              <a:cxn ang="0">
                                <a:pos x="G15" y="G16"/>
                              </a:cxn>
                            </a:cxnLst>
                            <a:rect l="txL" t="txT" r="txR" b="txB"/>
                            <a:pathLst>
                              <a:path w="1" h="751">
                                <a:moveTo>
                                  <a:pt x="1" y="0"/>
                                </a:moveTo>
                                <a:lnTo>
                                  <a:pt x="0" y="751"/>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19" name="自选图形 302"/>
                        <wps:cNvSpPr/>
                        <wps:spPr>
                          <a:xfrm>
                            <a:off x="8855" y="4662811"/>
                            <a:ext cx="1" cy="28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4"/>
                              <a:gd name="txR" fmla="*/ 1 w 1"/>
                              <a:gd name="txB" fmla="*/ 304 h 304"/>
                            </a:gdLst>
                            <a:ahLst/>
                            <a:cxnLst>
                              <a:cxn ang="0">
                                <a:pos x="G44" y="G45"/>
                              </a:cxn>
                              <a:cxn ang="0">
                                <a:pos x="G48" y="G49"/>
                              </a:cxn>
                              <a:cxn ang="0">
                                <a:pos x="G46" y="G47"/>
                              </a:cxn>
                              <a:cxn ang="0">
                                <a:pos x="G17" y="G18"/>
                              </a:cxn>
                              <a:cxn ang="0">
                                <a:pos x="G24" y="G25"/>
                              </a:cxn>
                              <a:cxn ang="0">
                                <a:pos x="G15" y="G16"/>
                              </a:cxn>
                            </a:cxnLst>
                            <a:rect l="txL" t="txT" r="txR" b="txB"/>
                            <a:pathLst>
                              <a:path w="1" h="304">
                                <a:moveTo>
                                  <a:pt x="0" y="0"/>
                                </a:moveTo>
                                <a:lnTo>
                                  <a:pt x="0" y="30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20" name="自选图形 301"/>
                        <wps:cNvSpPr/>
                        <wps:spPr>
                          <a:xfrm>
                            <a:off x="8861" y="4662802"/>
                            <a:ext cx="3278" cy="0"/>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3675"/>
                              <a:gd name="txT" fmla="*/ 0 h 9"/>
                              <a:gd name="txR" fmla="*/ 3675 w 3675"/>
                              <a:gd name="txB" fmla="*/ 9 h 9"/>
                            </a:gdLst>
                            <a:ahLst/>
                            <a:cxnLst>
                              <a:cxn ang="0">
                                <a:pos x="G44" y="G45"/>
                              </a:cxn>
                              <a:cxn ang="0">
                                <a:pos x="G48" y="G49"/>
                              </a:cxn>
                              <a:cxn ang="0">
                                <a:pos x="G46" y="G47"/>
                              </a:cxn>
                              <a:cxn ang="0">
                                <a:pos x="G17" y="G18"/>
                              </a:cxn>
                              <a:cxn ang="0">
                                <a:pos x="G24" y="G25"/>
                              </a:cxn>
                              <a:cxn ang="0">
                                <a:pos x="G15" y="G16"/>
                              </a:cxn>
                            </a:cxnLst>
                            <a:rect l="txL" t="txT" r="txR" b="txB"/>
                            <a:pathLst>
                              <a:path w="3675" h="9">
                                <a:moveTo>
                                  <a:pt x="0" y="0"/>
                                </a:moveTo>
                                <a:lnTo>
                                  <a:pt x="3675" y="9"/>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21" name="自选图形 300"/>
                        <wps:cNvSpPr/>
                        <wps:spPr>
                          <a:xfrm>
                            <a:off x="13474" y="4662395"/>
                            <a:ext cx="1" cy="74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805"/>
                              <a:gd name="txR" fmla="*/ 1 w 1"/>
                              <a:gd name="txB" fmla="*/ 805 h 805"/>
                            </a:gdLst>
                            <a:ahLst/>
                            <a:cxnLst>
                              <a:cxn ang="0">
                                <a:pos x="G44" y="G45"/>
                              </a:cxn>
                              <a:cxn ang="0">
                                <a:pos x="G48" y="G49"/>
                              </a:cxn>
                              <a:cxn ang="0">
                                <a:pos x="G46" y="G47"/>
                              </a:cxn>
                              <a:cxn ang="0">
                                <a:pos x="G17" y="G18"/>
                              </a:cxn>
                              <a:cxn ang="0">
                                <a:pos x="G24" y="G25"/>
                              </a:cxn>
                              <a:cxn ang="0">
                                <a:pos x="G15" y="G16"/>
                              </a:cxn>
                            </a:cxnLst>
                            <a:rect l="txL" t="txT" r="txR" b="txB"/>
                            <a:pathLst>
                              <a:path w="1" h="805">
                                <a:moveTo>
                                  <a:pt x="0" y="0"/>
                                </a:moveTo>
                                <a:lnTo>
                                  <a:pt x="0" y="805"/>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22" name="文本框 125"/>
                        <wps:cNvSpPr txBox="1"/>
                        <wps:spPr>
                          <a:xfrm>
                            <a:off x="10909" y="4663089"/>
                            <a:ext cx="285" cy="246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201A2789">
                              <w:pPr>
                                <w:pStyle w:val="105"/>
                                <w:rPr>
                                  <w:rFonts w:ascii="黑体" w:eastAsia="黑体"/>
                                  <w:color w:val="000000"/>
                                  <w:spacing w:val="22"/>
                                </w:rPr>
                              </w:pPr>
                              <w:r>
                                <w:rPr>
                                  <w:rFonts w:hint="eastAsia" w:ascii="宋体"/>
                                  <w:color w:val="000000"/>
                                </w:rPr>
                                <w:t>安全检查和奖罚制度</w:t>
                              </w:r>
                            </w:p>
                          </w:txbxContent>
                        </wps:txbx>
                        <wps:bodyPr lIns="0" tIns="0" rIns="0" bIns="0" upright="1"/>
                      </wps:wsp>
                      <wps:wsp>
                        <wps:cNvPr id="1123" name="文本框 1859"/>
                        <wps:cNvSpPr txBox="1"/>
                        <wps:spPr>
                          <a:xfrm>
                            <a:off x="12011" y="4663081"/>
                            <a:ext cx="259" cy="2466"/>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25C232F7">
                              <w:pPr>
                                <w:pStyle w:val="105"/>
                                <w:rPr>
                                  <w:rFonts w:ascii="宋体"/>
                                  <w:color w:val="000000"/>
                                </w:rPr>
                              </w:pPr>
                              <w:r>
                                <w:rPr>
                                  <w:rFonts w:hint="eastAsia"/>
                                </w:rPr>
                                <w:t>各项</w:t>
                              </w:r>
                              <w:r>
                                <w:rPr>
                                  <w:rFonts w:hint="eastAsia" w:ascii="宋体"/>
                                  <w:color w:val="000000"/>
                                </w:rPr>
                                <w:t>安全预案</w:t>
                              </w:r>
                            </w:p>
                          </w:txbxContent>
                        </wps:txbx>
                        <wps:bodyPr lIns="0" tIns="0" rIns="0" bIns="0" upright="1"/>
                      </wps:wsp>
                      <wps:wsp>
                        <wps:cNvPr id="1124" name="文本框 122"/>
                        <wps:cNvSpPr txBox="1"/>
                        <wps:spPr>
                          <a:xfrm>
                            <a:off x="11284" y="4663089"/>
                            <a:ext cx="258" cy="246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711CD8EF">
                              <w:pPr>
                                <w:pStyle w:val="105"/>
                                <w:rPr>
                                  <w:rFonts w:ascii="宋体"/>
                                  <w:color w:val="000000"/>
                                </w:rPr>
                              </w:pPr>
                              <w:r>
                                <w:rPr>
                                  <w:rFonts w:hint="eastAsia" w:ascii="宋体"/>
                                  <w:color w:val="000000"/>
                                </w:rPr>
                                <w:t>安全评比制度</w:t>
                              </w:r>
                            </w:p>
                          </w:txbxContent>
                        </wps:txbx>
                        <wps:bodyPr lIns="0" tIns="0" rIns="0" bIns="0" upright="1"/>
                      </wps:wsp>
                      <wps:wsp>
                        <wps:cNvPr id="1125" name="文本框 120"/>
                        <wps:cNvSpPr txBox="1"/>
                        <wps:spPr>
                          <a:xfrm>
                            <a:off x="10533" y="4663087"/>
                            <a:ext cx="285" cy="246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604B1D60">
                              <w:pPr>
                                <w:pStyle w:val="105"/>
                                <w:rPr>
                                  <w:rFonts w:ascii="黑体" w:eastAsia="黑体"/>
                                  <w:color w:val="000000"/>
                                  <w:spacing w:val="60"/>
                                </w:rPr>
                              </w:pPr>
                              <w:r>
                                <w:rPr>
                                  <w:rFonts w:hint="eastAsia"/>
                                </w:rPr>
                                <w:t>安全</w:t>
                              </w:r>
                              <w:r>
                                <w:rPr>
                                  <w:rFonts w:hint="eastAsia" w:ascii="宋体"/>
                                  <w:color w:val="000000"/>
                                </w:rPr>
                                <w:t>技术交底制度</w:t>
                              </w:r>
                            </w:p>
                          </w:txbxContent>
                        </wps:txbx>
                        <wps:bodyPr lIns="0" tIns="36000" rIns="0" bIns="36000" upright="1"/>
                      </wps:wsp>
                      <wps:wsp>
                        <wps:cNvPr id="1126" name="文本框 1862"/>
                        <wps:cNvSpPr txBox="1"/>
                        <wps:spPr>
                          <a:xfrm>
                            <a:off x="11629" y="4663089"/>
                            <a:ext cx="258" cy="246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7567E1D9">
                              <w:pPr>
                                <w:pStyle w:val="105"/>
                                <w:rPr>
                                  <w:rFonts w:ascii="宋体"/>
                                  <w:color w:val="000000"/>
                                </w:rPr>
                              </w:pPr>
                              <w:r>
                                <w:rPr>
                                  <w:rFonts w:hint="eastAsia"/>
                                </w:rPr>
                                <w:t>机械</w:t>
                              </w:r>
                              <w:r>
                                <w:rPr>
                                  <w:rFonts w:hint="eastAsia" w:ascii="宋体"/>
                                  <w:color w:val="000000"/>
                                </w:rPr>
                                <w:t>设备安全管理制度</w:t>
                              </w:r>
                            </w:p>
                          </w:txbxContent>
                        </wps:txbx>
                        <wps:bodyPr lIns="0" tIns="0" rIns="0" bIns="0" upright="1"/>
                      </wps:wsp>
                      <wps:wsp>
                        <wps:cNvPr id="1127" name="文本框 106"/>
                        <wps:cNvSpPr txBox="1"/>
                        <wps:spPr>
                          <a:xfrm>
                            <a:off x="9085" y="4663096"/>
                            <a:ext cx="285" cy="2468"/>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9637A8A">
                              <w:pPr>
                                <w:pStyle w:val="105"/>
                              </w:pPr>
                              <w:r>
                                <w:rPr>
                                  <w:rFonts w:hint="eastAsia"/>
                                </w:rPr>
                                <w:t>安全教育培训制度</w:t>
                              </w:r>
                            </w:p>
                          </w:txbxContent>
                        </wps:txbx>
                        <wps:bodyPr lIns="0" tIns="0" rIns="0" bIns="0" upright="1"/>
                      </wps:wsp>
                      <wps:wsp>
                        <wps:cNvPr id="1128" name="文本框 105"/>
                        <wps:cNvSpPr txBox="1"/>
                        <wps:spPr>
                          <a:xfrm>
                            <a:off x="10188" y="4663089"/>
                            <a:ext cx="259" cy="246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E910B19">
                              <w:pPr>
                                <w:pStyle w:val="105"/>
                                <w:rPr>
                                  <w:rFonts w:ascii="黑体" w:eastAsia="黑体"/>
                                  <w:color w:val="000000"/>
                                  <w:spacing w:val="60"/>
                                </w:rPr>
                              </w:pPr>
                              <w:r>
                                <w:rPr>
                                  <w:rFonts w:hint="eastAsia" w:ascii="宋体"/>
                                  <w:color w:val="000000"/>
                                </w:rPr>
                                <w:t>安全防护制度</w:t>
                              </w:r>
                            </w:p>
                          </w:txbxContent>
                        </wps:txbx>
                        <wps:bodyPr lIns="0" tIns="0" rIns="0" bIns="0" upright="1"/>
                      </wps:wsp>
                      <wps:wsp>
                        <wps:cNvPr id="1129" name="文本框 100"/>
                        <wps:cNvSpPr txBox="1"/>
                        <wps:spPr>
                          <a:xfrm>
                            <a:off x="9460" y="4663096"/>
                            <a:ext cx="259" cy="2468"/>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34F0AE8">
                              <w:pPr>
                                <w:pStyle w:val="105"/>
                                <w:rPr>
                                  <w:rFonts w:ascii="宋体"/>
                                  <w:color w:val="000000"/>
                                </w:rPr>
                              </w:pPr>
                              <w:r>
                                <w:rPr>
                                  <w:rFonts w:hint="eastAsia" w:ascii="宋体"/>
                                  <w:color w:val="000000"/>
                                </w:rPr>
                                <w:t>特殊工种持证上岗作业制度</w:t>
                              </w:r>
                            </w:p>
                          </w:txbxContent>
                        </wps:txbx>
                        <wps:bodyPr lIns="0" tIns="0" rIns="0" bIns="0" upright="1"/>
                      </wps:wsp>
                      <wps:wsp>
                        <wps:cNvPr id="1130" name="文本框 99"/>
                        <wps:cNvSpPr txBox="1"/>
                        <wps:spPr>
                          <a:xfrm>
                            <a:off x="13282" y="4663135"/>
                            <a:ext cx="379" cy="2129"/>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1821EC91">
                              <w:pPr>
                                <w:pStyle w:val="105"/>
                                <w:rPr>
                                  <w:rFonts w:ascii="宋体"/>
                                  <w:color w:val="000000"/>
                                </w:rPr>
                              </w:pPr>
                              <w:r>
                                <w:rPr>
                                  <w:rFonts w:hint="eastAsia" w:ascii="宋体"/>
                                  <w:color w:val="000000"/>
                                </w:rPr>
                                <w:t>经济</w:t>
                              </w:r>
                              <w:r>
                                <w:rPr>
                                  <w:rFonts w:hint="eastAsia"/>
                                </w:rPr>
                                <w:t>兑现</w:t>
                              </w:r>
                            </w:p>
                            <w:p w14:paraId="2214C2FC">
                              <w:pPr>
                                <w:pStyle w:val="105"/>
                              </w:pPr>
                              <w:r>
                                <w:rPr>
                                  <w:rFonts w:hint="eastAsia"/>
                                </w:rPr>
                                <w:t>，</w:t>
                              </w:r>
                            </w:p>
                            <w:p w14:paraId="64D090DD">
                              <w:pPr>
                                <w:pStyle w:val="105"/>
                                <w:rPr>
                                  <w:rFonts w:ascii="宋体"/>
                                  <w:color w:val="000000"/>
                                </w:rPr>
                              </w:pPr>
                              <w:r>
                                <w:rPr>
                                  <w:rFonts w:hint="eastAsia" w:ascii="宋体"/>
                                  <w:color w:val="000000"/>
                                </w:rPr>
                                <w:t>提高积极性</w:t>
                              </w:r>
                            </w:p>
                          </w:txbxContent>
                        </wps:txbx>
                        <wps:bodyPr lIns="0" tIns="0" rIns="0" bIns="0" upright="1"/>
                      </wps:wsp>
                      <wps:wsp>
                        <wps:cNvPr id="1131" name="文本框 91"/>
                        <wps:cNvSpPr txBox="1"/>
                        <wps:spPr>
                          <a:xfrm>
                            <a:off x="12400" y="4663135"/>
                            <a:ext cx="752" cy="773"/>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611C0F0D">
                              <w:pPr>
                                <w:pStyle w:val="105"/>
                                <w:rPr>
                                  <w:rFonts w:ascii="宋体"/>
                                  <w:color w:val="000000"/>
                                </w:rPr>
                              </w:pPr>
                              <w:r>
                                <w:rPr>
                                  <w:rFonts w:hint="eastAsia"/>
                                </w:rPr>
                                <w:t>各分项工程工艺保证</w:t>
                              </w:r>
                              <w:r>
                                <w:rPr>
                                  <w:rFonts w:hint="eastAsia" w:ascii="宋体"/>
                                  <w:color w:val="000000"/>
                                </w:rPr>
                                <w:t>措施</w:t>
                              </w:r>
                            </w:p>
                          </w:txbxContent>
                        </wps:txbx>
                        <wps:bodyPr lIns="0" tIns="0" rIns="0" bIns="0" upright="1"/>
                      </wps:wsp>
                      <wps:wsp>
                        <wps:cNvPr id="1132" name="直线 89"/>
                        <wps:cNvCnPr/>
                        <wps:spPr>
                          <a:xfrm flipH="1">
                            <a:off x="7854" y="4663224"/>
                            <a:ext cx="2" cy="321"/>
                          </a:xfrm>
                          <a:prstGeom prst="line">
                            <a:avLst/>
                          </a:prstGeom>
                          <a:ln w="12700" cap="flat" cmpd="sng">
                            <a:solidFill>
                              <a:srgbClr val="000000"/>
                            </a:solidFill>
                            <a:prstDash val="solid"/>
                            <a:headEnd type="none" w="med" len="med"/>
                            <a:tailEnd type="none" w="med" len="med"/>
                          </a:ln>
                        </wps:spPr>
                        <wps:bodyPr upright="1"/>
                      </wps:wsp>
                      <wps:wsp>
                        <wps:cNvPr id="1133" name="文本框 85"/>
                        <wps:cNvSpPr txBox="1"/>
                        <wps:spPr>
                          <a:xfrm>
                            <a:off x="8709" y="4663092"/>
                            <a:ext cx="285" cy="2467"/>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33C63D5A">
                              <w:pPr>
                                <w:pStyle w:val="105"/>
                                <w:rPr>
                                  <w:rFonts w:ascii="宋体"/>
                                  <w:color w:val="000000"/>
                                </w:rPr>
                              </w:pPr>
                              <w:r>
                                <w:rPr>
                                  <w:rFonts w:hint="eastAsia" w:ascii="宋体"/>
                                  <w:color w:val="000000"/>
                                </w:rPr>
                                <w:t>安全生产责任制</w:t>
                              </w:r>
                            </w:p>
                          </w:txbxContent>
                        </wps:txbx>
                        <wps:bodyPr lIns="0" tIns="36000" rIns="0" bIns="36000" upright="1"/>
                      </wps:wsp>
                      <wps:wsp>
                        <wps:cNvPr id="1134" name="文本框 84"/>
                        <wps:cNvSpPr txBox="1"/>
                        <wps:spPr>
                          <a:xfrm>
                            <a:off x="9820" y="4663096"/>
                            <a:ext cx="257" cy="2468"/>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714FB016">
                              <w:pPr>
                                <w:pStyle w:val="105"/>
                                <w:rPr>
                                  <w:rFonts w:ascii="宋体"/>
                                  <w:color w:val="000000"/>
                                </w:rPr>
                              </w:pPr>
                              <w:r>
                                <w:rPr>
                                  <w:rFonts w:hint="eastAsia" w:ascii="宋体"/>
                                  <w:color w:val="000000"/>
                                </w:rPr>
                                <w:t>安全施工方案审批制度</w:t>
                              </w:r>
                            </w:p>
                          </w:txbxContent>
                        </wps:txbx>
                        <wps:bodyPr lIns="0" tIns="0" rIns="0" bIns="0" upright="1"/>
                      </wps:wsp>
                      <wps:wsp>
                        <wps:cNvPr id="1135" name="文本框 76"/>
                        <wps:cNvSpPr txBox="1"/>
                        <wps:spPr>
                          <a:xfrm>
                            <a:off x="7228" y="4662844"/>
                            <a:ext cx="1265" cy="380"/>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61F900D2">
                              <w:pPr>
                                <w:spacing w:line="320" w:lineRule="exact"/>
                                <w:ind w:firstLine="0" w:firstLineChars="0"/>
                                <w:jc w:val="center"/>
                                <w:rPr>
                                  <w:rFonts w:ascii="宋体"/>
                                  <w:color w:val="000000"/>
                                  <w:sz w:val="21"/>
                                </w:rPr>
                              </w:pPr>
                              <w:r>
                                <w:rPr>
                                  <w:rFonts w:hint="eastAsia" w:ascii="宋体"/>
                                  <w:color w:val="000000"/>
                                  <w:sz w:val="21"/>
                                </w:rPr>
                                <w:t>安全监察长</w:t>
                              </w:r>
                            </w:p>
                          </w:txbxContent>
                        </wps:txbx>
                        <wps:bodyPr lIns="0" tIns="0" rIns="0" bIns="0" upright="1"/>
                      </wps:wsp>
                      <wps:wsp>
                        <wps:cNvPr id="1136" name="文本框 115"/>
                        <wps:cNvSpPr txBox="1"/>
                        <wps:spPr>
                          <a:xfrm>
                            <a:off x="7213" y="4663555"/>
                            <a:ext cx="1284" cy="381"/>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BE9DB35">
                              <w:pPr>
                                <w:spacing w:line="320" w:lineRule="exact"/>
                                <w:ind w:firstLine="31680"/>
                                <w:jc w:val="both"/>
                                <w:rPr>
                                  <w:rFonts w:ascii="宋体"/>
                                  <w:color w:val="000000"/>
                                  <w:sz w:val="21"/>
                                </w:rPr>
                              </w:pPr>
                              <w:r>
                                <w:rPr>
                                  <w:rFonts w:hint="eastAsia" w:ascii="宋体"/>
                                  <w:color w:val="000000"/>
                                  <w:sz w:val="21"/>
                                </w:rPr>
                                <w:t>安质部</w:t>
                              </w:r>
                            </w:p>
                          </w:txbxContent>
                        </wps:txbx>
                        <wps:bodyPr lIns="0" tIns="0" rIns="0" bIns="0" upright="1"/>
                      </wps:wsp>
                      <wps:wsp>
                        <wps:cNvPr id="1137" name="自选图形 364"/>
                        <wps:cNvSpPr/>
                        <wps:spPr>
                          <a:xfrm>
                            <a:off x="12777" y="4663912"/>
                            <a:ext cx="1" cy="592"/>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751"/>
                              <a:gd name="txR" fmla="*/ 1 w 1"/>
                              <a:gd name="txB" fmla="*/ 751 h 751"/>
                            </a:gdLst>
                            <a:ahLst/>
                            <a:cxnLst>
                              <a:cxn ang="0">
                                <a:pos x="G44" y="G45"/>
                              </a:cxn>
                              <a:cxn ang="0">
                                <a:pos x="G48" y="G49"/>
                              </a:cxn>
                              <a:cxn ang="0">
                                <a:pos x="G46" y="G47"/>
                              </a:cxn>
                              <a:cxn ang="0">
                                <a:pos x="G17" y="G18"/>
                              </a:cxn>
                              <a:cxn ang="0">
                                <a:pos x="G24" y="G25"/>
                              </a:cxn>
                              <a:cxn ang="0">
                                <a:pos x="G15" y="G16"/>
                              </a:cxn>
                            </a:cxnLst>
                            <a:rect l="txL" t="txT" r="txR" b="txB"/>
                            <a:pathLst>
                              <a:path w="1" h="751">
                                <a:moveTo>
                                  <a:pt x="1" y="0"/>
                                </a:moveTo>
                                <a:lnTo>
                                  <a:pt x="0" y="751"/>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38" name="直线 1874"/>
                        <wps:cNvCnPr/>
                        <wps:spPr>
                          <a:xfrm>
                            <a:off x="7845" y="4663936"/>
                            <a:ext cx="4" cy="331"/>
                          </a:xfrm>
                          <a:prstGeom prst="line">
                            <a:avLst/>
                          </a:prstGeom>
                          <a:ln w="12700" cap="flat" cmpd="sng">
                            <a:solidFill>
                              <a:srgbClr val="000000"/>
                            </a:solidFill>
                            <a:prstDash val="solid"/>
                            <a:headEnd type="none" w="med" len="med"/>
                            <a:tailEnd type="none" w="med" len="med"/>
                          </a:ln>
                        </wps:spPr>
                        <wps:bodyPr upright="1"/>
                      </wps:wsp>
                      <wps:wsp>
                        <wps:cNvPr id="1139" name="文本框 151"/>
                        <wps:cNvSpPr txBox="1"/>
                        <wps:spPr>
                          <a:xfrm>
                            <a:off x="12402" y="4664508"/>
                            <a:ext cx="750" cy="752"/>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6EF72341">
                              <w:pPr>
                                <w:pStyle w:val="105"/>
                              </w:pPr>
                              <w:r>
                                <w:rPr>
                                  <w:rFonts w:hint="eastAsia"/>
                                </w:rPr>
                                <w:t>贯彻落实，适时改进</w:t>
                              </w:r>
                            </w:p>
                          </w:txbxContent>
                        </wps:txbx>
                        <wps:bodyPr lIns="0" tIns="0" rIns="0" bIns="0" upright="1"/>
                      </wps:wsp>
                      <wps:wsp>
                        <wps:cNvPr id="1140" name="直线 1876"/>
                        <wps:cNvCnPr/>
                        <wps:spPr>
                          <a:xfrm>
                            <a:off x="6548" y="4664621"/>
                            <a:ext cx="0" cy="381"/>
                          </a:xfrm>
                          <a:prstGeom prst="line">
                            <a:avLst/>
                          </a:prstGeom>
                          <a:ln w="12700" cap="flat" cmpd="sng">
                            <a:solidFill>
                              <a:srgbClr val="000000"/>
                            </a:solidFill>
                            <a:prstDash val="solid"/>
                            <a:headEnd type="none" w="med" len="med"/>
                            <a:tailEnd type="none" w="med" len="med"/>
                          </a:ln>
                        </wps:spPr>
                        <wps:bodyPr upright="1"/>
                      </wps:wsp>
                      <wps:wsp>
                        <wps:cNvPr id="1141" name="直线 1877"/>
                        <wps:cNvCnPr/>
                        <wps:spPr>
                          <a:xfrm>
                            <a:off x="6277" y="4664625"/>
                            <a:ext cx="530" cy="0"/>
                          </a:xfrm>
                          <a:prstGeom prst="line">
                            <a:avLst/>
                          </a:prstGeom>
                          <a:ln w="12700" cap="flat" cmpd="sng">
                            <a:solidFill>
                              <a:srgbClr val="000000"/>
                            </a:solidFill>
                            <a:prstDash val="solid"/>
                            <a:headEnd type="none" w="med" len="med"/>
                            <a:tailEnd type="none" w="med" len="med"/>
                          </a:ln>
                        </wps:spPr>
                        <wps:bodyPr upright="1"/>
                      </wps:wsp>
                      <wps:wsp>
                        <wps:cNvPr id="1142" name="自选图形 357"/>
                        <wps:cNvSpPr/>
                        <wps:spPr>
                          <a:xfrm>
                            <a:off x="6819" y="4664325"/>
                            <a:ext cx="0" cy="287"/>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43" name="自选图形 354"/>
                        <wps:cNvSpPr/>
                        <wps:spPr>
                          <a:xfrm>
                            <a:off x="6270" y="4664322"/>
                            <a:ext cx="1" cy="288"/>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44" name="直线 1880"/>
                        <wps:cNvCnPr/>
                        <wps:spPr>
                          <a:xfrm>
                            <a:off x="7840" y="4664646"/>
                            <a:ext cx="0" cy="381"/>
                          </a:xfrm>
                          <a:prstGeom prst="line">
                            <a:avLst/>
                          </a:prstGeom>
                          <a:ln w="12700" cap="flat" cmpd="sng">
                            <a:solidFill>
                              <a:srgbClr val="000000"/>
                            </a:solidFill>
                            <a:prstDash val="solid"/>
                            <a:headEnd type="none" w="med" len="med"/>
                            <a:tailEnd type="none" w="med" len="med"/>
                          </a:ln>
                        </wps:spPr>
                        <wps:bodyPr upright="1"/>
                      </wps:wsp>
                      <wps:wsp>
                        <wps:cNvPr id="1145" name="文本框 95"/>
                        <wps:cNvSpPr txBox="1"/>
                        <wps:spPr>
                          <a:xfrm>
                            <a:off x="7052" y="4664267"/>
                            <a:ext cx="1445" cy="379"/>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526A058E">
                              <w:pPr>
                                <w:spacing w:line="320" w:lineRule="exact"/>
                                <w:ind w:firstLine="0" w:firstLineChars="0"/>
                                <w:jc w:val="both"/>
                                <w:rPr>
                                  <w:rFonts w:ascii="黑体" w:eastAsia="黑体"/>
                                  <w:color w:val="000000"/>
                                </w:rPr>
                              </w:pPr>
                              <w:r>
                                <w:rPr>
                                  <w:rFonts w:hint="eastAsia" w:ascii="宋体"/>
                                  <w:color w:val="000000"/>
                                  <w:sz w:val="21"/>
                                </w:rPr>
                                <w:t>队安全管理小组</w:t>
                              </w:r>
                            </w:p>
                          </w:txbxContent>
                        </wps:txbx>
                        <wps:bodyPr lIns="0" tIns="0" rIns="0" bIns="0" upright="1"/>
                      </wps:wsp>
                      <wps:wsp>
                        <wps:cNvPr id="1146" name="文本框 148"/>
                        <wps:cNvSpPr txBox="1"/>
                        <wps:spPr>
                          <a:xfrm>
                            <a:off x="6156" y="4665014"/>
                            <a:ext cx="750" cy="572"/>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06DC8961">
                              <w:pPr>
                                <w:pStyle w:val="105"/>
                                <w:rPr>
                                  <w:rFonts w:ascii="楷体_GB2312" w:eastAsia="楷体_GB2312"/>
                                  <w:color w:val="000000"/>
                                </w:rPr>
                              </w:pPr>
                              <w:r>
                                <w:rPr>
                                  <w:rFonts w:hint="eastAsia"/>
                                </w:rPr>
                                <w:t>提高</w:t>
                              </w:r>
                              <w:r>
                                <w:rPr>
                                  <w:rFonts w:hint="eastAsia" w:ascii="宋体" w:cs="宋体"/>
                                  <w:color w:val="000000"/>
                                </w:rPr>
                                <w:t>安全意识</w:t>
                              </w:r>
                            </w:p>
                          </w:txbxContent>
                        </wps:txbx>
                        <wps:bodyPr lIns="0" tIns="0" rIns="0" bIns="0" upright="1"/>
                      </wps:wsp>
                      <wps:wsp>
                        <wps:cNvPr id="1147" name="文本框 98"/>
                        <wps:cNvSpPr txBox="1"/>
                        <wps:spPr>
                          <a:xfrm>
                            <a:off x="7052" y="4665038"/>
                            <a:ext cx="1486" cy="382"/>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64369348">
                              <w:pPr>
                                <w:pStyle w:val="105"/>
                                <w:rPr>
                                  <w:rFonts w:ascii="宋体"/>
                                  <w:color w:val="000000"/>
                                </w:rPr>
                              </w:pPr>
                              <w:r>
                                <w:rPr>
                                  <w:rFonts w:hint="eastAsia" w:ascii="宋体"/>
                                  <w:color w:val="000000"/>
                                </w:rPr>
                                <w:t>队专职安全员</w:t>
                              </w:r>
                            </w:p>
                          </w:txbxContent>
                        </wps:txbx>
                        <wps:bodyPr lIns="0" tIns="0" rIns="0" bIns="0" upright="1"/>
                      </wps:wsp>
                      <wps:wsp>
                        <wps:cNvPr id="1148" name="自选图形 361"/>
                        <wps:cNvSpPr/>
                        <wps:spPr>
                          <a:xfrm>
                            <a:off x="6531" y="4665580"/>
                            <a:ext cx="1" cy="518"/>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937"/>
                              <a:gd name="txR" fmla="*/ 1 w 1"/>
                              <a:gd name="txB" fmla="*/ 937 h 937"/>
                            </a:gdLst>
                            <a:ahLst/>
                            <a:cxnLst>
                              <a:cxn ang="0">
                                <a:pos x="G44" y="G45"/>
                              </a:cxn>
                              <a:cxn ang="0">
                                <a:pos x="G48" y="G49"/>
                              </a:cxn>
                              <a:cxn ang="0">
                                <a:pos x="G46" y="G47"/>
                              </a:cxn>
                              <a:cxn ang="0">
                                <a:pos x="G17" y="G18"/>
                              </a:cxn>
                              <a:cxn ang="0">
                                <a:pos x="G24" y="G25"/>
                              </a:cxn>
                              <a:cxn ang="0">
                                <a:pos x="G15" y="G16"/>
                              </a:cxn>
                            </a:cxnLst>
                            <a:rect l="txL" t="txT" r="txR" b="txB"/>
                            <a:pathLst>
                              <a:path w="1" h="937">
                                <a:moveTo>
                                  <a:pt x="0" y="0"/>
                                </a:moveTo>
                                <a:lnTo>
                                  <a:pt x="0" y="93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49" name="自选图形 347"/>
                        <wps:cNvSpPr/>
                        <wps:spPr>
                          <a:xfrm>
                            <a:off x="12162" y="4665553"/>
                            <a:ext cx="1" cy="30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0" name="自选图形 345"/>
                        <wps:cNvSpPr/>
                        <wps:spPr>
                          <a:xfrm>
                            <a:off x="11756" y="4665562"/>
                            <a:ext cx="1" cy="288"/>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1" name="自选图形 344"/>
                        <wps:cNvSpPr/>
                        <wps:spPr>
                          <a:xfrm>
                            <a:off x="11426" y="4665562"/>
                            <a:ext cx="1" cy="288"/>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2" name="自选图形 343"/>
                        <wps:cNvSpPr/>
                        <wps:spPr>
                          <a:xfrm>
                            <a:off x="11053" y="4665558"/>
                            <a:ext cx="1" cy="289"/>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3" name="自选图形 337"/>
                        <wps:cNvSpPr/>
                        <wps:spPr>
                          <a:xfrm>
                            <a:off x="10686" y="4665558"/>
                            <a:ext cx="1" cy="289"/>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4" name="自选图形 332"/>
                        <wps:cNvSpPr/>
                        <wps:spPr>
                          <a:xfrm flipH="1">
                            <a:off x="10338" y="4665562"/>
                            <a:ext cx="1" cy="310"/>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5" name="自选图形 326"/>
                        <wps:cNvSpPr/>
                        <wps:spPr>
                          <a:xfrm>
                            <a:off x="9946" y="4665558"/>
                            <a:ext cx="1" cy="289"/>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6" name="自选图形 325"/>
                        <wps:cNvSpPr/>
                        <wps:spPr>
                          <a:xfrm>
                            <a:off x="9602" y="4665558"/>
                            <a:ext cx="1" cy="289"/>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7" name="自选图形 324"/>
                        <wps:cNvSpPr/>
                        <wps:spPr>
                          <a:xfrm>
                            <a:off x="9231" y="4665567"/>
                            <a:ext cx="1" cy="288"/>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8" name="自选图形 317"/>
                        <wps:cNvSpPr/>
                        <wps:spPr>
                          <a:xfrm>
                            <a:off x="8876" y="4665567"/>
                            <a:ext cx="1" cy="288"/>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307"/>
                              <a:gd name="txR" fmla="*/ 1 w 1"/>
                              <a:gd name="txB" fmla="*/ 307 h 307"/>
                            </a:gdLst>
                            <a:ahLst/>
                            <a:cxnLst>
                              <a:cxn ang="0">
                                <a:pos x="G44" y="G45"/>
                              </a:cxn>
                              <a:cxn ang="0">
                                <a:pos x="G48" y="G49"/>
                              </a:cxn>
                              <a:cxn ang="0">
                                <a:pos x="G46" y="G47"/>
                              </a:cxn>
                              <a:cxn ang="0">
                                <a:pos x="G17" y="G18"/>
                              </a:cxn>
                              <a:cxn ang="0">
                                <a:pos x="G24" y="G25"/>
                              </a:cxn>
                              <a:cxn ang="0">
                                <a:pos x="G15" y="G16"/>
                              </a:cxn>
                            </a:cxnLst>
                            <a:rect l="txL" t="txT" r="txR" b="txB"/>
                            <a:pathLst>
                              <a:path w="1" h="307">
                                <a:moveTo>
                                  <a:pt x="0" y="0"/>
                                </a:moveTo>
                                <a:lnTo>
                                  <a:pt x="0" y="30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59" name="自选图形 308"/>
                        <wps:cNvSpPr/>
                        <wps:spPr>
                          <a:xfrm>
                            <a:off x="7823" y="4665423"/>
                            <a:ext cx="1" cy="691"/>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937"/>
                              <a:gd name="txR" fmla="*/ 1 w 1"/>
                              <a:gd name="txB" fmla="*/ 937 h 937"/>
                            </a:gdLst>
                            <a:ahLst/>
                            <a:cxnLst>
                              <a:cxn ang="0">
                                <a:pos x="G44" y="G45"/>
                              </a:cxn>
                              <a:cxn ang="0">
                                <a:pos x="G48" y="G49"/>
                              </a:cxn>
                              <a:cxn ang="0">
                                <a:pos x="G46" y="G47"/>
                              </a:cxn>
                              <a:cxn ang="0">
                                <a:pos x="G17" y="G18"/>
                              </a:cxn>
                              <a:cxn ang="0">
                                <a:pos x="G24" y="G25"/>
                              </a:cxn>
                              <a:cxn ang="0">
                                <a:pos x="G15" y="G16"/>
                              </a:cxn>
                            </a:cxnLst>
                            <a:rect l="txL" t="txT" r="txR" b="txB"/>
                            <a:pathLst>
                              <a:path w="1" h="937">
                                <a:moveTo>
                                  <a:pt x="0" y="0"/>
                                </a:moveTo>
                                <a:lnTo>
                                  <a:pt x="0" y="937"/>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60" name="自选图形 307"/>
                        <wps:cNvSpPr/>
                        <wps:spPr>
                          <a:xfrm>
                            <a:off x="12762" y="4665264"/>
                            <a:ext cx="1" cy="84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900"/>
                              <a:gd name="txR" fmla="*/ 1 w 1"/>
                              <a:gd name="txB" fmla="*/ 900 h 900"/>
                            </a:gdLst>
                            <a:ahLst/>
                            <a:cxnLst>
                              <a:cxn ang="0">
                                <a:pos x="G44" y="G45"/>
                              </a:cxn>
                              <a:cxn ang="0">
                                <a:pos x="G48" y="G49"/>
                              </a:cxn>
                              <a:cxn ang="0">
                                <a:pos x="G46" y="G47"/>
                              </a:cxn>
                              <a:cxn ang="0">
                                <a:pos x="G17" y="G18"/>
                              </a:cxn>
                              <a:cxn ang="0">
                                <a:pos x="G24" y="G25"/>
                              </a:cxn>
                              <a:cxn ang="0">
                                <a:pos x="G15" y="G16"/>
                              </a:cxn>
                            </a:cxnLst>
                            <a:rect l="txL" t="txT" r="txR" b="txB"/>
                            <a:pathLst>
                              <a:path w="1" h="900">
                                <a:moveTo>
                                  <a:pt x="1" y="0"/>
                                </a:moveTo>
                                <a:lnTo>
                                  <a:pt x="0" y="900"/>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61" name="自选图形 306"/>
                        <wps:cNvSpPr/>
                        <wps:spPr>
                          <a:xfrm>
                            <a:off x="13489" y="4665273"/>
                            <a:ext cx="1" cy="835"/>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1"/>
                              <a:gd name="txT" fmla="*/ 0 h 894"/>
                              <a:gd name="txR" fmla="*/ 1 w 1"/>
                              <a:gd name="txB" fmla="*/ 894 h 894"/>
                            </a:gdLst>
                            <a:ahLst/>
                            <a:cxnLst>
                              <a:cxn ang="0">
                                <a:pos x="G44" y="G45"/>
                              </a:cxn>
                              <a:cxn ang="0">
                                <a:pos x="G48" y="G49"/>
                              </a:cxn>
                              <a:cxn ang="0">
                                <a:pos x="G46" y="G47"/>
                              </a:cxn>
                              <a:cxn ang="0">
                                <a:pos x="G17" y="G18"/>
                              </a:cxn>
                              <a:cxn ang="0">
                                <a:pos x="G24" y="G25"/>
                              </a:cxn>
                              <a:cxn ang="0">
                                <a:pos x="G15" y="G16"/>
                              </a:cxn>
                            </a:cxnLst>
                            <a:rect l="txL" t="txT" r="txR" b="txB"/>
                            <a:pathLst>
                              <a:path w="1" h="894">
                                <a:moveTo>
                                  <a:pt x="0" y="0"/>
                                </a:moveTo>
                                <a:lnTo>
                                  <a:pt x="0" y="894"/>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62" name="自选图形 318"/>
                        <wps:cNvSpPr/>
                        <wps:spPr>
                          <a:xfrm>
                            <a:off x="10337" y="4665858"/>
                            <a:ext cx="2" cy="487"/>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2"/>
                              <a:gd name="txT" fmla="*/ 0 h 1491"/>
                              <a:gd name="txR" fmla="*/ 2 w 2"/>
                              <a:gd name="txB" fmla="*/ 1491 h 1491"/>
                            </a:gdLst>
                            <a:ahLst/>
                            <a:cxnLst>
                              <a:cxn ang="0">
                                <a:pos x="G44" y="G45"/>
                              </a:cxn>
                              <a:cxn ang="0">
                                <a:pos x="G48" y="G49"/>
                              </a:cxn>
                              <a:cxn ang="0">
                                <a:pos x="G46" y="G47"/>
                              </a:cxn>
                              <a:cxn ang="0">
                                <a:pos x="G17" y="G18"/>
                              </a:cxn>
                              <a:cxn ang="0">
                                <a:pos x="G24" y="G25"/>
                              </a:cxn>
                              <a:cxn ang="0">
                                <a:pos x="G15" y="G16"/>
                              </a:cxn>
                            </a:cxnLst>
                            <a:rect l="txL" t="txT" r="txR" b="txB"/>
                            <a:pathLst>
                              <a:path w="2" h="1491">
                                <a:moveTo>
                                  <a:pt x="2" y="0"/>
                                </a:moveTo>
                                <a:lnTo>
                                  <a:pt x="0" y="1491"/>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63" name="直线 1899"/>
                        <wps:cNvCnPr/>
                        <wps:spPr>
                          <a:xfrm>
                            <a:off x="8880" y="4665855"/>
                            <a:ext cx="3276" cy="0"/>
                          </a:xfrm>
                          <a:prstGeom prst="line">
                            <a:avLst/>
                          </a:prstGeom>
                          <a:ln w="12700" cap="flat" cmpd="sng">
                            <a:solidFill>
                              <a:srgbClr val="000000"/>
                            </a:solidFill>
                            <a:prstDash val="solid"/>
                            <a:headEnd type="none" w="med" len="med"/>
                            <a:tailEnd type="none" w="med" len="med"/>
                          </a:ln>
                        </wps:spPr>
                        <wps:bodyPr upright="1"/>
                      </wps:wsp>
                      <wps:wsp>
                        <wps:cNvPr id="1164" name="自选图形 311"/>
                        <wps:cNvSpPr/>
                        <wps:spPr>
                          <a:xfrm>
                            <a:off x="6505" y="4666115"/>
                            <a:ext cx="6996" cy="2"/>
                          </a:xfrm>
                          <a:custGeom>
                            <a:avLst/>
                            <a:gdLst>
                              <a:gd name="A1" fmla="val -10800000"/>
                              <a:gd name="A2" fmla="val 0"/>
                              <a:gd name="A3" fmla="val 5400"/>
                              <a:gd name="G0" fmla="+- A2 0 0"/>
                              <a:gd name="G1" fmla="+- A1 0 0"/>
                              <a:gd name="G2" fmla="+- A2 0 A1"/>
                              <a:gd name="G3" fmla="+- 10800 0 0"/>
                              <a:gd name="G4" fmla="+- 0 0 A2"/>
                              <a:gd name="T0" fmla="*/ 360 60000 1"/>
                              <a:gd name="T1" fmla="*/ 0 60000 1"/>
                              <a:gd name="T2" fmla="+- T0 0 T1"/>
                              <a:gd name="G5" fmla="+- G2 T2 0"/>
                              <a:gd name="G6" fmla="?: G2 G2 G5"/>
                              <a:gd name="G7" fmla="+- 0 0 G6"/>
                              <a:gd name="G8" fmla="+- A3 0 0"/>
                              <a:gd name="G9" fmla="+- 0 0 A1"/>
                              <a:gd name="G10" fmla="+- A3 0 2700"/>
                              <a:gd name="G11" fmla="cos G10 A2"/>
                              <a:gd name="G12" fmla="sin G10 A2"/>
                              <a:gd name="G13" fmla="cos 13500 A2"/>
                              <a:gd name="G14" fmla="sin 13500 A2"/>
                              <a:gd name="G15" fmla="+- G11 10800 0"/>
                              <a:gd name="G16" fmla="+- G12 10800 0"/>
                              <a:gd name="G17" fmla="+- G13 10800 0"/>
                              <a:gd name="G18" fmla="+- G14 10800 0"/>
                              <a:gd name="G19" fmla="*/ A3 1 2"/>
                              <a:gd name="G20" fmla="+- G19 5400 0"/>
                              <a:gd name="G21" fmla="cos G20 A2"/>
                              <a:gd name="G22" fmla="sin G20 A2"/>
                              <a:gd name="G23" fmla="+- G21 10800 0"/>
                              <a:gd name="G24" fmla="+- G12 G23 G22"/>
                              <a:gd name="G25" fmla="+- G22 G23 G11"/>
                              <a:gd name="G26" fmla="cos 10800 A2"/>
                              <a:gd name="G27" fmla="sin 10800 A2"/>
                              <a:gd name="G28" fmla="cos A3 A2"/>
                              <a:gd name="G29" fmla="sin A3 A2"/>
                              <a:gd name="G30" fmla="+- G26 10800 0"/>
                              <a:gd name="G31" fmla="+- G27 10800 0"/>
                              <a:gd name="G32" fmla="+- G28 10800 0"/>
                              <a:gd name="G33" fmla="+- G29 10800 0"/>
                              <a:gd name="G34" fmla="+- G19 5400 0"/>
                              <a:gd name="G35" fmla="cos G34 A1"/>
                              <a:gd name="G36" fmla="sin G34 A1"/>
                              <a:gd name="G37" fmla="pin A1 A2 0"/>
                              <a:gd name="T3" fmla="*/ 180 60000 1"/>
                              <a:gd name="T4" fmla="*/ 0 60000 1"/>
                              <a:gd name="T5" fmla="+- T3 0 T4"/>
                              <a:gd name="G38" fmla="+- G37 T5 0"/>
                              <a:gd name="G39" fmla="?: G2 G37 G38"/>
                              <a:gd name="G40" fmla="cos 10800 G39"/>
                              <a:gd name="G41" fmla="sin 10800 G39"/>
                              <a:gd name="G42" fmla="cos A3 G39"/>
                              <a:gd name="G43" fmla="sin A3 G39"/>
                              <a:gd name="G44" fmla="+- G40 10800 0"/>
                              <a:gd name="G45" fmla="+- G41 10800 0"/>
                              <a:gd name="G46" fmla="+- G42 10800 0"/>
                              <a:gd name="G47" fmla="+- G43 10800 0"/>
                              <a:gd name="G48" fmla="+- G35 10800 0"/>
                              <a:gd name="G49" fmla="+- G36 10800 0"/>
                              <a:gd name="txL" fmla="*/ 0 w 6357"/>
                              <a:gd name="txT" fmla="*/ 0 h 1"/>
                              <a:gd name="txR" fmla="*/ 6357 w 6357"/>
                              <a:gd name="txB" fmla="*/ 1 h 1"/>
                            </a:gdLst>
                            <a:ahLst/>
                            <a:cxnLst>
                              <a:cxn ang="0">
                                <a:pos x="G44" y="G45"/>
                              </a:cxn>
                              <a:cxn ang="0">
                                <a:pos x="G48" y="G49"/>
                              </a:cxn>
                              <a:cxn ang="0">
                                <a:pos x="G46" y="G47"/>
                              </a:cxn>
                              <a:cxn ang="0">
                                <a:pos x="G17" y="G18"/>
                              </a:cxn>
                              <a:cxn ang="0">
                                <a:pos x="G24" y="G25"/>
                              </a:cxn>
                              <a:cxn ang="0">
                                <a:pos x="G15" y="G16"/>
                              </a:cxn>
                            </a:cxnLst>
                            <a:rect l="txL" t="txT" r="txR" b="txB"/>
                            <a:pathLst>
                              <a:path w="6357" h="1">
                                <a:moveTo>
                                  <a:pt x="0" y="0"/>
                                </a:moveTo>
                                <a:lnTo>
                                  <a:pt x="6357" y="0"/>
                                </a:lnTo>
                              </a:path>
                            </a:pathLst>
                          </a:custGeom>
                          <a:solidFill>
                            <a:srgbClr val="C6D9F1"/>
                          </a:solidFill>
                          <a:ln w="12700" cap="flat" cmpd="sng">
                            <a:solidFill>
                              <a:srgbClr val="000000"/>
                            </a:solidFill>
                            <a:prstDash val="solid"/>
                            <a:miter/>
                            <a:headEnd type="none" w="med" len="med"/>
                            <a:tailEnd type="none" w="med" len="med"/>
                          </a:ln>
                        </wps:spPr>
                        <wps:bodyPr upright="1"/>
                      </wps:wsp>
                      <wps:wsp>
                        <wps:cNvPr id="1165" name="文本框 96"/>
                        <wps:cNvSpPr txBox="1"/>
                        <wps:spPr>
                          <a:xfrm>
                            <a:off x="9323" y="4666350"/>
                            <a:ext cx="2022" cy="380"/>
                          </a:xfrm>
                          <a:prstGeom prst="rect">
                            <a:avLst/>
                          </a:prstGeom>
                          <a:solidFill>
                            <a:srgbClr val="C6D9F1"/>
                          </a:solidFill>
                          <a:ln w="12700" cap="flat" cmpd="sng">
                            <a:solidFill>
                              <a:srgbClr val="000000"/>
                            </a:solidFill>
                            <a:prstDash val="solid"/>
                            <a:miter/>
                            <a:headEnd type="none" w="med" len="med"/>
                            <a:tailEnd type="none" w="med" len="med"/>
                          </a:ln>
                        </wps:spPr>
                        <wps:txbx>
                          <w:txbxContent>
                            <w:p w14:paraId="16BD090F">
                              <w:pPr>
                                <w:pStyle w:val="105"/>
                                <w:rPr>
                                  <w:rFonts w:ascii="宋体"/>
                                  <w:color w:val="000000"/>
                                </w:rPr>
                              </w:pPr>
                              <w:r>
                                <w:rPr>
                                  <w:rFonts w:hint="eastAsia" w:ascii="宋体"/>
                                  <w:color w:val="000000"/>
                                </w:rPr>
                                <w:t>实现</w:t>
                              </w:r>
                              <w:r>
                                <w:rPr>
                                  <w:rFonts w:hint="eastAsia"/>
                                </w:rPr>
                                <w:t>安全</w:t>
                              </w:r>
                              <w:r>
                                <w:rPr>
                                  <w:rFonts w:hint="eastAsia" w:ascii="宋体"/>
                                  <w:color w:val="000000"/>
                                </w:rPr>
                                <w:t>生产目标</w:t>
                              </w:r>
                            </w:p>
                          </w:txbxContent>
                        </wps:txbx>
                        <wps:bodyPr lIns="0" tIns="0" rIns="0" bIns="0" upright="1"/>
                      </wps:wsp>
                    </wpg:wgp>
                  </a:graphicData>
                </a:graphic>
              </wp:anchor>
            </w:drawing>
          </mc:Choice>
          <mc:Fallback>
            <w:pict>
              <v:group id="组合 300" o:spid="_x0000_s1026" o:spt="203" style="position:absolute;left:0pt;margin-left:14.55pt;margin-top:6.8pt;height:468.05pt;width:460.05pt;mso-wrap-distance-bottom:0pt;mso-wrap-distance-top:0pt;z-index:251674624;mso-width-relative:page;mso-height-relative:page;" coordorigin="5929,4660078" coordsize="8105,6652" o:gfxdata="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">
                <o:lock v:ext="edit" aspectratio="f"/>
                <v:shape id="自选图形 280" o:spid="_x0000_s1026" o:spt="100" style="position:absolute;left:10275;top:4660472;height:295;width:1;" fillcolor="#C6D9F1" filled="t" stroked="t" coordsize="1,315" o:gfxdata="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NcIG8AAAA&#10;3QAAAA8AAAAAAAAAAQAgAAAAIgAAAGRycy9kb3ducmV2LnhtbFBLAQIUABQAAAAIAIdO4kAzLwWe&#10;OwAAADkAAAAQAAAAAAAAAAEAIAAAAAsBAABkcnMvc2hhcGV4bWwueG1sUEsFBgAAAAAGAAYAWwEA&#10;ALUDAAAAAA==&#10;" path="m0,0l0,315e">
                  <v:path o:connectlocs="21600,10800;2700,10799;16200,10800;24300,10800;18900,16200;13500,10800" o:connectangles="0,0,0,0,0,0"/>
                  <v:fill on="t" focussize="0,0"/>
                  <v:stroke weight="1pt" color="#000000" joinstyle="miter"/>
                  <v:imagedata o:title=""/>
                  <o:lock v:ext="edit" aspectratio="f"/>
                </v:shape>
                <v:shape id="文本框 65" o:spid="_x0000_s1026" o:spt="202" type="#_x0000_t202" style="position:absolute;left:9081;top:4660078;height:381;width:2372;" fillcolor="#C6D9F1" filled="t" stroked="t" coordsize="21600,21600" o:gfxdata="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14rsS/&#10;AAAA3Q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inset="0mm,0mm,0mm,0mm">
                    <w:txbxContent>
                      <w:p w14:paraId="095FD4B7">
                        <w:pPr>
                          <w:pStyle w:val="105"/>
                          <w:rPr>
                            <w:rFonts w:ascii="宋体"/>
                            <w:color w:val="000000"/>
                          </w:rPr>
                        </w:pPr>
                        <w:r>
                          <w:rPr>
                            <w:rFonts w:hint="eastAsia" w:ascii="宋体"/>
                            <w:color w:val="000000"/>
                          </w:rPr>
                          <w:t>安全</w:t>
                        </w:r>
                        <w:r>
                          <w:rPr>
                            <w:rFonts w:hint="eastAsia"/>
                          </w:rPr>
                          <w:t>管理</w:t>
                        </w:r>
                        <w:r>
                          <w:rPr>
                            <w:rFonts w:hint="eastAsia" w:ascii="宋体"/>
                            <w:color w:val="000000"/>
                          </w:rPr>
                          <w:t>体系</w:t>
                        </w:r>
                      </w:p>
                    </w:txbxContent>
                  </v:textbox>
                </v:shape>
                <v:line id="直线 135" o:spid="_x0000_s1026" o:spt="20" style="position:absolute;left:7855;top:4660767;height:319;width:2;" filled="f" stroked="t" coordsize="21600,21600" o:gfxdata="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7u1TC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shape id="自选图形 304" o:spid="_x0000_s1026" o:spt="100" style="position:absolute;left:6531;top:4660772;height:1;width:6962;" fillcolor="#C6D9F1" filled="t" stroked="t" coordsize="6576,2" o:gfxdata="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8x6L4A&#10;AADdAAAADwAAAAAAAAABACAAAAAiAAAAZHJzL2Rvd25yZXYueG1sUEsBAhQAFAAAAAgAh07iQDMv&#10;BZ47AAAAOQAAABAAAAAAAAAAAQAgAAAADQEAAGRycy9zaGFwZXhtbC54bWxQSwUGAAAAAAYABgBb&#10;AQAAtwMAAAAA&#10;" path="m0,2l6576,0e">
                  <v:path o:connectlocs="21600,10800;2700,10799;16200,10800;24300,10800;18900,16200;13500,10800" o:connectangles="0,0,0,0,0,0"/>
                  <v:fill on="t" focussize="0,0"/>
                  <v:stroke weight="1pt" color="#000000" joinstyle="miter"/>
                  <v:imagedata o:title=""/>
                  <o:lock v:ext="edit" aspectratio="f"/>
                </v:shape>
                <v:shape id="自选图形 297" o:spid="_x0000_s1026" o:spt="100" style="position:absolute;left:13466;top:4660782;height:334;width:1;" fillcolor="#C6D9F1" filled="t" stroked="t" coordsize="1,452" o:gfxdata="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8dxv28AAAA&#10;3QAAAA8AAAAAAAAAAQAgAAAAIgAAAGRycy9kb3ducmV2LnhtbFBLAQIUABQAAAAIAIdO4kAzLwWe&#10;OwAAADkAAAAQAAAAAAAAAAEAIAAAAAsBAABkcnMvc2hhcGV4bWwueG1sUEsFBgAAAAAGAAYAWwEA&#10;ALUDAAAAAA==&#10;" path="m0,0l1,452e">
                  <v:path o:connectlocs="21600,10800;2700,10799;16200,10800;24300,10800;18900,16200;13500,10800" o:connectangles="0,0,0,0,0,0"/>
                  <v:fill on="t" focussize="0,0"/>
                  <v:stroke weight="1pt" color="#000000" joinstyle="miter"/>
                  <v:imagedata o:title=""/>
                  <o:lock v:ext="edit" aspectratio="f"/>
                </v:shape>
                <v:shape id="自选图形 296" o:spid="_x0000_s1026" o:spt="100" style="position:absolute;left:10262;top:4660782;flip:x;height:321;width:1;" fillcolor="#C6D9F1" filled="t" stroked="t" coordsize="1,449" o:gfxdata="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w8THLsAAADd&#10;AAAADwAAAAAAAAABACAAAAAiAAAAZHJzL2Rvd25yZXYueG1sUEsBAhQAFAAAAAgAh07iQDMvBZ47&#10;AAAAOQAAABAAAAAAAAAAAQAgAAAACgEAAGRycy9zaGFwZXhtbC54bWxQSwUGAAAAAAYABgBbAQAA&#10;tAMAAAAA&#10;" path="m0,0l0,449e">
                  <v:path o:connectlocs="21600,10800;2700,10799;16200,10800;24300,10800;18900,16200;13500,10800" o:connectangles="0,0,0,0,0,0"/>
                  <v:fill on="t" focussize="0,0"/>
                  <v:stroke weight="1pt" color="#000000" joinstyle="miter"/>
                  <v:imagedata o:title=""/>
                  <o:lock v:ext="edit" aspectratio="f"/>
                </v:shape>
                <v:line id="直线 986" o:spid="_x0000_s1026" o:spt="20" style="position:absolute;left:6531;top:4660767;height:319;width:0;" filled="f" stroked="t" coordsize="21600,21600" o:gfxdata="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1dMzvQAA&#10;AN0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线 987" o:spid="_x0000_s1026" o:spt="20" style="position:absolute;left:11942;top:4660790;height:306;width:0;" filled="f" stroked="t" coordsize="21600,21600" o:gfxdata="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B01EvQAA&#10;AN0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shape id="文本框 134" o:spid="_x0000_s1026" o:spt="202" type="#_x0000_t202" style="position:absolute;left:7373;top:4661086;height:381;width:1284;" fillcolor="#C6D9F1" filled="t" stroked="t" coordsize="21600,21600" o:gfxdata="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kTaw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42F91EC3">
                        <w:pPr>
                          <w:pStyle w:val="105"/>
                          <w:rPr>
                            <w:rFonts w:ascii="黑体" w:eastAsia="黑体"/>
                            <w:color w:val="000000"/>
                          </w:rPr>
                        </w:pPr>
                        <w:r>
                          <w:rPr>
                            <w:rFonts w:hint="eastAsia" w:ascii="宋体"/>
                            <w:color w:val="000000"/>
                          </w:rPr>
                          <w:t>组织</w:t>
                        </w:r>
                        <w:r>
                          <w:rPr>
                            <w:rFonts w:hint="eastAsia"/>
                          </w:rPr>
                          <w:t>管理</w:t>
                        </w:r>
                        <w:r>
                          <w:rPr>
                            <w:rFonts w:hint="eastAsia" w:ascii="宋体"/>
                            <w:color w:val="000000"/>
                          </w:rPr>
                          <w:t>保证</w:t>
                        </w:r>
                      </w:p>
                    </w:txbxContent>
                  </v:textbox>
                </v:shape>
                <v:shape id="文本框 70" o:spid="_x0000_s1026" o:spt="202" type="#_x0000_t202" style="position:absolute;left:12880;top:4661115;height:382;width:1155;" fillcolor="#C6D9F1" filled="t" stroked="t" coordsize="21600,21600" o:gfxdata="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OosK/&#10;AAAA3Q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inset="0mm,0mm,0mm,0mm">
                    <w:txbxContent>
                      <w:p w14:paraId="0FF2D248">
                        <w:pPr>
                          <w:pStyle w:val="105"/>
                          <w:rPr>
                            <w:rFonts w:ascii="宋体"/>
                            <w:color w:val="000000"/>
                          </w:rPr>
                        </w:pPr>
                        <w:r>
                          <w:rPr>
                            <w:rFonts w:hint="eastAsia" w:ascii="宋体"/>
                            <w:color w:val="000000"/>
                          </w:rPr>
                          <w:t>经济保证</w:t>
                        </w:r>
                      </w:p>
                    </w:txbxContent>
                  </v:textbox>
                </v:shape>
                <v:shape id="文本框 69" o:spid="_x0000_s1026" o:spt="202" type="#_x0000_t202" style="position:absolute;left:8818;top:4661111;height:381;width:2247;" fillcolor="#C6D9F1" filled="t" stroked="t" coordsize="21600,21600" o:gfxdata="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CB1m8AAAA&#10;3QAAAA8AAAAAAAAAAQAgAAAAIgAAAGRycy9kb3ducmV2LnhtbFBLAQIUABQAAAAIAIdO4kAzLwWe&#10;OwAAADkAAAAQAAAAAAAAAAEAIAAAAAsBAABkcnMvc2hhcGV4bWwueG1sUEsFBgAAAAAGAAYAWwEA&#10;ALUDAAAAAA==&#10;">
                  <v:fill on="t" focussize="0,0"/>
                  <v:stroke weight="1pt" color="#000000" joinstyle="miter"/>
                  <v:imagedata o:title=""/>
                  <o:lock v:ext="edit" aspectratio="f"/>
                  <v:textbox inset="0mm,0mm,0mm,0mm">
                    <w:txbxContent>
                      <w:p w14:paraId="453FBA58">
                        <w:pPr>
                          <w:pStyle w:val="105"/>
                          <w:rPr>
                            <w:rFonts w:ascii="宋体"/>
                            <w:color w:val="000000"/>
                          </w:rPr>
                        </w:pPr>
                        <w:r>
                          <w:rPr>
                            <w:rFonts w:hint="eastAsia" w:ascii="宋体"/>
                            <w:color w:val="000000"/>
                          </w:rPr>
                          <w:t>管理</w:t>
                        </w:r>
                        <w:r>
                          <w:rPr>
                            <w:rFonts w:hint="eastAsia"/>
                          </w:rPr>
                          <w:t>制度</w:t>
                        </w:r>
                        <w:r>
                          <w:rPr>
                            <w:rFonts w:hint="eastAsia" w:ascii="宋体"/>
                            <w:color w:val="000000"/>
                          </w:rPr>
                          <w:t>保证</w:t>
                        </w:r>
                      </w:p>
                    </w:txbxContent>
                  </v:textbox>
                </v:shape>
                <v:shape id="文本框 68" o:spid="_x0000_s1026" o:spt="202" type="#_x0000_t202" style="position:absolute;left:5929;top:4661086;height:381;width:1284;" fillcolor="#C6D9F1" filled="t" stroked="t" coordsize="21600,21600" o:gfxdata="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hOBm/&#10;AAAA3Q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inset="0mm,0mm,0mm,0mm">
                    <w:txbxContent>
                      <w:p w14:paraId="39C1EA34">
                        <w:pPr>
                          <w:pStyle w:val="105"/>
                          <w:rPr>
                            <w:rFonts w:ascii="宋体"/>
                            <w:color w:val="000000"/>
                          </w:rPr>
                        </w:pPr>
                        <w:r>
                          <w:rPr>
                            <w:rFonts w:hint="eastAsia" w:ascii="宋体"/>
                            <w:color w:val="000000"/>
                          </w:rPr>
                          <w:t>思想</w:t>
                        </w:r>
                        <w:r>
                          <w:rPr>
                            <w:rFonts w:hint="eastAsia"/>
                          </w:rPr>
                          <w:t>意识</w:t>
                        </w:r>
                        <w:r>
                          <w:rPr>
                            <w:rFonts w:hint="eastAsia" w:ascii="宋体"/>
                            <w:color w:val="000000"/>
                          </w:rPr>
                          <w:t>保证</w:t>
                        </w:r>
                      </w:p>
                    </w:txbxContent>
                  </v:textbox>
                </v:shape>
                <v:shape id="文本框 67" o:spid="_x0000_s1026" o:spt="202" type="#_x0000_t202" style="position:absolute;left:11226;top:4661094;height:384;width:1320;" fillcolor="#C6D9F1" filled="t" stroked="t" coordsize="21600,21600" o:gfxdata="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7Z2C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30C9193A">
                        <w:pPr>
                          <w:pStyle w:val="105"/>
                          <w:rPr>
                            <w:rFonts w:ascii="宋体"/>
                            <w:color w:val="000000"/>
                          </w:rPr>
                        </w:pPr>
                        <w:r>
                          <w:rPr>
                            <w:rFonts w:hint="eastAsia" w:ascii="宋体"/>
                            <w:color w:val="000000"/>
                          </w:rPr>
                          <w:t>技术管理保证</w:t>
                        </w:r>
                      </w:p>
                    </w:txbxContent>
                  </v:textbox>
                </v:shape>
                <v:shape id="自选图形 356" o:spid="_x0000_s1026" o:spt="100" style="position:absolute;left:6796;top:4661822;height:285;width:1;" fillcolor="#C6D9F1" filled="t" stroked="t" coordsize="1,304" o:gfxdata="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viZo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53" o:spid="_x0000_s1026" o:spt="100" style="position:absolute;left:6249;top:4661819;height:285;width:1;" fillcolor="#C6D9F1" filled="t" stroked="t" coordsize="1,304" o:gfxdata="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8oPz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line id="直线 137" o:spid="_x0000_s1026" o:spt="20" style="position:absolute;left:6250;top:4661816;height:0;width:531;" filled="f" stroked="t" coordsize="21600,21600" o:gfxdata="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tA4HW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line id="直线 996" o:spid="_x0000_s1026" o:spt="20" style="position:absolute;left:6531;top:4661461;flip:x;height:353;width:0;" filled="f" stroked="t" coordsize="21600,21600" o:gfxdata="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713lvQAA&#10;AN0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line id="直线 997" o:spid="_x0000_s1026" o:spt="20" style="position:absolute;left:13485;top:4661498;height:510;width:0;" filled="f" stroked="t" coordsize="21600,21600" o:gfxdata="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e25m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line id="直线 78" o:spid="_x0000_s1026" o:spt="20" style="position:absolute;left:10276;top:4661495;height:492;width:0;" filled="f" stroked="t" coordsize="21600,21600" o:gfxdata="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uSfgK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line id="直线 999" o:spid="_x0000_s1026" o:spt="20" style="position:absolute;left:7855;top:4661501;flip:x;height:354;width:1;" filled="f" stroked="t" coordsize="21600,21600" o:gfxdata="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Pu8nu/&#10;AAAA3QAAAA8AAAAAAAAAAQAgAAAAIgAAAGRycy9kb3ducmV2LnhtbFBLAQIUABQAAAAIAIdO4kAz&#10;LwWeOwAAADkAAAAQAAAAAAAAAAEAIAAAAA4BAABkcnMvc2hhcGV4bWwueG1sUEsFBgAAAAAGAAYA&#10;WwEAALgDAAAAAA==&#10;">
                  <v:fill on="f" focussize="0,0"/>
                  <v:stroke weight="1pt" color="#000000" joinstyle="round"/>
                  <v:imagedata o:title=""/>
                  <o:lock v:ext="edit" aspectratio="f"/>
                </v:line>
                <v:line id="直线 1000" o:spid="_x0000_s1026" o:spt="20" style="position:absolute;left:11942;top:4661483;height:509;width:0;" filled="f" stroked="t" coordsize="21600,21600" o:gfxdata="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QU/rvQAA&#10;AN0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shape id="文本框 71" o:spid="_x0000_s1026" o:spt="202" type="#_x0000_t202" style="position:absolute;left:7213;top:4661864;height:612;width:1284;" fillcolor="#C6D9F1" filled="t" stroked="t" coordsize="21600,21600" o:gfxdata="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ZKogO/&#10;AAAA3Q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inset="0mm,0mm,0mm,0mm">
                    <w:txbxContent>
                      <w:p w14:paraId="2494E941">
                        <w:pPr>
                          <w:spacing w:line="320" w:lineRule="exact"/>
                          <w:ind w:firstLine="0" w:firstLineChars="0"/>
                          <w:jc w:val="center"/>
                          <w:rPr>
                            <w:rFonts w:ascii="宋体"/>
                            <w:color w:val="000000"/>
                            <w:sz w:val="21"/>
                          </w:rPr>
                        </w:pPr>
                        <w:r>
                          <w:rPr>
                            <w:rFonts w:hint="eastAsia" w:ascii="宋体"/>
                            <w:color w:val="000000"/>
                            <w:sz w:val="21"/>
                          </w:rPr>
                          <w:t>项目部安全</w:t>
                        </w:r>
                      </w:p>
                      <w:p w14:paraId="0DD7BB7F">
                        <w:pPr>
                          <w:spacing w:line="320" w:lineRule="exact"/>
                          <w:ind w:firstLine="0" w:firstLineChars="0"/>
                          <w:jc w:val="center"/>
                          <w:rPr>
                            <w:rFonts w:ascii="黑体" w:eastAsia="黑体"/>
                            <w:color w:val="000000"/>
                          </w:rPr>
                        </w:pPr>
                        <w:r>
                          <w:rPr>
                            <w:rFonts w:hint="eastAsia" w:ascii="宋体"/>
                            <w:color w:val="000000"/>
                            <w:sz w:val="21"/>
                          </w:rPr>
                          <w:t>生产领导小组</w:t>
                        </w:r>
                      </w:p>
                    </w:txbxContent>
                  </v:textbox>
                </v:shape>
                <v:line id="直线 1002" o:spid="_x0000_s1026" o:spt="20" style="position:absolute;left:12550;top:4662191;height:0;width:228;" filled="f" stroked="t" coordsize="21600,21600" o:gfxdata="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c2fe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shape id="文本框 144" o:spid="_x0000_s1026" o:spt="202" type="#_x0000_t202" style="position:absolute;left:11373;top:4662000;height:384;width:1154;" fillcolor="#C6D9F1" filled="t" stroked="t" coordsize="21600,21600" o:gfxdata="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1Jnv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05C8CE9D">
                        <w:pPr>
                          <w:pStyle w:val="105"/>
                          <w:rPr>
                            <w:rFonts w:ascii="宋体"/>
                            <w:color w:val="000000"/>
                          </w:rPr>
                        </w:pPr>
                        <w:r>
                          <w:rPr>
                            <w:rFonts w:hint="eastAsia"/>
                          </w:rPr>
                          <w:t>安全</w:t>
                        </w:r>
                        <w:r>
                          <w:rPr>
                            <w:rFonts w:hint="eastAsia" w:ascii="宋体"/>
                            <w:color w:val="000000"/>
                          </w:rPr>
                          <w:t>技术措施</w:t>
                        </w:r>
                      </w:p>
                    </w:txbxContent>
                  </v:textbox>
                </v:shape>
                <v:shape id="文本框 141" o:spid="_x0000_s1026" o:spt="202" type="#_x0000_t202" style="position:absolute;left:6665;top:4662106;height:2207;width:284;" fillcolor="#C6D9F1" filled="t" stroked="t" coordsize="21600,21600" o:gfxdata="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cVVe28AAAA&#10;3QAAAA8AAAAAAAAAAQAgAAAAIgAAAGRycy9kb3ducmV2LnhtbFBLAQIUABQAAAAIAIdO4kAzLwWe&#10;OwAAADkAAAAQAAAAAAAAAAEAIAAAAAsBAABkcnMvc2hhcGV4bWwueG1sUEsFBgAAAAAGAAYAWwEA&#10;ALUDAAAAAA==&#10;">
                  <v:fill on="t" focussize="0,0"/>
                  <v:stroke weight="1pt" color="#000000" joinstyle="miter"/>
                  <v:imagedata o:title=""/>
                  <o:lock v:ext="edit" aspectratio="f"/>
                  <v:textbox inset="0mm,1mm,0mm,1mm">
                    <w:txbxContent>
                      <w:p w14:paraId="1B86F9CC">
                        <w:pPr>
                          <w:spacing w:line="260" w:lineRule="exact"/>
                          <w:ind w:firstLine="31680"/>
                          <w:jc w:val="center"/>
                          <w:rPr>
                            <w:rFonts w:ascii="黑体" w:eastAsia="黑体"/>
                            <w:color w:val="000000"/>
                          </w:rPr>
                        </w:pPr>
                      </w:p>
                      <w:p w14:paraId="57B5D7E5">
                        <w:pPr>
                          <w:spacing w:line="260" w:lineRule="exact"/>
                          <w:ind w:firstLine="31680"/>
                          <w:jc w:val="center"/>
                          <w:rPr>
                            <w:rFonts w:ascii="黑体" w:eastAsia="黑体"/>
                            <w:color w:val="000000"/>
                          </w:rPr>
                        </w:pPr>
                      </w:p>
                      <w:p w14:paraId="72A28C6F">
                        <w:pPr>
                          <w:pStyle w:val="105"/>
                          <w:rPr>
                            <w:rFonts w:ascii="宋体"/>
                            <w:color w:val="000000"/>
                          </w:rPr>
                        </w:pPr>
                        <w:r>
                          <w:rPr>
                            <w:rFonts w:hint="eastAsia" w:ascii="宋体"/>
                            <w:color w:val="000000"/>
                          </w:rPr>
                          <w:t>专业</w:t>
                        </w:r>
                        <w:r>
                          <w:rPr>
                            <w:rFonts w:hint="eastAsia"/>
                          </w:rPr>
                          <w:t>技能</w:t>
                        </w:r>
                        <w:r>
                          <w:rPr>
                            <w:rFonts w:hint="eastAsia" w:ascii="宋体"/>
                            <w:color w:val="000000"/>
                          </w:rPr>
                          <w:t>培训</w:t>
                        </w:r>
                      </w:p>
                    </w:txbxContent>
                  </v:textbox>
                </v:shape>
                <v:shape id="文本框 138" o:spid="_x0000_s1026" o:spt="202" type="#_x0000_t202" style="position:absolute;left:6116;top:4662104;height:2207;width:285;" fillcolor="#C6D9F1" filled="t" stroked="t" coordsize="21600,21600" o:gfxdata="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8zZm8AAAA&#10;3QAAAA8AAAAAAAAAAQAgAAAAIgAAAGRycy9kb3ducmV2LnhtbFBLAQIUABQAAAAIAIdO4kAzLwWe&#10;OwAAADkAAAAQAAAAAAAAAAEAIAAAAAsBAABkcnMvc2hhcGV4bWwueG1sUEsFBgAAAAAGAAYAWwEA&#10;ALUDAAAAAA==&#10;">
                  <v:fill on="t" focussize="0,0"/>
                  <v:stroke weight="1pt" color="#000000" joinstyle="miter"/>
                  <v:imagedata o:title=""/>
                  <o:lock v:ext="edit" aspectratio="f"/>
                  <v:textbox inset="0mm,1mm,0mm,1mm">
                    <w:txbxContent>
                      <w:p w14:paraId="2BB896E1">
                        <w:pPr>
                          <w:pStyle w:val="105"/>
                          <w:rPr>
                            <w:rFonts w:ascii="宋体"/>
                            <w:color w:val="000000"/>
                          </w:rPr>
                        </w:pPr>
                        <w:r>
                          <w:rPr>
                            <w:rFonts w:hint="eastAsia" w:ascii="宋体"/>
                            <w:color w:val="000000"/>
                          </w:rPr>
                          <w:t>加强安全生产宣传教育</w:t>
                        </w:r>
                      </w:p>
                    </w:txbxContent>
                  </v:textbox>
                </v:shape>
                <v:shape id="自选图形 289" o:spid="_x0000_s1026" o:spt="100" style="position:absolute;left:12764;top:4662197;flip:x;height:939;width:1;" fillcolor="#C6D9F1" filled="t" stroked="t" coordsize="1,806" o:gfxdata="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TjHWb4A&#10;AADdAAAADwAAAAAAAAABACAAAAAiAAAAZHJzL2Rvd25yZXYueG1sUEsBAhQAFAAAAAgAh07iQDMv&#10;BZ47AAAAOQAAABAAAAAAAAAAAQAgAAAADQEAAGRycy9zaGFwZXhtbC54bWxQSwUGAAAAAAYABgBb&#10;AQAAtwMAAAAA&#10;" path="m1,0l0,806e">
                  <v:path o:connectlocs="21600,10800;2700,10799;16200,10800;24300,10800;18900,16200;13500,10800" o:connectangles="0,0,0,0,0,0"/>
                  <v:fill on="t" focussize="0,0"/>
                  <v:stroke weight="1pt" color="#000000" joinstyle="miter"/>
                  <v:imagedata o:title=""/>
                  <o:lock v:ext="edit" aspectratio="f"/>
                </v:shape>
                <v:shape id="文本框 73" o:spid="_x0000_s1026" o:spt="202" type="#_x0000_t202" style="position:absolute;left:12880;top:4662008;height:380;width:1155;" fillcolor="#C6D9F1" filled="t" stroked="t" coordsize="21600,21600" o:gfxdata="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75/s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04669F46">
                        <w:pPr>
                          <w:pStyle w:val="105"/>
                          <w:rPr>
                            <w:rFonts w:ascii="楷体_GB2312" w:eastAsia="楷体_GB2312"/>
                            <w:color w:val="000000"/>
                          </w:rPr>
                        </w:pPr>
                        <w:r>
                          <w:rPr>
                            <w:rFonts w:hint="eastAsia"/>
                          </w:rPr>
                          <w:t>奖罚</w:t>
                        </w:r>
                        <w:r>
                          <w:rPr>
                            <w:rFonts w:hint="eastAsia" w:ascii="楷体_GB2312" w:eastAsia="楷体_GB2312"/>
                            <w:color w:val="000000"/>
                          </w:rPr>
                          <w:t>制度</w:t>
                        </w:r>
                      </w:p>
                    </w:txbxContent>
                  </v:textbox>
                </v:shape>
                <v:shape id="文本框 72" o:spid="_x0000_s1026" o:spt="202" type="#_x0000_t202" style="position:absolute;left:8658;top:4661999;height:382;width:2568;" fillcolor="#C6D9F1" filled="t" stroked="t" coordsize="21600,21600" o:gfxdata="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ozp3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355B4200">
                        <w:pPr>
                          <w:pStyle w:val="105"/>
                          <w:rPr>
                            <w:rFonts w:ascii="宋体"/>
                            <w:color w:val="000000"/>
                          </w:rPr>
                        </w:pPr>
                        <w:r>
                          <w:rPr>
                            <w:rFonts w:hint="eastAsia" w:ascii="宋体"/>
                            <w:color w:val="000000"/>
                          </w:rPr>
                          <w:t>制定各项安全管理制度</w:t>
                        </w:r>
                      </w:p>
                    </w:txbxContent>
                  </v:textbox>
                </v:shape>
                <v:shape id="自选图形 346" o:spid="_x0000_s1026" o:spt="100" style="position:absolute;left:12139;top:4662811;height:269;width:1;" fillcolor="#C6D9F1" filled="t" stroked="t" coordsize="1,304" o:gfxdata="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vYuY&#10;wAAAAN0AAAAPAAAAAAAAAAEAIAAAACIAAABkcnMvZG93bnJldi54bWxQSwECFAAUAAAACACHTuJA&#10;My8FnjsAAAA5AAAAEAAAAAAAAAABACAAAAAPAQAAZHJzL3NoYXBleG1sLnhtbFBLBQYAAAAABgAG&#10;AFsBAAC5AwAAAAA=&#10;" path="m0,0l0,304e">
                  <v:path o:connectlocs="21600,10800;2700,10799;16200,10800;24300,10800;18900,16200;13500,10800" o:connectangles="0,0,0,0,0,0"/>
                  <v:fill on="t" focussize="0,0"/>
                  <v:stroke weight="1pt" color="#000000" joinstyle="miter"/>
                  <v:imagedata o:title=""/>
                  <o:lock v:ext="edit" aspectratio="f"/>
                </v:shape>
                <v:shape id="自选图形 342" o:spid="_x0000_s1026" o:spt="100" style="position:absolute;left:11756;top:4662802;height:285;width:1;" fillcolor="#C6D9F1" filled="t" stroked="t" coordsize="1,304" o:gfxdata="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8S4D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41" o:spid="_x0000_s1026" o:spt="100" style="position:absolute;left:11409;top:4662802;height:285;width:1;" fillcolor="#C6D9F1" filled="t" stroked="t" coordsize="1,304" o:gfxdata="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SEUO/&#10;AAAA3QAAAA8AAAAAAAAAAQAgAAAAIgAAAGRycy9kb3ducmV2LnhtbFBLAQIUABQAAAAIAIdO4kAz&#10;LwWeOwAAADkAAAAQAAAAAAAAAAEAIAAAAA4BAABkcnMvc2hhcGV4bWwueG1sUEsFBgAAAAAGAAYA&#10;WwEAALgDAAAAAA==&#10;" path="m0,0l0,304e">
                  <v:path o:connectlocs="21600,10800;2700,10799;16200,10800;24300,10800;18900,16200;13500,10800" o:connectangles="0,0,0,0,0,0"/>
                  <v:fill on="t" focussize="0,0"/>
                  <v:stroke weight="1pt" color="#000000" joinstyle="miter"/>
                  <v:imagedata o:title=""/>
                  <o:lock v:ext="edit" aspectratio="f"/>
                </v:shape>
                <v:shape id="自选图形 340" o:spid="_x0000_s1026" o:spt="100" style="position:absolute;left:11038;top:4662811;height:285;width:10;" fillcolor="#C6D9F1" filled="t" stroked="t" coordsize="1,304" o:gfxdata="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602L4A&#10;AADdAAAADwAAAAAAAAABACAAAAAiAAAAZHJzL2Rvd25yZXYueG1sUEsBAhQAFAAAAAgAh07iQDMv&#10;BZ47AAAAOQAAABAAAAAAAAAAAQAgAAAADQEAAGRycy9zaGFwZXhtbC54bWxQSwUGAAAAAAYABgBb&#10;AQAAtwMAAAAA&#10;" path="m0,0l0,304e">
                  <v:path o:connectlocs="21600,10800;2700,10799;16200,10800;24300,10800;18900,16200;13500,10800" o:connectangles="0,0,0,0,0,0"/>
                  <v:fill on="t" focussize="0,0"/>
                  <v:stroke weight="1pt" color="#000000" joinstyle="miter"/>
                  <v:imagedata o:title=""/>
                  <o:lock v:ext="edit" aspectratio="f"/>
                </v:shape>
                <v:shape id="自选图形 335" o:spid="_x0000_s1026" o:spt="100" style="position:absolute;left:10665;top:4662802;height:285;width:1;" fillcolor="#C6D9F1" filled="t" stroked="t" coordsize="1,304" o:gfxdata="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jCqv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31" o:spid="_x0000_s1026" o:spt="100" style="position:absolute;left:10317;top:4662802;height:285;width:1;" fillcolor="#C6D9F1" filled="t" stroked="t" coordsize="1,304" o:gfxdata="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wI80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line id="直线 1015" o:spid="_x0000_s1026" o:spt="20" style="position:absolute;left:7854;top:4662480;height:355;width:0;" filled="f" stroked="t" coordsize="21600,21600" o:gfxdata="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y7LK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shape id="自选图形 323" o:spid="_x0000_s1026" o:spt="100" style="position:absolute;left:9946;top:4662811;height:285;width:1;" fillcolor="#C6D9F1" filled="t" stroked="t" coordsize="1,304" o:gfxdata="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ZbLb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22" o:spid="_x0000_s1026" o:spt="100" style="position:absolute;left:9585;top:4662811;height:285;width:1;" fillcolor="#C6D9F1" filled="t" stroked="t" coordsize="1,304" o:gfxdata="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tyys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21" o:spid="_x0000_s1026" o:spt="100" style="position:absolute;left:9214;top:4662802;height:297;width:9;" fillcolor="#C6D9F1" filled="t" stroked="t" coordsize="1,304" o:gfxdata="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4k3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15" o:spid="_x0000_s1026" o:spt="100" style="position:absolute;left:10325;top:4662385;height:416;width:0;" fillcolor="#C6D9F1" filled="t" stroked="t" coordsize="1,751" o:gfxdata="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tfSC8AAAA&#10;3QAAAA8AAAAAAAAAAQAgAAAAIgAAAGRycy9kb3ducmV2LnhtbFBLAQIUABQAAAAIAIdO4kAzLwWe&#10;OwAAADkAAAAQAAAAAAAAAAEAIAAAAAsBAABkcnMvc2hhcGV4bWwueG1sUEsFBgAAAAAGAAYAWwEA&#10;ALUDAAAAAA==&#10;" path="m1,0l0,751e">
                  <v:path o:connectlocs="21600,10800;2700,10799;16200,10800;24300,10800;18900,16200;13500,10800" o:connectangles="0,0,0,0,0,0"/>
                  <v:fill on="t" focussize="0,0"/>
                  <v:stroke weight="1pt" color="#000000" joinstyle="miter"/>
                  <v:imagedata o:title=""/>
                  <o:lock v:ext="edit" aspectratio="f"/>
                </v:shape>
                <v:shape id="自选图形 302" o:spid="_x0000_s1026" o:spt="100" style="position:absolute;left:8855;top:4662811;height:285;width:1;" fillcolor="#C6D9F1" filled="t" stroked="t" coordsize="1,304" o:gfxdata="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KLjevQAA&#10;AN0AAAAPAAAAAAAAAAEAIAAAACIAAABkcnMvZG93bnJldi54bWxQSwECFAAUAAAACACHTuJAMy8F&#10;njsAAAA5AAAAEAAAAAAAAAABACAAAAAMAQAAZHJzL3NoYXBleG1sLnhtbFBLBQYAAAAABgAGAFsB&#10;AAC2AwAAAAA=&#10;" path="m0,0l0,304e">
                  <v:path o:connectlocs="21600,10800;2700,10799;16200,10800;24300,10800;18900,16200;13500,10800" o:connectangles="0,0,0,0,0,0"/>
                  <v:fill on="t" focussize="0,0"/>
                  <v:stroke weight="1pt" color="#000000" joinstyle="miter"/>
                  <v:imagedata o:title=""/>
                  <o:lock v:ext="edit" aspectratio="f"/>
                </v:shape>
                <v:shape id="自选图形 301" o:spid="_x0000_s1026" o:spt="100" style="position:absolute;left:8861;top:4662802;height:0;width:3278;" fillcolor="#C6D9F1" filled="t" stroked="t" coordsize="3675,9" o:gfxdata="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uPhvL4A&#10;AADdAAAADwAAAAAAAAABACAAAAAiAAAAZHJzL2Rvd25yZXYueG1sUEsBAhQAFAAAAAgAh07iQDMv&#10;BZ47AAAAOQAAABAAAAAAAAAAAQAgAAAADQEAAGRycy9zaGFwZXhtbC54bWxQSwUGAAAAAAYABgBb&#10;AQAAtwMAAAAA&#10;" path="m0,0l3675,9e">
                  <v:path o:connectlocs="21600,10800;2700,10799;16200,10800;24300,10800;18900,16200;13500,10800" o:connectangles="0,0,0,0,0,0"/>
                  <v:fill on="t" focussize="0,0"/>
                  <v:stroke weight="1pt" color="#000000" joinstyle="miter"/>
                  <v:imagedata o:title=""/>
                  <o:lock v:ext="edit" aspectratio="f"/>
                </v:shape>
                <v:shape id="自选图形 300" o:spid="_x0000_s1026" o:spt="100" style="position:absolute;left:13474;top:4662395;height:745;width:1;" fillcolor="#C6D9F1" filled="t" stroked="t" coordsize="1,805" o:gfxdata="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ONO668AAAA&#10;3QAAAA8AAAAAAAAAAQAgAAAAIgAAAGRycy9kb3ducmV2LnhtbFBLAQIUABQAAAAIAIdO4kAzLwWe&#10;OwAAADkAAAAQAAAAAAAAAAEAIAAAAAsBAABkcnMvc2hhcGV4bWwueG1sUEsFBgAAAAAGAAYAWwEA&#10;ALUDAAAAAA==&#10;" path="m0,0l0,805e">
                  <v:path o:connectlocs="21600,10800;2700,10799;16200,10800;24300,10800;18900,16200;13500,10800" o:connectangles="0,0,0,0,0,0"/>
                  <v:fill on="t" focussize="0,0"/>
                  <v:stroke weight="1pt" color="#000000" joinstyle="miter"/>
                  <v:imagedata o:title=""/>
                  <o:lock v:ext="edit" aspectratio="f"/>
                </v:shape>
                <v:shape id="文本框 125" o:spid="_x0000_s1026" o:spt="202" type="#_x0000_t202" style="position:absolute;left:10909;top:4663089;height:2467;width:285;" fillcolor="#C6D9F1" filled="t" stroked="t" coordsize="21600,21600" o:gfxdata="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YcWP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201A2789">
                        <w:pPr>
                          <w:pStyle w:val="105"/>
                          <w:rPr>
                            <w:rFonts w:ascii="黑体" w:eastAsia="黑体"/>
                            <w:color w:val="000000"/>
                            <w:spacing w:val="22"/>
                          </w:rPr>
                        </w:pPr>
                        <w:r>
                          <w:rPr>
                            <w:rFonts w:hint="eastAsia" w:ascii="宋体"/>
                            <w:color w:val="000000"/>
                          </w:rPr>
                          <w:t>安全检查和奖罚制度</w:t>
                        </w:r>
                      </w:p>
                    </w:txbxContent>
                  </v:textbox>
                </v:shape>
                <v:shape id="文本框 1859" o:spid="_x0000_s1026" o:spt="202" type="#_x0000_t202" style="position:absolute;left:12011;top:4663081;height:2466;width:259;" fillcolor="#C6D9F1" filled="t" stroked="t" coordsize="21600,21600" o:gfxdata="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LWAU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25C232F7">
                        <w:pPr>
                          <w:pStyle w:val="105"/>
                          <w:rPr>
                            <w:rFonts w:ascii="宋体"/>
                            <w:color w:val="000000"/>
                          </w:rPr>
                        </w:pPr>
                        <w:r>
                          <w:rPr>
                            <w:rFonts w:hint="eastAsia"/>
                          </w:rPr>
                          <w:t>各项</w:t>
                        </w:r>
                        <w:r>
                          <w:rPr>
                            <w:rFonts w:hint="eastAsia" w:ascii="宋体"/>
                            <w:color w:val="000000"/>
                          </w:rPr>
                          <w:t>安全预案</w:t>
                        </w:r>
                      </w:p>
                    </w:txbxContent>
                  </v:textbox>
                </v:shape>
                <v:shape id="文本框 122" o:spid="_x0000_s1026" o:spt="202" type="#_x0000_t202" style="position:absolute;left:11284;top:4663089;height:2467;width:258;" fillcolor="#C6D9F1" filled="t" stroked="t" coordsize="21600,21600" o:gfxdata="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xPhg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711CD8EF">
                        <w:pPr>
                          <w:pStyle w:val="105"/>
                          <w:rPr>
                            <w:rFonts w:ascii="宋体"/>
                            <w:color w:val="000000"/>
                          </w:rPr>
                        </w:pPr>
                        <w:r>
                          <w:rPr>
                            <w:rFonts w:hint="eastAsia" w:ascii="宋体"/>
                            <w:color w:val="000000"/>
                          </w:rPr>
                          <w:t>安全评比制度</w:t>
                        </w:r>
                      </w:p>
                    </w:txbxContent>
                  </v:textbox>
                </v:shape>
                <v:shape id="文本框 120" o:spid="_x0000_s1026" o:spt="202" type="#_x0000_t202" style="position:absolute;left:10533;top:4663087;height:2467;width:285;" fillcolor="#C6D9F1" filled="t" stroked="t" coordsize="21600,21600" o:gfxdata="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FNGK8AAAA&#10;3QAAAA8AAAAAAAAAAQAgAAAAIgAAAGRycy9kb3ducmV2LnhtbFBLAQIUABQAAAAIAIdO4kAzLwWe&#10;OwAAADkAAAAQAAAAAAAAAAEAIAAAAAsBAABkcnMvc2hhcGV4bWwueG1sUEsFBgAAAAAGAAYAWwEA&#10;ALUDAAAAAA==&#10;">
                  <v:fill on="t" focussize="0,0"/>
                  <v:stroke weight="1pt" color="#000000" joinstyle="miter"/>
                  <v:imagedata o:title=""/>
                  <o:lock v:ext="edit" aspectratio="f"/>
                  <v:textbox inset="0mm,1mm,0mm,1mm">
                    <w:txbxContent>
                      <w:p w14:paraId="604B1D60">
                        <w:pPr>
                          <w:pStyle w:val="105"/>
                          <w:rPr>
                            <w:rFonts w:ascii="黑体" w:eastAsia="黑体"/>
                            <w:color w:val="000000"/>
                            <w:spacing w:val="60"/>
                          </w:rPr>
                        </w:pPr>
                        <w:r>
                          <w:rPr>
                            <w:rFonts w:hint="eastAsia"/>
                          </w:rPr>
                          <w:t>安全</w:t>
                        </w:r>
                        <w:r>
                          <w:rPr>
                            <w:rFonts w:hint="eastAsia" w:ascii="宋体"/>
                            <w:color w:val="000000"/>
                          </w:rPr>
                          <w:t>技术交底制度</w:t>
                        </w:r>
                      </w:p>
                    </w:txbxContent>
                  </v:textbox>
                </v:shape>
                <v:shape id="文本框 1862" o:spid="_x0000_s1026" o:spt="202" type="#_x0000_t202" style="position:absolute;left:11629;top:4663089;height:2467;width:258;" fillcolor="#C6D9F1" filled="t" stroked="t" coordsize="21600,21600" o:gfxdata="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1aw4y8AAAA&#10;3QAAAA8AAAAAAAAAAQAgAAAAIgAAAGRycy9kb3ducmV2LnhtbFBLAQIUABQAAAAIAIdO4kAzLwWe&#10;OwAAADkAAAAQAAAAAAAAAAEAIAAAAAsBAABkcnMvc2hhcGV4bWwueG1sUEsFBgAAAAAGAAYAWwEA&#10;ALUDAAAAAA==&#10;">
                  <v:fill on="t" focussize="0,0"/>
                  <v:stroke weight="1pt" color="#000000" joinstyle="miter"/>
                  <v:imagedata o:title=""/>
                  <o:lock v:ext="edit" aspectratio="f"/>
                  <v:textbox inset="0mm,0mm,0mm,0mm">
                    <w:txbxContent>
                      <w:p w14:paraId="7567E1D9">
                        <w:pPr>
                          <w:pStyle w:val="105"/>
                          <w:rPr>
                            <w:rFonts w:ascii="宋体"/>
                            <w:color w:val="000000"/>
                          </w:rPr>
                        </w:pPr>
                        <w:r>
                          <w:rPr>
                            <w:rFonts w:hint="eastAsia"/>
                          </w:rPr>
                          <w:t>机械</w:t>
                        </w:r>
                        <w:r>
                          <w:rPr>
                            <w:rFonts w:hint="eastAsia" w:ascii="宋体"/>
                            <w:color w:val="000000"/>
                          </w:rPr>
                          <w:t>设备安全管理制度</w:t>
                        </w:r>
                      </w:p>
                    </w:txbxContent>
                  </v:textbox>
                </v:shape>
                <v:shape id="文本框 106" o:spid="_x0000_s1026" o:spt="202" type="#_x0000_t202" style="position:absolute;left:9085;top:4663096;height:2468;width:285;" fillcolor="#C6D9F1" filled="t" stroked="t" coordsize="21600,21600" o:gfxdata="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FmYX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09637A8A">
                        <w:pPr>
                          <w:pStyle w:val="105"/>
                        </w:pPr>
                        <w:r>
                          <w:rPr>
                            <w:rFonts w:hint="eastAsia"/>
                          </w:rPr>
                          <w:t>安全教育培训制度</w:t>
                        </w:r>
                      </w:p>
                    </w:txbxContent>
                  </v:textbox>
                </v:shape>
                <v:shape id="文本框 105" o:spid="_x0000_s1026" o:spt="202" type="#_x0000_t202" style="position:absolute;left:10188;top:4663089;height:2467;width:259;" fillcolor="#C6D9F1" filled="t" stroked="t" coordsize="21600,21600" o:gfxdata="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J8mW/&#10;AAAA3Q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inset="0mm,0mm,0mm,0mm">
                    <w:txbxContent>
                      <w:p w14:paraId="0E910B19">
                        <w:pPr>
                          <w:pStyle w:val="105"/>
                          <w:rPr>
                            <w:rFonts w:ascii="黑体" w:eastAsia="黑体"/>
                            <w:color w:val="000000"/>
                            <w:spacing w:val="60"/>
                          </w:rPr>
                        </w:pPr>
                        <w:r>
                          <w:rPr>
                            <w:rFonts w:hint="eastAsia" w:ascii="宋体"/>
                            <w:color w:val="000000"/>
                          </w:rPr>
                          <w:t>安全防护制度</w:t>
                        </w:r>
                      </w:p>
                    </w:txbxContent>
                  </v:textbox>
                </v:shape>
                <v:shape id="文本框 100" o:spid="_x0000_s1026" o:spt="202" type="#_x0000_t202" style="position:absolute;left:9460;top:4663096;height:2468;width:259;" fillcolor="#C6D9F1" filled="t" stroked="t" coordsize="21600,21600" o:gfxdata="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zFV/68AAAA&#10;3QAAAA8AAAAAAAAAAQAgAAAAIgAAAGRycy9kb3ducmV2LnhtbFBLAQIUABQAAAAIAIdO4kAzLwWe&#10;OwAAADkAAAAQAAAAAAAAAAEAIAAAAAsBAABkcnMvc2hhcGV4bWwueG1sUEsFBgAAAAAGAAYAWwEA&#10;ALUDAAAAAA==&#10;">
                  <v:fill on="t" focussize="0,0"/>
                  <v:stroke weight="1pt" color="#000000" joinstyle="miter"/>
                  <v:imagedata o:title=""/>
                  <o:lock v:ext="edit" aspectratio="f"/>
                  <v:textbox inset="0mm,0mm,0mm,0mm">
                    <w:txbxContent>
                      <w:p w14:paraId="034F0AE8">
                        <w:pPr>
                          <w:pStyle w:val="105"/>
                          <w:rPr>
                            <w:rFonts w:ascii="宋体"/>
                            <w:color w:val="000000"/>
                          </w:rPr>
                        </w:pPr>
                        <w:r>
                          <w:rPr>
                            <w:rFonts w:hint="eastAsia" w:ascii="宋体"/>
                            <w:color w:val="000000"/>
                          </w:rPr>
                          <w:t>特殊工种持证上岗作业制度</w:t>
                        </w:r>
                      </w:p>
                    </w:txbxContent>
                  </v:textbox>
                </v:shape>
                <v:shape id="文本框 99" o:spid="_x0000_s1026" o:spt="202" type="#_x0000_t202" style="position:absolute;left:13282;top:4663135;height:2129;width:379;" fillcolor="#C6D9F1" filled="t" stroked="t" coordsize="21600,21600" o:gfxdata="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gmaL6/&#10;AAAA3QAAAA8AAAAAAAAAAQAgAAAAIgAAAGRycy9kb3ducmV2LnhtbFBLAQIUABQAAAAIAIdO4kAz&#10;LwWeOwAAADkAAAAQAAAAAAAAAAEAIAAAAA4BAABkcnMvc2hhcGV4bWwueG1sUEsFBgAAAAAGAAYA&#10;WwEAALgDAAAAAA==&#10;">
                  <v:fill on="t" focussize="0,0"/>
                  <v:stroke weight="1pt" color="#000000" joinstyle="miter"/>
                  <v:imagedata o:title=""/>
                  <o:lock v:ext="edit" aspectratio="f"/>
                  <v:textbox inset="0mm,0mm,0mm,0mm">
                    <w:txbxContent>
                      <w:p w14:paraId="1821EC91">
                        <w:pPr>
                          <w:pStyle w:val="105"/>
                          <w:rPr>
                            <w:rFonts w:ascii="宋体"/>
                            <w:color w:val="000000"/>
                          </w:rPr>
                        </w:pPr>
                        <w:r>
                          <w:rPr>
                            <w:rFonts w:hint="eastAsia" w:ascii="宋体"/>
                            <w:color w:val="000000"/>
                          </w:rPr>
                          <w:t>经济</w:t>
                        </w:r>
                        <w:r>
                          <w:rPr>
                            <w:rFonts w:hint="eastAsia"/>
                          </w:rPr>
                          <w:t>兑现</w:t>
                        </w:r>
                      </w:p>
                      <w:p w14:paraId="2214C2FC">
                        <w:pPr>
                          <w:pStyle w:val="105"/>
                        </w:pPr>
                        <w:r>
                          <w:rPr>
                            <w:rFonts w:hint="eastAsia"/>
                          </w:rPr>
                          <w:t>，</w:t>
                        </w:r>
                      </w:p>
                      <w:p w14:paraId="64D090DD">
                        <w:pPr>
                          <w:pStyle w:val="105"/>
                          <w:rPr>
                            <w:rFonts w:ascii="宋体"/>
                            <w:color w:val="000000"/>
                          </w:rPr>
                        </w:pPr>
                        <w:r>
                          <w:rPr>
                            <w:rFonts w:hint="eastAsia" w:ascii="宋体"/>
                            <w:color w:val="000000"/>
                          </w:rPr>
                          <w:t>提高积极性</w:t>
                        </w:r>
                      </w:p>
                    </w:txbxContent>
                  </v:textbox>
                </v:shape>
                <v:shape id="文本框 91" o:spid="_x0000_s1026" o:spt="202" type="#_x0000_t202" style="position:absolute;left:12400;top:4663135;height:773;width:752;" fillcolor="#C6D9F1" filled="t" stroked="t" coordsize="21600,21600" o:gfxdata="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as0l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611C0F0D">
                        <w:pPr>
                          <w:pStyle w:val="105"/>
                          <w:rPr>
                            <w:rFonts w:ascii="宋体"/>
                            <w:color w:val="000000"/>
                          </w:rPr>
                        </w:pPr>
                        <w:r>
                          <w:rPr>
                            <w:rFonts w:hint="eastAsia"/>
                          </w:rPr>
                          <w:t>各分项工程工艺保证</w:t>
                        </w:r>
                        <w:r>
                          <w:rPr>
                            <w:rFonts w:hint="eastAsia" w:ascii="宋体"/>
                            <w:color w:val="000000"/>
                          </w:rPr>
                          <w:t>措施</w:t>
                        </w:r>
                      </w:p>
                    </w:txbxContent>
                  </v:textbox>
                </v:shape>
                <v:line id="直线 89" o:spid="_x0000_s1026" o:spt="20" style="position:absolute;left:7854;top:4663224;flip:x;height:321;width:2;" filled="f" stroked="t" coordsize="21600,21600" o:gfxdata="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gZU2vQAA&#10;AN0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shape id="文本框 85" o:spid="_x0000_s1026" o:spt="202" type="#_x0000_t202" style="position:absolute;left:8709;top:4663092;height:2467;width:285;" fillcolor="#C6D9F1" filled="t" stroked="t" coordsize="21600,21600" o:gfxdata="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Z9Q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1mm,0mm,1mm">
                    <w:txbxContent>
                      <w:p w14:paraId="33C63D5A">
                        <w:pPr>
                          <w:pStyle w:val="105"/>
                          <w:rPr>
                            <w:rFonts w:ascii="宋体"/>
                            <w:color w:val="000000"/>
                          </w:rPr>
                        </w:pPr>
                        <w:r>
                          <w:rPr>
                            <w:rFonts w:hint="eastAsia" w:ascii="宋体"/>
                            <w:color w:val="000000"/>
                          </w:rPr>
                          <w:t>安全生产责任制</w:t>
                        </w:r>
                      </w:p>
                    </w:txbxContent>
                  </v:textbox>
                </v:shape>
                <v:shape id="文本框 84" o:spid="_x0000_s1026" o:spt="202" type="#_x0000_t202" style="position:absolute;left:9820;top:4663096;height:2468;width:257;" fillcolor="#C6D9F1" filled="t" stroked="t" coordsize="21600,21600" o:gfxdata="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HW69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714FB016">
                        <w:pPr>
                          <w:pStyle w:val="105"/>
                          <w:rPr>
                            <w:rFonts w:ascii="宋体"/>
                            <w:color w:val="000000"/>
                          </w:rPr>
                        </w:pPr>
                        <w:r>
                          <w:rPr>
                            <w:rFonts w:hint="eastAsia" w:ascii="宋体"/>
                            <w:color w:val="000000"/>
                          </w:rPr>
                          <w:t>安全施工方案审批制度</w:t>
                        </w:r>
                      </w:p>
                    </w:txbxContent>
                  </v:textbox>
                </v:shape>
                <v:shape id="文本框 76" o:spid="_x0000_s1026" o:spt="202" type="#_x0000_t202" style="position:absolute;left:7228;top:4662844;height:380;width:1265;" fillcolor="#C6D9F1" filled="t" stroked="t" coordsize="21600,21600" o:gfxdata="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Ucsm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61F900D2">
                        <w:pPr>
                          <w:spacing w:line="320" w:lineRule="exact"/>
                          <w:ind w:firstLine="0" w:firstLineChars="0"/>
                          <w:jc w:val="center"/>
                          <w:rPr>
                            <w:rFonts w:ascii="宋体"/>
                            <w:color w:val="000000"/>
                            <w:sz w:val="21"/>
                          </w:rPr>
                        </w:pPr>
                        <w:r>
                          <w:rPr>
                            <w:rFonts w:hint="eastAsia" w:ascii="宋体"/>
                            <w:color w:val="000000"/>
                            <w:sz w:val="21"/>
                          </w:rPr>
                          <w:t>安全监察长</w:t>
                        </w:r>
                      </w:p>
                    </w:txbxContent>
                  </v:textbox>
                </v:shape>
                <v:shape id="文本框 115" o:spid="_x0000_s1026" o:spt="202" type="#_x0000_t202" style="position:absolute;left:7213;top:4663555;height:381;width:1284;" fillcolor="#C6D9F1" filled="t" stroked="t" coordsize="21600,21600" o:gfxdata="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g1VR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0BE9DB35">
                        <w:pPr>
                          <w:spacing w:line="320" w:lineRule="exact"/>
                          <w:ind w:firstLine="31680"/>
                          <w:jc w:val="both"/>
                          <w:rPr>
                            <w:rFonts w:ascii="宋体"/>
                            <w:color w:val="000000"/>
                            <w:sz w:val="21"/>
                          </w:rPr>
                        </w:pPr>
                        <w:r>
                          <w:rPr>
                            <w:rFonts w:hint="eastAsia" w:ascii="宋体"/>
                            <w:color w:val="000000"/>
                            <w:sz w:val="21"/>
                          </w:rPr>
                          <w:t>安质部</w:t>
                        </w:r>
                      </w:p>
                    </w:txbxContent>
                  </v:textbox>
                </v:shape>
                <v:shape id="自选图形 364" o:spid="_x0000_s1026" o:spt="100" style="position:absolute;left:12777;top:4663912;height:592;width:1;" fillcolor="#C6D9F1" filled="t" stroked="t" coordsize="1,751" o:gfxdata="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HtTK5AAAA3QAA&#10;AA8AAAAAAAAAAQAgAAAAIgAAAGRycy9kb3ducmV2LnhtbFBLAQIUABQAAAAIAIdO4kAzLwWeOwAA&#10;ADkAAAAQAAAAAAAAAAEAIAAAAAgBAABkcnMvc2hhcGV4bWwueG1sUEsFBgAAAAAGAAYAWwEAALID&#10;AAAAAA==&#10;" path="m1,0l0,751e">
                  <v:path o:connectlocs="21600,10800;2700,10799;16200,10800;24300,10800;18900,16200;13500,10800" o:connectangles="0,0,0,0,0,0"/>
                  <v:fill on="t" focussize="0,0"/>
                  <v:stroke weight="1pt" color="#000000" joinstyle="miter"/>
                  <v:imagedata o:title=""/>
                  <o:lock v:ext="edit" aspectratio="f"/>
                </v:shape>
                <v:line id="直线 1874" o:spid="_x0000_s1026" o:spt="20" style="position:absolute;left:7845;top:4663936;height:331;width:4;" filled="f" stroked="t" coordsize="21600,21600" o:gfxdata="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irrX&#10;wAAAAN0AAAAPAAAAAAAAAAEAIAAAACIAAABkcnMvZG93bnJldi54bWxQSwECFAAUAAAACACHTuJA&#10;My8FnjsAAAA5AAAAEAAAAAAAAAABACAAAAAPAQAAZHJzL3NoYXBleG1sLnhtbFBLBQYAAAAABgAG&#10;AFsBAAC5AwAAAAA=&#10;">
                  <v:fill on="f" focussize="0,0"/>
                  <v:stroke weight="1pt" color="#000000" joinstyle="round"/>
                  <v:imagedata o:title=""/>
                  <o:lock v:ext="edit" aspectratio="f"/>
                </v:line>
                <v:shape id="文本框 151" o:spid="_x0000_s1026" o:spt="202" type="#_x0000_t202" style="position:absolute;left:12402;top:4664508;height:752;width:750;" fillcolor="#C6D9F1" filled="t" stroked="t" coordsize="21600,21600" o:gfxdata="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HMEj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6EF72341">
                        <w:pPr>
                          <w:pStyle w:val="105"/>
                        </w:pPr>
                        <w:r>
                          <w:rPr>
                            <w:rFonts w:hint="eastAsia"/>
                          </w:rPr>
                          <w:t>贯彻落实，适时改进</w:t>
                        </w:r>
                      </w:p>
                    </w:txbxContent>
                  </v:textbox>
                </v:shape>
                <v:line id="直线 1876" o:spid="_x0000_s1026" o:spt="20" style="position:absolute;left:6548;top:4664621;height:381;width:0;" filled="f" stroked="t" coordsize="21600,21600" o:gfxdata="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sWs&#10;wAAAAN0AAAAPAAAAAAAAAAEAIAAAACIAAABkcnMvZG93bnJldi54bWxQSwECFAAUAAAACACHTuJA&#10;My8FnjsAAAA5AAAAEAAAAAAAAAABACAAAAAPAQAAZHJzL3NoYXBleG1sLnhtbFBLBQYAAAAABgAG&#10;AFsBAAC5AwAAAAA=&#10;">
                  <v:fill on="f" focussize="0,0"/>
                  <v:stroke weight="1pt" color="#000000" joinstyle="round"/>
                  <v:imagedata o:title=""/>
                  <o:lock v:ext="edit" aspectratio="f"/>
                </v:line>
                <v:line id="直线 1877" o:spid="_x0000_s1026" o:spt="20" style="position:absolute;left:6277;top:4664625;height:0;width:530;" filled="f" stroked="t" coordsize="21600,21600" o:gfxdata="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2YDe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shape id="自选图形 357" o:spid="_x0000_s1026" o:spt="100" style="position:absolute;left:6819;top:4664325;height:287;width:0;" fillcolor="#C6D9F1" filled="t" stroked="t" coordsize="1,307" o:gfxdata="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Pe85L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shape id="自选图形 354" o:spid="_x0000_s1026" o:spt="100" style="position:absolute;left:6270;top:4664322;height:288;width:1;" fillcolor="#C6D9F1" filled="t" stroked="t" coordsize="1,307" o:gfxdata="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7sZf7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line id="直线 1880" o:spid="_x0000_s1026" o:spt="20" style="position:absolute;left:7840;top:4664646;height:381;width:0;" filled="f" stroked="t" coordsize="21600,21600" o:gfxdata="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Bw6+8AAAA&#10;3Q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shape id="文本框 95" o:spid="_x0000_s1026" o:spt="202" type="#_x0000_t202" style="position:absolute;left:7052;top:4664267;height:379;width:1445;" fillcolor="#C6D9F1" filled="t" stroked="t" coordsize="21600,21600" o:gfxdata="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V7hb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526A058E">
                        <w:pPr>
                          <w:spacing w:line="320" w:lineRule="exact"/>
                          <w:ind w:firstLine="0" w:firstLineChars="0"/>
                          <w:jc w:val="both"/>
                          <w:rPr>
                            <w:rFonts w:ascii="黑体" w:eastAsia="黑体"/>
                            <w:color w:val="000000"/>
                          </w:rPr>
                        </w:pPr>
                        <w:r>
                          <w:rPr>
                            <w:rFonts w:hint="eastAsia" w:ascii="宋体"/>
                            <w:color w:val="000000"/>
                            <w:sz w:val="21"/>
                          </w:rPr>
                          <w:t>队安全管理小组</w:t>
                        </w:r>
                      </w:p>
                    </w:txbxContent>
                  </v:textbox>
                </v:shape>
                <v:shape id="文本框 148" o:spid="_x0000_s1026" o:spt="202" type="#_x0000_t202" style="position:absolute;left:6156;top:4665014;height:572;width:750;" fillcolor="#C6D9F1" filled="t" stroked="t" coordsize="21600,21600" o:gfxdata="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hSYs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06DC8961">
                        <w:pPr>
                          <w:pStyle w:val="105"/>
                          <w:rPr>
                            <w:rFonts w:ascii="楷体_GB2312" w:eastAsia="楷体_GB2312"/>
                            <w:color w:val="000000"/>
                          </w:rPr>
                        </w:pPr>
                        <w:r>
                          <w:rPr>
                            <w:rFonts w:hint="eastAsia"/>
                          </w:rPr>
                          <w:t>提高</w:t>
                        </w:r>
                        <w:r>
                          <w:rPr>
                            <w:rFonts w:hint="eastAsia" w:ascii="宋体" w:cs="宋体"/>
                            <w:color w:val="000000"/>
                          </w:rPr>
                          <w:t>安全意识</w:t>
                        </w:r>
                      </w:p>
                    </w:txbxContent>
                  </v:textbox>
                </v:shape>
                <v:shape id="文本框 98" o:spid="_x0000_s1026" o:spt="202" type="#_x0000_t202" style="position:absolute;left:7052;top:4665038;height:382;width:1486;" fillcolor="#C6D9F1" filled="t" stroked="t" coordsize="21600,21600" o:gfxdata="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yYO3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64369348">
                        <w:pPr>
                          <w:pStyle w:val="105"/>
                          <w:rPr>
                            <w:rFonts w:ascii="宋体"/>
                            <w:color w:val="000000"/>
                          </w:rPr>
                        </w:pPr>
                        <w:r>
                          <w:rPr>
                            <w:rFonts w:hint="eastAsia" w:ascii="宋体"/>
                            <w:color w:val="000000"/>
                          </w:rPr>
                          <w:t>队专职安全员</w:t>
                        </w:r>
                      </w:p>
                    </w:txbxContent>
                  </v:textbox>
                </v:shape>
                <v:shape id="自选图形 361" o:spid="_x0000_s1026" o:spt="100" style="position:absolute;left:6531;top:4665580;height:518;width:1;" fillcolor="#C6D9F1" filled="t" stroked="t" coordsize="1,937" o:gfxdata="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zVzG/&#10;AAAA3QAAAA8AAAAAAAAAAQAgAAAAIgAAAGRycy9kb3ducmV2LnhtbFBLAQIUABQAAAAIAIdO4kAz&#10;LwWeOwAAADkAAAAQAAAAAAAAAAEAIAAAAA4BAABkcnMvc2hhcGV4bWwueG1sUEsFBgAAAAAGAAYA&#10;WwEAALgDAAAAAA==&#10;" path="m0,0l0,937e">
                  <v:path o:connectlocs="21600,10800;2700,10799;16200,10800;24300,10800;18900,16200;13500,10800" o:connectangles="0,0,0,0,0,0"/>
                  <v:fill on="t" focussize="0,0"/>
                  <v:stroke weight="1pt" color="#000000" joinstyle="miter"/>
                  <v:imagedata o:title=""/>
                  <o:lock v:ext="edit" aspectratio="f"/>
                </v:shape>
                <v:shape id="自选图形 347" o:spid="_x0000_s1026" o:spt="100" style="position:absolute;left:12162;top:4665553;height:305;width:1;" fillcolor="#C6D9F1" filled="t" stroked="t" coordsize="1,307" o:gfxdata="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Uy6VvQAA&#10;AN0AAAAPAAAAAAAAAAEAIAAAACIAAABkcnMvZG93bnJldi54bWxQSwECFAAUAAAACACHTuJAMy8F&#10;njsAAAA5AAAAEAAAAAAAAAABACAAAAAMAQAAZHJzL3NoYXBleG1sLnhtbFBLBQYAAAAABgAGAFsB&#10;AAC2AwAAAAA=&#10;" path="m0,0l0,307e">
                  <v:path o:connectlocs="21600,10800;2700,10799;16200,10800;24300,10800;18900,16200;13500,10800" o:connectangles="0,0,0,0,0,0"/>
                  <v:fill on="t" focussize="0,0"/>
                  <v:stroke weight="1pt" color="#000000" joinstyle="miter"/>
                  <v:imagedata o:title=""/>
                  <o:lock v:ext="edit" aspectratio="f"/>
                </v:shape>
                <v:shape id="自选图形 345" o:spid="_x0000_s1026" o:spt="100" style="position:absolute;left:11756;top:4665562;height:288;width:1;" fillcolor="#C6D9F1" filled="t" stroked="t" coordsize="1,307" o:gfxdata="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rAR&#10;1cEAAADdAAAADwAAAAAAAAABACAAAAAiAAAAZHJzL2Rvd25yZXYueG1sUEsBAhQAFAAAAAgAh07i&#10;QDMvBZ47AAAAOQAAABAAAAAAAAAAAQAgAAAAEAEAAGRycy9zaGFwZXhtbC54bWxQSwUGAAAAAAYA&#10;BgBbAQAAugMAAAAA&#10;" path="m0,0l0,307e">
                  <v:path o:connectlocs="21600,10800;2700,10799;16200,10800;24300,10800;18900,16200;13500,10800" o:connectangles="0,0,0,0,0,0"/>
                  <v:fill on="t" focussize="0,0"/>
                  <v:stroke weight="1pt" color="#000000" joinstyle="miter"/>
                  <v:imagedata o:title=""/>
                  <o:lock v:ext="edit" aspectratio="f"/>
                </v:shape>
                <v:shape id="自选图形 344" o:spid="_x0000_s1026" o:spt="100" style="position:absolute;left:11426;top:4665562;height:288;width:1;" fillcolor="#C6D9F1" filled="t" stroked="t" coordsize="1,307" o:gfxdata="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fy0Tr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shape id="自选图形 343" o:spid="_x0000_s1026" o:spt="100" style="position:absolute;left:11053;top:4665558;height:289;width:1;" fillcolor="#C6D9F1" filled="t" stroked="t" coordsize="1,307" o:gfxdata="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4qOb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shape id="自选图形 337" o:spid="_x0000_s1026" o:spt="100" style="position:absolute;left:10686;top:4665558;height:289;width:1;" fillcolor="#C6D9F1" filled="t" stroked="t" coordsize="1,307" o:gfxdata="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ij6K/&#10;AAAA3QAAAA8AAAAAAAAAAQAgAAAAIgAAAGRycy9kb3ducmV2LnhtbFBLAQIUABQAAAAIAIdO4kAz&#10;LwWeOwAAADkAAAAQAAAAAAAAAAEAIAAAAA4BAABkcnMvc2hhcGV4bWwueG1sUEsFBgAAAAAGAAYA&#10;WwEAALgDAAAAAA==&#10;" path="m0,0l0,307e">
                  <v:path o:connectlocs="21600,10800;2700,10799;16200,10800;24300,10800;18900,16200;13500,10800" o:connectangles="0,0,0,0,0,0"/>
                  <v:fill on="t" focussize="0,0"/>
                  <v:stroke weight="1pt" color="#000000" joinstyle="miter"/>
                  <v:imagedata o:title=""/>
                  <o:lock v:ext="edit" aspectratio="f"/>
                </v:shape>
                <v:shape id="自选图形 332" o:spid="_x0000_s1026" o:spt="100" style="position:absolute;left:10338;top:4665562;flip:x;height:310;width:1;" fillcolor="#C6D9F1" filled="t" stroked="t" coordsize="1,307" o:gfxdata="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a9CkbsAAADd&#10;AAAADwAAAAAAAAABACAAAAAiAAAAZHJzL2Rvd25yZXYueG1sUEsBAhQAFAAAAAgAh07iQDMvBZ47&#10;AAAAOQAAABAAAAAAAAAAAQAgAAAACgEAAGRycy9zaGFwZXhtbC54bWxQSwUGAAAAAAYABgBbAQAA&#10;tAMAAAAA&#10;" path="m0,0l0,307e">
                  <v:path o:connectlocs="21600,10800;2700,10799;16200,10800;24300,10800;18900,16200;13500,10800" o:connectangles="0,0,0,0,0,0"/>
                  <v:fill on="t" focussize="0,0"/>
                  <v:stroke weight="1pt" color="#000000" joinstyle="miter"/>
                  <v:imagedata o:title=""/>
                  <o:lock v:ext="edit" aspectratio="f"/>
                </v:shape>
                <v:shape id="自选图形 326" o:spid="_x0000_s1026" o:spt="100" style="position:absolute;left:9946;top:4665558;height:289;width:1;" fillcolor="#C6D9F1" filled="t" stroked="t" coordsize="1,307" o:gfxdata="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eyTb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shape id="自选图形 325" o:spid="_x0000_s1026" o:spt="100" style="position:absolute;left:9602;top:4665558;height:289;width:1;" fillcolor="#C6D9F1" filled="t" stroked="t" coordsize="1,307" o:gfxdata="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hUsOr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shape id="自选图形 324" o:spid="_x0000_s1026" o:spt="100" style="position:absolute;left:9231;top:4665567;height:288;width:1;" fillcolor="#C6D9F1" filled="t" stroked="t" coordsize="1,307" o:gfxdata="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VmJob4A&#10;AADdAAAADwAAAAAAAAABACAAAAAiAAAAZHJzL2Rvd25yZXYueG1sUEsBAhQAFAAAAAgAh07iQDMv&#10;BZ47AAAAOQAAABAAAAAAAAAAAQAgAAAADQEAAGRycy9zaGFwZXhtbC54bWxQSwUGAAAAAAYABgBb&#10;AQAAtwMAAAAA&#10;" path="m0,0l0,307e">
                  <v:path o:connectlocs="21600,10800;2700,10799;16200,10800;24300,10800;18900,16200;13500,10800" o:connectangles="0,0,0,0,0,0"/>
                  <v:fill on="t" focussize="0,0"/>
                  <v:stroke weight="1pt" color="#000000" joinstyle="miter"/>
                  <v:imagedata o:title=""/>
                  <o:lock v:ext="edit" aspectratio="f"/>
                </v:shape>
                <v:shape id="自选图形 317" o:spid="_x0000_s1026" o:spt="100" style="position:absolute;left:8876;top:4665567;height:288;width:1;" fillcolor="#C6D9F1" filled="t" stroked="t" coordsize="1,307" o:gfxdata="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MYd&#10;08EAAADdAAAADwAAAAAAAAABACAAAAAiAAAAZHJzL2Rvd25yZXYueG1sUEsBAhQAFAAAAAgAh07i&#10;QDMvBZ47AAAAOQAAABAAAAAAAAAAAQAgAAAAEAEAAGRycy9zaGFwZXhtbC54bWxQSwUGAAAAAAYA&#10;BgBbAQAAugMAAAAA&#10;" path="m0,0l0,307e">
                  <v:path o:connectlocs="21600,10800;2700,10799;16200,10800;24300,10800;18900,16200;13500,10800" o:connectangles="0,0,0,0,0,0"/>
                  <v:fill on="t" focussize="0,0"/>
                  <v:stroke weight="1pt" color="#000000" joinstyle="miter"/>
                  <v:imagedata o:title=""/>
                  <o:lock v:ext="edit" aspectratio="f"/>
                </v:shape>
                <v:shape id="自选图形 308" o:spid="_x0000_s1026" o:spt="100" style="position:absolute;left:7823;top:4665423;height:691;width:1;" fillcolor="#C6D9F1" filled="t" stroked="t" coordsize="1,937" o:gfxdata="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mZHe/&#10;AAAA3QAAAA8AAAAAAAAAAQAgAAAAIgAAAGRycy9kb3ducmV2LnhtbFBLAQIUABQAAAAIAIdO4kAz&#10;LwWeOwAAADkAAAAQAAAAAAAAAAEAIAAAAA4BAABkcnMvc2hhcGV4bWwueG1sUEsFBgAAAAAGAAYA&#10;WwEAALgDAAAAAA==&#10;" path="m0,0l0,937e">
                  <v:path o:connectlocs="21600,10800;2700,10799;16200,10800;24300,10800;18900,16200;13500,10800" o:connectangles="0,0,0,0,0,0"/>
                  <v:fill on="t" focussize="0,0"/>
                  <v:stroke weight="1pt" color="#000000" joinstyle="miter"/>
                  <v:imagedata o:title=""/>
                  <o:lock v:ext="edit" aspectratio="f"/>
                </v:shape>
                <v:shape id="自选图形 307" o:spid="_x0000_s1026" o:spt="100" style="position:absolute;left:12762;top:4665264;height:845;width:1;" fillcolor="#C6D9F1" filled="t" stroked="t" coordsize="1,900" o:gfxdata="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xB4c&#10;wAAAAN0AAAAPAAAAAAAAAAEAIAAAACIAAABkcnMvZG93bnJldi54bWxQSwECFAAUAAAACACHTuJA&#10;My8FnjsAAAA5AAAAEAAAAAAAAAABACAAAAAPAQAAZHJzL3NoYXBleG1sLnhtbFBLBQYAAAAABgAG&#10;AFsBAAC5AwAAAAA=&#10;" path="m1,0l0,900e">
                  <v:path o:connectlocs="21600,10800;2700,10799;16200,10800;24300,10800;18900,16200;13500,10800" o:connectangles="0,0,0,0,0,0"/>
                  <v:fill on="t" focussize="0,0"/>
                  <v:stroke weight="1pt" color="#000000" joinstyle="miter"/>
                  <v:imagedata o:title=""/>
                  <o:lock v:ext="edit" aspectratio="f"/>
                </v:shape>
                <v:shape id="自选图形 306" o:spid="_x0000_s1026" o:spt="100" style="position:absolute;left:13489;top:4665273;height:835;width:1;" fillcolor="#C6D9F1" filled="t" stroked="t" coordsize="1,894" o:gfxdata="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HFZpL4A&#10;AADdAAAADwAAAAAAAAABACAAAAAiAAAAZHJzL2Rvd25yZXYueG1sUEsBAhQAFAAAAAgAh07iQDMv&#10;BZ47AAAAOQAAABAAAAAAAAAAAQAgAAAADQEAAGRycy9zaGFwZXhtbC54bWxQSwUGAAAAAAYABgBb&#10;AQAAtwMAAAAA&#10;" path="m0,0l0,894e">
                  <v:path o:connectlocs="21600,10800;2700,10799;16200,10800;24300,10800;18900,16200;13500,10800" o:connectangles="0,0,0,0,0,0"/>
                  <v:fill on="t" focussize="0,0"/>
                  <v:stroke weight="1pt" color="#000000" joinstyle="miter"/>
                  <v:imagedata o:title=""/>
                  <o:lock v:ext="edit" aspectratio="f"/>
                </v:shape>
                <v:shape id="自选图形 318" o:spid="_x0000_s1026" o:spt="100" style="position:absolute;left:10337;top:4665858;height:487;width:2;" fillcolor="#C6D9F1" filled="t" stroked="t" coordsize="2,1491" o:gfxdata="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JIe74A&#10;AADdAAAADwAAAAAAAAABACAAAAAiAAAAZHJzL2Rvd25yZXYueG1sUEsBAhQAFAAAAAgAh07iQDMv&#10;BZ47AAAAOQAAABAAAAAAAAAAAQAgAAAADQEAAGRycy9zaGFwZXhtbC54bWxQSwUGAAAAAAYABgBb&#10;AQAAtwMAAAAA&#10;" path="m2,0l0,1491e">
                  <v:path o:connectlocs="21600,10800;2700,10799;16200,10800;24300,10800;18900,16200;13500,10800" o:connectangles="0,0,0,0,0,0"/>
                  <v:fill on="t" focussize="0,0"/>
                  <v:stroke weight="1pt" color="#000000" joinstyle="miter"/>
                  <v:imagedata o:title=""/>
                  <o:lock v:ext="edit" aspectratio="f"/>
                </v:shape>
                <v:line id="直线 1899" o:spid="_x0000_s1026" o:spt="20" style="position:absolute;left:8880;top:4665855;height:0;width:3276;" filled="f" stroked="t" coordsize="21600,21600" o:gfxdata="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nQe7vQAA&#10;AN0AAAAPAAAAAAAAAAEAIAAAACIAAABkcnMvZG93bnJldi54bWxQSwECFAAUAAAACACHTuJAMy8F&#10;njsAAAA5AAAAEAAAAAAAAAABACAAAAAMAQAAZHJzL3NoYXBleG1sLnhtbFBLBQYAAAAABgAGAFsB&#10;AAC2AwAAAAA=&#10;">
                  <v:fill on="f" focussize="0,0"/>
                  <v:stroke weight="1pt" color="#000000" joinstyle="round"/>
                  <v:imagedata o:title=""/>
                  <o:lock v:ext="edit" aspectratio="f"/>
                </v:line>
                <v:shape id="自选图形 311" o:spid="_x0000_s1026" o:spt="100" style="position:absolute;left:6505;top:4666115;height:2;width:6996;" fillcolor="#C6D9F1" filled="t" stroked="t" coordsize="6357,1" o:gfxdata="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C89/bsAAADd&#10;AAAADwAAAAAAAAABACAAAAAiAAAAZHJzL2Rvd25yZXYueG1sUEsBAhQAFAAAAAgAh07iQDMvBZ47&#10;AAAAOQAAABAAAAAAAAAAAQAgAAAACgEAAGRycy9zaGFwZXhtbC54bWxQSwUGAAAAAAYABgBbAQAA&#10;tAMAAAAA&#10;" path="m0,0l6357,0e">
                  <v:path o:connectlocs="21600,10800;2700,10799;16200,10800;24300,10800;18900,16200;13500,10800" o:connectangles="0,0,0,0,0,0"/>
                  <v:fill on="t" focussize="0,0"/>
                  <v:stroke weight="1pt" color="#000000" joinstyle="miter"/>
                  <v:imagedata o:title=""/>
                  <o:lock v:ext="edit" aspectratio="f"/>
                </v:shape>
                <v:shape id="文本框 96" o:spid="_x0000_s1026" o:spt="202" type="#_x0000_t202" style="position:absolute;left:9323;top:4666350;height:380;width:2022;" fillcolor="#C6D9F1" filled="t" stroked="t" coordsize="21600,21600" o:gfxdata="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4uQ7vQAA&#10;AN0AAAAPAAAAAAAAAAEAIAAAACIAAABkcnMvZG93bnJldi54bWxQSwECFAAUAAAACACHTuJAMy8F&#10;njsAAAA5AAAAEAAAAAAAAAABACAAAAAMAQAAZHJzL3NoYXBleG1sLnhtbFBLBQYAAAAABgAGAFsB&#10;AAC2AwAAAAA=&#10;">
                  <v:fill on="t" focussize="0,0"/>
                  <v:stroke weight="1pt" color="#000000" joinstyle="miter"/>
                  <v:imagedata o:title=""/>
                  <o:lock v:ext="edit" aspectratio="f"/>
                  <v:textbox inset="0mm,0mm,0mm,0mm">
                    <w:txbxContent>
                      <w:p w14:paraId="16BD090F">
                        <w:pPr>
                          <w:pStyle w:val="105"/>
                          <w:rPr>
                            <w:rFonts w:ascii="宋体"/>
                            <w:color w:val="000000"/>
                          </w:rPr>
                        </w:pPr>
                        <w:r>
                          <w:rPr>
                            <w:rFonts w:hint="eastAsia" w:ascii="宋体"/>
                            <w:color w:val="000000"/>
                          </w:rPr>
                          <w:t>实现</w:t>
                        </w:r>
                        <w:r>
                          <w:rPr>
                            <w:rFonts w:hint="eastAsia"/>
                          </w:rPr>
                          <w:t>安全</w:t>
                        </w:r>
                        <w:r>
                          <w:rPr>
                            <w:rFonts w:hint="eastAsia" w:ascii="宋体"/>
                            <w:color w:val="000000"/>
                          </w:rPr>
                          <w:t>生产目标</w:t>
                        </w:r>
                      </w:p>
                    </w:txbxContent>
                  </v:textbox>
                </v:shape>
                <w10:wrap type="topAndBottom"/>
              </v:group>
            </w:pict>
          </mc:Fallback>
        </mc:AlternateContent>
      </w:r>
    </w:p>
    <w:p w14:paraId="2F036AB2">
      <w:pPr>
        <w:ind w:firstLine="482"/>
        <w:rPr>
          <w:b/>
          <w:bCs/>
        </w:rPr>
      </w:pPr>
      <w:r>
        <w:rPr>
          <w:rFonts w:hint="eastAsia"/>
          <w:b/>
          <w:bCs/>
        </w:rPr>
        <w:t>二、领导带班制度</w:t>
      </w:r>
    </w:p>
    <w:p w14:paraId="218D39EC">
      <w:pPr>
        <w:ind w:firstLine="480"/>
        <w:rPr>
          <w:rFonts w:hint="eastAsia" w:ascii="宋体" w:hAnsi="宋体" w:cs="宋体"/>
          <w:lang w:val="en-US" w:eastAsia="zh-CN"/>
        </w:rPr>
      </w:pPr>
      <w:r>
        <w:rPr>
          <w:rFonts w:hint="eastAsia" w:ascii="宋体" w:hAnsi="宋体" w:cs="宋体"/>
          <w:lang w:val="en-US" w:eastAsia="zh-CN"/>
        </w:rPr>
        <w:t>争创平安工地零事故，加强项目领导蹲点带班作业，严格执行项目领导施工现场带班生产制度，坚持生产工作与安全工作的“五同时”，模范地执行各项安全生产的规章制度，带班领导负责安全检查、督促和指导各施工作业点安全工作，解决安全方面的疑难问题，防范可能发生的一切不安全因素。明确各级管理人员、作业人员的职责和权限，抓好逐级负责制的落实。</w:t>
      </w:r>
    </w:p>
    <w:p w14:paraId="7CECF893">
      <w:pPr>
        <w:ind w:firstLine="480"/>
        <w:rPr>
          <w:rFonts w:hint="eastAsia" w:ascii="宋体" w:hAnsi="宋体" w:cs="宋体"/>
          <w:lang w:val="en-US" w:eastAsia="zh-CN"/>
        </w:rPr>
      </w:pPr>
      <w:r>
        <w:rPr>
          <w:rFonts w:hint="eastAsia" w:ascii="宋体" w:hAnsi="宋体" w:cs="宋体"/>
          <w:lang w:val="en-US" w:eastAsia="zh-CN"/>
        </w:rPr>
        <w:t>现场带班工作内容：</w:t>
      </w:r>
    </w:p>
    <w:p w14:paraId="1C5384A4">
      <w:pPr>
        <w:ind w:firstLine="480"/>
        <w:rPr>
          <w:rFonts w:hint="eastAsia" w:ascii="宋体" w:hAnsi="宋体" w:cs="宋体"/>
          <w:lang w:val="en-US" w:eastAsia="zh-CN"/>
        </w:rPr>
      </w:pPr>
      <w:r>
        <w:rPr>
          <w:rFonts w:hint="eastAsia" w:ascii="宋体" w:hAnsi="宋体" w:cs="宋体"/>
          <w:lang w:val="en-US" w:eastAsia="zh-CN"/>
        </w:rPr>
        <w:t>（1）现场带班人员要把保证安全生产作为第一位的责任，切实掌握施工过程中的安全生产状况，认真落实安全生产管理相关规定，加强对重点部位、关键环节的检查巡视。</w:t>
      </w:r>
    </w:p>
    <w:p w14:paraId="64FB84BF">
      <w:pPr>
        <w:ind w:firstLine="480"/>
        <w:rPr>
          <w:rFonts w:hint="eastAsia" w:ascii="宋体" w:hAnsi="宋体" w:cs="宋体"/>
          <w:lang w:val="en-US" w:eastAsia="zh-CN"/>
        </w:rPr>
      </w:pPr>
      <w:r>
        <w:rPr>
          <w:rFonts w:hint="eastAsia" w:ascii="宋体" w:hAnsi="宋体" w:cs="宋体"/>
          <w:lang w:val="en-US" w:eastAsia="zh-CN"/>
        </w:rPr>
        <w:t>（2）排查隐患并要求相关人员立即落实整改，现场无法整改的隐患问题，必须下达整改通知单；限期整改并按期复查验收；发现较大隐患立即停止作业并报安环部门研究处理。</w:t>
      </w:r>
    </w:p>
    <w:p w14:paraId="7DE370CF">
      <w:pPr>
        <w:ind w:firstLine="480"/>
        <w:rPr>
          <w:rFonts w:hint="eastAsia" w:ascii="宋体" w:hAnsi="宋体" w:cs="宋体"/>
          <w:lang w:val="en-US" w:eastAsia="zh-CN"/>
        </w:rPr>
      </w:pPr>
      <w:r>
        <w:rPr>
          <w:rFonts w:hint="eastAsia" w:ascii="宋体" w:hAnsi="宋体" w:cs="宋体"/>
          <w:lang w:val="en-US" w:eastAsia="zh-CN"/>
        </w:rPr>
        <w:t>（3）严格落实制止“三违”相关规定，及时制止违章违纪行为，在现场发现违章问题，立即纠错并按规定给予处罚，严禁违章指挥。</w:t>
      </w:r>
    </w:p>
    <w:p w14:paraId="72787A8B">
      <w:pPr>
        <w:ind w:firstLine="480"/>
        <w:rPr>
          <w:rFonts w:hint="eastAsia" w:ascii="宋体" w:hAnsi="宋体" w:cs="宋体"/>
          <w:lang w:val="en-US" w:eastAsia="zh-CN"/>
        </w:rPr>
      </w:pPr>
      <w:r>
        <w:rPr>
          <w:rFonts w:hint="eastAsia" w:ascii="宋体" w:hAnsi="宋体" w:cs="宋体"/>
          <w:lang w:val="en-US" w:eastAsia="zh-CN"/>
        </w:rPr>
        <w:t>（4）解决生产中的突发问题，现场无法解决处理的，立即报安环部门。严禁超能力组织生产。</w:t>
      </w:r>
    </w:p>
    <w:p w14:paraId="15B65FCE">
      <w:pPr>
        <w:ind w:firstLine="480"/>
        <w:rPr>
          <w:rFonts w:hint="eastAsia" w:ascii="宋体" w:hAnsi="宋体" w:cs="宋体"/>
          <w:lang w:val="en-US" w:eastAsia="zh-CN"/>
        </w:rPr>
      </w:pPr>
      <w:r>
        <w:rPr>
          <w:rFonts w:hint="eastAsia" w:ascii="宋体" w:hAnsi="宋体" w:cs="宋体"/>
          <w:lang w:val="en-US" w:eastAsia="zh-CN"/>
        </w:rPr>
        <w:t>（5）严查“跑冒滴漏”现象，并按规定进行处罚。</w:t>
      </w:r>
    </w:p>
    <w:p w14:paraId="65588CD7">
      <w:pPr>
        <w:ind w:firstLine="480"/>
        <w:rPr>
          <w:rFonts w:hint="eastAsia" w:ascii="宋体" w:hAnsi="宋体" w:cs="宋体"/>
          <w:lang w:val="en-US" w:eastAsia="zh-CN"/>
        </w:rPr>
      </w:pPr>
      <w:r>
        <w:rPr>
          <w:rFonts w:hint="eastAsia" w:ascii="宋体" w:hAnsi="宋体" w:cs="宋体"/>
          <w:lang w:val="en-US" w:eastAsia="zh-CN"/>
        </w:rPr>
        <w:t>（6）现场发生危及职工生命安全的重大隐患和严重问题时，带班人员要立即组织取停产、撤人、排除隐患等紧急处置措施，并及时向项目部主管领导、安环部门报告。</w:t>
      </w:r>
    </w:p>
    <w:p w14:paraId="3449C59B">
      <w:pPr>
        <w:ind w:firstLine="480"/>
        <w:rPr>
          <w:rFonts w:hint="eastAsia" w:ascii="宋体" w:hAnsi="宋体" w:cs="宋体"/>
          <w:lang w:val="en-US" w:eastAsia="zh-CN"/>
        </w:rPr>
      </w:pPr>
      <w:r>
        <w:rPr>
          <w:rFonts w:hint="eastAsia" w:ascii="宋体" w:hAnsi="宋体" w:cs="宋体"/>
          <w:lang w:val="en-US" w:eastAsia="zh-CN"/>
        </w:rPr>
        <w:t>三、安全生产检查制度</w:t>
      </w:r>
    </w:p>
    <w:p w14:paraId="3A857D5E">
      <w:pPr>
        <w:ind w:firstLine="480"/>
        <w:rPr>
          <w:rFonts w:hint="eastAsia" w:ascii="宋体" w:hAnsi="宋体" w:cs="宋体"/>
          <w:lang w:val="en-US" w:eastAsia="zh-CN"/>
        </w:rPr>
      </w:pPr>
      <w:r>
        <w:rPr>
          <w:rFonts w:hint="eastAsia" w:ascii="宋体" w:hAnsi="宋体" w:cs="宋体"/>
          <w:lang w:val="en-US" w:eastAsia="zh-CN"/>
        </w:rPr>
        <w:t>按照施工和专业等不同时期的安全工作重点，进行开工前检查、经常性检查、专业性检查、季节性检查及节假日检查。</w:t>
      </w:r>
    </w:p>
    <w:p w14:paraId="0B439FB7">
      <w:pPr>
        <w:ind w:firstLine="480"/>
        <w:rPr>
          <w:rFonts w:hint="eastAsia" w:ascii="宋体" w:hAnsi="宋体" w:cs="宋体"/>
          <w:lang w:val="en-US" w:eastAsia="zh-CN"/>
        </w:rPr>
      </w:pPr>
      <w:r>
        <w:rPr>
          <w:rFonts w:hint="eastAsia" w:ascii="宋体" w:hAnsi="宋体" w:cs="宋体"/>
          <w:lang w:val="en-US" w:eastAsia="zh-CN"/>
        </w:rPr>
        <w:t xml:space="preserve">四、安全教育培训制度  </w:t>
      </w:r>
    </w:p>
    <w:p w14:paraId="0E39C184">
      <w:pPr>
        <w:ind w:firstLine="480"/>
        <w:rPr>
          <w:rFonts w:hint="eastAsia" w:ascii="宋体" w:hAnsi="宋体" w:cs="宋体"/>
          <w:lang w:val="en-US" w:eastAsia="zh-CN"/>
        </w:rPr>
      </w:pPr>
      <w:r>
        <w:rPr>
          <w:rFonts w:hint="eastAsia" w:ascii="宋体" w:hAnsi="宋体" w:cs="宋体"/>
          <w:lang w:val="en-US" w:eastAsia="zh-CN"/>
        </w:rPr>
        <w:t>项目经理、专职安全管理人员、其他管理人员和技术人员、特殊工种作业人员，以及转岗、换岗的职工重新上岗前均必须按《安全生产法》有关规定进行安全培训教育，并经考核合格后方能上岗。</w:t>
      </w:r>
    </w:p>
    <w:p w14:paraId="126D79F0">
      <w:pPr>
        <w:ind w:firstLine="480"/>
        <w:rPr>
          <w:rFonts w:hint="eastAsia" w:ascii="宋体" w:hAnsi="宋体" w:cs="宋体"/>
          <w:lang w:val="en-US" w:eastAsia="zh-CN"/>
        </w:rPr>
      </w:pPr>
      <w:r>
        <w:rPr>
          <w:rFonts w:hint="eastAsia" w:ascii="宋体" w:hAnsi="宋体" w:cs="宋体"/>
          <w:lang w:val="en-US" w:eastAsia="zh-CN"/>
        </w:rPr>
        <w:t>经常开展安全生产宣传教育活动，贯彻安全生产方针、目标，实现安全生产、文明生产，提高员工安全意识、技能。</w:t>
      </w:r>
    </w:p>
    <w:p w14:paraId="7CA5FCCB">
      <w:pPr>
        <w:ind w:firstLine="480"/>
        <w:rPr>
          <w:rFonts w:hint="eastAsia" w:ascii="宋体" w:hAnsi="宋体" w:cs="宋体"/>
          <w:lang w:val="en-US" w:eastAsia="zh-CN"/>
        </w:rPr>
      </w:pPr>
      <w:r>
        <w:rPr>
          <w:rFonts w:hint="eastAsia" w:ascii="宋体" w:hAnsi="宋体" w:cs="宋体"/>
          <w:lang w:val="en-US" w:eastAsia="zh-CN"/>
        </w:rPr>
        <w:t>五、安全生产会议制度</w:t>
      </w:r>
    </w:p>
    <w:p w14:paraId="64D70C7B">
      <w:pPr>
        <w:ind w:firstLine="480"/>
        <w:rPr>
          <w:rFonts w:hint="eastAsia" w:ascii="宋体" w:hAnsi="宋体" w:cs="宋体"/>
          <w:lang w:val="en-US" w:eastAsia="zh-CN"/>
        </w:rPr>
      </w:pPr>
      <w:r>
        <w:rPr>
          <w:rFonts w:hint="eastAsia" w:ascii="宋体" w:hAnsi="宋体" w:cs="宋体"/>
          <w:lang w:val="en-US" w:eastAsia="zh-CN"/>
        </w:rPr>
        <w:t>定期(每月)召开安全生产总结会，向总承包汇报当月安全生产情况，安排下阶段的安全生产工作。会议贯彻国家、交通部、地方政府、总承包及上级有关安全规定、要求；进行安全再教育，提高安全意识；总结前一阶段安全工作，查找隐患，分析原因，制定整改措施，明确责任人；制定奖罚制度，做出奖罚决定；对影响较大、带普遍性的问题，编发通报或简报，发至有关单位。</w:t>
      </w:r>
    </w:p>
    <w:p w14:paraId="56A1A7E4">
      <w:pPr>
        <w:ind w:firstLine="480"/>
        <w:rPr>
          <w:rFonts w:hint="eastAsia" w:ascii="宋体" w:hAnsi="宋体" w:cs="宋体"/>
          <w:lang w:val="en-US" w:eastAsia="zh-CN"/>
        </w:rPr>
      </w:pPr>
      <w:r>
        <w:rPr>
          <w:rFonts w:hint="eastAsia" w:ascii="宋体" w:hAnsi="宋体" w:cs="宋体"/>
          <w:lang w:val="en-US" w:eastAsia="zh-CN"/>
        </w:rPr>
        <w:t>六、安全技术交底制度</w:t>
      </w:r>
    </w:p>
    <w:p w14:paraId="4A3F0AB6">
      <w:pPr>
        <w:ind w:firstLine="480"/>
        <w:rPr>
          <w:rFonts w:hint="eastAsia" w:ascii="宋体" w:hAnsi="宋体" w:cs="宋体"/>
          <w:lang w:val="en-US" w:eastAsia="zh-CN"/>
        </w:rPr>
      </w:pPr>
      <w:r>
        <w:rPr>
          <w:rFonts w:hint="eastAsia" w:ascii="宋体" w:hAnsi="宋体" w:cs="宋体"/>
          <w:lang w:val="en-US" w:eastAsia="zh-CN"/>
        </w:rPr>
        <w:t>工程开工前，工程负责人向参加施工的各类人员认真进行安全技术措施交底，使大家掌握工程施工特点及各时期安全施工的要求。生产班组在接受生产任务时，应同时组织班组全体人员听取安全技术措施交底讲解，凡没有进行安全技术措施交底或未向全体作业人员讲解，班组有权拒绝接受任务，并提出意见。安全技术交底活动由双方签字确认。</w:t>
      </w:r>
    </w:p>
    <w:p w14:paraId="4DE5EFF2">
      <w:pPr>
        <w:ind w:firstLine="480"/>
        <w:rPr>
          <w:rFonts w:hint="eastAsia" w:ascii="宋体" w:hAnsi="宋体" w:cs="宋体"/>
          <w:lang w:val="en-US" w:eastAsia="zh-CN"/>
        </w:rPr>
      </w:pPr>
      <w:r>
        <w:rPr>
          <w:rFonts w:hint="eastAsia" w:ascii="宋体" w:hAnsi="宋体" w:cs="宋体"/>
          <w:lang w:val="en-US" w:eastAsia="zh-CN"/>
        </w:rPr>
        <w:t>七、班前安全讲话制度</w:t>
      </w:r>
    </w:p>
    <w:p w14:paraId="008845B0">
      <w:pPr>
        <w:ind w:firstLine="480"/>
        <w:rPr>
          <w:rFonts w:hint="eastAsia" w:ascii="宋体" w:hAnsi="宋体" w:cs="宋体"/>
          <w:lang w:val="en-US" w:eastAsia="zh-CN"/>
        </w:rPr>
      </w:pPr>
      <w:r>
        <w:rPr>
          <w:rFonts w:hint="eastAsia" w:ascii="宋体" w:hAnsi="宋体" w:cs="宋体"/>
          <w:lang w:val="en-US" w:eastAsia="zh-CN"/>
        </w:rPr>
        <w:t>班组长每日上班前召集所管辖班组全体人员，针对当天任务，结合安全技术措施内容和作业环境、设施、设备安全状况及本班组人员技术素质、安全知识、自我保护意识以及思想状态，有针对性地进行班前讲话活动，提出具体注意事项，跟踪落实，并做好活动记录。</w:t>
      </w:r>
    </w:p>
    <w:p w14:paraId="78A986A2">
      <w:pPr>
        <w:ind w:firstLine="480"/>
        <w:rPr>
          <w:rFonts w:hint="eastAsia" w:ascii="宋体" w:hAnsi="宋体" w:cs="宋体"/>
          <w:lang w:val="en-US" w:eastAsia="zh-CN"/>
        </w:rPr>
      </w:pPr>
      <w:r>
        <w:rPr>
          <w:rFonts w:hint="eastAsia" w:ascii="宋体" w:hAnsi="宋体" w:cs="宋体"/>
          <w:lang w:val="en-US" w:eastAsia="zh-CN"/>
        </w:rPr>
        <w:t>八、作业交接班制度</w:t>
      </w:r>
    </w:p>
    <w:p w14:paraId="5F5B16ED">
      <w:pPr>
        <w:ind w:firstLine="480"/>
        <w:rPr>
          <w:rFonts w:hint="eastAsia" w:ascii="宋体" w:hAnsi="宋体" w:cs="宋体"/>
          <w:lang w:val="en-US" w:eastAsia="zh-CN"/>
        </w:rPr>
      </w:pPr>
      <w:r>
        <w:rPr>
          <w:rFonts w:hint="eastAsia" w:ascii="宋体" w:hAnsi="宋体" w:cs="宋体"/>
          <w:lang w:val="en-US" w:eastAsia="zh-CN"/>
        </w:rPr>
        <w:t>施工班组进行安全交接班，对施工中的安全防护措施、人员及设备安全、安全警示等进行交接，保证下一班组在有安全保障的情况下进行施工。</w:t>
      </w:r>
    </w:p>
    <w:p w14:paraId="4A577A7A">
      <w:pPr>
        <w:ind w:firstLine="480"/>
        <w:rPr>
          <w:rFonts w:hint="eastAsia" w:ascii="宋体" w:hAnsi="宋体" w:cs="宋体"/>
          <w:lang w:val="en-US" w:eastAsia="zh-CN"/>
        </w:rPr>
      </w:pPr>
      <w:r>
        <w:rPr>
          <w:rFonts w:hint="eastAsia" w:ascii="宋体" w:hAnsi="宋体" w:cs="宋体"/>
          <w:lang w:val="en-US" w:eastAsia="zh-CN"/>
        </w:rPr>
        <w:t>九、伤亡事故上报制度</w:t>
      </w:r>
    </w:p>
    <w:p w14:paraId="6A2417AE">
      <w:pPr>
        <w:ind w:firstLine="480"/>
        <w:rPr>
          <w:rFonts w:hint="eastAsia" w:ascii="宋体" w:hAnsi="宋体" w:cs="宋体"/>
          <w:lang w:val="en-US" w:eastAsia="zh-CN"/>
        </w:rPr>
      </w:pPr>
      <w:r>
        <w:rPr>
          <w:rFonts w:hint="eastAsia" w:ascii="宋体" w:hAnsi="宋体" w:cs="宋体"/>
          <w:lang w:val="en-US" w:eastAsia="zh-CN"/>
        </w:rPr>
        <w:t>施工生产过程中发生伤亡事故（含急性职业中毒），按照《企业职工伤亡事故报告和处理规定》及国家有关规定进行报告、调查和处理。发生事故按系统逐级及时上报，不隐瞒。安全事故处理坚持“事故原因不清不放过，事故责任者和员工没有受到教育不放过，事故责任者没有处理不放过，没有制定防范措施不放过”的原则。项目经理指定技术、安全、质量等部门的人员，会同企业工会代表组成调查组，开展调查。认真分析查明原因，对事故责任者或责任单位追究其经济、行政和法律责任。</w:t>
      </w:r>
    </w:p>
    <w:p w14:paraId="167066E7">
      <w:pPr>
        <w:ind w:firstLine="480"/>
        <w:rPr>
          <w:rFonts w:hint="eastAsia" w:ascii="宋体" w:hAnsi="宋体" w:cs="宋体"/>
          <w:lang w:val="en-US" w:eastAsia="zh-CN"/>
        </w:rPr>
      </w:pPr>
      <w:r>
        <w:rPr>
          <w:rFonts w:hint="eastAsia" w:ascii="宋体" w:hAnsi="宋体" w:cs="宋体"/>
          <w:lang w:val="en-US" w:eastAsia="zh-CN"/>
        </w:rPr>
        <w:t>十、安全生产奖励与处罚</w:t>
      </w:r>
    </w:p>
    <w:p w14:paraId="06089F7E">
      <w:pPr>
        <w:ind w:firstLine="480"/>
        <w:rPr>
          <w:rFonts w:hint="eastAsia" w:ascii="宋体" w:hAnsi="宋体" w:cs="宋体"/>
          <w:lang w:val="en-US" w:eastAsia="zh-CN"/>
        </w:rPr>
      </w:pPr>
      <w:r>
        <w:rPr>
          <w:rFonts w:hint="eastAsia" w:ascii="宋体" w:hAnsi="宋体" w:cs="宋体"/>
          <w:lang w:val="en-US" w:eastAsia="zh-CN"/>
        </w:rPr>
        <w:t>执行安全生产奖励制度，每季度开展安全生产总结评比，重奖为安全生产立功的单位和个人，激发职工安全生产的自觉性。</w:t>
      </w:r>
    </w:p>
    <w:p w14:paraId="1465C440">
      <w:pPr>
        <w:ind w:firstLine="480"/>
        <w:rPr>
          <w:rFonts w:hint="eastAsia" w:ascii="宋体" w:hAnsi="宋体" w:cs="宋体"/>
          <w:lang w:val="en-US" w:eastAsia="zh-CN"/>
        </w:rPr>
      </w:pPr>
      <w:r>
        <w:rPr>
          <w:rFonts w:hint="eastAsia" w:ascii="宋体" w:hAnsi="宋体" w:cs="宋体"/>
          <w:lang w:val="en-US" w:eastAsia="zh-CN"/>
        </w:rPr>
        <w:t>严格责任追究制度。按规定对安全事故责任单位及个人责任大小进行追究，并实行经济处罚，以利于汲取教训，促进安全生产。</w:t>
      </w:r>
    </w:p>
    <w:p w14:paraId="47A94E91">
      <w:pPr>
        <w:pStyle w:val="4"/>
        <w:numPr>
          <w:ilvl w:val="1"/>
          <w:numId w:val="0"/>
        </w:numPr>
        <w:spacing w:line="360" w:lineRule="auto"/>
        <w:ind w:firstLine="0" w:firstLineChars="0"/>
        <w:rPr>
          <w:color w:val="auto"/>
        </w:rPr>
      </w:pPr>
      <w:bookmarkStart w:id="2169" w:name="_Toc14203"/>
      <w:bookmarkStart w:id="2170" w:name="_Toc12571"/>
      <w:bookmarkStart w:id="2171" w:name="_Toc20748"/>
      <w:bookmarkStart w:id="2172" w:name="_Toc10351"/>
      <w:bookmarkStart w:id="2173" w:name="_Toc20075"/>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3</w:t>
      </w:r>
      <w:r>
        <w:rPr>
          <w:rFonts w:hint="default" w:ascii="Arial" w:hAnsi="Arial" w:eastAsia="宋体" w:cs="Times New Roman"/>
          <w:b/>
          <w:bCs/>
          <w:color w:val="auto"/>
          <w:kern w:val="2"/>
          <w:sz w:val="32"/>
          <w:szCs w:val="32"/>
          <w:lang w:val="en-US" w:eastAsia="zh-CN" w:bidi="ar-SA"/>
        </w:rPr>
        <w:t>.3.</w:t>
      </w:r>
      <w:r>
        <w:rPr>
          <w:rFonts w:hint="eastAsia"/>
          <w:color w:val="auto"/>
        </w:rPr>
        <w:t>安全生产保证措施</w:t>
      </w:r>
      <w:bookmarkEnd w:id="2136"/>
      <w:bookmarkEnd w:id="2137"/>
      <w:bookmarkEnd w:id="2138"/>
      <w:bookmarkEnd w:id="2139"/>
      <w:bookmarkEnd w:id="2140"/>
      <w:bookmarkEnd w:id="2141"/>
      <w:bookmarkEnd w:id="2142"/>
      <w:bookmarkEnd w:id="2143"/>
      <w:bookmarkEnd w:id="2144"/>
      <w:bookmarkEnd w:id="2145"/>
      <w:bookmarkEnd w:id="2146"/>
      <w:bookmarkEnd w:id="2169"/>
      <w:bookmarkEnd w:id="2170"/>
      <w:bookmarkEnd w:id="2171"/>
      <w:bookmarkEnd w:id="2172"/>
      <w:bookmarkEnd w:id="2173"/>
    </w:p>
    <w:p w14:paraId="3189592D">
      <w:pPr>
        <w:pStyle w:val="5"/>
        <w:numPr>
          <w:ilvl w:val="2"/>
          <w:numId w:val="0"/>
        </w:numPr>
        <w:spacing w:line="360" w:lineRule="auto"/>
        <w:ind w:left="720" w:leftChars="0" w:hanging="720" w:firstLineChars="0"/>
        <w:rPr>
          <w:color w:val="auto"/>
        </w:rPr>
      </w:pPr>
      <w:bookmarkStart w:id="2174" w:name="_Toc333583949"/>
      <w:bookmarkStart w:id="2175" w:name="_Toc7884"/>
      <w:bookmarkStart w:id="2176" w:name="_Toc7855"/>
      <w:bookmarkStart w:id="2177" w:name="_Toc21142"/>
      <w:bookmarkStart w:id="2178" w:name="_Toc25908"/>
      <w:bookmarkStart w:id="2179" w:name="_Toc2705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w:t>
      </w:r>
      <w:r>
        <w:rPr>
          <w:rFonts w:hint="eastAsia"/>
          <w:color w:val="auto"/>
        </w:rPr>
        <w:t>一般性安全生产措施</w:t>
      </w:r>
      <w:bookmarkEnd w:id="2174"/>
      <w:bookmarkEnd w:id="2175"/>
      <w:bookmarkEnd w:id="2176"/>
      <w:bookmarkEnd w:id="2177"/>
      <w:bookmarkEnd w:id="2178"/>
      <w:bookmarkEnd w:id="2179"/>
    </w:p>
    <w:p w14:paraId="369AE2AB">
      <w:pPr>
        <w:ind w:firstLine="480"/>
        <w:rPr>
          <w:rFonts w:hint="eastAsia" w:ascii="宋体" w:hAnsi="宋体" w:cs="宋体"/>
          <w:lang w:val="en-US" w:eastAsia="zh-CN"/>
        </w:rPr>
      </w:pPr>
      <w:r>
        <w:rPr>
          <w:rFonts w:hint="eastAsia" w:ascii="宋体" w:hAnsi="宋体" w:cs="宋体"/>
          <w:lang w:val="en-US" w:eastAsia="zh-CN"/>
        </w:rPr>
        <w:t>1、落实安全责任，实施责任管理</w:t>
      </w:r>
    </w:p>
    <w:p w14:paraId="18510326">
      <w:pPr>
        <w:ind w:firstLine="480"/>
        <w:rPr>
          <w:rFonts w:hint="eastAsia" w:ascii="宋体" w:hAnsi="宋体" w:cs="宋体"/>
          <w:lang w:val="en-US" w:eastAsia="zh-CN"/>
        </w:rPr>
      </w:pPr>
      <w:r>
        <w:rPr>
          <w:rFonts w:hint="eastAsia" w:ascii="宋体" w:hAnsi="宋体" w:cs="宋体"/>
          <w:lang w:val="en-US" w:eastAsia="zh-CN"/>
        </w:rPr>
        <w:t>根据“ 全员管理,安全第一“的原则,建立各级人员安全生产责任制,明确规定各级领导、职能部门、工程技术人员和生产工人在施工生产中的安全责任。建立健全适合本合同段特点的安全生产管理制度，严格执行有关安全生产和劳动保护方面的法律、法规和技术标准、规则，。实行安全生产责任制，层层签订安全责任状，建立与经济挂钩的激励约束机制。突出安全管理重点，划分安全责任区，明确各级岗位职责，做到纵向到底、横向到边，调动安全生产的积极性和自觉性，坚决实现安全责任目标。</w:t>
      </w:r>
    </w:p>
    <w:p w14:paraId="7A0E4EA1">
      <w:pPr>
        <w:ind w:firstLine="480"/>
        <w:rPr>
          <w:rFonts w:hint="eastAsia" w:ascii="宋体" w:hAnsi="宋体" w:cs="宋体"/>
          <w:lang w:val="en-US" w:eastAsia="zh-CN"/>
        </w:rPr>
      </w:pPr>
      <w:r>
        <w:rPr>
          <w:rFonts w:hint="eastAsia" w:ascii="宋体" w:hAnsi="宋体" w:cs="宋体"/>
          <w:lang w:val="en-US" w:eastAsia="zh-CN"/>
        </w:rPr>
        <w:t>2、开展危险源辨识、制定防控措施</w:t>
      </w:r>
    </w:p>
    <w:p w14:paraId="61B79588">
      <w:pPr>
        <w:ind w:firstLine="480"/>
        <w:rPr>
          <w:rFonts w:hint="eastAsia" w:ascii="宋体" w:hAnsi="宋体" w:cs="宋体"/>
          <w:lang w:val="en-US" w:eastAsia="zh-CN"/>
        </w:rPr>
      </w:pPr>
      <w:r>
        <w:rPr>
          <w:rFonts w:hint="eastAsia" w:ascii="宋体" w:hAnsi="宋体" w:cs="宋体"/>
          <w:lang w:val="en-US" w:eastAsia="zh-CN"/>
        </w:rPr>
        <w:t>安全生产领导小组是本项目安全生产监督检查主管机构，各级安全专（兼）职人员是项目的主要监督检查人员。在上级主管部门的领导和指导下，按照国家、行业的有关安全生产法律、法规、规范、标准等，对项目的安全工作行使监督检查、指导服务的职能。发现安全事故隐患，及时向工程负责人和安全生产管理机构报告；对违章指挥、违章操作的，予以立即制止。</w:t>
      </w:r>
    </w:p>
    <w:p w14:paraId="1BC84A02">
      <w:pPr>
        <w:ind w:firstLine="480"/>
        <w:rPr>
          <w:rFonts w:hint="eastAsia" w:ascii="宋体" w:hAnsi="宋体" w:cs="宋体"/>
          <w:lang w:val="en-US" w:eastAsia="zh-CN"/>
        </w:rPr>
      </w:pPr>
      <w:r>
        <w:rPr>
          <w:rFonts w:hint="eastAsia" w:ascii="宋体" w:hAnsi="宋体" w:cs="宋体"/>
          <w:lang w:val="en-US" w:eastAsia="zh-CN"/>
        </w:rPr>
        <w:t>针对本项目工程的特点和施工现场危险源的初步辨识和分析，确定下列作业项目为安全管理重点：</w:t>
      </w:r>
    </w:p>
    <w:p w14:paraId="58D433D3">
      <w:pPr>
        <w:ind w:firstLine="480"/>
        <w:rPr>
          <w:rFonts w:hint="eastAsia" w:ascii="宋体" w:hAnsi="宋体" w:cs="宋体"/>
          <w:lang w:val="en-US" w:eastAsia="zh-CN"/>
        </w:rPr>
      </w:pPr>
      <w:r>
        <w:rPr>
          <w:rFonts w:hint="eastAsia" w:ascii="宋体" w:hAnsi="宋体" w:cs="宋体"/>
          <w:lang w:val="en-US" w:eastAsia="zh-CN"/>
        </w:rPr>
        <w:t>（1）雨期防洪安全；</w:t>
      </w:r>
    </w:p>
    <w:p w14:paraId="52086258">
      <w:pPr>
        <w:ind w:firstLine="480"/>
        <w:rPr>
          <w:rFonts w:hint="eastAsia" w:ascii="宋体" w:hAnsi="宋体" w:cs="宋体"/>
          <w:lang w:val="en-US" w:eastAsia="zh-CN"/>
        </w:rPr>
      </w:pPr>
      <w:r>
        <w:rPr>
          <w:rFonts w:hint="eastAsia" w:ascii="宋体" w:hAnsi="宋体" w:cs="宋体"/>
          <w:lang w:val="en-US" w:eastAsia="zh-CN"/>
        </w:rPr>
        <w:t>（2）梁板架设作业安全；</w:t>
      </w:r>
    </w:p>
    <w:p w14:paraId="3A301C4E">
      <w:pPr>
        <w:ind w:firstLine="480"/>
        <w:rPr>
          <w:rFonts w:hint="eastAsia" w:ascii="宋体" w:hAnsi="宋体" w:cs="宋体"/>
          <w:lang w:val="en-US" w:eastAsia="zh-CN"/>
        </w:rPr>
      </w:pPr>
      <w:r>
        <w:rPr>
          <w:rFonts w:hint="eastAsia" w:ascii="宋体" w:hAnsi="宋体" w:cs="宋体"/>
          <w:lang w:val="en-US" w:eastAsia="zh-CN"/>
        </w:rPr>
        <w:t>（3）高处作业安全；</w:t>
      </w:r>
    </w:p>
    <w:p w14:paraId="67F3C848">
      <w:pPr>
        <w:ind w:firstLine="480"/>
        <w:rPr>
          <w:rFonts w:hint="eastAsia" w:ascii="宋体" w:hAnsi="宋体" w:cs="宋体"/>
          <w:lang w:val="en-US" w:eastAsia="zh-CN"/>
        </w:rPr>
      </w:pPr>
      <w:r>
        <w:rPr>
          <w:rFonts w:hint="eastAsia" w:ascii="宋体" w:hAnsi="宋体" w:cs="宋体"/>
          <w:lang w:val="en-US" w:eastAsia="zh-CN"/>
        </w:rPr>
        <w:t>（4）水上作业安全；</w:t>
      </w:r>
    </w:p>
    <w:p w14:paraId="2A021F9E">
      <w:pPr>
        <w:ind w:firstLine="480"/>
        <w:rPr>
          <w:rFonts w:hint="eastAsia" w:ascii="宋体" w:hAnsi="宋体" w:cs="宋体"/>
          <w:lang w:val="en-US" w:eastAsia="zh-CN"/>
        </w:rPr>
      </w:pPr>
      <w:r>
        <w:rPr>
          <w:rFonts w:hint="eastAsia" w:ascii="宋体" w:hAnsi="宋体" w:cs="宋体"/>
          <w:lang w:val="en-US" w:eastAsia="zh-CN"/>
        </w:rPr>
        <w:t>（5）火工品安全；</w:t>
      </w:r>
    </w:p>
    <w:p w14:paraId="2DC82FC3">
      <w:pPr>
        <w:ind w:firstLine="480"/>
        <w:rPr>
          <w:rFonts w:hint="eastAsia" w:ascii="宋体" w:hAnsi="宋体" w:cs="宋体"/>
          <w:lang w:val="en-US" w:eastAsia="zh-CN"/>
        </w:rPr>
      </w:pPr>
      <w:r>
        <w:rPr>
          <w:rFonts w:hint="eastAsia" w:ascii="宋体" w:hAnsi="宋体" w:cs="宋体"/>
          <w:lang w:val="en-US" w:eastAsia="zh-CN"/>
        </w:rPr>
        <w:t>（6）临时用电安全；</w:t>
      </w:r>
    </w:p>
    <w:p w14:paraId="629384B7">
      <w:pPr>
        <w:ind w:firstLine="480"/>
        <w:rPr>
          <w:rFonts w:hint="eastAsia" w:ascii="宋体" w:hAnsi="宋体" w:cs="宋体"/>
          <w:lang w:val="en-US" w:eastAsia="zh-CN"/>
        </w:rPr>
      </w:pPr>
      <w:r>
        <w:rPr>
          <w:rFonts w:hint="eastAsia" w:ascii="宋体" w:hAnsi="宋体" w:cs="宋体"/>
          <w:lang w:val="en-US" w:eastAsia="zh-CN"/>
        </w:rPr>
        <w:t>（7）道路交通安全；</w:t>
      </w:r>
    </w:p>
    <w:p w14:paraId="35438AFE">
      <w:pPr>
        <w:ind w:firstLine="480"/>
        <w:rPr>
          <w:rFonts w:hint="eastAsia" w:ascii="宋体" w:hAnsi="宋体" w:cs="宋体"/>
          <w:lang w:val="en-US" w:eastAsia="zh-CN"/>
        </w:rPr>
      </w:pPr>
      <w:r>
        <w:rPr>
          <w:rFonts w:hint="eastAsia" w:ascii="宋体" w:hAnsi="宋体" w:cs="宋体"/>
          <w:lang w:val="en-US" w:eastAsia="zh-CN"/>
        </w:rPr>
        <w:t>（8）起重吊装作业安全；</w:t>
      </w:r>
    </w:p>
    <w:p w14:paraId="6A1A8A2A">
      <w:pPr>
        <w:ind w:firstLine="480"/>
        <w:rPr>
          <w:rFonts w:hint="eastAsia" w:ascii="宋体" w:hAnsi="宋体" w:cs="宋体"/>
          <w:lang w:val="en-US" w:eastAsia="zh-CN"/>
        </w:rPr>
      </w:pPr>
      <w:r>
        <w:rPr>
          <w:rFonts w:hint="eastAsia" w:ascii="宋体" w:hAnsi="宋体" w:cs="宋体"/>
          <w:lang w:val="en-US" w:eastAsia="zh-CN"/>
        </w:rPr>
        <w:t>（9）特种设备、大型机械设备作业安全；</w:t>
      </w:r>
    </w:p>
    <w:p w14:paraId="4D6D21E7">
      <w:pPr>
        <w:ind w:firstLine="480"/>
        <w:rPr>
          <w:rFonts w:hint="eastAsia" w:ascii="宋体" w:hAnsi="宋体" w:cs="宋体"/>
          <w:lang w:val="en-US" w:eastAsia="zh-CN"/>
        </w:rPr>
      </w:pPr>
      <w:r>
        <w:rPr>
          <w:rFonts w:hint="eastAsia" w:ascii="宋体" w:hAnsi="宋体" w:cs="宋体"/>
          <w:lang w:val="en-US" w:eastAsia="zh-CN"/>
        </w:rPr>
        <w:t>安全管理工作紧紧围绕上述内容进行详细的风险辨识和分析，并制定防控措施，明确防控责任人，狠抓落实，编制《危险源辨识和控制措施清单》，做好交底并在施工现场醒目位置设置重大危险源告知牌。同时不放松和忽视其它事故易发点的监控，确保安全目标的实现。</w:t>
      </w:r>
    </w:p>
    <w:p w14:paraId="55D00599">
      <w:pPr>
        <w:ind w:firstLine="480"/>
        <w:rPr>
          <w:rFonts w:hint="eastAsia" w:ascii="宋体" w:hAnsi="宋体" w:cs="宋体"/>
          <w:lang w:val="en-US" w:eastAsia="zh-CN"/>
        </w:rPr>
      </w:pPr>
      <w:r>
        <w:rPr>
          <w:rFonts w:hint="eastAsia" w:ascii="宋体" w:hAnsi="宋体" w:cs="宋体"/>
          <w:lang w:val="en-US" w:eastAsia="zh-CN"/>
        </w:rPr>
        <w:t>3、强化安全教育与培训</w:t>
      </w:r>
    </w:p>
    <w:p w14:paraId="2B23852E">
      <w:pPr>
        <w:ind w:firstLine="480"/>
        <w:rPr>
          <w:rFonts w:hint="eastAsia" w:ascii="宋体" w:hAnsi="宋体" w:cs="宋体"/>
          <w:lang w:val="en-US" w:eastAsia="zh-CN"/>
        </w:rPr>
      </w:pPr>
      <w:r>
        <w:rPr>
          <w:rFonts w:hint="eastAsia" w:ascii="宋体" w:hAnsi="宋体" w:cs="宋体"/>
          <w:lang w:val="en-US" w:eastAsia="zh-CN"/>
        </w:rPr>
        <w:t>安全教育要经常化、制度化，开工前进行系统安全教育，开工后抓好“三工”教育和定期培训。通过安全竞赛、现场安全标语、图片等宣传形式，增强全员安全生产的自觉性，时时处处注意安全，把安全生产工作落到实处。</w:t>
      </w:r>
    </w:p>
    <w:p w14:paraId="3358FA98">
      <w:pPr>
        <w:ind w:firstLine="480"/>
        <w:rPr>
          <w:rFonts w:hint="eastAsia" w:ascii="宋体" w:hAnsi="宋体" w:cs="宋体"/>
          <w:lang w:val="en-US" w:eastAsia="zh-CN"/>
        </w:rPr>
      </w:pPr>
      <w:r>
        <w:rPr>
          <w:rFonts w:hint="eastAsia" w:ascii="宋体" w:hAnsi="宋体" w:cs="宋体"/>
          <w:lang w:val="en-US" w:eastAsia="zh-CN"/>
        </w:rPr>
        <w:t>4、严格监督，完善安全生产检查制度</w:t>
      </w:r>
    </w:p>
    <w:p w14:paraId="0330C92D">
      <w:pPr>
        <w:ind w:firstLine="480"/>
        <w:rPr>
          <w:rFonts w:hint="eastAsia" w:ascii="宋体" w:hAnsi="宋体" w:cs="宋体"/>
          <w:lang w:val="en-US" w:eastAsia="zh-CN"/>
        </w:rPr>
      </w:pPr>
      <w:r>
        <w:rPr>
          <w:rFonts w:hint="eastAsia" w:ascii="宋体" w:hAnsi="宋体" w:cs="宋体"/>
          <w:lang w:val="en-US" w:eastAsia="zh-CN"/>
        </w:rPr>
        <w:t>在安排施工计划的同时，要有针对性的明确安全目标、预防措施及安全控制重点，并落实到具体人员。项目经理部根据工程进度和季节情况，定期组织安全大检查，项目经理部每月进行检查评比，实行奖罚。对重点项目、重要工序和关键部位推行安全岗位责任制，实行全过程监督检查，及时发现问题，及时消除隐患，使整个施工过程完全处于受控状态。</w:t>
      </w:r>
    </w:p>
    <w:p w14:paraId="3ED167E1">
      <w:pPr>
        <w:ind w:firstLine="480"/>
        <w:rPr>
          <w:rFonts w:hint="eastAsia" w:ascii="宋体" w:hAnsi="宋体" w:cs="宋体"/>
          <w:lang w:val="en-US" w:eastAsia="zh-CN"/>
        </w:rPr>
      </w:pPr>
      <w:r>
        <w:rPr>
          <w:rFonts w:hint="eastAsia" w:ascii="宋体" w:hAnsi="宋体" w:cs="宋体"/>
          <w:lang w:val="en-US" w:eastAsia="zh-CN"/>
        </w:rPr>
        <w:t>5、科学施工，完善安全生产技术措施</w:t>
      </w:r>
    </w:p>
    <w:p w14:paraId="0D0FEEFA">
      <w:pPr>
        <w:ind w:firstLine="480"/>
        <w:rPr>
          <w:rFonts w:hint="eastAsia" w:ascii="宋体" w:hAnsi="宋体" w:cs="宋体"/>
          <w:lang w:val="en-US" w:eastAsia="zh-CN"/>
        </w:rPr>
      </w:pPr>
      <w:r>
        <w:rPr>
          <w:rFonts w:hint="eastAsia" w:ascii="宋体" w:hAnsi="宋体" w:cs="宋体"/>
          <w:lang w:val="en-US" w:eastAsia="zh-CN"/>
        </w:rPr>
        <w:t>施工组织设计、施工方案、作业方法要科学合理，安全技术可靠。严格进行安全技术交底，严格按安全技术规则施工，防止各种违章指挥和违章作业行为的发生。在编制施工组织设计的同时，必须制订相应的安全技术措施，尤其是重点项目和关键部位工程在确定施工方案的同时，要制定切实可行的安全技术保证措施。</w:t>
      </w:r>
    </w:p>
    <w:p w14:paraId="1A2F6E71">
      <w:pPr>
        <w:ind w:firstLine="480"/>
        <w:rPr>
          <w:rFonts w:hint="eastAsia" w:ascii="宋体" w:hAnsi="宋体" w:cs="宋体"/>
          <w:lang w:val="en-US" w:eastAsia="zh-CN"/>
        </w:rPr>
      </w:pPr>
      <w:r>
        <w:rPr>
          <w:rFonts w:hint="eastAsia" w:ascii="宋体" w:hAnsi="宋体" w:cs="宋体"/>
          <w:lang w:val="en-US" w:eastAsia="zh-CN"/>
        </w:rPr>
        <w:t>6、抓好现场，坚持作业标准化管理</w:t>
      </w:r>
    </w:p>
    <w:p w14:paraId="66D45AE6">
      <w:pPr>
        <w:ind w:firstLine="480"/>
        <w:rPr>
          <w:rFonts w:hint="eastAsia" w:ascii="宋体" w:hAnsi="宋体" w:cs="宋体"/>
          <w:lang w:val="en-US" w:eastAsia="zh-CN"/>
        </w:rPr>
      </w:pPr>
      <w:r>
        <w:rPr>
          <w:rFonts w:hint="eastAsia" w:ascii="宋体" w:hAnsi="宋体" w:cs="宋体"/>
          <w:lang w:val="en-US" w:eastAsia="zh-CN"/>
        </w:rPr>
        <w:t>施工现场内各种机械设备、材料、临时设施、临时水电线路必须按施工总平面图合理布置，并且符合安全技术规则。积极开展建设安全标准工地活动，现场安全标识牌安放要醒目，做到现场布置标准化、临时防护标准化、安全作业标准化和安全标志标准化。</w:t>
      </w:r>
    </w:p>
    <w:p w14:paraId="51D21712">
      <w:pPr>
        <w:ind w:firstLine="480"/>
        <w:rPr>
          <w:rFonts w:hint="eastAsia" w:ascii="宋体" w:hAnsi="宋体" w:cs="宋体"/>
          <w:lang w:val="en-US" w:eastAsia="zh-CN"/>
        </w:rPr>
      </w:pPr>
      <w:r>
        <w:rPr>
          <w:rFonts w:hint="eastAsia" w:ascii="宋体" w:hAnsi="宋体" w:cs="宋体"/>
          <w:lang w:val="en-US" w:eastAsia="zh-CN"/>
        </w:rPr>
        <w:t xml:space="preserve">7、保证机械设备安全作业加强机械设备日常和定期检修维护，不带故障作业。夜间施工料场、施工区及道路须有足够的照明，在交通道口及转弯处设专人值班，负责交通运输安全。    </w:t>
      </w:r>
    </w:p>
    <w:p w14:paraId="63059234">
      <w:pPr>
        <w:ind w:firstLine="480"/>
        <w:rPr>
          <w:rFonts w:hint="eastAsia" w:ascii="宋体" w:hAnsi="宋体" w:cs="宋体"/>
          <w:lang w:val="en-US" w:eastAsia="zh-CN"/>
        </w:rPr>
      </w:pPr>
      <w:r>
        <w:rPr>
          <w:rFonts w:hint="eastAsia" w:ascii="宋体" w:hAnsi="宋体" w:cs="宋体"/>
          <w:lang w:val="en-US" w:eastAsia="zh-CN"/>
        </w:rPr>
        <w:t>8、加强电源、火源管理工地办公室、机具料库、加工场、配电室等临时构筑物设置布局合理，并配备防火器具。加强施工及生活用电管理，电气设备及线路配备电工经常检修，设备器具应有防雨措施。严格执行《中华人民共和国消防条例》，建立防火安全责任制，设置符合要求的消防设施。</w:t>
      </w:r>
    </w:p>
    <w:p w14:paraId="63131352">
      <w:pPr>
        <w:ind w:firstLine="480"/>
        <w:rPr>
          <w:rFonts w:hint="eastAsia" w:ascii="宋体" w:hAnsi="宋体" w:cs="宋体"/>
          <w:lang w:val="en-US" w:eastAsia="zh-CN"/>
        </w:rPr>
      </w:pPr>
      <w:r>
        <w:rPr>
          <w:rFonts w:hint="eastAsia" w:ascii="宋体" w:hAnsi="宋体" w:cs="宋体"/>
          <w:lang w:val="en-US" w:eastAsia="zh-CN"/>
        </w:rPr>
        <w:t>9、加强安全防护</w:t>
      </w:r>
    </w:p>
    <w:p w14:paraId="22F4667C">
      <w:pPr>
        <w:ind w:firstLine="480"/>
        <w:rPr>
          <w:rFonts w:hint="eastAsia" w:ascii="宋体" w:hAnsi="宋体" w:cs="宋体"/>
          <w:lang w:val="en-US" w:eastAsia="zh-CN"/>
        </w:rPr>
      </w:pPr>
      <w:r>
        <w:rPr>
          <w:rFonts w:hint="eastAsia" w:ascii="宋体" w:hAnsi="宋体" w:cs="宋体"/>
          <w:lang w:val="en-US" w:eastAsia="zh-CN"/>
        </w:rPr>
        <w:t>设置安全防护标志。施工作业人员必须戴安全帽上岗，凡进洞人员必须戴安全帽。高空作业搞好防护网，系好安全带，脚手架、脚手板要搭设牢固。</w:t>
      </w:r>
    </w:p>
    <w:p w14:paraId="12384981">
      <w:pPr>
        <w:ind w:firstLine="480"/>
        <w:rPr>
          <w:rFonts w:hint="eastAsia" w:ascii="宋体" w:hAnsi="宋体" w:cs="宋体"/>
          <w:lang w:val="en-US" w:eastAsia="zh-CN"/>
        </w:rPr>
      </w:pPr>
      <w:r>
        <w:rPr>
          <w:rFonts w:hint="eastAsia" w:ascii="宋体" w:hAnsi="宋体" w:cs="宋体"/>
          <w:lang w:val="en-US" w:eastAsia="zh-CN"/>
        </w:rPr>
        <w:t>10、加强火工材料管理,爆破作业严格遵守操作规程。</w:t>
      </w:r>
    </w:p>
    <w:p w14:paraId="7E676B1F">
      <w:pPr>
        <w:pStyle w:val="5"/>
        <w:numPr>
          <w:ilvl w:val="2"/>
          <w:numId w:val="0"/>
        </w:numPr>
        <w:spacing w:line="360" w:lineRule="auto"/>
        <w:ind w:left="720" w:leftChars="0" w:hanging="720" w:firstLineChars="0"/>
        <w:rPr>
          <w:color w:val="auto"/>
        </w:rPr>
      </w:pPr>
      <w:bookmarkStart w:id="2180" w:name="_Toc333583950"/>
      <w:bookmarkStart w:id="2181" w:name="_Toc22909"/>
      <w:bookmarkStart w:id="2182" w:name="_Toc32621"/>
      <w:bookmarkStart w:id="2183" w:name="_Toc17227"/>
      <w:bookmarkStart w:id="2184" w:name="_Toc7782"/>
      <w:bookmarkStart w:id="2185" w:name="_Toc18223"/>
      <w:bookmarkStart w:id="2186" w:name="_Toc210236333"/>
      <w:bookmarkStart w:id="2187" w:name="_Toc210213261"/>
      <w:bookmarkStart w:id="2188" w:name="_Toc210214297"/>
      <w:bookmarkStart w:id="2189" w:name="_Toc210227790"/>
      <w:bookmarkStart w:id="2190" w:name="_Toc217540621"/>
      <w:bookmarkStart w:id="2191" w:name="_Toc209975053"/>
      <w:bookmarkStart w:id="2192" w:name="_Toc210213578"/>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.3.2.</w:t>
      </w:r>
      <w:r>
        <w:rPr>
          <w:rFonts w:hint="eastAsia"/>
          <w:color w:val="auto"/>
        </w:rPr>
        <w:t>施工准备安全保证措施</w:t>
      </w:r>
      <w:bookmarkEnd w:id="2180"/>
      <w:bookmarkEnd w:id="2181"/>
      <w:bookmarkEnd w:id="2182"/>
      <w:bookmarkEnd w:id="2183"/>
      <w:bookmarkEnd w:id="2184"/>
      <w:bookmarkEnd w:id="2185"/>
    </w:p>
    <w:p w14:paraId="25B5D111">
      <w:pPr>
        <w:ind w:firstLine="480"/>
        <w:rPr>
          <w:rFonts w:hint="eastAsia" w:ascii="宋体" w:hAnsi="宋体" w:cs="宋体"/>
          <w:lang w:val="en-US" w:eastAsia="zh-CN"/>
        </w:rPr>
      </w:pPr>
      <w:r>
        <w:rPr>
          <w:rFonts w:hint="eastAsia" w:ascii="宋体" w:hAnsi="宋体" w:cs="宋体"/>
          <w:lang w:val="en-US" w:eastAsia="zh-CN"/>
        </w:rPr>
        <w:fldChar w:fldCharType="begin"/>
      </w:r>
      <w:r>
        <w:rPr>
          <w:rFonts w:hint="eastAsia" w:ascii="宋体" w:hAnsi="宋体" w:cs="宋体"/>
          <w:lang w:val="en-US" w:eastAsia="zh-CN"/>
        </w:rPr>
        <w:instrText xml:space="preserve"> = 1 \* GB3 </w:instrText>
      </w:r>
      <w:r>
        <w:rPr>
          <w:rFonts w:hint="eastAsia" w:ascii="宋体" w:hAnsi="宋体" w:cs="宋体"/>
          <w:lang w:val="en-US" w:eastAsia="zh-CN"/>
        </w:rPr>
        <w:fldChar w:fldCharType="separate"/>
      </w:r>
      <w:r>
        <w:rPr>
          <w:rFonts w:hint="eastAsia" w:ascii="宋体" w:hAnsi="宋体" w:cs="宋体"/>
          <w:lang w:val="en-US" w:eastAsia="zh-CN"/>
        </w:rPr>
        <w:t>①</w:t>
      </w:r>
      <w:r>
        <w:rPr>
          <w:rFonts w:hint="eastAsia" w:ascii="宋体" w:hAnsi="宋体" w:cs="宋体"/>
          <w:lang w:val="en-US" w:eastAsia="zh-CN"/>
        </w:rPr>
        <w:fldChar w:fldCharType="end"/>
      </w:r>
      <w:r>
        <w:rPr>
          <w:rFonts w:hint="eastAsia" w:ascii="宋体" w:hAnsi="宋体" w:cs="宋体"/>
          <w:lang w:val="en-US" w:eastAsia="zh-CN"/>
        </w:rPr>
        <w:t>施工前必须做好准备工作，正确选用施工方法，并结合施工实际情况，编制安全技术措施，制定操作细则，施工前向施工人员进行安全技术交底。</w:t>
      </w:r>
    </w:p>
    <w:p w14:paraId="562B1830">
      <w:pPr>
        <w:ind w:firstLine="480"/>
        <w:rPr>
          <w:rFonts w:hint="eastAsia" w:ascii="宋体" w:hAnsi="宋体" w:cs="宋体"/>
          <w:lang w:val="en-US" w:eastAsia="zh-CN"/>
        </w:rPr>
      </w:pPr>
      <w:r>
        <w:rPr>
          <w:rFonts w:hint="eastAsia" w:ascii="宋体" w:hAnsi="宋体" w:cs="宋体"/>
          <w:lang w:val="en-US" w:eastAsia="zh-CN"/>
        </w:rPr>
        <w:fldChar w:fldCharType="begin"/>
      </w:r>
      <w:r>
        <w:rPr>
          <w:rFonts w:hint="eastAsia" w:ascii="宋体" w:hAnsi="宋体" w:cs="宋体"/>
          <w:lang w:val="en-US" w:eastAsia="zh-CN"/>
        </w:rPr>
        <w:instrText xml:space="preserve"> = 2 \* GB3 </w:instrText>
      </w:r>
      <w:r>
        <w:rPr>
          <w:rFonts w:hint="eastAsia" w:ascii="宋体" w:hAnsi="宋体" w:cs="宋体"/>
          <w:lang w:val="en-US" w:eastAsia="zh-CN"/>
        </w:rPr>
        <w:fldChar w:fldCharType="separate"/>
      </w:r>
      <w:r>
        <w:rPr>
          <w:rFonts w:hint="eastAsia" w:ascii="宋体" w:hAnsi="宋体" w:cs="宋体"/>
          <w:lang w:val="en-US" w:eastAsia="zh-CN"/>
        </w:rPr>
        <w:t>②</w:t>
      </w:r>
      <w:r>
        <w:rPr>
          <w:rFonts w:hint="eastAsia" w:ascii="宋体" w:hAnsi="宋体" w:cs="宋体"/>
          <w:lang w:val="en-US" w:eastAsia="zh-CN"/>
        </w:rPr>
        <w:fldChar w:fldCharType="end"/>
      </w:r>
      <w:r>
        <w:rPr>
          <w:rFonts w:hint="eastAsia" w:ascii="宋体" w:hAnsi="宋体" w:cs="宋体"/>
          <w:lang w:val="en-US" w:eastAsia="zh-CN"/>
        </w:rPr>
        <w:t>桥梁施工的特种作业人员，必须通过安全技术培训，并经考试取得合格证后，方可上岗工作。</w:t>
      </w:r>
    </w:p>
    <w:p w14:paraId="2A801086">
      <w:pPr>
        <w:ind w:firstLine="480"/>
        <w:rPr>
          <w:rFonts w:hint="eastAsia" w:ascii="宋体" w:hAnsi="宋体" w:cs="宋体"/>
          <w:lang w:val="en-US" w:eastAsia="zh-CN"/>
        </w:rPr>
      </w:pPr>
      <w:r>
        <w:rPr>
          <w:rFonts w:hint="eastAsia" w:ascii="宋体" w:hAnsi="宋体" w:cs="宋体"/>
          <w:lang w:val="en-US" w:eastAsia="zh-CN"/>
        </w:rPr>
        <w:fldChar w:fldCharType="begin"/>
      </w:r>
      <w:r>
        <w:rPr>
          <w:rFonts w:hint="eastAsia" w:ascii="宋体" w:hAnsi="宋体" w:cs="宋体"/>
          <w:lang w:val="en-US" w:eastAsia="zh-CN"/>
        </w:rPr>
        <w:instrText xml:space="preserve"> = 3 \* GB3 </w:instrText>
      </w:r>
      <w:r>
        <w:rPr>
          <w:rFonts w:hint="eastAsia" w:ascii="宋体" w:hAnsi="宋体" w:cs="宋体"/>
          <w:lang w:val="en-US" w:eastAsia="zh-CN"/>
        </w:rPr>
        <w:fldChar w:fldCharType="separate"/>
      </w:r>
      <w:r>
        <w:rPr>
          <w:rFonts w:hint="eastAsia" w:ascii="宋体" w:hAnsi="宋体" w:cs="宋体"/>
          <w:lang w:val="en-US" w:eastAsia="zh-CN"/>
        </w:rPr>
        <w:t>③</w:t>
      </w:r>
      <w:r>
        <w:rPr>
          <w:rFonts w:hint="eastAsia" w:ascii="宋体" w:hAnsi="宋体" w:cs="宋体"/>
          <w:lang w:val="en-US" w:eastAsia="zh-CN"/>
        </w:rPr>
        <w:fldChar w:fldCharType="end"/>
      </w:r>
      <w:r>
        <w:rPr>
          <w:rFonts w:hint="eastAsia" w:ascii="宋体" w:hAnsi="宋体" w:cs="宋体"/>
          <w:lang w:val="en-US" w:eastAsia="zh-CN"/>
        </w:rPr>
        <w:t>对桥梁施工中的辅助结构、临时工程和脚手架等进行安全检查，合格后方可投入使用。</w:t>
      </w:r>
    </w:p>
    <w:p w14:paraId="7F0D002F">
      <w:pPr>
        <w:ind w:firstLine="480"/>
        <w:rPr>
          <w:rFonts w:hint="eastAsia" w:ascii="宋体" w:hAnsi="宋体" w:cs="宋体"/>
          <w:lang w:val="en-US" w:eastAsia="zh-CN"/>
        </w:rPr>
      </w:pPr>
      <w:r>
        <w:rPr>
          <w:rFonts w:hint="eastAsia" w:ascii="宋体" w:hAnsi="宋体" w:cs="宋体"/>
          <w:lang w:val="en-US" w:eastAsia="zh-CN"/>
        </w:rPr>
        <w:fldChar w:fldCharType="begin"/>
      </w:r>
      <w:r>
        <w:rPr>
          <w:rFonts w:hint="eastAsia" w:ascii="宋体" w:hAnsi="宋体" w:cs="宋体"/>
          <w:lang w:val="en-US" w:eastAsia="zh-CN"/>
        </w:rPr>
        <w:instrText xml:space="preserve"> = 4 \* GB3 </w:instrText>
      </w:r>
      <w:r>
        <w:rPr>
          <w:rFonts w:hint="eastAsia" w:ascii="宋体" w:hAnsi="宋体" w:cs="宋体"/>
          <w:lang w:val="en-US" w:eastAsia="zh-CN"/>
        </w:rPr>
        <w:fldChar w:fldCharType="separate"/>
      </w:r>
      <w:r>
        <w:rPr>
          <w:rFonts w:hint="eastAsia" w:ascii="宋体" w:hAnsi="宋体" w:cs="宋体"/>
          <w:lang w:val="en-US" w:eastAsia="zh-CN"/>
        </w:rPr>
        <w:t>④</w:t>
      </w:r>
      <w:r>
        <w:rPr>
          <w:rFonts w:hint="eastAsia" w:ascii="宋体" w:hAnsi="宋体" w:cs="宋体"/>
          <w:lang w:val="en-US" w:eastAsia="zh-CN"/>
        </w:rPr>
        <w:fldChar w:fldCharType="end"/>
      </w:r>
      <w:r>
        <w:rPr>
          <w:rFonts w:hint="eastAsia" w:ascii="宋体" w:hAnsi="宋体" w:cs="宋体"/>
          <w:lang w:val="en-US" w:eastAsia="zh-CN"/>
        </w:rPr>
        <w:t>施工人员必须使用劳保用品，凡进入施工现场必须戴安全帽，高空作业必须系安全带，雨天作业必须采取防滑措施。</w:t>
      </w:r>
    </w:p>
    <w:p w14:paraId="1FAD6E82">
      <w:pPr>
        <w:pStyle w:val="5"/>
        <w:numPr>
          <w:ilvl w:val="2"/>
          <w:numId w:val="0"/>
        </w:numPr>
        <w:spacing w:line="360" w:lineRule="auto"/>
        <w:ind w:left="720" w:leftChars="0" w:hanging="720" w:firstLineChars="0"/>
        <w:rPr>
          <w:color w:val="auto"/>
        </w:rPr>
      </w:pPr>
      <w:bookmarkStart w:id="2193" w:name="_Toc21150"/>
      <w:bookmarkStart w:id="2194" w:name="_Toc28456"/>
      <w:bookmarkStart w:id="2195" w:name="_Toc333583951"/>
      <w:bookmarkStart w:id="2196" w:name="_Toc26265"/>
      <w:bookmarkStart w:id="2197" w:name="_Toc27495"/>
      <w:bookmarkStart w:id="2198" w:name="_Toc10690"/>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.3.3.</w:t>
      </w:r>
      <w:r>
        <w:rPr>
          <w:rFonts w:hint="eastAsia"/>
          <w:color w:val="auto"/>
        </w:rPr>
        <w:t>施工用电安全措施</w:t>
      </w:r>
      <w:bookmarkEnd w:id="2186"/>
      <w:bookmarkEnd w:id="2187"/>
      <w:bookmarkEnd w:id="2188"/>
      <w:bookmarkEnd w:id="2189"/>
      <w:bookmarkEnd w:id="2190"/>
      <w:bookmarkEnd w:id="2191"/>
      <w:bookmarkEnd w:id="2192"/>
      <w:bookmarkEnd w:id="2193"/>
      <w:bookmarkEnd w:id="2194"/>
      <w:bookmarkEnd w:id="2195"/>
      <w:bookmarkEnd w:id="2196"/>
      <w:bookmarkEnd w:id="2197"/>
      <w:bookmarkEnd w:id="2198"/>
    </w:p>
    <w:p w14:paraId="5D4E946B">
      <w:pPr>
        <w:ind w:firstLine="480"/>
        <w:rPr>
          <w:rFonts w:hint="eastAsia" w:ascii="宋体" w:hAnsi="宋体" w:cs="宋体"/>
          <w:lang w:val="en-US" w:eastAsia="zh-CN"/>
        </w:rPr>
      </w:pPr>
      <w:r>
        <w:rPr>
          <w:rFonts w:hint="eastAsia" w:ascii="宋体" w:hAnsi="宋体" w:cs="宋体"/>
          <w:lang w:val="en-US" w:eastAsia="zh-CN"/>
        </w:rPr>
        <w:t>严格按有关规定安装线路及设备，用电设备都要安装地线，不合格的电气器材严禁使用。</w:t>
      </w:r>
    </w:p>
    <w:p w14:paraId="43F091FD">
      <w:pPr>
        <w:ind w:firstLine="480"/>
        <w:rPr>
          <w:rFonts w:hint="eastAsia" w:ascii="宋体" w:hAnsi="宋体" w:cs="宋体"/>
          <w:lang w:val="en-US" w:eastAsia="zh-CN"/>
        </w:rPr>
      </w:pPr>
      <w:r>
        <w:rPr>
          <w:rFonts w:hint="eastAsia" w:ascii="宋体" w:hAnsi="宋体" w:cs="宋体"/>
          <w:lang w:val="en-US" w:eastAsia="zh-CN"/>
        </w:rPr>
        <w:t>(1)现场照明：照明电线绝缘良好，导线不得随地拖拉或绑在脚手架上。照明灯具的金属外壳必须接零。室外照明灯具距地面不低于3m，室内距地面不低于2.4m。</w:t>
      </w:r>
    </w:p>
    <w:p w14:paraId="19FEC757">
      <w:pPr>
        <w:ind w:firstLine="480"/>
        <w:rPr>
          <w:rFonts w:hint="eastAsia" w:ascii="宋体" w:hAnsi="宋体" w:cs="宋体"/>
          <w:lang w:val="en-US" w:eastAsia="zh-CN"/>
        </w:rPr>
      </w:pPr>
      <w:r>
        <w:rPr>
          <w:rFonts w:hint="eastAsia" w:ascii="宋体" w:hAnsi="宋体" w:cs="宋体"/>
          <w:lang w:val="en-US" w:eastAsia="zh-CN"/>
        </w:rPr>
        <w:t>(2)配电箱、开关箱：电箱内开关电器必须完整无损，接线正确，电箱内设置漏电保护器，选用合理的额定漏电动作电流进行分级匹配。配电箱设总熔丝、分开关，动力和照明分别设置。金属外壳电箱作接地或接零保护。开关箱与用电设备实行一机一闸保险。同一移动开关箱严禁有380V和220V两种电压等级。</w:t>
      </w:r>
    </w:p>
    <w:p w14:paraId="00F278D5">
      <w:pPr>
        <w:ind w:firstLine="480"/>
        <w:rPr>
          <w:rFonts w:hint="eastAsia" w:ascii="宋体" w:hAnsi="宋体" w:cs="宋体"/>
          <w:lang w:val="en-US" w:eastAsia="zh-CN"/>
        </w:rPr>
      </w:pPr>
      <w:r>
        <w:rPr>
          <w:rFonts w:hint="eastAsia" w:ascii="宋体" w:hAnsi="宋体" w:cs="宋体"/>
          <w:lang w:val="en-US" w:eastAsia="zh-CN"/>
        </w:rPr>
        <w:t>(3)架空线：架空线必须设在专用电杆(水泥杆、木杆)上，严禁架设在树或脚手架上，架空线装设横担和绝缘子。架空线离地4m以上，机动车道为6m以上。</w:t>
      </w:r>
    </w:p>
    <w:p w14:paraId="71F8445A">
      <w:pPr>
        <w:ind w:firstLine="480"/>
        <w:rPr>
          <w:rFonts w:hint="eastAsia" w:ascii="宋体" w:hAnsi="宋体" w:cs="宋体"/>
          <w:lang w:val="en-US" w:eastAsia="zh-CN"/>
        </w:rPr>
      </w:pPr>
      <w:r>
        <w:rPr>
          <w:rFonts w:hint="eastAsia" w:ascii="宋体" w:hAnsi="宋体" w:cs="宋体"/>
          <w:lang w:val="en-US" w:eastAsia="zh-CN"/>
        </w:rPr>
        <w:t>(4)接地接零：接地采用角钢、圆钢或钢管，其截面不小于48mm2，一组二根接地之间间距不小于2.5m，接地电阻符合规定，电杆转角杆，终端杆及总箱，分配电箱必须有重复接地。</w:t>
      </w:r>
    </w:p>
    <w:p w14:paraId="7D90F7DC">
      <w:pPr>
        <w:ind w:firstLine="480"/>
        <w:rPr>
          <w:rFonts w:hint="eastAsia" w:ascii="宋体" w:hAnsi="宋体" w:cs="宋体"/>
          <w:lang w:val="en-US" w:eastAsia="zh-CN"/>
        </w:rPr>
      </w:pPr>
      <w:r>
        <w:rPr>
          <w:rFonts w:hint="eastAsia" w:ascii="宋体" w:hAnsi="宋体" w:cs="宋体"/>
          <w:lang w:val="en-US" w:eastAsia="zh-CN"/>
        </w:rPr>
        <w:t>(5)用电管理：安装、维修或拆除临时用电工程，必须由电工完成，电工必须持证上岗，实行定期检查制度，并做好检查记录。</w:t>
      </w:r>
    </w:p>
    <w:p w14:paraId="51146870">
      <w:pPr>
        <w:pStyle w:val="5"/>
        <w:numPr>
          <w:ilvl w:val="2"/>
          <w:numId w:val="0"/>
        </w:numPr>
        <w:spacing w:line="360" w:lineRule="auto"/>
        <w:ind w:left="720" w:leftChars="0" w:hanging="720" w:firstLineChars="0"/>
        <w:rPr>
          <w:color w:val="auto"/>
        </w:rPr>
      </w:pPr>
      <w:bookmarkStart w:id="2199" w:name="_Toc217540624"/>
      <w:bookmarkStart w:id="2200" w:name="_Toc210227793"/>
      <w:bookmarkStart w:id="2201" w:name="_Toc210213264"/>
      <w:bookmarkStart w:id="2202" w:name="_Toc209975056"/>
      <w:bookmarkStart w:id="2203" w:name="_Toc210213581"/>
      <w:bookmarkStart w:id="2204" w:name="_Toc333583954"/>
      <w:bookmarkStart w:id="2205" w:name="_Toc210236336"/>
      <w:bookmarkStart w:id="2206" w:name="_Toc13002"/>
      <w:bookmarkStart w:id="2207" w:name="_Toc5167"/>
      <w:bookmarkStart w:id="2208" w:name="_Toc28240"/>
      <w:bookmarkStart w:id="2209" w:name="_Toc25975"/>
      <w:bookmarkStart w:id="2210" w:name="_Toc2764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.3.4.</w:t>
      </w:r>
      <w:r>
        <w:rPr>
          <w:rFonts w:hint="eastAsia"/>
          <w:color w:val="auto"/>
        </w:rPr>
        <w:t>水上作业保护措施</w:t>
      </w:r>
      <w:bookmarkEnd w:id="2199"/>
      <w:bookmarkEnd w:id="2200"/>
      <w:bookmarkEnd w:id="2201"/>
      <w:bookmarkEnd w:id="2202"/>
      <w:bookmarkEnd w:id="2203"/>
      <w:bookmarkEnd w:id="2204"/>
      <w:bookmarkEnd w:id="2205"/>
      <w:bookmarkEnd w:id="2206"/>
      <w:bookmarkEnd w:id="2207"/>
      <w:bookmarkEnd w:id="2208"/>
      <w:bookmarkEnd w:id="2209"/>
      <w:bookmarkEnd w:id="2210"/>
    </w:p>
    <w:p w14:paraId="661B1D86">
      <w:pPr>
        <w:ind w:firstLine="480"/>
        <w:rPr>
          <w:rFonts w:hint="eastAsia" w:ascii="宋体" w:hAnsi="宋体" w:cs="宋体"/>
          <w:lang w:val="en-US" w:eastAsia="zh-CN"/>
        </w:rPr>
      </w:pPr>
      <w:r>
        <w:rPr>
          <w:rFonts w:hint="eastAsia" w:ascii="宋体" w:hAnsi="宋体" w:cs="宋体"/>
          <w:lang w:val="en-US" w:eastAsia="zh-CN"/>
        </w:rPr>
        <w:t>（1）临时便桥、围堰的修建必须经项目部提出设计方案，报公司总工批准后才能施工，临水的边部要有安全防护设施。</w:t>
      </w:r>
    </w:p>
    <w:p w14:paraId="13E12025">
      <w:pPr>
        <w:ind w:firstLine="480"/>
        <w:rPr>
          <w:rFonts w:hint="eastAsia" w:ascii="宋体" w:hAnsi="宋体" w:cs="宋体"/>
          <w:lang w:val="en-US" w:eastAsia="zh-CN"/>
        </w:rPr>
      </w:pPr>
      <w:r>
        <w:rPr>
          <w:rFonts w:hint="eastAsia" w:ascii="宋体" w:hAnsi="宋体" w:cs="宋体"/>
          <w:lang w:val="en-US" w:eastAsia="zh-CN"/>
        </w:rPr>
        <w:t>（2）各水上施工作业点必须有足够的救生设备和救生衣。</w:t>
      </w:r>
    </w:p>
    <w:p w14:paraId="2A2E11D1">
      <w:pPr>
        <w:ind w:firstLine="480"/>
        <w:rPr>
          <w:rFonts w:hint="eastAsia" w:ascii="宋体" w:hAnsi="宋体" w:cs="宋体"/>
          <w:lang w:val="en-US" w:eastAsia="zh-CN"/>
        </w:rPr>
      </w:pPr>
      <w:r>
        <w:rPr>
          <w:rFonts w:hint="eastAsia" w:ascii="宋体" w:hAnsi="宋体" w:cs="宋体"/>
          <w:lang w:val="en-US" w:eastAsia="zh-CN"/>
        </w:rPr>
        <w:t>（3）注意防洪防汛，洪水期应提前预警，及时疏散人员、设备。</w:t>
      </w:r>
    </w:p>
    <w:p w14:paraId="0342DA90">
      <w:pPr>
        <w:pStyle w:val="5"/>
        <w:numPr>
          <w:ilvl w:val="2"/>
          <w:numId w:val="0"/>
        </w:numPr>
        <w:spacing w:line="360" w:lineRule="auto"/>
        <w:ind w:left="720" w:leftChars="0" w:hanging="720" w:firstLineChars="0"/>
        <w:rPr>
          <w:color w:val="auto"/>
        </w:rPr>
      </w:pPr>
      <w:bookmarkStart w:id="2211" w:name="_Toc775"/>
      <w:bookmarkStart w:id="2212" w:name="_Toc17205"/>
      <w:bookmarkStart w:id="2213" w:name="_Toc1344"/>
      <w:bookmarkStart w:id="2214" w:name="_Toc22747"/>
      <w:bookmarkStart w:id="2215" w:name="_Toc29324"/>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.3.5.</w:t>
      </w:r>
      <w:r>
        <w:rPr>
          <w:rFonts w:hint="eastAsia"/>
          <w:color w:val="auto"/>
        </w:rPr>
        <w:t>车辆安全保证措施</w:t>
      </w:r>
      <w:bookmarkEnd w:id="2211"/>
      <w:bookmarkEnd w:id="2212"/>
      <w:bookmarkEnd w:id="2213"/>
      <w:bookmarkEnd w:id="2214"/>
      <w:bookmarkEnd w:id="2215"/>
    </w:p>
    <w:p w14:paraId="3201436F">
      <w:pPr>
        <w:ind w:firstLine="480"/>
        <w:rPr>
          <w:rFonts w:hint="eastAsia" w:ascii="宋体" w:hAnsi="宋体" w:cs="宋体"/>
          <w:lang w:val="en-US" w:eastAsia="zh-CN"/>
        </w:rPr>
      </w:pPr>
      <w:r>
        <w:rPr>
          <w:rFonts w:hint="eastAsia" w:ascii="宋体" w:hAnsi="宋体" w:cs="宋体"/>
          <w:lang w:val="en-US" w:eastAsia="zh-CN"/>
        </w:rPr>
        <w:t>（1）驾驶人员必须经有资格的培训单位培训并考时合格后方可持证上岗。</w:t>
      </w:r>
    </w:p>
    <w:p w14:paraId="26E7E518">
      <w:pPr>
        <w:ind w:firstLine="480"/>
        <w:rPr>
          <w:rFonts w:hint="eastAsia" w:ascii="宋体" w:hAnsi="宋体" w:cs="宋体"/>
          <w:lang w:val="en-US" w:eastAsia="zh-CN"/>
        </w:rPr>
      </w:pPr>
      <w:r>
        <w:rPr>
          <w:rFonts w:hint="eastAsia" w:ascii="宋体" w:hAnsi="宋体" w:cs="宋体"/>
          <w:lang w:val="en-US" w:eastAsia="zh-CN"/>
        </w:rPr>
        <w:t>（2）严禁酒后驾车、疲劳驾车、无证驾车、超速行驶、违章超载等违章行为。</w:t>
      </w:r>
    </w:p>
    <w:p w14:paraId="121769B7">
      <w:pPr>
        <w:ind w:firstLine="480"/>
        <w:rPr>
          <w:rFonts w:hint="eastAsia" w:ascii="宋体" w:hAnsi="宋体" w:cs="宋体"/>
          <w:lang w:val="en-US" w:eastAsia="zh-CN"/>
        </w:rPr>
      </w:pPr>
      <w:r>
        <w:rPr>
          <w:rFonts w:hint="eastAsia" w:ascii="宋体" w:hAnsi="宋体" w:cs="宋体"/>
          <w:lang w:val="en-US" w:eastAsia="zh-CN"/>
        </w:rPr>
        <w:t>（3）加强车辆的维护、保养，做到定期检查、计划维修、合理使用，尤其是刹车系统、转向系统、灯光系统等必须完好可靠，确保车辆始终处于良好状态。</w:t>
      </w:r>
    </w:p>
    <w:p w14:paraId="1BE3BF67">
      <w:pPr>
        <w:ind w:firstLine="480"/>
        <w:rPr>
          <w:rFonts w:hint="eastAsia" w:ascii="宋体" w:hAnsi="宋体" w:cs="宋体"/>
          <w:lang w:val="en-US" w:eastAsia="zh-CN"/>
        </w:rPr>
      </w:pPr>
      <w:r>
        <w:rPr>
          <w:rFonts w:hint="eastAsia" w:ascii="宋体" w:hAnsi="宋体" w:cs="宋体"/>
          <w:lang w:val="en-US" w:eastAsia="zh-CN"/>
        </w:rPr>
        <w:t>（4）经常注意轮胎气压，如发现气压过高，应停车休息，待正常后再行车。</w:t>
      </w:r>
    </w:p>
    <w:p w14:paraId="71F4ED97">
      <w:pPr>
        <w:ind w:firstLine="480"/>
        <w:rPr>
          <w:rFonts w:hint="eastAsia" w:ascii="宋体" w:hAnsi="宋体" w:cs="宋体"/>
          <w:lang w:val="en-US" w:eastAsia="zh-CN"/>
        </w:rPr>
      </w:pPr>
      <w:r>
        <w:rPr>
          <w:rFonts w:hint="eastAsia" w:ascii="宋体" w:hAnsi="宋体" w:cs="宋体"/>
          <w:lang w:val="en-US" w:eastAsia="zh-CN"/>
        </w:rPr>
        <w:t>（5）在危险地段（陡坡、急转弯、狭窄道路、厂站道路、泥泞道路等）位置设置限速牌、警示标志、凸面镜、减速带、防撞栏杆，严格控制车速，减速慢行。</w:t>
      </w:r>
    </w:p>
    <w:p w14:paraId="5DF42596">
      <w:pPr>
        <w:ind w:firstLine="480"/>
        <w:rPr>
          <w:rFonts w:hint="eastAsia" w:ascii="宋体" w:hAnsi="宋体" w:cs="宋体"/>
          <w:lang w:val="en-US" w:eastAsia="zh-CN"/>
        </w:rPr>
      </w:pPr>
      <w:r>
        <w:rPr>
          <w:rFonts w:hint="eastAsia" w:ascii="宋体" w:hAnsi="宋体" w:cs="宋体"/>
          <w:lang w:val="en-US" w:eastAsia="zh-CN"/>
        </w:rPr>
        <w:t>（6）运输车辆不得超高、超载和超重，随车人员应站在指定的安全地点，不得坐在运输车两侧栏板上或坐在驾驶室棚顶上等临边危险位置。</w:t>
      </w:r>
    </w:p>
    <w:p w14:paraId="073FADC2">
      <w:pPr>
        <w:ind w:firstLine="480"/>
        <w:rPr>
          <w:rFonts w:hint="eastAsia" w:ascii="宋体" w:hAnsi="宋体" w:cs="宋体"/>
          <w:lang w:val="en-US" w:eastAsia="zh-CN"/>
        </w:rPr>
      </w:pPr>
      <w:r>
        <w:rPr>
          <w:rFonts w:hint="eastAsia" w:ascii="宋体" w:hAnsi="宋体" w:cs="宋体"/>
          <w:lang w:val="en-US" w:eastAsia="zh-CN"/>
        </w:rPr>
        <w:t>（7）运输车辆进入料仓，应保证充足的照明，有专人负责指挥倒车。</w:t>
      </w:r>
    </w:p>
    <w:p w14:paraId="328DDBD3">
      <w:pPr>
        <w:ind w:firstLine="480"/>
        <w:rPr>
          <w:rFonts w:hint="eastAsia" w:ascii="宋体" w:hAnsi="宋体" w:cs="宋体"/>
          <w:lang w:val="en-US" w:eastAsia="zh-CN"/>
        </w:rPr>
      </w:pPr>
      <w:r>
        <w:rPr>
          <w:rFonts w:hint="eastAsia" w:ascii="宋体" w:hAnsi="宋体" w:cs="宋体"/>
          <w:lang w:val="en-US" w:eastAsia="zh-CN"/>
        </w:rPr>
        <w:t>（8）作业范围内设置警戒线、警示牌，有专人负责指挥。</w:t>
      </w:r>
    </w:p>
    <w:p w14:paraId="3A2E7EFD">
      <w:pPr>
        <w:pStyle w:val="5"/>
        <w:numPr>
          <w:ilvl w:val="2"/>
          <w:numId w:val="0"/>
        </w:numPr>
        <w:spacing w:line="360" w:lineRule="auto"/>
        <w:ind w:left="720" w:leftChars="0" w:hanging="720" w:firstLineChars="0"/>
        <w:rPr>
          <w:color w:val="auto"/>
        </w:rPr>
      </w:pPr>
      <w:bookmarkStart w:id="2216" w:name="_Toc6448"/>
      <w:bookmarkStart w:id="2217" w:name="_Toc24433"/>
      <w:bookmarkStart w:id="2218" w:name="_Toc7755"/>
      <w:bookmarkStart w:id="2219" w:name="_Toc12713"/>
      <w:bookmarkStart w:id="2220" w:name="_Toc21659"/>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.3.6.</w:t>
      </w:r>
      <w:r>
        <w:rPr>
          <w:rFonts w:hint="eastAsia"/>
          <w:color w:val="auto"/>
        </w:rPr>
        <w:t>机械安全保证措施</w:t>
      </w:r>
      <w:bookmarkEnd w:id="2216"/>
      <w:bookmarkEnd w:id="2217"/>
      <w:bookmarkEnd w:id="2218"/>
      <w:bookmarkEnd w:id="2219"/>
      <w:bookmarkEnd w:id="2220"/>
    </w:p>
    <w:p w14:paraId="1F324E3B">
      <w:pPr>
        <w:ind w:firstLine="480"/>
        <w:rPr>
          <w:rFonts w:hint="eastAsia" w:ascii="宋体" w:hAnsi="宋体" w:cs="宋体"/>
          <w:lang w:val="en-US" w:eastAsia="zh-CN"/>
        </w:rPr>
      </w:pPr>
      <w:r>
        <w:rPr>
          <w:rFonts w:hint="eastAsia" w:ascii="宋体" w:hAnsi="宋体" w:cs="宋体"/>
          <w:lang w:val="en-US" w:eastAsia="zh-CN"/>
        </w:rPr>
        <w:t>（1）现场机械必须由物资设备科指定人员进行试运行，检查其运行情况正常后方可参与本项目施工，物资设备科对检查后的机械按公司ISO9001程序文件要求进行标识。</w:t>
      </w:r>
    </w:p>
    <w:p w14:paraId="06D83005">
      <w:pPr>
        <w:ind w:firstLine="480"/>
        <w:rPr>
          <w:rFonts w:hint="eastAsia" w:ascii="宋体" w:hAnsi="宋体" w:cs="宋体"/>
          <w:lang w:val="en-US" w:eastAsia="zh-CN"/>
        </w:rPr>
      </w:pPr>
      <w:r>
        <w:rPr>
          <w:rFonts w:hint="eastAsia" w:ascii="宋体" w:hAnsi="宋体" w:cs="宋体"/>
          <w:lang w:val="en-US" w:eastAsia="zh-CN"/>
        </w:rPr>
        <w:t>（2）拌和站、摊铺压实设备或其它机械，必须满足机械本身护罩完善，电机无病的要求，还要对机械作接零和重复接地的装置；接地电阻值不得大于4Ω。</w:t>
      </w:r>
    </w:p>
    <w:p w14:paraId="1E29F3CC">
      <w:pPr>
        <w:ind w:firstLine="480"/>
        <w:rPr>
          <w:rFonts w:hint="eastAsia" w:ascii="宋体" w:hAnsi="宋体" w:cs="宋体"/>
          <w:lang w:val="en-US" w:eastAsia="zh-CN"/>
        </w:rPr>
      </w:pPr>
      <w:r>
        <w:rPr>
          <w:rFonts w:hint="eastAsia" w:ascii="宋体" w:hAnsi="宋体" w:cs="宋体"/>
          <w:lang w:val="en-US" w:eastAsia="zh-CN"/>
        </w:rPr>
        <w:t>（3）操作人员必须经过培训考核合格持证上岗。</w:t>
      </w:r>
    </w:p>
    <w:p w14:paraId="34485DD7">
      <w:pPr>
        <w:ind w:firstLine="480"/>
        <w:rPr>
          <w:rFonts w:hint="eastAsia" w:ascii="宋体" w:hAnsi="宋体" w:cs="宋体"/>
          <w:lang w:val="en-US" w:eastAsia="zh-CN"/>
        </w:rPr>
      </w:pPr>
      <w:r>
        <w:rPr>
          <w:rFonts w:hint="eastAsia" w:ascii="宋体" w:hAnsi="宋体" w:cs="宋体"/>
          <w:lang w:val="en-US" w:eastAsia="zh-CN"/>
        </w:rPr>
        <w:t>（4）各种机械要定机定人维修保养，做到自检、自修、自维有记录。</w:t>
      </w:r>
    </w:p>
    <w:p w14:paraId="786F38A0">
      <w:pPr>
        <w:ind w:firstLine="480"/>
        <w:rPr>
          <w:rFonts w:hint="eastAsia" w:ascii="宋体" w:hAnsi="宋体" w:cs="宋体"/>
          <w:lang w:val="en-US" w:eastAsia="zh-CN"/>
        </w:rPr>
      </w:pPr>
      <w:r>
        <w:rPr>
          <w:rFonts w:hint="eastAsia" w:ascii="宋体" w:hAnsi="宋体" w:cs="宋体"/>
          <w:lang w:val="en-US" w:eastAsia="zh-CN"/>
        </w:rPr>
        <w:t>（5）施工现场各种机械要挂安全技术操作规程牌。各种起重机械和垂直运输机械在吊运物料时，现场要设人值班和指挥。</w:t>
      </w:r>
    </w:p>
    <w:p w14:paraId="29A522DB">
      <w:pPr>
        <w:ind w:firstLine="480"/>
        <w:rPr>
          <w:rFonts w:hint="eastAsia" w:ascii="宋体" w:hAnsi="宋体" w:cs="宋体"/>
          <w:lang w:val="en-US" w:eastAsia="zh-CN"/>
        </w:rPr>
      </w:pPr>
      <w:r>
        <w:rPr>
          <w:rFonts w:hint="eastAsia" w:ascii="宋体" w:hAnsi="宋体" w:cs="宋体"/>
          <w:lang w:val="en-US" w:eastAsia="zh-CN"/>
        </w:rPr>
        <w:t>（6）各种机械不准带病运行。</w:t>
      </w:r>
    </w:p>
    <w:p w14:paraId="6A0A9549">
      <w:pPr>
        <w:pStyle w:val="5"/>
        <w:numPr>
          <w:ilvl w:val="2"/>
          <w:numId w:val="0"/>
        </w:numPr>
        <w:spacing w:line="360" w:lineRule="auto"/>
        <w:ind w:left="720" w:leftChars="0" w:hanging="720" w:firstLineChars="0"/>
        <w:rPr>
          <w:color w:val="auto"/>
        </w:rPr>
      </w:pPr>
      <w:bookmarkStart w:id="2221" w:name="_Toc20564"/>
      <w:bookmarkStart w:id="2222" w:name="_Toc24050"/>
      <w:bookmarkStart w:id="2223" w:name="_Toc7330"/>
      <w:bookmarkStart w:id="2224" w:name="_Toc11386"/>
      <w:bookmarkStart w:id="2225" w:name="_Toc29900"/>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.3.7.</w:t>
      </w:r>
      <w:r>
        <w:rPr>
          <w:rFonts w:hint="eastAsia"/>
          <w:color w:val="auto"/>
        </w:rPr>
        <w:t>高温烫伤保证措施</w:t>
      </w:r>
      <w:bookmarkEnd w:id="2221"/>
      <w:bookmarkEnd w:id="2222"/>
      <w:bookmarkEnd w:id="2223"/>
      <w:bookmarkEnd w:id="2224"/>
      <w:bookmarkEnd w:id="2225"/>
    </w:p>
    <w:p w14:paraId="7D168281">
      <w:pPr>
        <w:ind w:firstLine="480"/>
        <w:rPr>
          <w:rFonts w:hint="eastAsia" w:ascii="宋体" w:hAnsi="宋体" w:cs="宋体"/>
          <w:lang w:val="en-US" w:eastAsia="zh-CN"/>
        </w:rPr>
      </w:pPr>
      <w:r>
        <w:rPr>
          <w:rFonts w:hint="eastAsia" w:ascii="宋体" w:hAnsi="宋体" w:cs="宋体"/>
          <w:lang w:val="en-US" w:eastAsia="zh-CN"/>
        </w:rPr>
        <w:t>（1）高温作业岗位人员应严格执行安全技术操作规程，远离危险区域。</w:t>
      </w:r>
    </w:p>
    <w:p w14:paraId="184A953F">
      <w:pPr>
        <w:ind w:firstLine="480"/>
        <w:rPr>
          <w:rFonts w:hint="eastAsia" w:ascii="宋体" w:hAnsi="宋体" w:cs="宋体"/>
          <w:lang w:val="en-US" w:eastAsia="zh-CN"/>
        </w:rPr>
      </w:pPr>
      <w:r>
        <w:rPr>
          <w:rFonts w:hint="eastAsia" w:ascii="宋体" w:hAnsi="宋体" w:cs="宋体"/>
          <w:lang w:val="en-US" w:eastAsia="zh-CN"/>
        </w:rPr>
        <w:t>（2）正确穿戴个体防护用品，提高从业人员的自我保护意识尤为关键。</w:t>
      </w:r>
    </w:p>
    <w:p w14:paraId="54454DCB">
      <w:pPr>
        <w:ind w:firstLine="480"/>
        <w:rPr>
          <w:rFonts w:hint="eastAsia" w:ascii="宋体" w:hAnsi="宋体" w:cs="宋体"/>
          <w:lang w:val="en-US" w:eastAsia="zh-CN"/>
        </w:rPr>
      </w:pPr>
      <w:r>
        <w:rPr>
          <w:rFonts w:hint="eastAsia" w:ascii="宋体" w:hAnsi="宋体" w:cs="宋体"/>
          <w:lang w:val="en-US" w:eastAsia="zh-CN"/>
        </w:rPr>
        <w:t>（3）加强对腐蚀性危险化学品等容器的日常检查，及时淘汰不合格的贮存装置。</w:t>
      </w:r>
    </w:p>
    <w:p w14:paraId="12C6BD25">
      <w:pPr>
        <w:ind w:firstLine="480"/>
        <w:rPr>
          <w:rFonts w:hint="eastAsia" w:ascii="宋体" w:hAnsi="宋体" w:cs="宋体"/>
          <w:lang w:val="en-US" w:eastAsia="zh-CN"/>
        </w:rPr>
      </w:pPr>
      <w:r>
        <w:rPr>
          <w:rFonts w:hint="eastAsia" w:ascii="宋体" w:hAnsi="宋体" w:cs="宋体"/>
          <w:lang w:val="en-US" w:eastAsia="zh-CN"/>
        </w:rPr>
        <w:t>（4）带电作业时必须采取保证安全的技术措施，如穿戴好绝缘服和防弧面罩等。</w:t>
      </w:r>
    </w:p>
    <w:p w14:paraId="3F999DA9">
      <w:pPr>
        <w:ind w:firstLine="480"/>
        <w:rPr>
          <w:rFonts w:hint="eastAsia" w:ascii="宋体" w:hAnsi="宋体" w:cs="宋体"/>
          <w:lang w:val="en-US" w:eastAsia="zh-CN"/>
        </w:rPr>
      </w:pPr>
      <w:r>
        <w:rPr>
          <w:rFonts w:hint="eastAsia" w:ascii="宋体" w:hAnsi="宋体" w:cs="宋体"/>
          <w:lang w:val="en-US" w:eastAsia="zh-CN"/>
        </w:rPr>
        <w:t>（5）强化高温危险源的辨识工作，制定可靠的作业指导书，提高从业人员面对突发事件的应急处置能力。</w:t>
      </w:r>
    </w:p>
    <w:p w14:paraId="1FCC6BD8">
      <w:pPr>
        <w:pStyle w:val="5"/>
        <w:numPr>
          <w:ilvl w:val="2"/>
          <w:numId w:val="0"/>
        </w:numPr>
        <w:spacing w:line="360" w:lineRule="auto"/>
        <w:ind w:left="720" w:leftChars="0" w:hanging="720" w:firstLineChars="0"/>
        <w:rPr>
          <w:color w:val="auto"/>
        </w:rPr>
      </w:pPr>
      <w:bookmarkStart w:id="2226" w:name="_Toc30183"/>
      <w:bookmarkStart w:id="2227" w:name="_Toc20399"/>
      <w:bookmarkStart w:id="2228" w:name="_Toc17908"/>
      <w:bookmarkStart w:id="2229" w:name="_Toc26910"/>
      <w:bookmarkStart w:id="2230" w:name="_Toc257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.3.8.</w:t>
      </w:r>
      <w:r>
        <w:rPr>
          <w:rFonts w:hint="eastAsia"/>
          <w:color w:val="auto"/>
        </w:rPr>
        <w:t>消防、治安保证措施</w:t>
      </w:r>
      <w:bookmarkEnd w:id="2226"/>
      <w:bookmarkEnd w:id="2227"/>
      <w:bookmarkEnd w:id="2228"/>
      <w:bookmarkEnd w:id="2229"/>
      <w:bookmarkEnd w:id="2230"/>
    </w:p>
    <w:p w14:paraId="4CE8FCFD">
      <w:pPr>
        <w:ind w:firstLine="480"/>
        <w:rPr>
          <w:rFonts w:hint="eastAsia" w:ascii="宋体" w:hAnsi="宋体" w:cs="宋体"/>
          <w:lang w:val="en-US" w:eastAsia="zh-CN"/>
        </w:rPr>
      </w:pPr>
      <w:r>
        <w:rPr>
          <w:rFonts w:hint="eastAsia" w:ascii="宋体" w:hAnsi="宋体" w:cs="宋体"/>
          <w:lang w:val="en-US" w:eastAsia="zh-CN"/>
        </w:rPr>
        <w:t>（1）开展法制宣传和“四防”教育，项目部定期开展以防火、防盗为主的安全大检查，堵塞漏洞，防患于未然。</w:t>
      </w:r>
    </w:p>
    <w:p w14:paraId="0589FACF">
      <w:pPr>
        <w:ind w:firstLine="480"/>
        <w:rPr>
          <w:rFonts w:hint="eastAsia" w:ascii="宋体" w:hAnsi="宋体" w:cs="宋体"/>
          <w:lang w:val="en-US" w:eastAsia="zh-CN"/>
        </w:rPr>
      </w:pPr>
      <w:r>
        <w:rPr>
          <w:rFonts w:hint="eastAsia" w:ascii="宋体" w:hAnsi="宋体" w:cs="宋体"/>
          <w:lang w:val="en-US" w:eastAsia="zh-CN"/>
        </w:rPr>
        <w:t>（2）项目部办公、生活区，试验室，油罐等重点消防区应设置灭火器、消防沙等消防器材，并定期专人检查其完好情况。</w:t>
      </w:r>
    </w:p>
    <w:p w14:paraId="56E373DF">
      <w:pPr>
        <w:pStyle w:val="5"/>
        <w:numPr>
          <w:ilvl w:val="2"/>
          <w:numId w:val="0"/>
        </w:numPr>
        <w:spacing w:line="360" w:lineRule="auto"/>
        <w:ind w:left="720" w:leftChars="0" w:hanging="720" w:firstLineChars="0"/>
        <w:rPr>
          <w:color w:val="auto"/>
        </w:rPr>
      </w:pPr>
      <w:bookmarkStart w:id="2231" w:name="_Toc28269"/>
      <w:bookmarkStart w:id="2232" w:name="_Toc6844"/>
      <w:bookmarkStart w:id="2233" w:name="_Toc20211"/>
      <w:bookmarkStart w:id="2234" w:name="_Toc23645"/>
      <w:bookmarkStart w:id="2235" w:name="_Toc19952"/>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.3.9.</w:t>
      </w:r>
      <w:r>
        <w:rPr>
          <w:rFonts w:hint="eastAsia"/>
          <w:color w:val="auto"/>
        </w:rPr>
        <w:t>防止高处坠落事故安全措施</w:t>
      </w:r>
      <w:bookmarkEnd w:id="2231"/>
      <w:bookmarkEnd w:id="2232"/>
      <w:bookmarkEnd w:id="2233"/>
      <w:bookmarkEnd w:id="2234"/>
      <w:bookmarkEnd w:id="2235"/>
    </w:p>
    <w:p w14:paraId="54C72987">
      <w:pPr>
        <w:ind w:firstLine="480"/>
        <w:rPr>
          <w:rFonts w:hint="eastAsia" w:ascii="宋体" w:hAnsi="宋体" w:cs="宋体"/>
          <w:lang w:val="en-US" w:eastAsia="zh-CN"/>
        </w:rPr>
      </w:pPr>
      <w:r>
        <w:rPr>
          <w:rFonts w:hint="eastAsia" w:ascii="宋体" w:hAnsi="宋体" w:cs="宋体"/>
          <w:lang w:val="en-US" w:eastAsia="zh-CN"/>
        </w:rPr>
        <w:t>高处作业中的安全技术、工具、仪表、电气设施和各种设备，必须在施工前检查、确认其完好，方能投入使用。</w:t>
      </w:r>
    </w:p>
    <w:p w14:paraId="0E497724">
      <w:pPr>
        <w:ind w:firstLine="480"/>
        <w:rPr>
          <w:rFonts w:hint="eastAsia" w:ascii="宋体" w:hAnsi="宋体" w:cs="宋体"/>
          <w:lang w:val="en-US" w:eastAsia="zh-CN"/>
        </w:rPr>
      </w:pPr>
      <w:r>
        <w:rPr>
          <w:rFonts w:hint="eastAsia" w:ascii="宋体" w:hAnsi="宋体" w:cs="宋体"/>
          <w:lang w:val="en-US" w:eastAsia="zh-CN"/>
        </w:rPr>
        <w:t>攀登和悬空作业人员以及搭设高处作业安全设施的人员，必须经过专业技术培训及专业考试合格，持证上岗，并必须定期进行体格检查。</w:t>
      </w:r>
    </w:p>
    <w:p w14:paraId="0DCFDF34">
      <w:pPr>
        <w:ind w:firstLine="480"/>
        <w:rPr>
          <w:rFonts w:hint="eastAsia" w:ascii="宋体" w:hAnsi="宋体" w:cs="宋体"/>
          <w:lang w:val="en-US" w:eastAsia="zh-CN"/>
        </w:rPr>
      </w:pPr>
      <w:r>
        <w:rPr>
          <w:rFonts w:hint="eastAsia" w:ascii="宋体" w:hAnsi="宋体" w:cs="宋体"/>
          <w:lang w:val="en-US" w:eastAsia="zh-CN"/>
        </w:rPr>
        <w:t>施工中对高处作业的安全技术设施，发现有缺陷和隐患时，必须及时解决，危及人身安全时，必须停止作业。</w:t>
      </w:r>
    </w:p>
    <w:p w14:paraId="67964AEB">
      <w:pPr>
        <w:ind w:firstLine="480"/>
        <w:rPr>
          <w:rFonts w:hint="eastAsia" w:ascii="宋体" w:hAnsi="宋体" w:cs="宋体"/>
          <w:lang w:val="en-US" w:eastAsia="zh-CN"/>
        </w:rPr>
      </w:pPr>
      <w:r>
        <w:rPr>
          <w:rFonts w:hint="eastAsia" w:ascii="宋体" w:hAnsi="宋体" w:cs="宋体"/>
          <w:lang w:val="en-US" w:eastAsia="zh-CN"/>
        </w:rPr>
        <w:t>施工作业场所有坠落可能的构件，应一律先行拆除或加以固定。</w:t>
      </w:r>
    </w:p>
    <w:p w14:paraId="350E7657">
      <w:pPr>
        <w:ind w:firstLine="480"/>
        <w:rPr>
          <w:rFonts w:hint="eastAsia" w:ascii="宋体" w:hAnsi="宋体" w:cs="宋体"/>
          <w:lang w:val="en-US" w:eastAsia="zh-CN"/>
        </w:rPr>
      </w:pPr>
      <w:r>
        <w:rPr>
          <w:rFonts w:hint="eastAsia" w:ascii="宋体" w:hAnsi="宋体" w:cs="宋体"/>
          <w:lang w:val="en-US" w:eastAsia="zh-CN"/>
        </w:rPr>
        <w:t>雨天和雪天进行高处作业时，必须采取可靠的防滑、防寒、防冻措施。高温工作时，应采取防中暑、防热、防流感疾病措施。遇有六级以上强风、浓雾等恶劣气候，应禁止作业。高处作业的高耸建筑物应事先设置避雷设施。</w:t>
      </w:r>
    </w:p>
    <w:p w14:paraId="29674B4A">
      <w:pPr>
        <w:ind w:firstLine="480"/>
        <w:rPr>
          <w:rFonts w:hint="eastAsia" w:ascii="宋体" w:hAnsi="宋体" w:cs="宋体"/>
          <w:lang w:val="en-US" w:eastAsia="zh-CN"/>
        </w:rPr>
      </w:pPr>
      <w:r>
        <w:rPr>
          <w:rFonts w:hint="eastAsia" w:ascii="宋体" w:hAnsi="宋体" w:cs="宋体"/>
          <w:lang w:val="en-US" w:eastAsia="zh-CN"/>
        </w:rPr>
        <w:t>因作业需要，临时拆除或变动安全防护设施时，必须经施工负责人同意，并采取相应的可靠措施，作业后立即恢复。</w:t>
      </w:r>
    </w:p>
    <w:p w14:paraId="60A3285D">
      <w:pPr>
        <w:pStyle w:val="5"/>
        <w:numPr>
          <w:ilvl w:val="2"/>
          <w:numId w:val="0"/>
        </w:numPr>
        <w:spacing w:line="360" w:lineRule="auto"/>
        <w:ind w:left="720" w:leftChars="0" w:hanging="720" w:firstLineChars="0"/>
        <w:rPr>
          <w:color w:val="auto"/>
        </w:rPr>
      </w:pPr>
      <w:bookmarkStart w:id="2236" w:name="_Toc8470"/>
      <w:bookmarkStart w:id="2237" w:name="_Toc15025"/>
      <w:bookmarkStart w:id="2238" w:name="_Toc4059"/>
      <w:bookmarkStart w:id="2239" w:name="_Toc21389"/>
      <w:bookmarkStart w:id="2240" w:name="_Toc198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.3.10.</w:t>
      </w:r>
      <w:r>
        <w:rPr>
          <w:rFonts w:hint="eastAsia"/>
          <w:color w:val="auto"/>
        </w:rPr>
        <w:t>物体打击保证措施</w:t>
      </w:r>
      <w:bookmarkEnd w:id="2236"/>
      <w:bookmarkEnd w:id="2237"/>
      <w:bookmarkEnd w:id="2238"/>
      <w:bookmarkEnd w:id="2239"/>
      <w:bookmarkEnd w:id="2240"/>
    </w:p>
    <w:p w14:paraId="2229AFEE">
      <w:pPr>
        <w:ind w:firstLine="480"/>
        <w:rPr>
          <w:rFonts w:hint="eastAsia" w:ascii="宋体" w:hAnsi="宋体" w:cs="宋体"/>
          <w:lang w:val="en-US" w:eastAsia="zh-CN"/>
        </w:rPr>
      </w:pPr>
      <w:r>
        <w:rPr>
          <w:rFonts w:hint="eastAsia" w:ascii="宋体" w:hAnsi="宋体" w:cs="宋体"/>
          <w:lang w:val="en-US" w:eastAsia="zh-CN"/>
        </w:rPr>
        <w:t>（1）安全通道上方应搭设双层防护棚，防护棚使用的材料要能防止高空坠落物穿透。</w:t>
      </w:r>
    </w:p>
    <w:p w14:paraId="263CAD44">
      <w:pPr>
        <w:ind w:firstLine="480"/>
        <w:rPr>
          <w:rFonts w:hint="eastAsia" w:ascii="宋体" w:hAnsi="宋体" w:cs="宋体"/>
          <w:lang w:val="en-US" w:eastAsia="zh-CN"/>
        </w:rPr>
      </w:pPr>
      <w:r>
        <w:rPr>
          <w:rFonts w:hint="eastAsia" w:ascii="宋体" w:hAnsi="宋体" w:cs="宋体"/>
          <w:lang w:val="en-US" w:eastAsia="zh-CN"/>
        </w:rPr>
        <w:t>（2）临时设施的盖板等要固定。</w:t>
      </w:r>
    </w:p>
    <w:p w14:paraId="2B86B307">
      <w:pPr>
        <w:ind w:firstLine="480"/>
        <w:rPr>
          <w:rFonts w:hint="eastAsia" w:ascii="宋体" w:hAnsi="宋体" w:cs="宋体"/>
          <w:lang w:val="en-US" w:eastAsia="zh-CN"/>
        </w:rPr>
      </w:pPr>
      <w:r>
        <w:rPr>
          <w:rFonts w:hint="eastAsia" w:ascii="宋体" w:hAnsi="宋体" w:cs="宋体"/>
          <w:lang w:val="en-US" w:eastAsia="zh-CN"/>
        </w:rPr>
        <w:t>（3）所有物料应堆放平稳，不得放在临边及洞口附近，并不可妨碍通行，堆垛不得超过规定高度。</w:t>
      </w:r>
    </w:p>
    <w:p w14:paraId="05199640">
      <w:pPr>
        <w:ind w:firstLine="480"/>
        <w:rPr>
          <w:rFonts w:hint="eastAsia" w:ascii="宋体" w:hAnsi="宋体" w:cs="宋体"/>
          <w:lang w:val="en-US" w:eastAsia="zh-CN"/>
        </w:rPr>
      </w:pPr>
      <w:r>
        <w:rPr>
          <w:rFonts w:hint="eastAsia" w:ascii="宋体" w:hAnsi="宋体" w:cs="宋体"/>
          <w:lang w:val="en-US" w:eastAsia="zh-CN"/>
        </w:rPr>
        <w:t>（4）吊运一切物料必须由持有司索工上岗证人员进行指挥，吊运过程中不得发生碰撞。</w:t>
      </w:r>
    </w:p>
    <w:p w14:paraId="3708DEB2">
      <w:pPr>
        <w:ind w:firstLine="480"/>
        <w:rPr>
          <w:rFonts w:hint="eastAsia" w:ascii="宋体" w:hAnsi="宋体" w:cs="宋体"/>
          <w:lang w:val="en-US" w:eastAsia="zh-CN"/>
        </w:rPr>
      </w:pPr>
      <w:r>
        <w:rPr>
          <w:rFonts w:hint="eastAsia" w:ascii="宋体" w:hAnsi="宋体" w:cs="宋体"/>
          <w:lang w:val="en-US" w:eastAsia="zh-CN"/>
        </w:rPr>
        <w:t>（5）拆除或拆卸作业要在设置警戒区域、有人监护的条件下进行。</w:t>
      </w:r>
    </w:p>
    <w:p w14:paraId="7F63D890">
      <w:pPr>
        <w:pStyle w:val="5"/>
        <w:numPr>
          <w:ilvl w:val="2"/>
          <w:numId w:val="0"/>
        </w:numPr>
        <w:spacing w:line="360" w:lineRule="auto"/>
        <w:ind w:left="720" w:leftChars="0" w:hanging="720" w:firstLineChars="0"/>
        <w:rPr>
          <w:color w:val="auto"/>
        </w:rPr>
      </w:pPr>
      <w:bookmarkStart w:id="2241" w:name="_Toc32623"/>
      <w:bookmarkStart w:id="2242" w:name="_Toc4795"/>
      <w:bookmarkStart w:id="2243" w:name="_Toc25866"/>
      <w:bookmarkStart w:id="2244" w:name="_Toc23372"/>
      <w:bookmarkStart w:id="2245" w:name="_Toc2269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.3.11.</w:t>
      </w:r>
      <w:r>
        <w:rPr>
          <w:rFonts w:hint="eastAsia"/>
          <w:color w:val="auto"/>
        </w:rPr>
        <w:t>起重伤害防范措施</w:t>
      </w:r>
      <w:bookmarkEnd w:id="2241"/>
      <w:bookmarkEnd w:id="2242"/>
      <w:bookmarkEnd w:id="2243"/>
      <w:bookmarkEnd w:id="2244"/>
      <w:bookmarkEnd w:id="2245"/>
    </w:p>
    <w:p w14:paraId="0CE16D53">
      <w:pPr>
        <w:ind w:firstLine="480"/>
        <w:rPr>
          <w:rFonts w:hint="eastAsia" w:ascii="宋体" w:hAnsi="宋体" w:cs="宋体"/>
          <w:lang w:val="en-US" w:eastAsia="zh-CN"/>
        </w:rPr>
      </w:pPr>
      <w:r>
        <w:rPr>
          <w:rFonts w:hint="eastAsia"/>
        </w:rPr>
        <w:t>（</w:t>
      </w:r>
      <w:r>
        <w:rPr>
          <w:rFonts w:hint="eastAsia" w:ascii="宋体" w:hAnsi="宋体" w:cs="宋体"/>
          <w:lang w:val="en-US" w:eastAsia="zh-CN"/>
        </w:rPr>
        <w:t>1）起重吊装前，应根据施工组织设计要求划定危险作业区域，设置醒目的警示标志，防止无关人员进入。</w:t>
      </w:r>
    </w:p>
    <w:p w14:paraId="34FE682F">
      <w:pPr>
        <w:ind w:firstLine="480"/>
        <w:rPr>
          <w:rFonts w:hint="eastAsia" w:ascii="宋体" w:hAnsi="宋体" w:cs="宋体"/>
          <w:lang w:val="en-US" w:eastAsia="zh-CN"/>
        </w:rPr>
      </w:pPr>
      <w:r>
        <w:rPr>
          <w:rFonts w:hint="eastAsia" w:ascii="宋体" w:hAnsi="宋体" w:cs="宋体"/>
          <w:lang w:val="en-US" w:eastAsia="zh-CN"/>
        </w:rPr>
        <w:t>（2）起重操作人员应经国家有关部门特殊工种专门培训，并考试合格，持证上岗。起重工作人员应通过学习、熟悉规定的指挥信号、手势，熟悉并执行起重搬运方案和起重安全措施。起重作业时，工作人员必须戴安全帽。</w:t>
      </w:r>
    </w:p>
    <w:p w14:paraId="1282E333">
      <w:pPr>
        <w:ind w:firstLine="480"/>
        <w:rPr>
          <w:rFonts w:hint="eastAsia" w:ascii="宋体" w:hAnsi="宋体" w:cs="宋体"/>
          <w:lang w:val="en-US" w:eastAsia="zh-CN"/>
        </w:rPr>
      </w:pPr>
      <w:r>
        <w:rPr>
          <w:rFonts w:hint="eastAsia" w:ascii="宋体" w:hAnsi="宋体" w:cs="宋体"/>
          <w:lang w:val="en-US" w:eastAsia="zh-CN"/>
        </w:rPr>
        <w:t>（3）起重机械和起重工具的工作荷重不准超过铭牌规定。没有制造厂铭牌的各种起重机具，应经计算并作荷重试验后方准使用。</w:t>
      </w:r>
    </w:p>
    <w:p w14:paraId="262AD5CC">
      <w:pPr>
        <w:ind w:firstLine="480"/>
        <w:rPr>
          <w:rFonts w:hint="eastAsia" w:ascii="宋体" w:hAnsi="宋体" w:cs="宋体"/>
          <w:lang w:val="en-US" w:eastAsia="zh-CN"/>
        </w:rPr>
      </w:pPr>
      <w:r>
        <w:rPr>
          <w:rFonts w:hint="eastAsia" w:ascii="宋体" w:hAnsi="宋体" w:cs="宋体"/>
          <w:lang w:val="en-US" w:eastAsia="zh-CN"/>
        </w:rPr>
        <w:t>（4）起重机械设备应按国家有关部门的规定进行定期检验、检查和维护，并指定专人负责。起重机械的安全装置、刹车装置必须齐全、可靠。</w:t>
      </w:r>
    </w:p>
    <w:p w14:paraId="5D64BECB">
      <w:pPr>
        <w:ind w:firstLine="480"/>
        <w:rPr>
          <w:rFonts w:hint="eastAsia" w:ascii="宋体" w:hAnsi="宋体" w:cs="宋体"/>
          <w:lang w:val="en-US" w:eastAsia="zh-CN"/>
        </w:rPr>
      </w:pPr>
      <w:r>
        <w:rPr>
          <w:rFonts w:hint="eastAsia" w:ascii="宋体" w:hAnsi="宋体" w:cs="宋体"/>
          <w:lang w:val="en-US" w:eastAsia="zh-CN"/>
        </w:rPr>
        <w:t>（5）起重作业前，应对钢丝绳、滑车等进行常规外观检查，确保其性能良好。</w:t>
      </w:r>
    </w:p>
    <w:p w14:paraId="7D4631C3">
      <w:pPr>
        <w:ind w:firstLine="480"/>
        <w:rPr>
          <w:rFonts w:hint="eastAsia" w:ascii="宋体" w:hAnsi="宋体" w:cs="宋体"/>
          <w:lang w:val="en-US" w:eastAsia="zh-CN"/>
        </w:rPr>
      </w:pPr>
      <w:r>
        <w:rPr>
          <w:rFonts w:hint="eastAsia" w:ascii="宋体" w:hAnsi="宋体" w:cs="宋体"/>
          <w:lang w:val="en-US" w:eastAsia="zh-CN"/>
        </w:rPr>
        <w:t>（6）起重作业应专人指挥，并按规定的指挥信号、手势进行指挥。起重前必须先鸣喇叭，或向现场工作人员发出明确信号。现场工作人员和指挥人员应站在安全地方，防止被吊物件坠落伤人。</w:t>
      </w:r>
    </w:p>
    <w:p w14:paraId="3811FFDA">
      <w:pPr>
        <w:ind w:firstLine="480"/>
        <w:rPr>
          <w:rFonts w:hint="eastAsia" w:ascii="宋体" w:hAnsi="宋体" w:cs="宋体"/>
          <w:lang w:val="en-US" w:eastAsia="zh-CN"/>
        </w:rPr>
      </w:pPr>
      <w:r>
        <w:rPr>
          <w:rFonts w:hint="eastAsia" w:ascii="宋体" w:hAnsi="宋体" w:cs="宋体"/>
          <w:lang w:val="en-US" w:eastAsia="zh-CN"/>
        </w:rPr>
        <w:t>（7）移动式悬臂起重机一般不准在架空线路下面工作，如有必要时，应事先征得该线路的运行管理部门同意，采取线路临时停电或做好安全防护措施后方可进行起吊工作。起重机在架空线路下面通过时，应将起重臂落下。</w:t>
      </w:r>
    </w:p>
    <w:p w14:paraId="71B7658E">
      <w:pPr>
        <w:ind w:firstLine="480"/>
        <w:rPr>
          <w:rFonts w:hint="eastAsia" w:ascii="宋体" w:hAnsi="宋体" w:cs="宋体"/>
          <w:lang w:val="en-US" w:eastAsia="zh-CN"/>
        </w:rPr>
      </w:pPr>
      <w:r>
        <w:rPr>
          <w:rFonts w:hint="eastAsia" w:ascii="宋体" w:hAnsi="宋体" w:cs="宋体"/>
          <w:lang w:val="en-US" w:eastAsia="zh-CN"/>
        </w:rPr>
        <w:t>（8）严禁起重臂跨越电力线进行作业。在架空线路两旁附近进行起重作业时，起重机的臂架、吊具、钢丝绳、缆风绳、吊物等以及高处作业车变幅杆升降时的任何部位与带电体、带电线路(在最大偏斜时)的最小安全距离，不得小于如下数值:</w:t>
      </w:r>
    </w:p>
    <w:tbl>
      <w:tblPr>
        <w:tblStyle w:val="47"/>
        <w:tblpPr w:leftFromText="180" w:rightFromText="180" w:vertAnchor="text" w:horzAnchor="page" w:tblpX="1469" w:tblpY="14"/>
        <w:tblOverlap w:val="never"/>
        <w:tblW w:w="0" w:type="auto"/>
        <w:tblInd w:w="0" w:type="dxa"/>
        <w:tblLayout w:type="fixed"/>
        <w:tblCellMar>
          <w:top w:w="0" w:type="dxa"/>
          <w:left w:w="0" w:type="dxa"/>
          <w:bottom w:w="0" w:type="dxa"/>
          <w:right w:w="0" w:type="dxa"/>
        </w:tblCellMar>
      </w:tblPr>
      <w:tblGrid>
        <w:gridCol w:w="2349"/>
        <w:gridCol w:w="1061"/>
        <w:gridCol w:w="1276"/>
        <w:gridCol w:w="1420"/>
        <w:gridCol w:w="1557"/>
        <w:gridCol w:w="1278"/>
      </w:tblGrid>
      <w:tr w14:paraId="4F4ABD0E">
        <w:tblPrEx>
          <w:tblCellMar>
            <w:top w:w="0" w:type="dxa"/>
            <w:left w:w="0" w:type="dxa"/>
            <w:bottom w:w="0" w:type="dxa"/>
            <w:right w:w="0" w:type="dxa"/>
          </w:tblCellMar>
        </w:tblPrEx>
        <w:tc>
          <w:tcPr>
            <w:tcW w:w="2349" w:type="dxa"/>
            <w:tcBorders>
              <w:top w:val="dotted" w:color="auto" w:sz="6" w:space="0"/>
              <w:left w:val="dotted" w:color="auto" w:sz="6" w:space="0"/>
              <w:bottom w:val="dotted" w:color="auto" w:sz="6" w:space="0"/>
              <w:right w:val="dotted" w:color="auto" w:sz="6" w:space="0"/>
            </w:tcBorders>
            <w:shd w:val="clear" w:color="auto" w:fill="FFFFFF"/>
            <w:vAlign w:val="center"/>
          </w:tcPr>
          <w:p w14:paraId="396DD0A1">
            <w:pPr>
              <w:pStyle w:val="105"/>
              <w:spacing w:line="360" w:lineRule="auto"/>
            </w:pPr>
            <w:r>
              <w:rPr>
                <w:rFonts w:hint="eastAsia"/>
              </w:rPr>
              <w:t>电压等级，（</w:t>
            </w:r>
            <w:r>
              <w:t>kV</w:t>
            </w:r>
            <w:r>
              <w:rPr>
                <w:rFonts w:hint="eastAsia"/>
              </w:rPr>
              <w:t>）</w:t>
            </w:r>
          </w:p>
        </w:tc>
        <w:tc>
          <w:tcPr>
            <w:tcW w:w="1061" w:type="dxa"/>
            <w:tcBorders>
              <w:top w:val="dotted" w:color="auto" w:sz="6" w:space="0"/>
              <w:left w:val="dotted" w:color="auto" w:sz="6" w:space="0"/>
              <w:bottom w:val="dotted" w:color="auto" w:sz="6" w:space="0"/>
              <w:right w:val="dotted" w:color="auto" w:sz="6" w:space="0"/>
            </w:tcBorders>
            <w:shd w:val="clear" w:color="auto" w:fill="FFFFFF"/>
            <w:vAlign w:val="center"/>
          </w:tcPr>
          <w:p w14:paraId="63D8AFB3">
            <w:pPr>
              <w:pStyle w:val="105"/>
              <w:spacing w:line="360" w:lineRule="auto"/>
            </w:pPr>
            <w:r>
              <w:rPr>
                <w:rFonts w:hint="eastAsia"/>
              </w:rPr>
              <w:t>＜</w:t>
            </w:r>
            <w:r>
              <w:t>1</w:t>
            </w:r>
          </w:p>
        </w:tc>
        <w:tc>
          <w:tcPr>
            <w:tcW w:w="1276" w:type="dxa"/>
            <w:tcBorders>
              <w:top w:val="dotted" w:color="auto" w:sz="6" w:space="0"/>
              <w:left w:val="dotted" w:color="auto" w:sz="6" w:space="0"/>
              <w:bottom w:val="dotted" w:color="auto" w:sz="6" w:space="0"/>
              <w:right w:val="dotted" w:color="auto" w:sz="6" w:space="0"/>
            </w:tcBorders>
            <w:shd w:val="clear" w:color="auto" w:fill="FFFFFF"/>
            <w:vAlign w:val="center"/>
          </w:tcPr>
          <w:p w14:paraId="161FC015">
            <w:pPr>
              <w:pStyle w:val="105"/>
              <w:spacing w:line="360" w:lineRule="auto"/>
            </w:pPr>
            <w:r>
              <w:t>1~10</w:t>
            </w:r>
          </w:p>
        </w:tc>
        <w:tc>
          <w:tcPr>
            <w:tcW w:w="1420" w:type="dxa"/>
            <w:tcBorders>
              <w:top w:val="dotted" w:color="auto" w:sz="6" w:space="0"/>
              <w:left w:val="dotted" w:color="auto" w:sz="6" w:space="0"/>
              <w:bottom w:val="dotted" w:color="auto" w:sz="6" w:space="0"/>
              <w:right w:val="dotted" w:color="auto" w:sz="6" w:space="0"/>
            </w:tcBorders>
            <w:shd w:val="clear" w:color="auto" w:fill="FFFFFF"/>
            <w:vAlign w:val="center"/>
          </w:tcPr>
          <w:p w14:paraId="552B6E2E">
            <w:pPr>
              <w:pStyle w:val="105"/>
              <w:spacing w:line="360" w:lineRule="auto"/>
            </w:pPr>
            <w:r>
              <w:t>35~110</w:t>
            </w:r>
          </w:p>
        </w:tc>
        <w:tc>
          <w:tcPr>
            <w:tcW w:w="1557" w:type="dxa"/>
            <w:tcBorders>
              <w:top w:val="dotted" w:color="auto" w:sz="6" w:space="0"/>
              <w:left w:val="dotted" w:color="auto" w:sz="6" w:space="0"/>
              <w:bottom w:val="dotted" w:color="auto" w:sz="6" w:space="0"/>
              <w:right w:val="dotted" w:color="auto" w:sz="6" w:space="0"/>
            </w:tcBorders>
            <w:shd w:val="clear" w:color="auto" w:fill="FFFFFF"/>
            <w:vAlign w:val="center"/>
          </w:tcPr>
          <w:p w14:paraId="05C6C0FB">
            <w:pPr>
              <w:pStyle w:val="105"/>
              <w:spacing w:line="360" w:lineRule="auto"/>
            </w:pPr>
            <w:r>
              <w:t>220</w:t>
            </w:r>
          </w:p>
        </w:tc>
        <w:tc>
          <w:tcPr>
            <w:tcW w:w="1278" w:type="dxa"/>
            <w:tcBorders>
              <w:top w:val="dotted" w:color="auto" w:sz="6" w:space="0"/>
              <w:left w:val="dotted" w:color="auto" w:sz="6" w:space="0"/>
              <w:bottom w:val="dotted" w:color="auto" w:sz="6" w:space="0"/>
              <w:right w:val="dotted" w:color="auto" w:sz="6" w:space="0"/>
            </w:tcBorders>
            <w:shd w:val="clear" w:color="auto" w:fill="FFFFFF"/>
            <w:vAlign w:val="center"/>
          </w:tcPr>
          <w:p w14:paraId="305F1E76">
            <w:pPr>
              <w:pStyle w:val="105"/>
              <w:spacing w:line="360" w:lineRule="auto"/>
            </w:pPr>
            <w:r>
              <w:t>500</w:t>
            </w:r>
          </w:p>
        </w:tc>
      </w:tr>
      <w:tr w14:paraId="2759F379">
        <w:tblPrEx>
          <w:tblCellMar>
            <w:top w:w="0" w:type="dxa"/>
            <w:left w:w="0" w:type="dxa"/>
            <w:bottom w:w="0" w:type="dxa"/>
            <w:right w:w="0" w:type="dxa"/>
          </w:tblCellMar>
        </w:tblPrEx>
        <w:tc>
          <w:tcPr>
            <w:tcW w:w="2349" w:type="dxa"/>
            <w:tcBorders>
              <w:top w:val="dotted" w:color="auto" w:sz="6" w:space="0"/>
              <w:left w:val="dotted" w:color="auto" w:sz="6" w:space="0"/>
              <w:bottom w:val="dotted" w:color="auto" w:sz="6" w:space="0"/>
              <w:right w:val="dotted" w:color="auto" w:sz="6" w:space="0"/>
            </w:tcBorders>
            <w:shd w:val="clear" w:color="auto" w:fill="FFFFFF"/>
            <w:vAlign w:val="center"/>
          </w:tcPr>
          <w:p w14:paraId="48ADFC54">
            <w:pPr>
              <w:pStyle w:val="105"/>
              <w:spacing w:line="360" w:lineRule="auto"/>
            </w:pPr>
            <w:r>
              <w:rPr>
                <w:rFonts w:hint="eastAsia"/>
              </w:rPr>
              <w:t>最小安全距离（米）</w:t>
            </w:r>
          </w:p>
        </w:tc>
        <w:tc>
          <w:tcPr>
            <w:tcW w:w="1061" w:type="dxa"/>
            <w:tcBorders>
              <w:top w:val="dotted" w:color="auto" w:sz="6" w:space="0"/>
              <w:left w:val="dotted" w:color="auto" w:sz="6" w:space="0"/>
              <w:bottom w:val="dotted" w:color="auto" w:sz="6" w:space="0"/>
              <w:right w:val="dotted" w:color="auto" w:sz="6" w:space="0"/>
            </w:tcBorders>
            <w:shd w:val="clear" w:color="auto" w:fill="FFFFFF"/>
            <w:vAlign w:val="center"/>
          </w:tcPr>
          <w:p w14:paraId="1C4C97B3">
            <w:pPr>
              <w:pStyle w:val="105"/>
              <w:spacing w:line="360" w:lineRule="auto"/>
            </w:pPr>
            <w:r>
              <w:t>1.5</w:t>
            </w:r>
          </w:p>
        </w:tc>
        <w:tc>
          <w:tcPr>
            <w:tcW w:w="1276" w:type="dxa"/>
            <w:tcBorders>
              <w:top w:val="dotted" w:color="auto" w:sz="6" w:space="0"/>
              <w:left w:val="dotted" w:color="auto" w:sz="6" w:space="0"/>
              <w:bottom w:val="dotted" w:color="auto" w:sz="6" w:space="0"/>
              <w:right w:val="dotted" w:color="auto" w:sz="6" w:space="0"/>
            </w:tcBorders>
            <w:shd w:val="clear" w:color="auto" w:fill="FFFFFF"/>
            <w:vAlign w:val="center"/>
          </w:tcPr>
          <w:p w14:paraId="1EA8583A">
            <w:pPr>
              <w:pStyle w:val="105"/>
              <w:spacing w:line="360" w:lineRule="auto"/>
            </w:pPr>
            <w:r>
              <w:t>2</w:t>
            </w:r>
          </w:p>
        </w:tc>
        <w:tc>
          <w:tcPr>
            <w:tcW w:w="1420" w:type="dxa"/>
            <w:tcBorders>
              <w:top w:val="dotted" w:color="auto" w:sz="6" w:space="0"/>
              <w:left w:val="dotted" w:color="auto" w:sz="6" w:space="0"/>
              <w:bottom w:val="dotted" w:color="auto" w:sz="6" w:space="0"/>
              <w:right w:val="dotted" w:color="auto" w:sz="6" w:space="0"/>
            </w:tcBorders>
            <w:shd w:val="clear" w:color="auto" w:fill="FFFFFF"/>
            <w:vAlign w:val="center"/>
          </w:tcPr>
          <w:p w14:paraId="0FCA0146">
            <w:pPr>
              <w:pStyle w:val="105"/>
              <w:spacing w:line="360" w:lineRule="auto"/>
            </w:pPr>
            <w:r>
              <w:t>4</w:t>
            </w:r>
          </w:p>
        </w:tc>
        <w:tc>
          <w:tcPr>
            <w:tcW w:w="1557" w:type="dxa"/>
            <w:tcBorders>
              <w:top w:val="dotted" w:color="auto" w:sz="6" w:space="0"/>
              <w:left w:val="dotted" w:color="auto" w:sz="6" w:space="0"/>
              <w:bottom w:val="dotted" w:color="auto" w:sz="6" w:space="0"/>
              <w:right w:val="dotted" w:color="auto" w:sz="6" w:space="0"/>
            </w:tcBorders>
            <w:shd w:val="clear" w:color="auto" w:fill="FFFFFF"/>
            <w:vAlign w:val="center"/>
          </w:tcPr>
          <w:p w14:paraId="50A8E179">
            <w:pPr>
              <w:pStyle w:val="105"/>
              <w:spacing w:line="360" w:lineRule="auto"/>
            </w:pPr>
            <w:r>
              <w:t>6</w:t>
            </w:r>
          </w:p>
        </w:tc>
        <w:tc>
          <w:tcPr>
            <w:tcW w:w="1278" w:type="dxa"/>
            <w:tcBorders>
              <w:top w:val="dotted" w:color="auto" w:sz="6" w:space="0"/>
              <w:left w:val="dotted" w:color="auto" w:sz="6" w:space="0"/>
              <w:bottom w:val="dotted" w:color="auto" w:sz="6" w:space="0"/>
              <w:right w:val="dotted" w:color="auto" w:sz="6" w:space="0"/>
            </w:tcBorders>
            <w:shd w:val="clear" w:color="auto" w:fill="FFFFFF"/>
            <w:vAlign w:val="center"/>
          </w:tcPr>
          <w:p w14:paraId="24AE8878">
            <w:pPr>
              <w:pStyle w:val="105"/>
              <w:spacing w:line="360" w:lineRule="auto"/>
            </w:pPr>
            <w:r>
              <w:t>8.5</w:t>
            </w:r>
          </w:p>
        </w:tc>
      </w:tr>
    </w:tbl>
    <w:p w14:paraId="3627A913">
      <w:pPr>
        <w:ind w:firstLine="480"/>
      </w:pPr>
      <w:r>
        <w:rPr>
          <w:rFonts w:hint="eastAsia"/>
        </w:rPr>
        <w:t>小于上述最小安全距离时，应将线路停电，办理线路第一种工作票，方能工作。</w:t>
      </w:r>
    </w:p>
    <w:p w14:paraId="5E814565">
      <w:pPr>
        <w:ind w:firstLine="480"/>
        <w:rPr>
          <w:rFonts w:hint="eastAsia" w:ascii="宋体" w:hAnsi="宋体" w:cs="宋体"/>
          <w:lang w:val="en-US" w:eastAsia="zh-CN"/>
        </w:rPr>
      </w:pPr>
      <w:r>
        <w:rPr>
          <w:rFonts w:hint="eastAsia" w:ascii="宋体" w:hAnsi="宋体" w:cs="宋体"/>
          <w:lang w:val="en-US" w:eastAsia="zh-CN"/>
        </w:rPr>
        <w:t>（9）起重设备不准在电缆沟盖板上撑支腿。</w:t>
      </w:r>
    </w:p>
    <w:p w14:paraId="6ACC335F">
      <w:pPr>
        <w:ind w:firstLine="480"/>
        <w:rPr>
          <w:rFonts w:hint="eastAsia" w:ascii="宋体" w:hAnsi="宋体" w:cs="宋体"/>
          <w:lang w:val="en-US" w:eastAsia="zh-CN"/>
        </w:rPr>
      </w:pPr>
      <w:r>
        <w:rPr>
          <w:rFonts w:hint="eastAsia" w:ascii="宋体" w:hAnsi="宋体" w:cs="宋体"/>
          <w:lang w:val="en-US" w:eastAsia="zh-CN"/>
        </w:rPr>
        <w:t>（10）吊物必须绑牢，起重机械与吊物重心应找正，吊钩钢丝绳应保持垂直。当吊物离地面10厘米左右时，应暂停升高，查看变幅、支腿等各部有无异常现象，然后视情况确定是否继续升高。高空作业车升高时要与登高作业人员密切配合，升降平稳缓慢，确保人身安全。</w:t>
      </w:r>
    </w:p>
    <w:p w14:paraId="4087664E">
      <w:pPr>
        <w:ind w:firstLine="480"/>
        <w:rPr>
          <w:rFonts w:hint="eastAsia" w:ascii="宋体" w:hAnsi="宋体" w:cs="宋体"/>
          <w:lang w:val="en-US" w:eastAsia="zh-CN"/>
        </w:rPr>
      </w:pPr>
      <w:r>
        <w:rPr>
          <w:rFonts w:hint="eastAsia" w:ascii="宋体" w:hAnsi="宋体" w:cs="宋体"/>
          <w:lang w:val="en-US" w:eastAsia="zh-CN"/>
        </w:rPr>
        <w:t>（11）严禁任何人在吊物或起重臂下停留或通过。起重吊运时，严禁从人上方通过。用卷扬机起吊时，钢丝绳内外侧严禁无关人员停留或通过;不准用手拉或跨越钢丝绳。</w:t>
      </w:r>
    </w:p>
    <w:p w14:paraId="28DBEF02">
      <w:pPr>
        <w:ind w:firstLine="480"/>
        <w:rPr>
          <w:rFonts w:hint="eastAsia" w:ascii="宋体" w:hAnsi="宋体" w:cs="宋体"/>
          <w:lang w:val="en-US" w:eastAsia="zh-CN"/>
        </w:rPr>
      </w:pPr>
      <w:r>
        <w:rPr>
          <w:rFonts w:hint="eastAsia" w:ascii="宋体" w:hAnsi="宋体" w:cs="宋体"/>
          <w:lang w:val="en-US" w:eastAsia="zh-CN"/>
        </w:rPr>
        <w:t>（12）起重机在野外高低不平的地面上进行吊装作业时，应张开支腿并在支腿下面垫上5毫米以上的花纹钢板。</w:t>
      </w:r>
    </w:p>
    <w:p w14:paraId="66BB2B86">
      <w:pPr>
        <w:ind w:firstLine="480"/>
        <w:rPr>
          <w:rFonts w:hint="eastAsia" w:ascii="宋体" w:hAnsi="宋体" w:cs="宋体"/>
          <w:lang w:val="en-US" w:eastAsia="zh-CN"/>
        </w:rPr>
      </w:pPr>
      <w:r>
        <w:rPr>
          <w:rFonts w:hint="eastAsia" w:ascii="宋体" w:hAnsi="宋体" w:cs="宋体"/>
          <w:lang w:val="en-US" w:eastAsia="zh-CN"/>
        </w:rPr>
        <w:t>（13）严禁使用起重机进行斜拉、斜吊和起吊地下埋设或凝固在地面上的重物以及不明重量的物体。</w:t>
      </w:r>
    </w:p>
    <w:p w14:paraId="6146340C">
      <w:pPr>
        <w:ind w:firstLine="480"/>
        <w:rPr>
          <w:rFonts w:hint="eastAsia" w:ascii="宋体" w:hAnsi="宋体" w:cs="宋体"/>
          <w:lang w:val="en-US" w:eastAsia="zh-CN"/>
        </w:rPr>
      </w:pPr>
      <w:r>
        <w:rPr>
          <w:rFonts w:hint="eastAsia" w:ascii="宋体" w:hAnsi="宋体" w:cs="宋体"/>
          <w:lang w:val="en-US" w:eastAsia="zh-CN"/>
        </w:rPr>
        <w:t>（14）重要施工工序和危险作业项目包括大型起重机械拆装、移位及负荷试验，特殊杆塔及大型构件吊装，杆塔组立，起重机满负荷起吊，两台及以上起重机抬吊作业，移动式起重机在高压线下方及附近作业，起吊危险品等重要起重作业应根据已审批的施工方案并交底后执行。</w:t>
      </w:r>
    </w:p>
    <w:p w14:paraId="7921DB01">
      <w:pPr>
        <w:ind w:firstLine="480"/>
        <w:rPr>
          <w:rFonts w:hint="eastAsia" w:ascii="宋体" w:hAnsi="宋体" w:cs="宋体"/>
          <w:lang w:val="en-US" w:eastAsia="zh-CN"/>
        </w:rPr>
      </w:pPr>
      <w:r>
        <w:rPr>
          <w:rFonts w:hint="eastAsia" w:ascii="宋体" w:hAnsi="宋体" w:cs="宋体"/>
          <w:lang w:val="en-US" w:eastAsia="zh-CN"/>
        </w:rPr>
        <w:t>（15）起重设备要定期检验取证，起吊用具和吊绳应定期检查和进行拉力试验，并在起吊用具和吊绳上挂检验合格及荷重标牌。</w:t>
      </w:r>
    </w:p>
    <w:p w14:paraId="63EA79D9">
      <w:pPr>
        <w:ind w:firstLine="480"/>
        <w:rPr>
          <w:rFonts w:hint="eastAsia" w:ascii="宋体" w:hAnsi="宋体" w:cs="宋体"/>
          <w:lang w:val="en-US" w:eastAsia="zh-CN"/>
        </w:rPr>
      </w:pPr>
      <w:r>
        <w:rPr>
          <w:rFonts w:hint="eastAsia" w:ascii="宋体" w:hAnsi="宋体" w:cs="宋体"/>
          <w:lang w:val="en-US" w:eastAsia="zh-CN"/>
        </w:rPr>
        <w:t>（16）正在运行中的各式起重机，严禁进行调整或修理工作。电动起重机的电气设备发生故障时，必须先断开电源，然后才可进行修理。各种起重机检修时，应将吊钩降放在地面。</w:t>
      </w:r>
    </w:p>
    <w:p w14:paraId="2BF71A89">
      <w:pPr>
        <w:ind w:firstLine="480"/>
        <w:rPr>
          <w:rFonts w:hint="eastAsia" w:ascii="宋体" w:hAnsi="宋体" w:cs="宋体"/>
          <w:lang w:val="en-US" w:eastAsia="zh-CN"/>
        </w:rPr>
      </w:pPr>
      <w:r>
        <w:rPr>
          <w:rFonts w:hint="eastAsia" w:ascii="宋体" w:hAnsi="宋体" w:cs="宋体"/>
          <w:lang w:val="en-US" w:eastAsia="zh-CN"/>
        </w:rPr>
        <w:t>（17）如发现吊勾上下限位、大小车限位失灵时，在修复前禁止使用。</w:t>
      </w:r>
    </w:p>
    <w:p w14:paraId="21607B4C">
      <w:pPr>
        <w:ind w:firstLine="480"/>
        <w:rPr>
          <w:rFonts w:hint="eastAsia" w:ascii="宋体" w:hAnsi="宋体" w:cs="宋体"/>
          <w:lang w:val="en-US" w:eastAsia="zh-CN"/>
        </w:rPr>
      </w:pPr>
      <w:r>
        <w:rPr>
          <w:rFonts w:hint="eastAsia" w:ascii="宋体" w:hAnsi="宋体" w:cs="宋体"/>
          <w:lang w:val="en-US" w:eastAsia="zh-CN"/>
        </w:rPr>
        <w:t>（18）禁止工作人员利用吊钩来上升或下降。</w:t>
      </w:r>
    </w:p>
    <w:p w14:paraId="42A247BD">
      <w:pPr>
        <w:ind w:firstLine="480"/>
        <w:rPr>
          <w:rFonts w:hint="eastAsia" w:ascii="宋体" w:hAnsi="宋体" w:cs="宋体"/>
          <w:lang w:val="en-US" w:eastAsia="zh-CN"/>
        </w:rPr>
      </w:pPr>
      <w:r>
        <w:rPr>
          <w:rFonts w:hint="eastAsia" w:ascii="宋体" w:hAnsi="宋体" w:cs="宋体"/>
          <w:lang w:val="en-US" w:eastAsia="zh-CN"/>
        </w:rPr>
        <w:t>（19）与工作无关人员禁止在起重工作区域内行走或停留。起重机正在吊物时，任何人不准在吊杆和吊物下停留或行走。</w:t>
      </w:r>
    </w:p>
    <w:p w14:paraId="79E87224">
      <w:pPr>
        <w:ind w:firstLine="480"/>
        <w:rPr>
          <w:rFonts w:hint="eastAsia" w:ascii="宋体" w:hAnsi="宋体" w:cs="宋体"/>
          <w:lang w:val="en-US" w:eastAsia="zh-CN"/>
        </w:rPr>
      </w:pPr>
      <w:r>
        <w:rPr>
          <w:rFonts w:hint="eastAsia" w:ascii="宋体" w:hAnsi="宋体" w:cs="宋体"/>
          <w:lang w:val="en-US" w:eastAsia="zh-CN"/>
        </w:rPr>
        <w:t>（20）起重工作完毕或人员休息时，应将操作手柄恢复原位并切断电源</w:t>
      </w:r>
    </w:p>
    <w:p w14:paraId="2CADB0D7">
      <w:pPr>
        <w:ind w:firstLine="480"/>
        <w:rPr>
          <w:rFonts w:hint="eastAsia" w:ascii="宋体" w:hAnsi="宋体" w:cs="宋体"/>
          <w:lang w:val="en-US" w:eastAsia="zh-CN"/>
        </w:rPr>
      </w:pPr>
      <w:r>
        <w:rPr>
          <w:rFonts w:hint="eastAsia" w:ascii="宋体" w:hAnsi="宋体" w:cs="宋体"/>
          <w:lang w:val="en-US" w:eastAsia="zh-CN"/>
        </w:rPr>
        <w:t>（21）禁止用管道、栏杆、脚手架、瓷件、电缆托架起吊或悬挂重物。</w:t>
      </w:r>
    </w:p>
    <w:p w14:paraId="67F94C64">
      <w:pPr>
        <w:ind w:firstLine="480"/>
        <w:rPr>
          <w:rFonts w:hint="eastAsia" w:ascii="宋体" w:hAnsi="宋体" w:cs="宋体"/>
          <w:lang w:val="en-US" w:eastAsia="zh-CN"/>
        </w:rPr>
      </w:pPr>
      <w:r>
        <w:rPr>
          <w:rFonts w:hint="eastAsia" w:ascii="宋体" w:hAnsi="宋体" w:cs="宋体"/>
          <w:lang w:val="en-US" w:eastAsia="zh-CN"/>
        </w:rPr>
        <w:t>（22）遇有大雾、照明不足、指挥人员看不清个工作地点或起重驾驶员看不见指挥人员及看不清指挥信号时，不准进行起重工作;6级以上大风时禁止进行露天起重作业。</w:t>
      </w:r>
    </w:p>
    <w:p w14:paraId="00FDFC98">
      <w:pPr>
        <w:pStyle w:val="5"/>
        <w:numPr>
          <w:ilvl w:val="2"/>
          <w:numId w:val="0"/>
        </w:numPr>
        <w:spacing w:line="360" w:lineRule="auto"/>
        <w:ind w:left="720" w:leftChars="0" w:hanging="720" w:firstLineChars="0"/>
        <w:rPr>
          <w:color w:val="auto"/>
        </w:rPr>
      </w:pPr>
      <w:bookmarkStart w:id="2246" w:name="_Toc3830"/>
      <w:bookmarkStart w:id="2247" w:name="_Toc27853"/>
      <w:bookmarkStart w:id="2248" w:name="_Toc547"/>
      <w:bookmarkStart w:id="2249" w:name="_Toc2597"/>
      <w:bookmarkStart w:id="2250" w:name="_Toc3249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.3.12.</w:t>
      </w:r>
      <w:r>
        <w:rPr>
          <w:rFonts w:hint="eastAsia"/>
          <w:color w:val="auto"/>
        </w:rPr>
        <w:t>坍塌事故防范措施</w:t>
      </w:r>
      <w:bookmarkEnd w:id="2246"/>
      <w:bookmarkEnd w:id="2247"/>
      <w:bookmarkEnd w:id="2248"/>
      <w:bookmarkEnd w:id="2249"/>
      <w:bookmarkEnd w:id="2250"/>
    </w:p>
    <w:p w14:paraId="529C303A">
      <w:pPr>
        <w:ind w:firstLine="480"/>
        <w:rPr>
          <w:rFonts w:hint="eastAsia" w:ascii="宋体" w:hAnsi="宋体" w:cs="宋体"/>
          <w:lang w:val="en-US" w:eastAsia="zh-CN"/>
        </w:rPr>
      </w:pPr>
      <w:r>
        <w:rPr>
          <w:rFonts w:hint="eastAsia" w:ascii="宋体" w:hAnsi="宋体" w:cs="宋体"/>
          <w:lang w:val="en-US" w:eastAsia="zh-CN"/>
        </w:rPr>
        <w:t xml:space="preserve">工程土方施工，必须单独编制专项的施工方案，编制安全技术措施，防止土方坍塌，尤其是制定防止毗邻建筑物坍塌的安全技术措施。    </w:t>
      </w:r>
    </w:p>
    <w:p w14:paraId="34CC5C23">
      <w:pPr>
        <w:ind w:firstLine="480"/>
        <w:rPr>
          <w:rFonts w:hint="eastAsia" w:ascii="宋体" w:hAnsi="宋体" w:cs="宋体"/>
          <w:lang w:val="en-US" w:eastAsia="zh-CN"/>
        </w:rPr>
      </w:pPr>
      <w:r>
        <w:rPr>
          <w:rFonts w:hint="eastAsia" w:ascii="宋体" w:hAnsi="宋体" w:cs="宋体"/>
          <w:lang w:val="en-US" w:eastAsia="zh-CN"/>
        </w:rPr>
        <w:t xml:space="preserve">按土质放坡或护坡施工中，要按土质的类别，较浅的基坑，要采取放坡的措施，对较深的基坑，要考虑采取护壁桩、锚杆等技术措施，必须有专业公司进行防护施工。   </w:t>
      </w:r>
    </w:p>
    <w:p w14:paraId="291FE615">
      <w:pPr>
        <w:ind w:firstLine="480"/>
        <w:rPr>
          <w:rFonts w:hint="eastAsia" w:ascii="宋体" w:hAnsi="宋体" w:cs="宋体"/>
          <w:lang w:val="en-US" w:eastAsia="zh-CN"/>
        </w:rPr>
      </w:pPr>
      <w:r>
        <w:rPr>
          <w:rFonts w:hint="eastAsia" w:ascii="宋体" w:hAnsi="宋体" w:cs="宋体"/>
          <w:lang w:val="en-US" w:eastAsia="zh-CN"/>
        </w:rPr>
        <w:t xml:space="preserve">2、降水处理对工程标高低于地下水以下，首先要降低地下水位，对毗邻建筑物必须采取有效的安全防护措施，并进行认真观测。   </w:t>
      </w:r>
    </w:p>
    <w:p w14:paraId="6D3D2377">
      <w:pPr>
        <w:ind w:firstLine="480"/>
        <w:rPr>
          <w:rFonts w:hint="eastAsia" w:ascii="宋体" w:hAnsi="宋体" w:cs="宋体"/>
          <w:lang w:val="en-US" w:eastAsia="zh-CN"/>
        </w:rPr>
      </w:pPr>
      <w:r>
        <w:rPr>
          <w:rFonts w:hint="eastAsia" w:ascii="宋体" w:hAnsi="宋体" w:cs="宋体"/>
          <w:lang w:val="en-US" w:eastAsia="zh-CN"/>
        </w:rPr>
        <w:t xml:space="preserve">3、基坑边堆土要有安全距离，严禁在坑边堆放建筑材料，防止动荷载对土体的震动造成原土层内部颗粒结构发生变化。  </w:t>
      </w:r>
    </w:p>
    <w:p w14:paraId="0448D7C7">
      <w:pPr>
        <w:ind w:firstLine="480"/>
        <w:rPr>
          <w:rFonts w:hint="eastAsia" w:ascii="宋体" w:hAnsi="宋体" w:cs="宋体"/>
          <w:lang w:val="en-US" w:eastAsia="zh-CN"/>
        </w:rPr>
      </w:pPr>
      <w:r>
        <w:rPr>
          <w:rFonts w:hint="eastAsia" w:ascii="宋体" w:hAnsi="宋体" w:cs="宋体"/>
          <w:lang w:val="en-US" w:eastAsia="zh-CN"/>
        </w:rPr>
        <w:t>4、土方挖掘过程中，要加强监控。</w:t>
      </w:r>
    </w:p>
    <w:p w14:paraId="0CEDB4F1">
      <w:pPr>
        <w:ind w:firstLine="480"/>
        <w:rPr>
          <w:rFonts w:hint="eastAsia" w:ascii="宋体" w:hAnsi="宋体" w:cs="宋体"/>
          <w:lang w:val="en-US" w:eastAsia="zh-CN"/>
        </w:rPr>
      </w:pPr>
      <w:r>
        <w:rPr>
          <w:rFonts w:hint="eastAsia" w:ascii="宋体" w:hAnsi="宋体" w:cs="宋体"/>
          <w:lang w:val="en-US" w:eastAsia="zh-CN"/>
        </w:rPr>
        <w:t>5、杜绝“三违”现象。</w:t>
      </w:r>
    </w:p>
    <w:p w14:paraId="73F05C76">
      <w:pPr>
        <w:ind w:firstLine="480"/>
        <w:rPr>
          <w:rFonts w:hint="eastAsia" w:ascii="宋体" w:hAnsi="宋体" w:cs="宋体"/>
          <w:lang w:val="en-US" w:eastAsia="zh-CN"/>
        </w:rPr>
      </w:pPr>
      <w:r>
        <w:rPr>
          <w:rFonts w:hint="eastAsia" w:ascii="宋体" w:hAnsi="宋体" w:cs="宋体"/>
          <w:lang w:val="en-US" w:eastAsia="zh-CN"/>
        </w:rPr>
        <w:t>（1）模板作业时，对模板支撑宜采用钢支撑材料作支撑立柱，不得使用严重锈蚀、变形、断裂、脱焊、螺栓松动的钢支撑材料和竹材作立柱。支撑立柱基础应牢固，并按设计计算严格控制模板支撑系统的沉降量。支撑立柱基础为泥土地面时，应采取排水措施，对地面平整、夯实，并加设满足支撑承载力要求的垫板后，方可用以支撑立柱。斜支撑和立柱应牢固拉接，行成整体。</w:t>
      </w:r>
    </w:p>
    <w:p w14:paraId="66D64B4D">
      <w:pPr>
        <w:ind w:firstLine="480"/>
        <w:rPr>
          <w:rFonts w:hint="eastAsia" w:ascii="宋体" w:hAnsi="宋体" w:cs="宋体"/>
          <w:lang w:val="en-US" w:eastAsia="zh-CN"/>
        </w:rPr>
      </w:pPr>
      <w:r>
        <w:rPr>
          <w:rFonts w:hint="eastAsia" w:ascii="宋体" w:hAnsi="宋体" w:cs="宋体"/>
          <w:lang w:val="en-US" w:eastAsia="zh-CN"/>
        </w:rPr>
        <w:t>（2）严格控制施工荷载，尤其是主线桥集中荷载要进行预压实验，确保承重满足要求。</w:t>
      </w:r>
    </w:p>
    <w:p w14:paraId="69282EC4">
      <w:pPr>
        <w:ind w:firstLine="480"/>
      </w:pPr>
      <w:r>
        <w:rPr>
          <w:rFonts w:hint="eastAsia" w:ascii="宋体" w:hAnsi="宋体" w:cs="宋体"/>
          <w:lang w:val="en-US" w:eastAsia="zh-CN"/>
        </w:rPr>
        <w:t>（3）当施工现场的监控人员发现土方或建筑物有裂纹或发出异常声音时，应立即报告给应急救援领导小组组长，并立即下令停止作业，并组织施工人员快速撤离到安全地点。</w:t>
      </w:r>
    </w:p>
    <w:p w14:paraId="3B3E12F2">
      <w:pPr>
        <w:pStyle w:val="5"/>
        <w:numPr>
          <w:ilvl w:val="2"/>
          <w:numId w:val="0"/>
        </w:numPr>
        <w:spacing w:line="360" w:lineRule="auto"/>
        <w:ind w:left="720" w:leftChars="0" w:hanging="720" w:firstLineChars="0"/>
        <w:rPr>
          <w:color w:val="auto"/>
        </w:rPr>
      </w:pPr>
      <w:bookmarkStart w:id="2251" w:name="_Toc343"/>
      <w:bookmarkStart w:id="2252" w:name="_Toc23560"/>
      <w:bookmarkStart w:id="2253" w:name="_Toc7030"/>
      <w:bookmarkStart w:id="2254" w:name="_Toc2657"/>
      <w:bookmarkStart w:id="2255" w:name="_Toc2778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.3.13.</w:t>
      </w:r>
      <w:r>
        <w:rPr>
          <w:rFonts w:hint="eastAsia"/>
          <w:color w:val="auto"/>
        </w:rPr>
        <w:t>淹溺事故安全防范措施</w:t>
      </w:r>
      <w:bookmarkEnd w:id="2251"/>
      <w:bookmarkEnd w:id="2252"/>
      <w:bookmarkEnd w:id="2253"/>
      <w:bookmarkEnd w:id="2254"/>
      <w:bookmarkEnd w:id="2255"/>
    </w:p>
    <w:p w14:paraId="42FB0AD3">
      <w:pPr>
        <w:ind w:firstLine="480"/>
        <w:rPr>
          <w:rFonts w:hint="eastAsia" w:ascii="宋体" w:hAnsi="宋体" w:cs="宋体"/>
          <w:lang w:val="en-US" w:eastAsia="zh-CN"/>
        </w:rPr>
      </w:pPr>
      <w:r>
        <w:rPr>
          <w:rFonts w:hint="eastAsia" w:ascii="宋体" w:hAnsi="宋体" w:cs="宋体"/>
          <w:lang w:val="en-US" w:eastAsia="zh-CN"/>
        </w:rPr>
        <w:t>（1）临水桥面临边使用钢管焊接1.2m高度的护栏，防止落水事故发生。钢栈桥桥头两端设置限速限载标志，设置值班岗亭对过往车辆进行管理。</w:t>
      </w:r>
    </w:p>
    <w:p w14:paraId="578D3705">
      <w:pPr>
        <w:ind w:firstLine="480"/>
        <w:rPr>
          <w:rFonts w:hint="eastAsia" w:ascii="宋体" w:hAnsi="宋体" w:cs="宋体"/>
          <w:lang w:val="en-US" w:eastAsia="zh-CN"/>
        </w:rPr>
      </w:pPr>
      <w:r>
        <w:rPr>
          <w:rFonts w:hint="eastAsia" w:ascii="宋体" w:hAnsi="宋体" w:cs="宋体"/>
          <w:lang w:val="en-US" w:eastAsia="zh-CN"/>
        </w:rPr>
        <w:t>（2）在水上作业的人员必须穿戴救生衣，配置巡逻船和交通船，各施工作业点和巡逻船、交通船上必须有足够的救生设备和救生衣。</w:t>
      </w:r>
    </w:p>
    <w:p w14:paraId="695AF0F6">
      <w:pPr>
        <w:ind w:firstLine="480"/>
        <w:rPr>
          <w:rFonts w:hint="eastAsia" w:ascii="宋体" w:hAnsi="宋体" w:cs="宋体"/>
          <w:lang w:val="en-US" w:eastAsia="zh-CN"/>
        </w:rPr>
      </w:pPr>
      <w:r>
        <w:rPr>
          <w:rFonts w:hint="eastAsia" w:ascii="宋体" w:hAnsi="宋体" w:cs="宋体"/>
          <w:lang w:val="en-US" w:eastAsia="zh-CN"/>
        </w:rPr>
        <w:t>（3）潜水作业人员作业前应对潜水设备、潜水服、高压管、通话扩音器检查无误后方可下水。</w:t>
      </w:r>
    </w:p>
    <w:p w14:paraId="6900F919">
      <w:pPr>
        <w:pStyle w:val="5"/>
        <w:numPr>
          <w:ilvl w:val="2"/>
          <w:numId w:val="0"/>
        </w:numPr>
        <w:spacing w:line="360" w:lineRule="auto"/>
        <w:ind w:left="720" w:leftChars="0" w:hanging="720" w:firstLineChars="0"/>
        <w:rPr>
          <w:color w:val="auto"/>
        </w:rPr>
      </w:pPr>
      <w:bookmarkStart w:id="2256" w:name="_Toc1609"/>
      <w:bookmarkStart w:id="2257" w:name="_Toc13367"/>
      <w:bookmarkStart w:id="2258" w:name="_Toc14006"/>
      <w:bookmarkStart w:id="2259" w:name="_Toc16258"/>
      <w:bookmarkStart w:id="2260" w:name="_Toc1334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.3.14.</w:t>
      </w:r>
      <w:r>
        <w:rPr>
          <w:rFonts w:hint="eastAsia"/>
          <w:color w:val="auto"/>
        </w:rPr>
        <w:t>高温施工防范措施</w:t>
      </w:r>
      <w:bookmarkEnd w:id="2256"/>
      <w:bookmarkEnd w:id="2257"/>
      <w:bookmarkEnd w:id="2258"/>
      <w:bookmarkEnd w:id="2259"/>
      <w:bookmarkEnd w:id="2260"/>
    </w:p>
    <w:p w14:paraId="49485365">
      <w:pPr>
        <w:ind w:firstLine="480"/>
        <w:rPr>
          <w:rFonts w:hint="eastAsia" w:ascii="宋体" w:hAnsi="宋体" w:cs="宋体"/>
          <w:lang w:val="en-US" w:eastAsia="zh-CN"/>
        </w:rPr>
      </w:pPr>
      <w:r>
        <w:rPr>
          <w:rFonts w:hint="eastAsia" w:ascii="宋体" w:hAnsi="宋体" w:cs="宋体"/>
          <w:lang w:val="en-US" w:eastAsia="zh-CN"/>
        </w:rPr>
        <w:t>合理调整作息时间，严格控制工人加班加点，采取“做两头、歇中间”的方法或轮换作业的办法，避免高温日照曝晒、疲劳作业和防止职工中暑。特别是对高空作业人员的工作时间进行适当缩短，保证工人有充足的休息和睡眠时间，气温在38度以上停止施工。同时项目部对施工人员提供足够的食品饮料并发放清凉油、霍香正气水、风油精，茶水、清凉含盐饮料等防暑降温药品和规定的劳动保护用品，并严禁赤膊和穿拖鞋上岗作业。</w:t>
      </w:r>
    </w:p>
    <w:p w14:paraId="56F2E559">
      <w:pPr>
        <w:ind w:firstLine="480"/>
        <w:rPr>
          <w:rFonts w:hint="eastAsia" w:ascii="宋体" w:hAnsi="宋体" w:cs="宋体"/>
          <w:lang w:val="en-US" w:eastAsia="zh-CN"/>
        </w:rPr>
      </w:pPr>
      <w:r>
        <w:rPr>
          <w:rFonts w:hint="eastAsia" w:ascii="宋体" w:hAnsi="宋体" w:cs="宋体"/>
          <w:lang w:val="en-US" w:eastAsia="zh-CN"/>
        </w:rPr>
        <w:t>积极主动、热心关怀施工人员的身体，发现身体不适应立即要求停止作业。</w:t>
      </w:r>
    </w:p>
    <w:p w14:paraId="05A8A914">
      <w:pPr>
        <w:ind w:firstLine="480"/>
        <w:rPr>
          <w:rFonts w:hint="eastAsia" w:ascii="宋体" w:hAnsi="宋体" w:cs="宋体"/>
          <w:lang w:val="en-US" w:eastAsia="zh-CN"/>
        </w:rPr>
      </w:pPr>
      <w:r>
        <w:rPr>
          <w:rFonts w:hint="eastAsia" w:ascii="宋体" w:hAnsi="宋体" w:cs="宋体"/>
          <w:lang w:val="en-US" w:eastAsia="zh-CN"/>
        </w:rPr>
        <w:t>项目部对施工人员进行了防暑降温知识宣传教育，熟悉和掌握对中暑病人需采取的应急措施和施救方法。如发现有人中暑，应立即将中暑者带离高温环境，移到阴凉通风处休息，并用凉水浸湿的毛巾敷在头上，及时使用人丹、清凉油、十滴水等解暑药。</w:t>
      </w:r>
    </w:p>
    <w:p w14:paraId="5C0AD01C">
      <w:pPr>
        <w:ind w:firstLine="480"/>
        <w:rPr>
          <w:rFonts w:hint="eastAsia" w:ascii="宋体" w:hAnsi="宋体" w:cs="宋体"/>
          <w:lang w:val="en-US" w:eastAsia="zh-CN"/>
        </w:rPr>
      </w:pPr>
      <w:r>
        <w:rPr>
          <w:rFonts w:hint="eastAsia" w:ascii="宋体" w:hAnsi="宋体" w:cs="宋体"/>
          <w:lang w:val="en-US" w:eastAsia="zh-CN"/>
        </w:rPr>
        <w:t>在饮食方面，合理调配饮食，抓好食堂卫生管理，防止食物中毒。</w:t>
      </w:r>
    </w:p>
    <w:p w14:paraId="1C13D747">
      <w:pPr>
        <w:ind w:firstLine="480"/>
        <w:rPr>
          <w:rFonts w:hint="eastAsia" w:ascii="宋体" w:hAnsi="宋体" w:cs="宋体"/>
          <w:lang w:val="en-US" w:eastAsia="zh-CN"/>
        </w:rPr>
      </w:pPr>
      <w:r>
        <w:rPr>
          <w:rFonts w:hint="eastAsia" w:ascii="宋体" w:hAnsi="宋体" w:cs="宋体"/>
          <w:lang w:val="en-US" w:eastAsia="zh-CN"/>
        </w:rPr>
        <w:t>项目部不定期开展施工现场安全生产检查，重点检查施工用电，脚手架、生活卫生和夏季“五防”（防雷、防电、防暑降温、防中毒、防火灾）等落实情况，切实抓好整改。??</w:t>
      </w:r>
    </w:p>
    <w:p w14:paraId="290C43ED">
      <w:pPr>
        <w:ind w:firstLine="480"/>
        <w:rPr>
          <w:rFonts w:hint="eastAsia" w:ascii="宋体" w:hAnsi="宋体" w:cs="宋体"/>
          <w:lang w:val="en-US" w:eastAsia="zh-CN"/>
        </w:rPr>
      </w:pPr>
      <w:r>
        <w:rPr>
          <w:rFonts w:hint="eastAsia" w:ascii="宋体" w:hAnsi="宋体" w:cs="宋体"/>
          <w:lang w:val="en-US" w:eastAsia="zh-CN"/>
        </w:rPr>
        <w:t>在高温酷暑期间，对各生产环节中持续运行的机械设备，尽可能采取间断运行的方式，对确需持续运行的机械设备，采取了降温措施，防范因机械设备故障而带来的事故。</w:t>
      </w:r>
    </w:p>
    <w:p w14:paraId="3F0130A8">
      <w:pPr>
        <w:pStyle w:val="5"/>
        <w:numPr>
          <w:ilvl w:val="2"/>
          <w:numId w:val="0"/>
        </w:numPr>
        <w:spacing w:line="360" w:lineRule="auto"/>
        <w:ind w:left="720" w:leftChars="0" w:hanging="720" w:firstLineChars="0"/>
        <w:rPr>
          <w:color w:val="auto"/>
        </w:rPr>
      </w:pPr>
      <w:bookmarkStart w:id="2261" w:name="_Toc19681"/>
      <w:bookmarkStart w:id="2262" w:name="_Toc2942"/>
      <w:bookmarkStart w:id="2263" w:name="_Toc17382"/>
      <w:bookmarkStart w:id="2264" w:name="_Toc17321"/>
      <w:bookmarkStart w:id="2265" w:name="_Toc20058"/>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.3.15.</w:t>
      </w:r>
      <w:r>
        <w:rPr>
          <w:rFonts w:hint="eastAsia"/>
          <w:color w:val="auto"/>
        </w:rPr>
        <w:t>交通事故防范措施：</w:t>
      </w:r>
      <w:bookmarkEnd w:id="2261"/>
      <w:bookmarkEnd w:id="2262"/>
      <w:bookmarkEnd w:id="2263"/>
      <w:bookmarkEnd w:id="2264"/>
      <w:bookmarkEnd w:id="2265"/>
    </w:p>
    <w:p w14:paraId="4951079C">
      <w:pPr>
        <w:ind w:firstLine="480"/>
        <w:rPr>
          <w:rFonts w:hint="eastAsia" w:ascii="宋体" w:hAnsi="宋体" w:cs="宋体"/>
          <w:lang w:val="en-US" w:eastAsia="zh-CN"/>
        </w:rPr>
      </w:pPr>
      <w:r>
        <w:rPr>
          <w:rFonts w:hint="eastAsia" w:ascii="宋体" w:hAnsi="宋体" w:cs="宋体"/>
          <w:lang w:val="en-US" w:eastAsia="zh-CN"/>
        </w:rPr>
        <w:t>本工程为扩建工程，交通管控压力大，编制交通组织方案并经监理、业主及有关交通主管部门审批同意后，根据交通组织方案进行施工导改。</w:t>
      </w:r>
    </w:p>
    <w:p w14:paraId="63C79824">
      <w:pPr>
        <w:ind w:firstLine="480"/>
        <w:rPr>
          <w:rFonts w:hint="eastAsia" w:ascii="宋体" w:hAnsi="宋体" w:cs="宋体"/>
          <w:lang w:val="en-US" w:eastAsia="zh-CN"/>
        </w:rPr>
      </w:pPr>
      <w:r>
        <w:rPr>
          <w:rFonts w:hint="eastAsia" w:ascii="宋体" w:hAnsi="宋体" w:cs="宋体"/>
          <w:lang w:val="en-US" w:eastAsia="zh-CN"/>
        </w:rPr>
        <w:t>坚持“安全第一，预防为主”的方针，开展全员安全培训，增强安全责任感，提高安全意识。</w:t>
      </w:r>
    </w:p>
    <w:p w14:paraId="2C354C94">
      <w:pPr>
        <w:ind w:firstLine="480"/>
        <w:rPr>
          <w:rFonts w:hint="eastAsia" w:ascii="宋体" w:hAnsi="宋体" w:cs="宋体"/>
          <w:lang w:val="en-US" w:eastAsia="zh-CN"/>
        </w:rPr>
      </w:pPr>
      <w:r>
        <w:rPr>
          <w:rFonts w:hint="eastAsia" w:ascii="宋体" w:hAnsi="宋体" w:cs="宋体"/>
          <w:lang w:val="en-US" w:eastAsia="zh-CN"/>
        </w:rPr>
        <w:t>经常进行事故和典型案例剖析，教育人员克服麻痹和侥幸心理，做到安全警钟常鸣。</w:t>
      </w:r>
    </w:p>
    <w:p w14:paraId="478B1C41">
      <w:pPr>
        <w:ind w:firstLine="480"/>
        <w:rPr>
          <w:rFonts w:hint="eastAsia" w:ascii="宋体" w:hAnsi="宋体" w:cs="宋体"/>
          <w:lang w:val="en-US" w:eastAsia="zh-CN"/>
        </w:rPr>
      </w:pPr>
      <w:r>
        <w:rPr>
          <w:rFonts w:hint="eastAsia" w:ascii="宋体" w:hAnsi="宋体" w:cs="宋体"/>
          <w:lang w:val="en-US" w:eastAsia="zh-CN"/>
        </w:rPr>
        <w:t>做好交通组织设施的维护、清洗工作。</w:t>
      </w:r>
    </w:p>
    <w:p w14:paraId="65B109F7">
      <w:pPr>
        <w:ind w:firstLine="480"/>
        <w:rPr>
          <w:rFonts w:hint="eastAsia" w:ascii="宋体" w:hAnsi="宋体" w:cs="宋体"/>
          <w:lang w:val="en-US" w:eastAsia="zh-CN"/>
        </w:rPr>
      </w:pPr>
      <w:r>
        <w:rPr>
          <w:rFonts w:hint="eastAsia" w:ascii="宋体" w:hAnsi="宋体" w:cs="宋体"/>
          <w:lang w:val="en-US" w:eastAsia="zh-CN"/>
        </w:rPr>
        <w:t>设置专门的交通导改员，对现场交通进行疏导、指挥。</w:t>
      </w:r>
    </w:p>
    <w:p w14:paraId="5F6DB48C">
      <w:pPr>
        <w:pStyle w:val="5"/>
        <w:numPr>
          <w:ilvl w:val="2"/>
          <w:numId w:val="0"/>
        </w:numPr>
        <w:spacing w:line="360" w:lineRule="auto"/>
        <w:ind w:left="720" w:leftChars="0" w:hanging="720" w:firstLineChars="0"/>
        <w:rPr>
          <w:color w:val="auto"/>
        </w:rPr>
      </w:pPr>
      <w:bookmarkStart w:id="2266" w:name="_Toc35525009"/>
      <w:bookmarkStart w:id="2267" w:name="_Toc28877"/>
      <w:bookmarkStart w:id="2268" w:name="_Toc1243"/>
      <w:bookmarkStart w:id="2269" w:name="_Toc1579"/>
      <w:bookmarkStart w:id="2270" w:name="_Toc176878874"/>
      <w:bookmarkStart w:id="2271" w:name="_Toc32540"/>
      <w:bookmarkStart w:id="2272" w:name="_Toc22306"/>
      <w:bookmarkStart w:id="2273" w:name="_Toc176913363"/>
      <w:bookmarkStart w:id="2274" w:name="_Toc28072"/>
      <w:bookmarkStart w:id="2275" w:name="_Toc19192"/>
      <w:bookmarkStart w:id="2276" w:name="_Toc17263"/>
      <w:bookmarkStart w:id="2277" w:name="_Toc7058"/>
      <w:bookmarkStart w:id="2278" w:name="_Toc176609241"/>
      <w:bookmarkStart w:id="2279" w:name="_Toc23543"/>
      <w:bookmarkStart w:id="2280" w:name="_Toc2777"/>
      <w:bookmarkStart w:id="2281" w:name="_Toc2947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.3.16.</w:t>
      </w:r>
      <w:r>
        <w:rPr>
          <w:rFonts w:hint="eastAsia"/>
          <w:color w:val="auto"/>
        </w:rPr>
        <w:t>高处作业安全保证措施</w:t>
      </w:r>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p w14:paraId="79E76B45">
      <w:pPr>
        <w:ind w:firstLine="480"/>
        <w:rPr>
          <w:rFonts w:hint="eastAsia" w:ascii="宋体" w:hAnsi="宋体" w:cs="宋体"/>
          <w:lang w:val="en-US" w:eastAsia="zh-CN"/>
        </w:rPr>
      </w:pPr>
      <w:r>
        <w:rPr>
          <w:rFonts w:hint="eastAsia" w:ascii="宋体" w:hAnsi="宋体" w:cs="宋体"/>
          <w:lang w:val="en-US" w:eastAsia="zh-CN"/>
        </w:rPr>
        <w:t>（1）高挖路基地段防护工程施工人员应按规范施工，防止坡顶危石下落造成伤害。</w:t>
      </w:r>
    </w:p>
    <w:p w14:paraId="0D59C826">
      <w:pPr>
        <w:ind w:firstLine="480"/>
        <w:rPr>
          <w:rFonts w:hint="eastAsia" w:ascii="宋体" w:hAnsi="宋体" w:cs="宋体"/>
          <w:lang w:val="en-US" w:eastAsia="zh-CN"/>
        </w:rPr>
      </w:pPr>
      <w:r>
        <w:rPr>
          <w:rFonts w:hint="eastAsia" w:ascii="宋体" w:hAnsi="宋体" w:cs="宋体"/>
          <w:lang w:val="en-US" w:eastAsia="zh-CN"/>
        </w:rPr>
        <w:t>（2）桥梁的吊装设备、提升系统由专人检查，操作人员严格按操作规程操作。</w:t>
      </w:r>
    </w:p>
    <w:p w14:paraId="2DB98C13">
      <w:pPr>
        <w:ind w:firstLine="480"/>
        <w:rPr>
          <w:rFonts w:hint="eastAsia" w:ascii="宋体" w:hAnsi="宋体" w:cs="宋体"/>
          <w:lang w:val="en-US" w:eastAsia="zh-CN"/>
        </w:rPr>
      </w:pPr>
      <w:r>
        <w:rPr>
          <w:rFonts w:hint="eastAsia" w:ascii="宋体" w:hAnsi="宋体" w:cs="宋体"/>
          <w:lang w:val="en-US" w:eastAsia="zh-CN"/>
        </w:rPr>
        <w:t>（3）桥梁、高边坡防护等高空作业必须系安全带，挂安全网。</w:t>
      </w:r>
    </w:p>
    <w:p w14:paraId="2CF7779B">
      <w:pPr>
        <w:ind w:firstLine="480"/>
        <w:rPr>
          <w:rFonts w:hint="eastAsia" w:ascii="宋体" w:hAnsi="宋体" w:cs="宋体"/>
          <w:lang w:val="en-US" w:eastAsia="zh-CN"/>
        </w:rPr>
      </w:pPr>
      <w:r>
        <w:rPr>
          <w:rFonts w:hint="eastAsia" w:ascii="宋体" w:hAnsi="宋体" w:cs="宋体"/>
          <w:lang w:val="en-US" w:eastAsia="zh-CN"/>
        </w:rPr>
        <w:t>（4）高空作业所用的脚手架等用具经过技术鉴定检验安全可靠后再使用。工作面立足处牢靠可靠，并配置安全网、栏杆等安全设施以防止工人、工具、材料等坠落。</w:t>
      </w:r>
    </w:p>
    <w:p w14:paraId="4AF49B35">
      <w:pPr>
        <w:ind w:firstLine="480"/>
        <w:rPr>
          <w:rFonts w:hint="eastAsia" w:ascii="宋体" w:hAnsi="宋体" w:cs="宋体"/>
          <w:lang w:val="en-US" w:eastAsia="zh-CN"/>
        </w:rPr>
      </w:pPr>
      <w:r>
        <w:rPr>
          <w:rFonts w:hint="eastAsia" w:ascii="宋体" w:hAnsi="宋体" w:cs="宋体"/>
          <w:lang w:val="en-US" w:eastAsia="zh-CN"/>
        </w:rPr>
        <w:t>（5）高空作业人员配带安全用具，并且连接牢靠稳固。高空作业人员的衣着要灵便精干，腰间系安全带，脚下要穿软底防滑鞋。</w:t>
      </w:r>
    </w:p>
    <w:p w14:paraId="41399A89">
      <w:pPr>
        <w:ind w:firstLine="480"/>
        <w:rPr>
          <w:rFonts w:hint="eastAsia" w:ascii="宋体" w:hAnsi="宋体" w:cs="宋体"/>
          <w:lang w:val="en-US" w:eastAsia="zh-CN"/>
        </w:rPr>
      </w:pPr>
      <w:r>
        <w:rPr>
          <w:rFonts w:hint="eastAsia" w:ascii="宋体" w:hAnsi="宋体" w:cs="宋体"/>
          <w:lang w:val="en-US" w:eastAsia="zh-CN"/>
        </w:rPr>
        <w:t>（6）架子工、结构安装工等高空作业人员须经培训和考核合格后，持证上岗。</w:t>
      </w:r>
    </w:p>
    <w:p w14:paraId="46723498">
      <w:pPr>
        <w:ind w:firstLine="480"/>
        <w:rPr>
          <w:rFonts w:hint="eastAsia" w:ascii="宋体" w:hAnsi="宋体" w:cs="宋体"/>
          <w:lang w:val="en-US" w:eastAsia="zh-CN"/>
        </w:rPr>
      </w:pPr>
      <w:r>
        <w:rPr>
          <w:rFonts w:hint="eastAsia" w:ascii="宋体" w:hAnsi="宋体" w:cs="宋体"/>
          <w:lang w:val="en-US" w:eastAsia="zh-CN"/>
        </w:rPr>
        <w:t>（7）高空作业的物料应堆放平稳，传递物料时不能抛掷。</w:t>
      </w:r>
    </w:p>
    <w:p w14:paraId="1CE9A92C">
      <w:pPr>
        <w:ind w:firstLine="480"/>
        <w:rPr>
          <w:rFonts w:hint="eastAsia" w:ascii="宋体" w:hAnsi="宋体" w:cs="宋体"/>
          <w:lang w:val="en-US" w:eastAsia="zh-CN"/>
        </w:rPr>
      </w:pPr>
      <w:r>
        <w:rPr>
          <w:rFonts w:hint="eastAsia" w:ascii="宋体" w:hAnsi="宋体" w:cs="宋体"/>
          <w:lang w:val="en-US" w:eastAsia="zh-CN"/>
        </w:rPr>
        <w:t>（8）交叉作业施工时必须有专人负责协调作业顺序，以防发生意外。</w:t>
      </w:r>
    </w:p>
    <w:p w14:paraId="6D2C51F9">
      <w:pPr>
        <w:pStyle w:val="5"/>
        <w:numPr>
          <w:ilvl w:val="2"/>
          <w:numId w:val="0"/>
        </w:numPr>
        <w:spacing w:line="360" w:lineRule="auto"/>
        <w:ind w:left="720" w:leftChars="0" w:hanging="720" w:firstLineChars="0"/>
        <w:rPr>
          <w:color w:val="auto"/>
        </w:rPr>
      </w:pPr>
      <w:bookmarkStart w:id="2282" w:name="_Toc32665"/>
      <w:bookmarkStart w:id="2283" w:name="_Toc31454"/>
      <w:bookmarkStart w:id="2284" w:name="_Toc32534"/>
      <w:bookmarkStart w:id="2285" w:name="_Toc8133"/>
      <w:bookmarkStart w:id="2286" w:name="_Toc592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.3.17.</w:t>
      </w:r>
      <w:r>
        <w:rPr>
          <w:rFonts w:hint="eastAsia"/>
          <w:color w:val="auto"/>
        </w:rPr>
        <w:t>自然灾害防范措施：</w:t>
      </w:r>
      <w:bookmarkEnd w:id="2282"/>
      <w:bookmarkEnd w:id="2283"/>
      <w:bookmarkEnd w:id="2284"/>
      <w:bookmarkEnd w:id="2285"/>
      <w:bookmarkEnd w:id="2286"/>
    </w:p>
    <w:p w14:paraId="5B34CF05">
      <w:pPr>
        <w:ind w:firstLine="480"/>
        <w:rPr>
          <w:rFonts w:hint="eastAsia" w:ascii="宋体" w:hAnsi="宋体" w:cs="宋体"/>
          <w:lang w:val="en-US" w:eastAsia="zh-CN"/>
        </w:rPr>
      </w:pPr>
      <w:r>
        <w:rPr>
          <w:rFonts w:hint="eastAsia" w:ascii="宋体" w:hAnsi="宋体" w:cs="宋体"/>
          <w:lang w:val="en-US" w:eastAsia="zh-CN"/>
        </w:rPr>
        <w:t>（1）制定台风、暴雨安全技术措施（详见现场安全文明施工基本要求）。</w:t>
      </w:r>
    </w:p>
    <w:p w14:paraId="51FC3181">
      <w:pPr>
        <w:ind w:firstLine="480"/>
        <w:rPr>
          <w:rFonts w:hint="eastAsia" w:ascii="宋体" w:hAnsi="宋体" w:cs="宋体"/>
          <w:lang w:val="en-US" w:eastAsia="zh-CN"/>
        </w:rPr>
      </w:pPr>
      <w:r>
        <w:rPr>
          <w:rFonts w:hint="eastAsia" w:ascii="宋体" w:hAnsi="宋体" w:cs="宋体"/>
          <w:lang w:val="en-US" w:eastAsia="zh-CN"/>
        </w:rPr>
        <w:t>（2）项目部要组织编制防汛、防台专项应急预案，专门用于指导自然灾害应急工作。</w:t>
      </w:r>
    </w:p>
    <w:p w14:paraId="6E70DD39">
      <w:pPr>
        <w:pStyle w:val="6"/>
        <w:numPr>
          <w:ilvl w:val="3"/>
          <w:numId w:val="0"/>
        </w:numPr>
        <w:ind w:left="720" w:leftChars="0" w:firstLine="0" w:firstLineChars="0"/>
        <w:rPr>
          <w:rFonts w:hint="eastAsia"/>
        </w:rPr>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3</w:t>
      </w:r>
      <w:r>
        <w:rPr>
          <w:rFonts w:hint="default" w:ascii="Cambria" w:hAnsi="Cambria" w:eastAsia="宋体" w:cs="Times New Roman"/>
          <w:b/>
          <w:bCs/>
          <w:kern w:val="2"/>
          <w:sz w:val="24"/>
          <w:szCs w:val="28"/>
          <w:lang w:val="en-US" w:eastAsia="zh-CN" w:bidi="ar-SA"/>
        </w:rPr>
        <w:t>.3.17.1.</w:t>
      </w:r>
      <w:r>
        <w:rPr>
          <w:rFonts w:hint="eastAsia"/>
        </w:rPr>
        <w:t>施工人员安全防护：</w:t>
      </w:r>
    </w:p>
    <w:p w14:paraId="778B28FD">
      <w:pPr>
        <w:ind w:firstLine="480"/>
        <w:rPr>
          <w:rFonts w:hint="eastAsia" w:ascii="宋体" w:hAnsi="宋体" w:cs="宋体"/>
          <w:lang w:val="en-US" w:eastAsia="zh-CN"/>
        </w:rPr>
      </w:pPr>
      <w:r>
        <w:rPr>
          <w:rFonts w:hint="eastAsia" w:ascii="宋体" w:hAnsi="宋体" w:cs="宋体"/>
          <w:lang w:val="en-US" w:eastAsia="zh-CN"/>
        </w:rPr>
        <w:t>（1）参加施工人员须经过安全培训，并考核合格持证上岗。施工人员进场施工前，须进行安全交底；</w:t>
      </w:r>
    </w:p>
    <w:p w14:paraId="4A59D124">
      <w:pPr>
        <w:ind w:firstLine="480"/>
        <w:rPr>
          <w:rFonts w:hint="eastAsia" w:ascii="宋体" w:hAnsi="宋体" w:cs="宋体"/>
          <w:lang w:val="en-US" w:eastAsia="zh-CN"/>
        </w:rPr>
      </w:pPr>
      <w:r>
        <w:rPr>
          <w:rFonts w:hint="eastAsia" w:ascii="宋体" w:hAnsi="宋体" w:cs="宋体"/>
          <w:lang w:val="en-US" w:eastAsia="zh-CN"/>
        </w:rPr>
        <w:t>（2）施工人员必须遵守现场纪律和国家法令、法规、规定的要求，必须服从项目部的管理；</w:t>
      </w:r>
    </w:p>
    <w:p w14:paraId="3CA1CC66">
      <w:pPr>
        <w:ind w:firstLine="480"/>
        <w:rPr>
          <w:rFonts w:hint="eastAsia" w:ascii="宋体" w:hAnsi="宋体" w:cs="宋体"/>
          <w:lang w:val="en-US" w:eastAsia="zh-CN"/>
        </w:rPr>
      </w:pPr>
      <w:r>
        <w:rPr>
          <w:rFonts w:hint="eastAsia" w:ascii="宋体" w:hAnsi="宋体" w:cs="宋体"/>
          <w:lang w:val="en-US" w:eastAsia="zh-CN"/>
        </w:rPr>
        <w:t>（3）施工人员进入施工现场作业必须配戴安全帽，并根据现场情况使用安全带、安全绳、救生衣及其他防护用品；</w:t>
      </w:r>
    </w:p>
    <w:p w14:paraId="41158D72">
      <w:pPr>
        <w:ind w:firstLine="480"/>
        <w:rPr>
          <w:rFonts w:hint="eastAsia" w:ascii="宋体" w:hAnsi="宋体" w:cs="宋体"/>
          <w:lang w:val="en-US" w:eastAsia="zh-CN"/>
        </w:rPr>
      </w:pPr>
      <w:r>
        <w:rPr>
          <w:rFonts w:hint="eastAsia" w:ascii="宋体" w:hAnsi="宋体" w:cs="宋体"/>
          <w:lang w:val="en-US" w:eastAsia="zh-CN"/>
        </w:rPr>
        <w:t>（4）施工人员立足本职工作，严禁动用不属本职工作范围内的机械设备。</w:t>
      </w:r>
    </w:p>
    <w:p w14:paraId="78202D8F">
      <w:pPr>
        <w:pStyle w:val="4"/>
        <w:numPr>
          <w:ilvl w:val="1"/>
          <w:numId w:val="0"/>
        </w:numPr>
        <w:spacing w:line="360" w:lineRule="auto"/>
        <w:ind w:firstLine="0" w:firstLineChars="0"/>
        <w:rPr>
          <w:color w:val="auto"/>
        </w:rPr>
      </w:pPr>
      <w:bookmarkStart w:id="2287" w:name="_Toc21756"/>
      <w:bookmarkStart w:id="2288" w:name="_Toc1093"/>
      <w:bookmarkStart w:id="2289" w:name="_Toc19878"/>
      <w:bookmarkStart w:id="2290" w:name="_Toc24006"/>
      <w:bookmarkStart w:id="2291" w:name="_Toc28173"/>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3</w:t>
      </w:r>
      <w:r>
        <w:rPr>
          <w:rFonts w:hint="default" w:ascii="Arial" w:hAnsi="Arial" w:eastAsia="宋体" w:cs="Times New Roman"/>
          <w:b/>
          <w:bCs/>
          <w:color w:val="auto"/>
          <w:kern w:val="2"/>
          <w:sz w:val="32"/>
          <w:szCs w:val="32"/>
          <w:lang w:val="en-US" w:eastAsia="zh-CN" w:bidi="ar-SA"/>
        </w:rPr>
        <w:t>.4.</w:t>
      </w:r>
      <w:r>
        <w:rPr>
          <w:rFonts w:hint="eastAsia"/>
          <w:color w:val="auto"/>
        </w:rPr>
        <w:t>专项安全生产措施</w:t>
      </w:r>
      <w:bookmarkEnd w:id="2287"/>
      <w:bookmarkEnd w:id="2288"/>
      <w:bookmarkEnd w:id="2289"/>
      <w:bookmarkEnd w:id="2290"/>
      <w:bookmarkEnd w:id="2291"/>
    </w:p>
    <w:p w14:paraId="440D88A2">
      <w:pPr>
        <w:pStyle w:val="5"/>
        <w:numPr>
          <w:ilvl w:val="2"/>
          <w:numId w:val="0"/>
        </w:numPr>
        <w:spacing w:line="360" w:lineRule="auto"/>
        <w:ind w:left="720" w:leftChars="0" w:hanging="720" w:firstLineChars="0"/>
        <w:rPr>
          <w:color w:val="auto"/>
        </w:rPr>
      </w:pPr>
      <w:bookmarkStart w:id="2292" w:name="_Toc10367"/>
      <w:bookmarkStart w:id="2293" w:name="_Toc16115"/>
      <w:bookmarkStart w:id="2294" w:name="_Toc138"/>
      <w:bookmarkStart w:id="2295" w:name="_Toc35525005"/>
      <w:bookmarkStart w:id="2296" w:name="_Toc176609236"/>
      <w:bookmarkStart w:id="2297" w:name="_Toc176913358"/>
      <w:bookmarkStart w:id="2298" w:name="_Toc2098"/>
      <w:bookmarkStart w:id="2299" w:name="_Toc31092"/>
      <w:bookmarkStart w:id="2300" w:name="_Toc23121"/>
      <w:bookmarkStart w:id="2301" w:name="_Toc176878869"/>
      <w:bookmarkStart w:id="2302" w:name="_Toc6329"/>
      <w:bookmarkStart w:id="2303" w:name="_Toc3463"/>
      <w:bookmarkStart w:id="2304" w:name="_Toc854"/>
      <w:bookmarkStart w:id="2305" w:name="_Toc17638"/>
      <w:bookmarkStart w:id="2306" w:name="_Toc28216"/>
      <w:bookmarkStart w:id="2307" w:name="_Toc2936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.4.1.</w:t>
      </w:r>
      <w:r>
        <w:rPr>
          <w:rFonts w:hint="eastAsia"/>
          <w:color w:val="auto"/>
        </w:rPr>
        <w:t>施工现场安全生产技术措施</w:t>
      </w:r>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p>
    <w:p w14:paraId="040AE0F5">
      <w:pPr>
        <w:ind w:firstLine="480"/>
        <w:rPr>
          <w:rFonts w:hint="eastAsia" w:ascii="宋体" w:hAnsi="宋体" w:cs="宋体"/>
          <w:lang w:val="en-US" w:eastAsia="zh-CN"/>
        </w:rPr>
      </w:pPr>
      <w:r>
        <w:rPr>
          <w:rFonts w:hint="eastAsia" w:ascii="宋体" w:hAnsi="宋体" w:cs="宋体"/>
          <w:lang w:val="en-US" w:eastAsia="zh-CN"/>
        </w:rPr>
        <w:t>(1)施工现场的布置符合防火、防爆、防洪、防雷电等安全规定及文明施工，环境保护的要求。施工现场的生产、生活办公用房、仓库、材料堆放场、停车场、修理场应按批准的总平面布置图进行布置。</w:t>
      </w:r>
    </w:p>
    <w:p w14:paraId="458503AD">
      <w:pPr>
        <w:ind w:firstLine="480"/>
        <w:rPr>
          <w:rFonts w:hint="eastAsia" w:ascii="宋体" w:hAnsi="宋体" w:cs="宋体"/>
          <w:lang w:val="en-US" w:eastAsia="zh-CN"/>
        </w:rPr>
      </w:pPr>
      <w:r>
        <w:rPr>
          <w:rFonts w:hint="eastAsia" w:ascii="宋体" w:hAnsi="宋体" w:cs="宋体"/>
          <w:lang w:val="en-US" w:eastAsia="zh-CN"/>
        </w:rPr>
        <w:t>(2) 现场道路平整、坚实、保持畅通，合理设置会车点，危险地点和路段增设安全警告、警示和提醒标志，以及交通导改标志。施工现场设置多类型安全宣传标语，营造安全文明施工氛围。</w:t>
      </w:r>
    </w:p>
    <w:p w14:paraId="10E0925D">
      <w:pPr>
        <w:ind w:firstLine="480"/>
        <w:rPr>
          <w:rFonts w:hint="eastAsia" w:ascii="宋体" w:hAnsi="宋体" w:cs="宋体"/>
          <w:lang w:val="en-US" w:eastAsia="zh-CN"/>
        </w:rPr>
      </w:pPr>
      <w:r>
        <w:rPr>
          <w:rFonts w:hint="eastAsia" w:ascii="宋体" w:hAnsi="宋体" w:cs="宋体"/>
          <w:lang w:val="en-US" w:eastAsia="zh-CN"/>
        </w:rPr>
        <w:t>(3) 现场的生产、生活区设足够的消防水源和消防设施网点，消防器材有专人管理，按规范放置，严禁乱拿乱放。项目部成立由15-20人组成的义务消防队，所有施工人员要熟悉并掌握消防器材设备的性能和使用方法。</w:t>
      </w:r>
    </w:p>
    <w:p w14:paraId="012E8441">
      <w:pPr>
        <w:ind w:firstLine="480"/>
        <w:rPr>
          <w:rFonts w:hint="eastAsia" w:ascii="宋体" w:hAnsi="宋体" w:cs="宋体"/>
          <w:lang w:val="en-US" w:eastAsia="zh-CN"/>
        </w:rPr>
      </w:pPr>
      <w:r>
        <w:rPr>
          <w:rFonts w:hint="eastAsia" w:ascii="宋体" w:hAnsi="宋体" w:cs="宋体"/>
          <w:lang w:val="en-US" w:eastAsia="zh-CN"/>
        </w:rPr>
        <w:t>(4)各类房屋、库棚、料场等安全消防距离符合有关规定，现场的易燃杂物随时清理，严禁在有火种的场所或其近旁堆放易燃物品。</w:t>
      </w:r>
    </w:p>
    <w:p w14:paraId="45E061B6">
      <w:pPr>
        <w:ind w:firstLine="480"/>
        <w:rPr>
          <w:rFonts w:hint="eastAsia" w:ascii="宋体" w:hAnsi="宋体" w:cs="宋体"/>
          <w:lang w:val="en-US" w:eastAsia="zh-CN"/>
        </w:rPr>
      </w:pPr>
      <w:r>
        <w:rPr>
          <w:rFonts w:hint="eastAsia" w:ascii="宋体" w:hAnsi="宋体" w:cs="宋体"/>
          <w:lang w:val="en-US" w:eastAsia="zh-CN"/>
        </w:rPr>
        <w:t>(5)施工现场的临时用电严格按照《施工现场临时用电安全技术规范》JGJ6-88的规定执行。</w:t>
      </w:r>
    </w:p>
    <w:p w14:paraId="6606E082">
      <w:pPr>
        <w:ind w:firstLine="480"/>
        <w:rPr>
          <w:rFonts w:hint="eastAsia" w:ascii="宋体" w:hAnsi="宋体" w:cs="宋体"/>
          <w:lang w:val="en-US" w:eastAsia="zh-CN"/>
        </w:rPr>
      </w:pPr>
      <w:r>
        <w:rPr>
          <w:rFonts w:hint="eastAsia" w:ascii="宋体" w:hAnsi="宋体" w:cs="宋体"/>
          <w:lang w:val="en-US" w:eastAsia="zh-CN"/>
        </w:rPr>
        <w:t>(6)施工中如发现危及地面建筑物或有危险品时立即停止施工，待处理完毕后方可施工。</w:t>
      </w:r>
    </w:p>
    <w:p w14:paraId="616FE2F3">
      <w:pPr>
        <w:ind w:firstLine="480"/>
        <w:rPr>
          <w:rFonts w:hint="eastAsia" w:ascii="宋体" w:hAnsi="宋体" w:cs="宋体"/>
          <w:lang w:val="en-US" w:eastAsia="zh-CN"/>
        </w:rPr>
      </w:pPr>
      <w:r>
        <w:rPr>
          <w:rFonts w:hint="eastAsia" w:ascii="宋体" w:hAnsi="宋体" w:cs="宋体"/>
          <w:lang w:val="en-US" w:eastAsia="zh-CN"/>
        </w:rPr>
        <w:t>(7)从事爆破、电力、高处作业及起重作业等特殊作业人员，各种机械的操作人员及机动车辆驾驶人员，必须经过劳动部门专业培训并考试取得合格证后，方准持证独立操作。</w:t>
      </w:r>
    </w:p>
    <w:p w14:paraId="2EBB9E94">
      <w:pPr>
        <w:ind w:firstLine="480"/>
        <w:rPr>
          <w:rFonts w:hint="eastAsia" w:ascii="宋体" w:hAnsi="宋体" w:cs="宋体"/>
          <w:lang w:val="en-US" w:eastAsia="zh-CN"/>
        </w:rPr>
      </w:pPr>
      <w:r>
        <w:rPr>
          <w:rFonts w:hint="eastAsia" w:ascii="宋体" w:hAnsi="宋体" w:cs="宋体"/>
          <w:lang w:val="en-US" w:eastAsia="zh-CN"/>
        </w:rPr>
        <w:t>(8)施工现场设立安全标志。危险地区必须悬挂“危险”或“禁止通行”、“严禁烟火”等标志，夜间设红灯警示。</w:t>
      </w:r>
    </w:p>
    <w:p w14:paraId="14E139EC">
      <w:pPr>
        <w:ind w:firstLine="480"/>
        <w:rPr>
          <w:rFonts w:hint="eastAsia" w:ascii="宋体" w:hAnsi="宋体" w:cs="宋体"/>
          <w:lang w:val="en-US" w:eastAsia="zh-CN"/>
        </w:rPr>
      </w:pPr>
      <w:r>
        <w:rPr>
          <w:rFonts w:hint="eastAsia" w:ascii="宋体" w:hAnsi="宋体" w:cs="宋体"/>
          <w:lang w:val="en-US" w:eastAsia="zh-CN"/>
        </w:rPr>
        <w:t>(9)所有道路的便桥在桥头设立标志，注明载重能力和限速、限宽、限高等要求。</w:t>
      </w:r>
    </w:p>
    <w:p w14:paraId="5CB6479B">
      <w:pPr>
        <w:ind w:firstLine="480"/>
        <w:rPr>
          <w:rFonts w:hint="eastAsia" w:ascii="宋体" w:hAnsi="宋体" w:cs="宋体"/>
          <w:lang w:val="en-US" w:eastAsia="zh-CN"/>
        </w:rPr>
      </w:pPr>
      <w:r>
        <w:rPr>
          <w:rFonts w:hint="eastAsia" w:ascii="宋体" w:hAnsi="宋体" w:cs="宋体"/>
          <w:lang w:val="en-US" w:eastAsia="zh-CN"/>
        </w:rPr>
        <w:t>(10)加强爆破器材的领用、运输、使用、退库管理，严禁爆破器材流失。</w:t>
      </w:r>
    </w:p>
    <w:p w14:paraId="6E44CF97">
      <w:pPr>
        <w:ind w:firstLine="480"/>
        <w:rPr>
          <w:rFonts w:hint="eastAsia" w:ascii="宋体" w:hAnsi="宋体" w:cs="宋体"/>
          <w:lang w:val="en-US" w:eastAsia="zh-CN"/>
        </w:rPr>
      </w:pPr>
      <w:r>
        <w:rPr>
          <w:rFonts w:hint="eastAsia" w:ascii="宋体" w:hAnsi="宋体" w:cs="宋体"/>
          <w:lang w:val="en-US" w:eastAsia="zh-CN"/>
        </w:rPr>
        <w:t>(11)雷电期间作业安全措施</w:t>
      </w:r>
    </w:p>
    <w:p w14:paraId="17F82227">
      <w:pPr>
        <w:ind w:firstLine="480"/>
      </w:pPr>
      <w:r>
        <w:rPr>
          <w:rFonts w:hint="eastAsia" w:ascii="宋体" w:hAnsi="宋体" w:cs="宋体"/>
          <w:lang w:val="en-US" w:eastAsia="zh-CN"/>
        </w:rPr>
        <w:t>施工场地的油库、料库、变电站、通风设施及其他所有临时设施均设置防雷设施，定期检查接地电阻，防止雷击。</w:t>
      </w:r>
    </w:p>
    <w:p w14:paraId="03965576">
      <w:pPr>
        <w:pStyle w:val="5"/>
        <w:numPr>
          <w:ilvl w:val="2"/>
          <w:numId w:val="0"/>
        </w:numPr>
        <w:spacing w:line="360" w:lineRule="auto"/>
        <w:ind w:left="720" w:leftChars="0" w:hanging="720" w:firstLineChars="0"/>
        <w:rPr>
          <w:color w:val="auto"/>
        </w:rPr>
      </w:pPr>
      <w:bookmarkStart w:id="2308" w:name="_Toc25265"/>
      <w:bookmarkStart w:id="2309" w:name="_Toc23185"/>
      <w:bookmarkStart w:id="2310" w:name="_Toc20995"/>
      <w:bookmarkStart w:id="2311" w:name="_Toc30547"/>
      <w:bookmarkStart w:id="2312" w:name="_Toc35525008"/>
      <w:bookmarkStart w:id="2313" w:name="_Toc176878872"/>
      <w:bookmarkStart w:id="2314" w:name="_Toc18846"/>
      <w:bookmarkStart w:id="2315" w:name="_Toc176913361"/>
      <w:bookmarkStart w:id="2316" w:name="_Toc176609239"/>
      <w:bookmarkStart w:id="2317" w:name="_Toc19940"/>
      <w:bookmarkStart w:id="2318" w:name="_Toc27156"/>
      <w:bookmarkStart w:id="2319" w:name="_Toc26748"/>
      <w:bookmarkStart w:id="2320" w:name="_Toc11408"/>
      <w:bookmarkStart w:id="2321" w:name="_Toc17759"/>
      <w:bookmarkStart w:id="2322" w:name="_Toc21860"/>
      <w:bookmarkStart w:id="2323" w:name="_Toc4618"/>
      <w:bookmarkStart w:id="2324" w:name="_Toc27436"/>
      <w:bookmarkStart w:id="2325" w:name="_Toc35525007"/>
      <w:bookmarkStart w:id="2326" w:name="_Toc9351"/>
      <w:bookmarkStart w:id="2327" w:name="_Toc28668"/>
      <w:bookmarkStart w:id="2328" w:name="_Toc10973"/>
      <w:bookmarkStart w:id="2329" w:name="_Toc29718"/>
      <w:bookmarkStart w:id="2330" w:name="_Toc9486"/>
      <w:bookmarkStart w:id="2331" w:name="_Toc7812"/>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.4.2.</w:t>
      </w:r>
      <w:r>
        <w:rPr>
          <w:rFonts w:hint="eastAsia"/>
          <w:color w:val="auto"/>
        </w:rPr>
        <w:t>路基施工安全生产措施</w:t>
      </w:r>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p>
    <w:p w14:paraId="30E5D731">
      <w:pPr>
        <w:ind w:firstLine="480"/>
        <w:rPr>
          <w:rFonts w:hint="eastAsia" w:ascii="宋体" w:hAnsi="宋体" w:cs="宋体"/>
          <w:lang w:val="en-US" w:eastAsia="zh-CN"/>
        </w:rPr>
      </w:pPr>
      <w:r>
        <w:rPr>
          <w:rFonts w:hint="eastAsia" w:ascii="宋体" w:hAnsi="宋体" w:cs="宋体"/>
          <w:lang w:val="en-US" w:eastAsia="zh-CN"/>
        </w:rPr>
        <w:t>(1)路堑开挖时经常注意坡面的稳定。每天开工前、收工前将对坡面、坡顶附近进行检查，如发现有裂缝和塌方的迹象或有危石、危土时立即处理。凡不能处理且对施工安全有危胁时，暂停止施工，并报告处理。</w:t>
      </w:r>
    </w:p>
    <w:p w14:paraId="740B1322">
      <w:pPr>
        <w:ind w:firstLine="480"/>
        <w:rPr>
          <w:rFonts w:hint="eastAsia" w:ascii="宋体" w:hAnsi="宋体" w:cs="宋体"/>
          <w:lang w:val="en-US" w:eastAsia="zh-CN"/>
        </w:rPr>
      </w:pPr>
      <w:r>
        <w:rPr>
          <w:rFonts w:hint="eastAsia" w:ascii="宋体" w:hAnsi="宋体" w:cs="宋体"/>
          <w:lang w:val="en-US" w:eastAsia="zh-CN"/>
        </w:rPr>
        <w:t>(2)开挖作业应与装、运作业面相互错开，严禁上下重叠作业。</w:t>
      </w:r>
    </w:p>
    <w:p w14:paraId="358238DE">
      <w:pPr>
        <w:ind w:firstLine="480"/>
        <w:rPr>
          <w:rFonts w:hint="eastAsia" w:ascii="宋体" w:hAnsi="宋体" w:cs="宋体"/>
          <w:lang w:val="en-US" w:eastAsia="zh-CN"/>
        </w:rPr>
      </w:pPr>
      <w:r>
        <w:rPr>
          <w:rFonts w:hint="eastAsia" w:ascii="宋体" w:hAnsi="宋体" w:cs="宋体"/>
          <w:lang w:val="en-US" w:eastAsia="zh-CN"/>
        </w:rPr>
        <w:t>(3)按指定地点弃土，保证弃土堆的自身稳定，防止弃土对农田、水利、河道的污染，并采取有利于复耕的措施。</w:t>
      </w:r>
    </w:p>
    <w:p w14:paraId="69DFE70E">
      <w:pPr>
        <w:ind w:firstLine="480"/>
        <w:rPr>
          <w:rFonts w:hint="eastAsia" w:ascii="宋体" w:hAnsi="宋体" w:cs="宋体"/>
          <w:lang w:val="en-US" w:eastAsia="zh-CN"/>
        </w:rPr>
      </w:pPr>
      <w:r>
        <w:rPr>
          <w:rFonts w:hint="eastAsia" w:ascii="宋体" w:hAnsi="宋体" w:cs="宋体"/>
          <w:lang w:val="en-US" w:eastAsia="zh-CN"/>
        </w:rPr>
        <w:t>(4)对工程机械和车辆经常检查维修，对驾驶人员经常进行安全意识教育和交规教育，严禁违章开车，各种车辆严格遵守交通规则，杜绝交通事故，确保行车安全。</w:t>
      </w:r>
    </w:p>
    <w:p w14:paraId="555B1FF9">
      <w:pPr>
        <w:pStyle w:val="5"/>
        <w:numPr>
          <w:ilvl w:val="2"/>
          <w:numId w:val="0"/>
        </w:numPr>
        <w:spacing w:line="360" w:lineRule="auto"/>
        <w:ind w:left="720" w:leftChars="0" w:hanging="720" w:firstLineChars="0"/>
        <w:rPr>
          <w:color w:val="auto"/>
        </w:rPr>
      </w:pPr>
      <w:bookmarkStart w:id="2332" w:name="_Toc25404"/>
      <w:bookmarkStart w:id="2333" w:name="_Toc20576"/>
      <w:bookmarkStart w:id="2334" w:name="_Toc25488"/>
      <w:bookmarkStart w:id="2335" w:name="_Toc28299"/>
      <w:bookmarkStart w:id="2336" w:name="_Toc406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3</w:t>
      </w:r>
      <w:r>
        <w:rPr>
          <w:rFonts w:hint="default" w:ascii="Times New Roman" w:hAnsi="Times New Roman" w:eastAsia="宋体" w:cs="Times New Roman"/>
          <w:b/>
          <w:bCs/>
          <w:color w:val="auto"/>
          <w:kern w:val="2"/>
          <w:sz w:val="30"/>
          <w:szCs w:val="32"/>
          <w:lang w:val="en-US" w:eastAsia="zh-CN" w:bidi="ar-SA"/>
        </w:rPr>
        <w:t>.4.3.</w:t>
      </w:r>
      <w:r>
        <w:rPr>
          <w:rFonts w:hint="eastAsia"/>
          <w:color w:val="auto"/>
        </w:rPr>
        <w:t>桥梁施工安全措施</w:t>
      </w:r>
      <w:bookmarkEnd w:id="2324"/>
      <w:bookmarkEnd w:id="2325"/>
      <w:bookmarkEnd w:id="2326"/>
      <w:bookmarkEnd w:id="2327"/>
      <w:bookmarkEnd w:id="2328"/>
      <w:bookmarkEnd w:id="2329"/>
      <w:bookmarkEnd w:id="2330"/>
      <w:bookmarkEnd w:id="2331"/>
      <w:bookmarkEnd w:id="2332"/>
      <w:bookmarkEnd w:id="2333"/>
      <w:bookmarkEnd w:id="2334"/>
      <w:bookmarkEnd w:id="2335"/>
      <w:bookmarkEnd w:id="2336"/>
    </w:p>
    <w:p w14:paraId="72BEBD61">
      <w:pPr>
        <w:ind w:firstLine="480"/>
        <w:rPr>
          <w:rFonts w:hint="eastAsia" w:ascii="宋体" w:hAnsi="宋体" w:cs="宋体"/>
          <w:lang w:val="en-US" w:eastAsia="zh-CN"/>
        </w:rPr>
      </w:pPr>
      <w:r>
        <w:rPr>
          <w:rFonts w:hint="eastAsia" w:ascii="宋体" w:hAnsi="宋体" w:cs="宋体"/>
          <w:lang w:val="en-US" w:eastAsia="zh-CN"/>
        </w:rPr>
        <w:t>(1)所有基础挖方都始终保持良好的排水，在整个期间都不致遭受水的危害。</w:t>
      </w:r>
    </w:p>
    <w:p w14:paraId="516C42C3">
      <w:pPr>
        <w:ind w:firstLine="480"/>
        <w:rPr>
          <w:rFonts w:hint="eastAsia" w:ascii="宋体" w:hAnsi="宋体" w:cs="宋体"/>
          <w:lang w:val="en-US" w:eastAsia="zh-CN"/>
        </w:rPr>
      </w:pPr>
      <w:r>
        <w:rPr>
          <w:rFonts w:hint="eastAsia" w:ascii="宋体" w:hAnsi="宋体" w:cs="宋体"/>
          <w:lang w:val="en-US" w:eastAsia="zh-CN"/>
        </w:rPr>
        <w:t>(2)在施工期间，应维护天然水道并使地面排水畅通。</w:t>
      </w:r>
    </w:p>
    <w:p w14:paraId="00E51DD5">
      <w:pPr>
        <w:ind w:firstLine="480"/>
        <w:rPr>
          <w:rFonts w:hint="eastAsia" w:ascii="宋体" w:hAnsi="宋体" w:cs="宋体"/>
          <w:lang w:val="en-US" w:eastAsia="zh-CN"/>
        </w:rPr>
      </w:pPr>
      <w:r>
        <w:rPr>
          <w:rFonts w:hint="eastAsia" w:ascii="宋体" w:hAnsi="宋体" w:cs="宋体"/>
          <w:lang w:val="en-US" w:eastAsia="zh-CN"/>
        </w:rPr>
        <w:t>(3)桥梁安装时，设专人指挥施工，架桥设备保证工作正常，到位后进行加固处理。</w:t>
      </w:r>
    </w:p>
    <w:p w14:paraId="1A532FB4">
      <w:pPr>
        <w:ind w:firstLine="480"/>
        <w:rPr>
          <w:rFonts w:hint="eastAsia" w:ascii="宋体" w:hAnsi="宋体" w:cs="宋体"/>
          <w:lang w:val="en-US" w:eastAsia="zh-CN"/>
        </w:rPr>
      </w:pPr>
      <w:r>
        <w:rPr>
          <w:rFonts w:hint="eastAsia" w:ascii="宋体" w:hAnsi="宋体" w:cs="宋体"/>
          <w:lang w:val="en-US" w:eastAsia="zh-CN"/>
        </w:rPr>
        <w:t>(4)预制构件在起吊前，进行满载或超载的起吊试验，以检验起吊设备的可靠性。</w:t>
      </w:r>
    </w:p>
    <w:p w14:paraId="04A8730E">
      <w:pPr>
        <w:ind w:firstLine="480"/>
        <w:rPr>
          <w:rFonts w:hint="eastAsia" w:ascii="宋体" w:hAnsi="宋体" w:cs="宋体"/>
          <w:lang w:val="en-US" w:eastAsia="zh-CN"/>
        </w:rPr>
      </w:pPr>
      <w:r>
        <w:rPr>
          <w:rFonts w:hint="eastAsia" w:ascii="宋体" w:hAnsi="宋体" w:cs="宋体"/>
          <w:lang w:val="en-US" w:eastAsia="zh-CN"/>
        </w:rPr>
        <w:t>(5)现浇墩柱、盖梁及箱梁保证支架牢固，扣件牢靠，有完善的防护措施。</w:t>
      </w:r>
    </w:p>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p w14:paraId="6C7CE622">
      <w:pPr>
        <w:pStyle w:val="4"/>
        <w:numPr>
          <w:ilvl w:val="1"/>
          <w:numId w:val="0"/>
        </w:numPr>
        <w:spacing w:line="360" w:lineRule="auto"/>
        <w:ind w:firstLine="0" w:firstLineChars="0"/>
        <w:rPr>
          <w:color w:val="auto"/>
        </w:rPr>
      </w:pPr>
      <w:bookmarkStart w:id="2337" w:name="_Toc30679"/>
      <w:bookmarkStart w:id="2338" w:name="_Toc15680"/>
      <w:bookmarkStart w:id="2339" w:name="_Toc1931"/>
      <w:bookmarkStart w:id="2340" w:name="_Toc22286"/>
      <w:bookmarkStart w:id="2341" w:name="_Toc5887"/>
      <w:bookmarkStart w:id="2342" w:name="_Toc17046"/>
      <w:bookmarkStart w:id="2343" w:name="_Toc19974"/>
      <w:bookmarkStart w:id="2344" w:name="_Toc14308"/>
      <w:bookmarkStart w:id="2345" w:name="_Toc6056"/>
      <w:bookmarkStart w:id="2346" w:name="_Toc15724"/>
      <w:bookmarkStart w:id="2347" w:name="_Toc2966"/>
      <w:bookmarkStart w:id="2348" w:name="_Toc1838"/>
      <w:bookmarkStart w:id="2349" w:name="_Toc4594"/>
      <w:bookmarkStart w:id="2350" w:name="_Toc15374"/>
      <w:bookmarkStart w:id="2351" w:name="_Toc8324"/>
      <w:bookmarkStart w:id="2352" w:name="_Toc13151"/>
      <w:bookmarkStart w:id="2353" w:name="_Toc19357"/>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3</w:t>
      </w:r>
      <w:r>
        <w:rPr>
          <w:rFonts w:hint="default" w:ascii="Arial" w:hAnsi="Arial" w:eastAsia="宋体" w:cs="Times New Roman"/>
          <w:b/>
          <w:bCs/>
          <w:color w:val="auto"/>
          <w:kern w:val="2"/>
          <w:sz w:val="32"/>
          <w:szCs w:val="32"/>
          <w:lang w:val="en-US" w:eastAsia="zh-CN" w:bidi="ar-SA"/>
        </w:rPr>
        <w:t>.5.</w:t>
      </w:r>
      <w:r>
        <w:rPr>
          <w:rFonts w:hint="eastAsia"/>
          <w:color w:val="auto"/>
        </w:rPr>
        <w:t>编制专项安全施工方案</w:t>
      </w:r>
      <w:bookmarkEnd w:id="2337"/>
      <w:bookmarkEnd w:id="2338"/>
      <w:bookmarkEnd w:id="2339"/>
      <w:bookmarkEnd w:id="2340"/>
      <w:bookmarkEnd w:id="2341"/>
      <w:bookmarkEnd w:id="2342"/>
      <w:bookmarkEnd w:id="2343"/>
      <w:bookmarkEnd w:id="2344"/>
      <w:bookmarkEnd w:id="2345"/>
    </w:p>
    <w:p w14:paraId="7B70521C">
      <w:pPr>
        <w:ind w:firstLine="480"/>
        <w:rPr>
          <w:rFonts w:hint="eastAsia" w:ascii="宋体" w:hAnsi="宋体" w:cs="宋体"/>
          <w:lang w:val="en-US" w:eastAsia="zh-CN"/>
        </w:rPr>
      </w:pPr>
      <w:r>
        <w:rPr>
          <w:rFonts w:hint="eastAsia" w:ascii="宋体" w:hAnsi="宋体" w:cs="宋体"/>
          <w:lang w:val="en-US" w:eastAsia="zh-CN"/>
        </w:rPr>
        <w:t>开工前制定好安全生产保证计划，编制安全技术措施，确保施工方案安全可靠。桩基施工；基坑开挖；起重吊装工程；装配式板桩工程；30箱梁预制与安装工程、35箱梁预制与安装工程。</w:t>
      </w:r>
    </w:p>
    <w:p w14:paraId="2704F614">
      <w:pPr>
        <w:ind w:firstLine="480"/>
        <w:rPr>
          <w:rFonts w:hint="eastAsia" w:ascii="宋体" w:hAnsi="宋体" w:cs="宋体"/>
          <w:lang w:val="en-US" w:eastAsia="zh-CN"/>
        </w:rPr>
      </w:pPr>
      <w:r>
        <w:rPr>
          <w:rFonts w:hint="eastAsia" w:ascii="宋体" w:hAnsi="宋体" w:cs="宋体"/>
          <w:lang w:val="en-US" w:eastAsia="zh-CN"/>
        </w:rPr>
        <w:t>本项目对参与上述危险性较大的分部分项工程人员提供保障，保障从业人员劳动安全、防止职业危害等事项。还应当向从业人员书面告知危险岗位的操作规程。并向作业人员提供符合标准的安全防护用品，监督、教育从业人员按照使用规则佩戴、使用。单独编制安全技术方案。对临时供用电设施编制施工组织设计，临时用电设施满足电力有关标准规范，加强对施工用电安全管理，采取有效措施保证施工用电的安全。</w:t>
      </w:r>
    </w:p>
    <w:p w14:paraId="54F1D8D5">
      <w:pPr>
        <w:pStyle w:val="2"/>
        <w:numPr>
          <w:ilvl w:val="0"/>
          <w:numId w:val="0"/>
        </w:numPr>
        <w:spacing w:line="360" w:lineRule="auto"/>
        <w:ind w:left="432" w:leftChars="0" w:hanging="432" w:firstLineChars="0"/>
        <w:jc w:val="left"/>
        <w:rPr>
          <w:color w:val="auto"/>
        </w:rPr>
      </w:pPr>
      <w:bookmarkStart w:id="2354" w:name="_Toc15517"/>
      <w:bookmarkStart w:id="2355" w:name="_Toc207"/>
      <w:bookmarkStart w:id="2356" w:name="_Toc10408"/>
      <w:bookmarkStart w:id="2357" w:name="_Toc1221"/>
      <w:bookmarkStart w:id="2358" w:name="_Toc32153"/>
      <w:r>
        <w:rPr>
          <w:rFonts w:hint="eastAsia" w:cs="Times New Roman"/>
          <w:b/>
          <w:bCs/>
          <w:color w:val="auto"/>
          <w:kern w:val="36"/>
          <w:sz w:val="36"/>
          <w:szCs w:val="48"/>
          <w:lang w:val="en-US" w:eastAsia="zh-CN" w:bidi="ar-SA"/>
        </w:rPr>
        <w:t xml:space="preserve">第十四章 </w:t>
      </w:r>
      <w:r>
        <w:rPr>
          <w:rFonts w:hint="eastAsia"/>
          <w:color w:val="auto"/>
        </w:rPr>
        <w:t>技术管理体系及</w:t>
      </w:r>
      <w:bookmarkEnd w:id="2346"/>
      <w:bookmarkEnd w:id="2347"/>
      <w:bookmarkEnd w:id="2348"/>
      <w:bookmarkEnd w:id="2349"/>
      <w:bookmarkEnd w:id="2350"/>
      <w:bookmarkEnd w:id="2351"/>
      <w:r>
        <w:rPr>
          <w:rFonts w:hint="eastAsia"/>
          <w:color w:val="auto"/>
        </w:rPr>
        <w:t>组织措施</w:t>
      </w:r>
      <w:bookmarkEnd w:id="2354"/>
      <w:bookmarkEnd w:id="2355"/>
      <w:bookmarkEnd w:id="2356"/>
      <w:bookmarkEnd w:id="2357"/>
      <w:bookmarkEnd w:id="2358"/>
    </w:p>
    <w:p w14:paraId="0E1C5D45">
      <w:pPr>
        <w:pStyle w:val="4"/>
        <w:numPr>
          <w:ilvl w:val="1"/>
          <w:numId w:val="0"/>
        </w:numPr>
        <w:spacing w:line="360" w:lineRule="auto"/>
        <w:ind w:firstLine="0" w:firstLineChars="0"/>
        <w:rPr>
          <w:color w:val="auto"/>
        </w:rPr>
      </w:pPr>
      <w:bookmarkStart w:id="2359" w:name="_Toc13431"/>
      <w:bookmarkStart w:id="2360" w:name="_Toc22255"/>
      <w:bookmarkStart w:id="2361" w:name="_Toc19338"/>
      <w:bookmarkStart w:id="2362" w:name="_Toc31748"/>
      <w:bookmarkStart w:id="2363" w:name="_Toc4201"/>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4</w:t>
      </w:r>
      <w:r>
        <w:rPr>
          <w:rFonts w:hint="default" w:ascii="Arial" w:hAnsi="Arial" w:eastAsia="宋体" w:cs="Times New Roman"/>
          <w:b/>
          <w:bCs/>
          <w:color w:val="auto"/>
          <w:kern w:val="2"/>
          <w:sz w:val="32"/>
          <w:szCs w:val="32"/>
          <w:lang w:val="en-US" w:eastAsia="zh-CN" w:bidi="ar-SA"/>
        </w:rPr>
        <w:t>.1.</w:t>
      </w:r>
      <w:r>
        <w:rPr>
          <w:rFonts w:hint="eastAsia"/>
          <w:color w:val="auto"/>
        </w:rPr>
        <w:t>管理目标</w:t>
      </w:r>
      <w:bookmarkEnd w:id="2359"/>
      <w:bookmarkEnd w:id="2360"/>
      <w:bookmarkEnd w:id="2361"/>
      <w:bookmarkEnd w:id="2362"/>
      <w:bookmarkEnd w:id="2363"/>
    </w:p>
    <w:p w14:paraId="2901FFF3">
      <w:pPr>
        <w:ind w:firstLine="480"/>
        <w:rPr>
          <w:rFonts w:hint="eastAsia" w:ascii="宋体" w:hAnsi="宋体" w:cs="宋体"/>
          <w:lang w:val="en-US" w:eastAsia="zh-CN"/>
        </w:rPr>
      </w:pPr>
      <w:r>
        <w:rPr>
          <w:rFonts w:hint="eastAsia" w:ascii="宋体" w:hAnsi="宋体" w:cs="宋体"/>
          <w:lang w:val="en-US" w:eastAsia="zh-CN"/>
        </w:rPr>
        <w:t>推进项目施工技术管理工作的规范化、标准化、制度化，充分发挥技术管理在项目管理工作的重要作用。</w:t>
      </w:r>
    </w:p>
    <w:p w14:paraId="28A0F91C">
      <w:pPr>
        <w:pStyle w:val="4"/>
        <w:numPr>
          <w:ilvl w:val="1"/>
          <w:numId w:val="0"/>
        </w:numPr>
        <w:spacing w:line="360" w:lineRule="auto"/>
        <w:ind w:firstLine="0" w:firstLineChars="0"/>
        <w:rPr>
          <w:color w:val="auto"/>
        </w:rPr>
      </w:pPr>
      <w:bookmarkStart w:id="2364" w:name="_Toc18419"/>
      <w:bookmarkStart w:id="2365" w:name="_Toc15780"/>
      <w:bookmarkStart w:id="2366" w:name="_Toc6632"/>
      <w:bookmarkStart w:id="2367" w:name="_Toc1536"/>
      <w:bookmarkStart w:id="2368" w:name="_Toc5313"/>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4</w:t>
      </w:r>
      <w:r>
        <w:rPr>
          <w:rFonts w:hint="default" w:ascii="Arial" w:hAnsi="Arial" w:eastAsia="宋体" w:cs="Times New Roman"/>
          <w:b/>
          <w:bCs/>
          <w:color w:val="auto"/>
          <w:kern w:val="2"/>
          <w:sz w:val="32"/>
          <w:szCs w:val="32"/>
          <w:lang w:val="en-US" w:eastAsia="zh-CN" w:bidi="ar-SA"/>
        </w:rPr>
        <w:t>.2.</w:t>
      </w:r>
      <w:r>
        <w:rPr>
          <w:rFonts w:hint="eastAsia"/>
          <w:color w:val="auto"/>
        </w:rPr>
        <w:t>管理体系</w:t>
      </w:r>
      <w:bookmarkEnd w:id="2364"/>
      <w:bookmarkEnd w:id="2365"/>
      <w:bookmarkEnd w:id="2366"/>
      <w:bookmarkEnd w:id="2367"/>
      <w:bookmarkEnd w:id="2368"/>
    </w:p>
    <w:p w14:paraId="265758CE">
      <w:pPr>
        <w:ind w:firstLine="480"/>
        <w:rPr>
          <w:rFonts w:hint="eastAsia" w:ascii="宋体" w:hAnsi="宋体" w:cs="宋体"/>
          <w:lang w:val="en-US" w:eastAsia="zh-CN"/>
        </w:rPr>
      </w:pPr>
      <w:r>
        <w:rPr>
          <w:rFonts w:hint="eastAsia" w:ascii="宋体" w:hAnsi="宋体" w:cs="宋体"/>
          <w:lang w:val="en-US" w:eastAsia="zh-CN"/>
        </w:rPr>
        <w:t>在项目经理部成立以项目总工为组长的质量管理机构，副组长由项目副总工、各部门负责人及施工队队长为管理机构中成员，同时各队成立相应的现场技术管理小组。</w:t>
      </w:r>
    </w:p>
    <w:p w14:paraId="3C1B0946">
      <w:pPr>
        <w:ind w:firstLine="480"/>
        <w:rPr>
          <w:rFonts w:hint="eastAsia" w:ascii="宋体" w:hAnsi="宋体" w:cs="宋体"/>
          <w:lang w:val="en-US" w:eastAsia="zh-CN"/>
        </w:rPr>
      </w:pPr>
      <w:r>
        <w:rPr>
          <w:rFonts w:hint="eastAsia" w:ascii="宋体" w:hAnsi="宋体" w:cs="宋体"/>
          <w:lang w:val="en-US" w:eastAsia="zh-CN"/>
        </w:rPr>
        <w:t>工程施工技术保证体系，包含图纸会审、测量复测管理制度、实施性施工组织设计编制、专项方案编制审批、开工报告审批、施工工艺流程管理、技术交底管理、施工作业指导书、技术资料管理、材料试验管理制度、重大问题请示报告制度、隐蔽工程验收管理制度、施工试验管理制度、关键过程特殊过程控制、施工日志管理、科技创新及攻关与成果管理、设计变更管理、施工技术总结、竣工文件管理、竣工验收管理、以及调度管理等管理内容。</w:t>
      </w:r>
    </w:p>
    <w:p w14:paraId="5BABE561">
      <w:pPr>
        <w:pStyle w:val="4"/>
        <w:numPr>
          <w:ilvl w:val="1"/>
          <w:numId w:val="0"/>
        </w:numPr>
        <w:spacing w:line="360" w:lineRule="auto"/>
        <w:ind w:firstLine="0" w:firstLineChars="0"/>
        <w:rPr>
          <w:color w:val="auto"/>
        </w:rPr>
      </w:pPr>
      <w:bookmarkStart w:id="2369" w:name="_Toc5673"/>
      <w:bookmarkStart w:id="2370" w:name="_Toc392165648"/>
      <w:bookmarkStart w:id="2371" w:name="_Toc29994"/>
      <w:bookmarkStart w:id="2372" w:name="_Toc15547"/>
      <w:bookmarkStart w:id="2373" w:name="_Toc15835"/>
      <w:bookmarkStart w:id="2374" w:name="_Toc260037204"/>
      <w:bookmarkStart w:id="2375" w:name="_Toc23842"/>
      <w:bookmarkStart w:id="2376" w:name="_Toc6883"/>
      <w:bookmarkStart w:id="2377" w:name="_Toc392933546"/>
      <w:bookmarkStart w:id="2378" w:name="_Toc232929387"/>
      <w:bookmarkStart w:id="2379" w:name="_Toc6853"/>
      <w:bookmarkStart w:id="2380" w:name="_Toc18441"/>
      <w:bookmarkStart w:id="2381" w:name="_Toc1059"/>
      <w:bookmarkStart w:id="2382" w:name="_Toc9852"/>
      <w:bookmarkStart w:id="2383" w:name="_Toc260036574"/>
      <w:bookmarkStart w:id="2384" w:name="_Toc777"/>
      <w:bookmarkStart w:id="2385" w:name="_Toc29011"/>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4</w:t>
      </w:r>
      <w:r>
        <w:rPr>
          <w:rFonts w:hint="default" w:ascii="Arial" w:hAnsi="Arial" w:eastAsia="宋体" w:cs="Times New Roman"/>
          <w:b/>
          <w:bCs/>
          <w:color w:val="auto"/>
          <w:kern w:val="2"/>
          <w:sz w:val="32"/>
          <w:szCs w:val="32"/>
          <w:lang w:val="en-US" w:eastAsia="zh-CN" w:bidi="ar-SA"/>
        </w:rPr>
        <w:t>.3.</w:t>
      </w:r>
      <w:r>
        <w:rPr>
          <w:rFonts w:hint="eastAsia"/>
          <w:color w:val="auto"/>
        </w:rPr>
        <w:t>施工技术组织措施</w:t>
      </w:r>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p>
    <w:p w14:paraId="434D7A3D">
      <w:pPr>
        <w:ind w:firstLine="480"/>
        <w:rPr>
          <w:rFonts w:hint="eastAsia" w:ascii="宋体" w:hAnsi="宋体" w:cs="宋体"/>
          <w:lang w:val="en-US" w:eastAsia="zh-CN"/>
        </w:rPr>
      </w:pPr>
      <w:r>
        <w:rPr>
          <w:rFonts w:hint="eastAsia" w:ascii="宋体" w:hAnsi="宋体" w:cs="宋体"/>
          <w:lang w:val="en-US" w:eastAsia="zh-CN"/>
        </w:rPr>
        <w:t>加强施工过程质量控制，严格按照设计文件、施工技术规范、工艺性试验确定的技术参数和技术交底组织施工，积极采用先进的质量保证技术措施控制施工。</w:t>
      </w:r>
    </w:p>
    <w:p w14:paraId="545440AF">
      <w:pPr>
        <w:ind w:firstLine="480"/>
        <w:rPr>
          <w:rFonts w:hint="eastAsia" w:ascii="宋体" w:hAnsi="宋体" w:cs="宋体"/>
          <w:lang w:val="en-US" w:eastAsia="zh-CN"/>
        </w:rPr>
      </w:pPr>
      <w:r>
        <w:rPr>
          <w:rFonts w:hint="eastAsia" w:ascii="宋体" w:hAnsi="宋体" w:cs="宋体"/>
          <w:lang w:val="en-US" w:eastAsia="zh-CN"/>
        </w:rPr>
        <w:t>施工技术管理方法及人员安排</w:t>
      </w:r>
    </w:p>
    <w:p w14:paraId="2B9B2011">
      <w:pPr>
        <w:ind w:firstLine="480"/>
        <w:rPr>
          <w:rFonts w:hint="eastAsia" w:ascii="宋体" w:hAnsi="宋体" w:cs="宋体"/>
          <w:lang w:val="en-US" w:eastAsia="zh-CN"/>
        </w:rPr>
      </w:pPr>
      <w:r>
        <w:rPr>
          <w:rFonts w:hint="eastAsia" w:ascii="宋体" w:hAnsi="宋体" w:cs="宋体"/>
          <w:lang w:val="en-US" w:eastAsia="zh-CN"/>
        </w:rPr>
        <w:t>在项目部内设立技术管理系统，由项目总工程师负全责，接受项目经理领导，下设负责项目建设的全部技术管理工作。</w:t>
      </w:r>
    </w:p>
    <w:p w14:paraId="320EC6ED">
      <w:pPr>
        <w:ind w:firstLine="480"/>
        <w:rPr>
          <w:rFonts w:hint="eastAsia" w:ascii="宋体" w:hAnsi="宋体" w:cs="宋体"/>
          <w:lang w:val="en-US" w:eastAsia="zh-CN"/>
        </w:rPr>
      </w:pPr>
      <w:r>
        <w:rPr>
          <w:rFonts w:hint="eastAsia" w:ascii="宋体" w:hAnsi="宋体" w:cs="宋体"/>
          <w:lang w:val="en-US" w:eastAsia="zh-CN"/>
        </w:rPr>
        <w:t>技术管理上实行技术人员专业分工负责制，专业技术人员既是该工序技术负责人，又是施工负责人。</w:t>
      </w:r>
    </w:p>
    <w:p w14:paraId="5D5F6401">
      <w:pPr>
        <w:ind w:firstLine="480"/>
        <w:rPr>
          <w:rFonts w:hint="eastAsia" w:ascii="宋体" w:hAnsi="宋体" w:cs="宋体"/>
          <w:lang w:val="en-US" w:eastAsia="zh-CN"/>
        </w:rPr>
      </w:pPr>
      <w:r>
        <w:rPr>
          <w:rFonts w:hint="eastAsia" w:ascii="宋体" w:hAnsi="宋体" w:cs="宋体"/>
          <w:lang w:val="en-US" w:eastAsia="zh-CN"/>
        </w:rPr>
        <w:t>在项目部技术管理人员安排上，为保证施工过程中的技术管理水平，选派的关键工序的技术人员均为有长期丰富施工经验的专业技术人员，使技术管理从组织上得到保障。</w:t>
      </w:r>
    </w:p>
    <w:p w14:paraId="5C018CD3">
      <w:pPr>
        <w:ind w:firstLine="480"/>
        <w:jc w:val="center"/>
      </w:pPr>
    </w:p>
    <w:p w14:paraId="74484356">
      <w:pPr>
        <w:pStyle w:val="22"/>
      </w:pPr>
      <w:r>
        <mc:AlternateContent>
          <mc:Choice Requires="wpg">
            <w:drawing>
              <wp:inline distT="0" distB="0" distL="114300" distR="114300">
                <wp:extent cx="4812030" cy="6811645"/>
                <wp:effectExtent l="5080" t="5080" r="13970" b="10795"/>
                <wp:docPr id="231" name="组合 1064"/>
                <wp:cNvGraphicFramePr/>
                <a:graphic xmlns:a="http://schemas.openxmlformats.org/drawingml/2006/main">
                  <a:graphicData uri="http://schemas.microsoft.com/office/word/2010/wordprocessingGroup">
                    <wpg:wgp>
                      <wpg:cNvGrpSpPr/>
                      <wpg:grpSpPr>
                        <a:xfrm>
                          <a:off x="0" y="0"/>
                          <a:ext cx="4812030" cy="6811645"/>
                          <a:chOff x="3719" y="5243734"/>
                          <a:chExt cx="8960" cy="10538"/>
                        </a:xfrm>
                      </wpg:grpSpPr>
                      <wpg:grpSp>
                        <wpg:cNvPr id="229" name="组合 729"/>
                        <wpg:cNvGrpSpPr/>
                        <wpg:grpSpPr>
                          <a:xfrm>
                            <a:off x="3719" y="5243734"/>
                            <a:ext cx="8961" cy="10539"/>
                            <a:chOff x="1490" y="2824"/>
                            <a:chExt cx="8350" cy="10852"/>
                          </a:xfrm>
                        </wpg:grpSpPr>
                        <wps:wsp>
                          <wps:cNvPr id="149" name="文本框 319"/>
                          <wps:cNvSpPr txBox="1"/>
                          <wps:spPr>
                            <a:xfrm>
                              <a:off x="3828" y="2824"/>
                              <a:ext cx="3340"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BF60902">
                                <w:pPr>
                                  <w:pStyle w:val="105"/>
                                </w:pPr>
                                <w:r>
                                  <w:rPr>
                                    <w:rFonts w:hint="eastAsia"/>
                                  </w:rPr>
                                  <w:t>施工技术管理工作保证体系</w:t>
                                </w:r>
                              </w:p>
                            </w:txbxContent>
                          </wps:txbx>
                          <wps:bodyPr upright="1"/>
                        </wps:wsp>
                        <wps:wsp>
                          <wps:cNvPr id="150" name="文本框 338"/>
                          <wps:cNvSpPr txBox="1"/>
                          <wps:spPr>
                            <a:xfrm>
                              <a:off x="1490" y="3705"/>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BFB6232">
                                <w:pPr>
                                  <w:pStyle w:val="105"/>
                                </w:pPr>
                                <w:r>
                                  <w:rPr>
                                    <w:rFonts w:hint="eastAsia"/>
                                  </w:rPr>
                                  <w:t>技术责任制</w:t>
                                </w:r>
                              </w:p>
                            </w:txbxContent>
                          </wps:txbx>
                          <wps:bodyPr upright="1"/>
                        </wps:wsp>
                        <wps:wsp>
                          <wps:cNvPr id="151" name="文本框 339"/>
                          <wps:cNvSpPr txBox="1"/>
                          <wps:spPr>
                            <a:xfrm>
                              <a:off x="1490" y="4440"/>
                              <a:ext cx="1837" cy="44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D0757A3">
                                <w:pPr>
                                  <w:pStyle w:val="105"/>
                                </w:pPr>
                                <w:r>
                                  <w:rPr>
                                    <w:rFonts w:hint="eastAsia"/>
                                  </w:rPr>
                                  <w:t>图纸会审制</w:t>
                                </w:r>
                              </w:p>
                            </w:txbxContent>
                          </wps:txbx>
                          <wps:bodyPr upright="1"/>
                        </wps:wsp>
                        <wps:wsp>
                          <wps:cNvPr id="152" name="文本框 340"/>
                          <wps:cNvSpPr txBox="1"/>
                          <wps:spPr>
                            <a:xfrm>
                              <a:off x="1490" y="5174"/>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0801305">
                                <w:pPr>
                                  <w:pStyle w:val="105"/>
                                </w:pPr>
                                <w:r>
                                  <w:rPr>
                                    <w:rFonts w:hint="eastAsia"/>
                                  </w:rPr>
                                  <w:t>技术交底制</w:t>
                                </w:r>
                              </w:p>
                            </w:txbxContent>
                          </wps:txbx>
                          <wps:bodyPr upright="1"/>
                        </wps:wsp>
                        <wps:wsp>
                          <wps:cNvPr id="153" name="文本框 341"/>
                          <wps:cNvSpPr txBox="1"/>
                          <wps:spPr>
                            <a:xfrm>
                              <a:off x="1490" y="5908"/>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31FEB7B">
                                <w:pPr>
                                  <w:pStyle w:val="105"/>
                                </w:pPr>
                                <w:r>
                                  <w:rPr>
                                    <w:rFonts w:hint="eastAsia"/>
                                  </w:rPr>
                                  <w:t>技术复核制</w:t>
                                </w:r>
                              </w:p>
                            </w:txbxContent>
                          </wps:txbx>
                          <wps:bodyPr upright="1"/>
                        </wps:wsp>
                        <wps:wsp>
                          <wps:cNvPr id="154" name="文本框 349"/>
                          <wps:cNvSpPr txBox="1"/>
                          <wps:spPr>
                            <a:xfrm>
                              <a:off x="1490" y="6643"/>
                              <a:ext cx="1837" cy="44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363D889">
                                <w:pPr>
                                  <w:pStyle w:val="105"/>
                                </w:pPr>
                                <w:r>
                                  <w:rPr>
                                    <w:rFonts w:hint="eastAsia"/>
                                  </w:rPr>
                                  <w:t>测量复核制</w:t>
                                </w:r>
                              </w:p>
                            </w:txbxContent>
                          </wps:txbx>
                          <wps:bodyPr upright="1"/>
                        </wps:wsp>
                        <wps:wsp>
                          <wps:cNvPr id="155" name="文本框 353"/>
                          <wps:cNvSpPr txBox="1"/>
                          <wps:spPr>
                            <a:xfrm>
                              <a:off x="1490" y="7377"/>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1F1F03E">
                                <w:pPr>
                                  <w:pStyle w:val="105"/>
                                </w:pPr>
                                <w:r>
                                  <w:rPr>
                                    <w:rFonts w:hint="eastAsia"/>
                                  </w:rPr>
                                  <w:t>工程试验制</w:t>
                                </w:r>
                              </w:p>
                            </w:txbxContent>
                          </wps:txbx>
                          <wps:bodyPr upright="1"/>
                        </wps:wsp>
                        <wps:wsp>
                          <wps:cNvPr id="156" name="文本框 354"/>
                          <wps:cNvSpPr txBox="1"/>
                          <wps:spPr>
                            <a:xfrm>
                              <a:off x="1490" y="8112"/>
                              <a:ext cx="1837" cy="44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1C59CA8">
                                <w:pPr>
                                  <w:pStyle w:val="105"/>
                                </w:pPr>
                                <w:r>
                                  <w:rPr>
                                    <w:rFonts w:hint="eastAsia"/>
                                  </w:rPr>
                                  <w:t>质量检验制</w:t>
                                </w:r>
                              </w:p>
                            </w:txbxContent>
                          </wps:txbx>
                          <wps:bodyPr upright="1"/>
                        </wps:wsp>
                        <wps:wsp>
                          <wps:cNvPr id="157" name="文本框 365"/>
                          <wps:cNvSpPr txBox="1"/>
                          <wps:spPr>
                            <a:xfrm>
                              <a:off x="1490" y="8846"/>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8E72245">
                                <w:pPr>
                                  <w:pStyle w:val="105"/>
                                </w:pPr>
                                <w:r>
                                  <w:rPr>
                                    <w:rFonts w:hint="eastAsia"/>
                                  </w:rPr>
                                  <w:t>施工日志制</w:t>
                                </w:r>
                              </w:p>
                            </w:txbxContent>
                          </wps:txbx>
                          <wps:bodyPr upright="1"/>
                        </wps:wsp>
                        <wps:wsp>
                          <wps:cNvPr id="158" name="文本框 366"/>
                          <wps:cNvSpPr txBox="1"/>
                          <wps:spPr>
                            <a:xfrm>
                              <a:off x="1490" y="9580"/>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5B8335C">
                                <w:pPr>
                                  <w:pStyle w:val="105"/>
                                </w:pPr>
                                <w:r>
                                  <w:rPr>
                                    <w:rFonts w:hint="eastAsia"/>
                                  </w:rPr>
                                  <w:t>技术档案制</w:t>
                                </w:r>
                              </w:p>
                            </w:txbxContent>
                          </wps:txbx>
                          <wps:bodyPr upright="1"/>
                        </wps:wsp>
                        <wps:wsp>
                          <wps:cNvPr id="159" name="文本框 367"/>
                          <wps:cNvSpPr txBox="1"/>
                          <wps:spPr>
                            <a:xfrm>
                              <a:off x="7530" y="4146"/>
                              <a:ext cx="2310" cy="7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1A208E5">
                                <w:pPr>
                                  <w:pStyle w:val="105"/>
                                </w:pPr>
                                <w:r>
                                  <w:rPr>
                                    <w:rFonts w:hint="eastAsia"/>
                                  </w:rPr>
                                  <w:t>单位工程图纸审查，包括初审和综合会审</w:t>
                                </w:r>
                              </w:p>
                            </w:txbxContent>
                          </wps:txbx>
                          <wps:bodyPr lIns="54000" tIns="45720" rIns="54000" bIns="45720" upright="1"/>
                        </wps:wsp>
                        <wps:wsp>
                          <wps:cNvPr id="160" name="文本框 368"/>
                          <wps:cNvSpPr txBox="1"/>
                          <wps:spPr>
                            <a:xfrm>
                              <a:off x="7836" y="6055"/>
                              <a:ext cx="2004"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76F7A0D">
                                <w:pPr>
                                  <w:pStyle w:val="105"/>
                                </w:pPr>
                                <w:r>
                                  <w:rPr>
                                    <w:rFonts w:hint="eastAsia"/>
                                  </w:rPr>
                                  <w:t>审查后处理</w:t>
                                </w:r>
                              </w:p>
                            </w:txbxContent>
                          </wps:txbx>
                          <wps:bodyPr upright="1"/>
                        </wps:wsp>
                        <wps:wsp>
                          <wps:cNvPr id="161" name="文本框 369"/>
                          <wps:cNvSpPr txBox="1"/>
                          <wps:spPr>
                            <a:xfrm>
                              <a:off x="7836" y="7374"/>
                              <a:ext cx="2004" cy="73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9FDCD94">
                                <w:pPr>
                                  <w:pStyle w:val="105"/>
                                </w:pPr>
                                <w:r>
                                  <w:rPr>
                                    <w:rFonts w:hint="eastAsia"/>
                                  </w:rPr>
                                  <w:t>编制单位工程实施性施工组织设计</w:t>
                                </w:r>
                              </w:p>
                            </w:txbxContent>
                          </wps:txbx>
                          <wps:bodyPr lIns="54000" tIns="45720" rIns="54000" bIns="45720" upright="1"/>
                        </wps:wsp>
                        <wps:wsp>
                          <wps:cNvPr id="162" name="文本框 370"/>
                          <wps:cNvSpPr txBox="1"/>
                          <wps:spPr>
                            <a:xfrm>
                              <a:off x="7836" y="8993"/>
                              <a:ext cx="2004" cy="7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7520693">
                                <w:pPr>
                                  <w:pStyle w:val="105"/>
                                </w:pPr>
                                <w:r>
                                  <w:rPr>
                                    <w:rFonts w:hint="eastAsia"/>
                                  </w:rPr>
                                  <w:t>编制技术措施和</w:t>
                                </w:r>
                              </w:p>
                              <w:p w14:paraId="4CDF2E1E">
                                <w:pPr>
                                  <w:ind w:firstLine="31680"/>
                                </w:pPr>
                                <w:r>
                                  <w:rPr>
                                    <w:rFonts w:hint="eastAsia"/>
                                  </w:rPr>
                                  <w:t>施工工艺</w:t>
                                </w:r>
                              </w:p>
                            </w:txbxContent>
                          </wps:txbx>
                          <wps:bodyPr upright="1"/>
                        </wps:wsp>
                        <wps:wsp>
                          <wps:cNvPr id="163" name="文本框 371"/>
                          <wps:cNvSpPr txBox="1"/>
                          <wps:spPr>
                            <a:xfrm>
                              <a:off x="7780" y="10747"/>
                              <a:ext cx="501" cy="132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FAAB639">
                                <w:pPr>
                                  <w:pStyle w:val="105"/>
                                </w:pPr>
                                <w:r>
                                  <w:rPr>
                                    <w:rFonts w:hint="eastAsia"/>
                                  </w:rPr>
                                  <w:t>技</w:t>
                                </w:r>
                              </w:p>
                              <w:p w14:paraId="54806387">
                                <w:pPr>
                                  <w:pStyle w:val="105"/>
                                </w:pPr>
                                <w:r>
                                  <w:rPr>
                                    <w:rFonts w:hint="eastAsia"/>
                                  </w:rPr>
                                  <w:t>术</w:t>
                                </w:r>
                              </w:p>
                              <w:p w14:paraId="4FE45ED0">
                                <w:pPr>
                                  <w:pStyle w:val="105"/>
                                </w:pPr>
                                <w:r>
                                  <w:rPr>
                                    <w:rFonts w:hint="eastAsia"/>
                                  </w:rPr>
                                  <w:t>交</w:t>
                                </w:r>
                              </w:p>
                              <w:p w14:paraId="0562C974">
                                <w:pPr>
                                  <w:pStyle w:val="105"/>
                                </w:pPr>
                                <w:r>
                                  <w:rPr>
                                    <w:rFonts w:hint="eastAsia"/>
                                  </w:rPr>
                                  <w:t>底</w:t>
                                </w:r>
                              </w:p>
                            </w:txbxContent>
                          </wps:txbx>
                          <wps:bodyPr lIns="36000" tIns="45720" rIns="36000" bIns="45720" upright="1"/>
                        </wps:wsp>
                        <wps:wsp>
                          <wps:cNvPr id="164" name="文本框 372"/>
                          <wps:cNvSpPr txBox="1"/>
                          <wps:spPr>
                            <a:xfrm>
                              <a:off x="8726" y="10755"/>
                              <a:ext cx="1114" cy="132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B22A100">
                                <w:pPr>
                                  <w:pStyle w:val="105"/>
                                </w:pPr>
                                <w:r>
                                  <w:rPr>
                                    <w:rFonts w:hint="eastAsia"/>
                                  </w:rPr>
                                  <w:t>技术规程标准的学习与贯彻</w:t>
                                </w:r>
                              </w:p>
                            </w:txbxContent>
                          </wps:txbx>
                          <wps:bodyPr upright="1"/>
                        </wps:wsp>
                        <wps:wsp>
                          <wps:cNvPr id="165" name="文本框 373"/>
                          <wps:cNvSpPr txBox="1"/>
                          <wps:spPr>
                            <a:xfrm>
                              <a:off x="4162" y="5468"/>
                              <a:ext cx="835" cy="132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FFE5743">
                                <w:pPr>
                                  <w:pStyle w:val="105"/>
                                </w:pPr>
                                <w:r>
                                  <w:rPr>
                                    <w:rFonts w:hint="eastAsia"/>
                                  </w:rPr>
                                  <w:t>建立各项规章制度</w:t>
                                </w:r>
                              </w:p>
                            </w:txbxContent>
                          </wps:txbx>
                          <wps:bodyPr upright="1"/>
                        </wps:wsp>
                        <wps:wsp>
                          <wps:cNvPr id="166" name="文本框 374"/>
                          <wps:cNvSpPr txBox="1"/>
                          <wps:spPr>
                            <a:xfrm>
                              <a:off x="5999" y="5468"/>
                              <a:ext cx="835" cy="102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BF747E2">
                                <w:pPr>
                                  <w:pStyle w:val="105"/>
                                </w:pPr>
                                <w:r>
                                  <w:rPr>
                                    <w:rFonts w:hint="eastAsia"/>
                                  </w:rPr>
                                  <w:t>技术工作工序</w:t>
                                </w:r>
                              </w:p>
                            </w:txbxContent>
                          </wps:txbx>
                          <wps:bodyPr upright="1"/>
                        </wps:wsp>
                        <wps:wsp>
                          <wps:cNvPr id="167" name="文本框 375"/>
                          <wps:cNvSpPr txBox="1"/>
                          <wps:spPr>
                            <a:xfrm>
                              <a:off x="4329" y="7818"/>
                              <a:ext cx="2338" cy="73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2BCFEEB">
                                <w:pPr>
                                  <w:pStyle w:val="105"/>
                                </w:pPr>
                                <w:r>
                                  <w:rPr>
                                    <w:rFonts w:hint="eastAsia"/>
                                  </w:rPr>
                                  <w:t>施工中</w:t>
                                </w:r>
                              </w:p>
                              <w:p w14:paraId="7E7167AD">
                                <w:pPr>
                                  <w:ind w:firstLine="31680"/>
                                </w:pPr>
                                <w:r>
                                  <w:rPr>
                                    <w:rFonts w:hint="eastAsia"/>
                                  </w:rPr>
                                  <w:t>技术指导与控制</w:t>
                                </w:r>
                              </w:p>
                            </w:txbxContent>
                          </wps:txbx>
                          <wps:bodyPr upright="1"/>
                        </wps:wsp>
                        <wps:wsp>
                          <wps:cNvPr id="168" name="文本框 376"/>
                          <wps:cNvSpPr txBox="1"/>
                          <wps:spPr>
                            <a:xfrm>
                              <a:off x="4162" y="9727"/>
                              <a:ext cx="501" cy="14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9F96D52">
                                <w:pPr>
                                  <w:pStyle w:val="105"/>
                                </w:pPr>
                                <w:r>
                                  <w:rPr>
                                    <w:rFonts w:hint="eastAsia"/>
                                  </w:rPr>
                                  <w:t>技术控制</w:t>
                                </w:r>
                              </w:p>
                            </w:txbxContent>
                          </wps:txbx>
                          <wps:bodyPr upright="1"/>
                        </wps:wsp>
                        <wps:wsp>
                          <wps:cNvPr id="169" name="文本框 377"/>
                          <wps:cNvSpPr txBox="1"/>
                          <wps:spPr>
                            <a:xfrm>
                              <a:off x="4830" y="9727"/>
                              <a:ext cx="501" cy="14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D6C3A37">
                                <w:pPr>
                                  <w:pStyle w:val="105"/>
                                </w:pPr>
                                <w:r>
                                  <w:rPr>
                                    <w:rFonts w:hint="eastAsia"/>
                                  </w:rPr>
                                  <w:t>测量控制</w:t>
                                </w:r>
                              </w:p>
                            </w:txbxContent>
                          </wps:txbx>
                          <wps:bodyPr upright="1"/>
                        </wps:wsp>
                        <wps:wsp>
                          <wps:cNvPr id="170" name="文本框 378"/>
                          <wps:cNvSpPr txBox="1"/>
                          <wps:spPr>
                            <a:xfrm>
                              <a:off x="5665" y="9727"/>
                              <a:ext cx="501" cy="14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D7C3DB9">
                                <w:pPr>
                                  <w:pStyle w:val="105"/>
                                </w:pPr>
                                <w:r>
                                  <w:rPr>
                                    <w:rFonts w:hint="eastAsia"/>
                                  </w:rPr>
                                  <w:t>试验控制</w:t>
                                </w:r>
                              </w:p>
                            </w:txbxContent>
                          </wps:txbx>
                          <wps:bodyPr upright="1"/>
                        </wps:wsp>
                        <wps:wsp>
                          <wps:cNvPr id="171" name="文本框 379"/>
                          <wps:cNvSpPr txBox="1"/>
                          <wps:spPr>
                            <a:xfrm>
                              <a:off x="6333" y="9727"/>
                              <a:ext cx="501" cy="14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3038805">
                                <w:pPr>
                                  <w:pStyle w:val="105"/>
                                </w:pPr>
                                <w:r>
                                  <w:rPr>
                                    <w:rFonts w:hint="eastAsia"/>
                                  </w:rPr>
                                  <w:t>施工日志</w:t>
                                </w:r>
                              </w:p>
                            </w:txbxContent>
                          </wps:txbx>
                          <wps:bodyPr upright="1"/>
                        </wps:wsp>
                        <wps:wsp>
                          <wps:cNvPr id="172" name="文本框 380"/>
                          <wps:cNvSpPr txBox="1"/>
                          <wps:spPr>
                            <a:xfrm>
                              <a:off x="3327" y="12077"/>
                              <a:ext cx="1503"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FAC0E91">
                                <w:pPr>
                                  <w:pStyle w:val="105"/>
                                </w:pPr>
                                <w:r>
                                  <w:rPr>
                                    <w:rFonts w:hint="eastAsia"/>
                                  </w:rPr>
                                  <w:t>竣工文件</w:t>
                                </w:r>
                              </w:p>
                            </w:txbxContent>
                          </wps:txbx>
                          <wps:bodyPr upright="1"/>
                        </wps:wsp>
                        <wps:wsp>
                          <wps:cNvPr id="173" name="文本框 381"/>
                          <wps:cNvSpPr txBox="1"/>
                          <wps:spPr>
                            <a:xfrm>
                              <a:off x="5498" y="12077"/>
                              <a:ext cx="1503"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18481EE">
                                <w:pPr>
                                  <w:pStyle w:val="105"/>
                                </w:pPr>
                                <w:r>
                                  <w:rPr>
                                    <w:rFonts w:hint="eastAsia"/>
                                  </w:rPr>
                                  <w:t>技术总结</w:t>
                                </w:r>
                              </w:p>
                            </w:txbxContent>
                          </wps:txbx>
                          <wps:bodyPr upright="1"/>
                        </wps:wsp>
                        <wps:wsp>
                          <wps:cNvPr id="174" name="文本框 382"/>
                          <wps:cNvSpPr txBox="1"/>
                          <wps:spPr>
                            <a:xfrm>
                              <a:off x="4412" y="13235"/>
                              <a:ext cx="1503"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E0923C7">
                                <w:pPr>
                                  <w:pStyle w:val="105"/>
                                </w:pPr>
                                <w:r>
                                  <w:rPr>
                                    <w:rFonts w:hint="eastAsia"/>
                                  </w:rPr>
                                  <w:t>工程验交</w:t>
                                </w:r>
                              </w:p>
                            </w:txbxContent>
                          </wps:txbx>
                          <wps:bodyPr upright="1"/>
                        </wps:wsp>
                        <wps:wsp>
                          <wps:cNvPr id="175" name="直接连接符 383"/>
                          <wps:cNvCnPr/>
                          <wps:spPr>
                            <a:xfrm>
                              <a:off x="3661" y="3999"/>
                              <a:ext cx="18" cy="6781"/>
                            </a:xfrm>
                            <a:prstGeom prst="line">
                              <a:avLst/>
                            </a:prstGeom>
                            <a:ln w="3175" cap="flat" cmpd="sng">
                              <a:solidFill>
                                <a:srgbClr val="000000"/>
                              </a:solidFill>
                              <a:prstDash val="solid"/>
                              <a:headEnd type="none" w="med" len="med"/>
                              <a:tailEnd type="none" w="med" len="med"/>
                            </a:ln>
                          </wps:spPr>
                          <wps:bodyPr upright="1"/>
                        </wps:wsp>
                        <wps:wsp>
                          <wps:cNvPr id="176" name="直接连接符 384"/>
                          <wps:cNvCnPr/>
                          <wps:spPr>
                            <a:xfrm flipH="1">
                              <a:off x="3327" y="9874"/>
                              <a:ext cx="334" cy="0"/>
                            </a:xfrm>
                            <a:prstGeom prst="line">
                              <a:avLst/>
                            </a:prstGeom>
                            <a:ln w="3175" cap="flat" cmpd="sng">
                              <a:solidFill>
                                <a:srgbClr val="000000"/>
                              </a:solidFill>
                              <a:prstDash val="solid"/>
                              <a:headEnd type="none" w="med" len="med"/>
                              <a:tailEnd type="none" w="med" len="med"/>
                            </a:ln>
                          </wps:spPr>
                          <wps:bodyPr upright="1"/>
                        </wps:wsp>
                        <wps:wsp>
                          <wps:cNvPr id="177" name="直接连接符 385"/>
                          <wps:cNvCnPr/>
                          <wps:spPr>
                            <a:xfrm>
                              <a:off x="3327" y="9140"/>
                              <a:ext cx="334" cy="0"/>
                            </a:xfrm>
                            <a:prstGeom prst="line">
                              <a:avLst/>
                            </a:prstGeom>
                            <a:ln w="3175" cap="flat" cmpd="sng">
                              <a:solidFill>
                                <a:srgbClr val="000000"/>
                              </a:solidFill>
                              <a:prstDash val="solid"/>
                              <a:headEnd type="none" w="med" len="med"/>
                              <a:tailEnd type="none" w="med" len="med"/>
                            </a:ln>
                          </wps:spPr>
                          <wps:bodyPr upright="1"/>
                        </wps:wsp>
                        <wps:wsp>
                          <wps:cNvPr id="178" name="直接连接符 386"/>
                          <wps:cNvCnPr/>
                          <wps:spPr>
                            <a:xfrm>
                              <a:off x="3327" y="8258"/>
                              <a:ext cx="334" cy="0"/>
                            </a:xfrm>
                            <a:prstGeom prst="line">
                              <a:avLst/>
                            </a:prstGeom>
                            <a:ln w="3175" cap="flat" cmpd="sng">
                              <a:solidFill>
                                <a:srgbClr val="000000"/>
                              </a:solidFill>
                              <a:prstDash val="solid"/>
                              <a:headEnd type="none" w="med" len="med"/>
                              <a:tailEnd type="none" w="med" len="med"/>
                            </a:ln>
                          </wps:spPr>
                          <wps:bodyPr upright="1"/>
                        </wps:wsp>
                        <wps:wsp>
                          <wps:cNvPr id="179" name="直接连接符 387"/>
                          <wps:cNvCnPr/>
                          <wps:spPr>
                            <a:xfrm>
                              <a:off x="3327" y="7671"/>
                              <a:ext cx="334" cy="0"/>
                            </a:xfrm>
                            <a:prstGeom prst="line">
                              <a:avLst/>
                            </a:prstGeom>
                            <a:ln w="3175" cap="flat" cmpd="sng">
                              <a:solidFill>
                                <a:srgbClr val="000000"/>
                              </a:solidFill>
                              <a:prstDash val="solid"/>
                              <a:headEnd type="none" w="med" len="med"/>
                              <a:tailEnd type="none" w="med" len="med"/>
                            </a:ln>
                          </wps:spPr>
                          <wps:bodyPr upright="1"/>
                        </wps:wsp>
                        <wps:wsp>
                          <wps:cNvPr id="180" name="直接连接符 388"/>
                          <wps:cNvCnPr/>
                          <wps:spPr>
                            <a:xfrm>
                              <a:off x="3327" y="6790"/>
                              <a:ext cx="334" cy="0"/>
                            </a:xfrm>
                            <a:prstGeom prst="line">
                              <a:avLst/>
                            </a:prstGeom>
                            <a:ln w="3175" cap="flat" cmpd="sng">
                              <a:solidFill>
                                <a:srgbClr val="000000"/>
                              </a:solidFill>
                              <a:prstDash val="solid"/>
                              <a:headEnd type="none" w="med" len="med"/>
                              <a:tailEnd type="none" w="med" len="med"/>
                            </a:ln>
                          </wps:spPr>
                          <wps:bodyPr upright="1"/>
                        </wps:wsp>
                        <wps:wsp>
                          <wps:cNvPr id="181" name="直接连接符 389"/>
                          <wps:cNvCnPr/>
                          <wps:spPr>
                            <a:xfrm>
                              <a:off x="3327" y="6055"/>
                              <a:ext cx="334" cy="0"/>
                            </a:xfrm>
                            <a:prstGeom prst="line">
                              <a:avLst/>
                            </a:prstGeom>
                            <a:ln w="3175" cap="flat" cmpd="sng">
                              <a:solidFill>
                                <a:srgbClr val="000000"/>
                              </a:solidFill>
                              <a:prstDash val="solid"/>
                              <a:headEnd type="none" w="med" len="med"/>
                              <a:tailEnd type="none" w="med" len="med"/>
                            </a:ln>
                          </wps:spPr>
                          <wps:bodyPr upright="1"/>
                        </wps:wsp>
                        <wps:wsp>
                          <wps:cNvPr id="182" name="直接连接符 390"/>
                          <wps:cNvCnPr/>
                          <wps:spPr>
                            <a:xfrm>
                              <a:off x="3327" y="5321"/>
                              <a:ext cx="334" cy="0"/>
                            </a:xfrm>
                            <a:prstGeom prst="line">
                              <a:avLst/>
                            </a:prstGeom>
                            <a:ln w="3175" cap="flat" cmpd="sng">
                              <a:solidFill>
                                <a:srgbClr val="000000"/>
                              </a:solidFill>
                              <a:prstDash val="solid"/>
                              <a:headEnd type="none" w="med" len="med"/>
                              <a:tailEnd type="none" w="med" len="med"/>
                            </a:ln>
                          </wps:spPr>
                          <wps:bodyPr upright="1"/>
                        </wps:wsp>
                        <wps:wsp>
                          <wps:cNvPr id="183" name="直接连接符 391"/>
                          <wps:cNvCnPr/>
                          <wps:spPr>
                            <a:xfrm>
                              <a:off x="3327" y="4587"/>
                              <a:ext cx="334" cy="0"/>
                            </a:xfrm>
                            <a:prstGeom prst="line">
                              <a:avLst/>
                            </a:prstGeom>
                            <a:ln w="3175" cap="flat" cmpd="sng">
                              <a:solidFill>
                                <a:srgbClr val="000000"/>
                              </a:solidFill>
                              <a:prstDash val="solid"/>
                              <a:headEnd type="none" w="med" len="med"/>
                              <a:tailEnd type="none" w="med" len="med"/>
                            </a:ln>
                          </wps:spPr>
                          <wps:bodyPr upright="1"/>
                        </wps:wsp>
                        <wps:wsp>
                          <wps:cNvPr id="184" name="直接连接符 392"/>
                          <wps:cNvCnPr/>
                          <wps:spPr>
                            <a:xfrm flipH="1">
                              <a:off x="3327" y="3999"/>
                              <a:ext cx="334" cy="0"/>
                            </a:xfrm>
                            <a:prstGeom prst="line">
                              <a:avLst/>
                            </a:prstGeom>
                            <a:ln w="3175" cap="flat" cmpd="sng">
                              <a:solidFill>
                                <a:srgbClr val="000000"/>
                              </a:solidFill>
                              <a:prstDash val="solid"/>
                              <a:headEnd type="none" w="med" len="med"/>
                              <a:tailEnd type="none" w="med" len="med"/>
                            </a:ln>
                          </wps:spPr>
                          <wps:bodyPr upright="1"/>
                        </wps:wsp>
                        <wps:wsp>
                          <wps:cNvPr id="185" name="直接连接符 393"/>
                          <wps:cNvCnPr/>
                          <wps:spPr>
                            <a:xfrm flipH="1">
                              <a:off x="3661" y="6055"/>
                              <a:ext cx="501" cy="0"/>
                            </a:xfrm>
                            <a:prstGeom prst="line">
                              <a:avLst/>
                            </a:prstGeom>
                            <a:ln w="3175" cap="flat" cmpd="sng">
                              <a:solidFill>
                                <a:srgbClr val="000000"/>
                              </a:solidFill>
                              <a:prstDash val="solid"/>
                              <a:headEnd type="none" w="med" len="med"/>
                              <a:tailEnd type="triangle" w="med" len="med"/>
                            </a:ln>
                          </wps:spPr>
                          <wps:bodyPr upright="1"/>
                        </wps:wsp>
                        <wps:wsp>
                          <wps:cNvPr id="186" name="直接连接符 394"/>
                          <wps:cNvCnPr/>
                          <wps:spPr>
                            <a:xfrm>
                              <a:off x="5498" y="3265"/>
                              <a:ext cx="0" cy="734"/>
                            </a:xfrm>
                            <a:prstGeom prst="line">
                              <a:avLst/>
                            </a:prstGeom>
                            <a:ln w="3175" cap="flat" cmpd="sng">
                              <a:solidFill>
                                <a:srgbClr val="000000"/>
                              </a:solidFill>
                              <a:prstDash val="solid"/>
                              <a:headEnd type="none" w="med" len="med"/>
                              <a:tailEnd type="triangle" w="med" len="med"/>
                            </a:ln>
                          </wps:spPr>
                          <wps:bodyPr upright="1"/>
                        </wps:wsp>
                        <wps:wsp>
                          <wps:cNvPr id="187" name="直接连接符 395"/>
                          <wps:cNvCnPr/>
                          <wps:spPr>
                            <a:xfrm>
                              <a:off x="4496" y="3999"/>
                              <a:ext cx="1837" cy="0"/>
                            </a:xfrm>
                            <a:prstGeom prst="line">
                              <a:avLst/>
                            </a:prstGeom>
                            <a:ln w="3175" cap="flat" cmpd="sng">
                              <a:solidFill>
                                <a:srgbClr val="000000"/>
                              </a:solidFill>
                              <a:prstDash val="solid"/>
                              <a:headEnd type="none" w="med" len="med"/>
                              <a:tailEnd type="none" w="med" len="med"/>
                            </a:ln>
                          </wps:spPr>
                          <wps:bodyPr upright="1"/>
                        </wps:wsp>
                        <wps:wsp>
                          <wps:cNvPr id="188" name="直接连接符 396"/>
                          <wps:cNvCnPr/>
                          <wps:spPr>
                            <a:xfrm>
                              <a:off x="4496" y="3999"/>
                              <a:ext cx="0" cy="1469"/>
                            </a:xfrm>
                            <a:prstGeom prst="line">
                              <a:avLst/>
                            </a:prstGeom>
                            <a:ln w="3175" cap="flat" cmpd="sng">
                              <a:solidFill>
                                <a:srgbClr val="000000"/>
                              </a:solidFill>
                              <a:prstDash val="solid"/>
                              <a:headEnd type="none" w="med" len="med"/>
                              <a:tailEnd type="triangle" w="med" len="med"/>
                            </a:ln>
                          </wps:spPr>
                          <wps:bodyPr upright="1"/>
                        </wps:wsp>
                        <wps:wsp>
                          <wps:cNvPr id="189" name="直接连接符 397"/>
                          <wps:cNvCnPr/>
                          <wps:spPr>
                            <a:xfrm>
                              <a:off x="6333" y="3999"/>
                              <a:ext cx="0" cy="1469"/>
                            </a:xfrm>
                            <a:prstGeom prst="line">
                              <a:avLst/>
                            </a:prstGeom>
                            <a:ln w="3175" cap="flat" cmpd="sng">
                              <a:solidFill>
                                <a:srgbClr val="000000"/>
                              </a:solidFill>
                              <a:prstDash val="solid"/>
                              <a:headEnd type="none" w="med" len="med"/>
                              <a:tailEnd type="triangle" w="med" len="med"/>
                            </a:ln>
                          </wps:spPr>
                          <wps:bodyPr upright="1"/>
                        </wps:wsp>
                        <wps:wsp>
                          <wps:cNvPr id="190" name="直接连接符 398"/>
                          <wps:cNvCnPr/>
                          <wps:spPr>
                            <a:xfrm>
                              <a:off x="8838" y="3558"/>
                              <a:ext cx="0" cy="588"/>
                            </a:xfrm>
                            <a:prstGeom prst="line">
                              <a:avLst/>
                            </a:prstGeom>
                            <a:ln w="3175" cap="flat" cmpd="sng">
                              <a:solidFill>
                                <a:srgbClr val="000000"/>
                              </a:solidFill>
                              <a:prstDash val="solid"/>
                              <a:headEnd type="none" w="med" len="med"/>
                              <a:tailEnd type="triangle" w="med" len="med"/>
                            </a:ln>
                          </wps:spPr>
                          <wps:bodyPr upright="1"/>
                        </wps:wsp>
                        <wps:wsp>
                          <wps:cNvPr id="191" name="直接连接符 399"/>
                          <wps:cNvCnPr/>
                          <wps:spPr>
                            <a:xfrm>
                              <a:off x="6833" y="6055"/>
                              <a:ext cx="335" cy="0"/>
                            </a:xfrm>
                            <a:prstGeom prst="line">
                              <a:avLst/>
                            </a:prstGeom>
                            <a:ln w="3175" cap="flat" cmpd="sng">
                              <a:solidFill>
                                <a:srgbClr val="000000"/>
                              </a:solidFill>
                              <a:prstDash val="solid"/>
                              <a:headEnd type="none" w="med" len="med"/>
                              <a:tailEnd type="none" w="med" len="med"/>
                            </a:ln>
                          </wps:spPr>
                          <wps:bodyPr upright="1"/>
                        </wps:wsp>
                        <wps:wsp>
                          <wps:cNvPr id="192" name="直接连接符 400"/>
                          <wps:cNvCnPr/>
                          <wps:spPr>
                            <a:xfrm flipV="1">
                              <a:off x="7168" y="3558"/>
                              <a:ext cx="0" cy="2497"/>
                            </a:xfrm>
                            <a:prstGeom prst="line">
                              <a:avLst/>
                            </a:prstGeom>
                            <a:ln w="3175" cap="flat" cmpd="sng">
                              <a:solidFill>
                                <a:srgbClr val="000000"/>
                              </a:solidFill>
                              <a:prstDash val="solid"/>
                              <a:headEnd type="none" w="med" len="med"/>
                              <a:tailEnd type="none" w="med" len="med"/>
                            </a:ln>
                          </wps:spPr>
                          <wps:bodyPr upright="1"/>
                        </wps:wsp>
                        <wps:wsp>
                          <wps:cNvPr id="193" name="直接连接符 401"/>
                          <wps:cNvCnPr/>
                          <wps:spPr>
                            <a:xfrm>
                              <a:off x="7168" y="3558"/>
                              <a:ext cx="1670" cy="0"/>
                            </a:xfrm>
                            <a:prstGeom prst="line">
                              <a:avLst/>
                            </a:prstGeom>
                            <a:ln w="3175" cap="flat" cmpd="sng">
                              <a:solidFill>
                                <a:srgbClr val="000000"/>
                              </a:solidFill>
                              <a:prstDash val="solid"/>
                              <a:headEnd type="none" w="med" len="med"/>
                              <a:tailEnd type="none" w="med" len="med"/>
                            </a:ln>
                          </wps:spPr>
                          <wps:bodyPr upright="1"/>
                        </wps:wsp>
                        <wps:wsp>
                          <wps:cNvPr id="194" name="直接连接符 402"/>
                          <wps:cNvCnPr/>
                          <wps:spPr>
                            <a:xfrm>
                              <a:off x="8838" y="4880"/>
                              <a:ext cx="0" cy="1175"/>
                            </a:xfrm>
                            <a:prstGeom prst="line">
                              <a:avLst/>
                            </a:prstGeom>
                            <a:ln w="3175" cap="flat" cmpd="sng">
                              <a:solidFill>
                                <a:srgbClr val="000000"/>
                              </a:solidFill>
                              <a:prstDash val="solid"/>
                              <a:headEnd type="none" w="med" len="med"/>
                              <a:tailEnd type="triangle" w="med" len="med"/>
                            </a:ln>
                          </wps:spPr>
                          <wps:bodyPr upright="1"/>
                        </wps:wsp>
                        <wps:wsp>
                          <wps:cNvPr id="195" name="直接连接符 403"/>
                          <wps:cNvCnPr/>
                          <wps:spPr>
                            <a:xfrm>
                              <a:off x="8838" y="6496"/>
                              <a:ext cx="0" cy="881"/>
                            </a:xfrm>
                            <a:prstGeom prst="line">
                              <a:avLst/>
                            </a:prstGeom>
                            <a:ln w="3175" cap="flat" cmpd="sng">
                              <a:solidFill>
                                <a:srgbClr val="000000"/>
                              </a:solidFill>
                              <a:prstDash val="solid"/>
                              <a:headEnd type="none" w="med" len="med"/>
                              <a:tailEnd type="triangle" w="med" len="med"/>
                            </a:ln>
                          </wps:spPr>
                          <wps:bodyPr upright="1"/>
                        </wps:wsp>
                        <wps:wsp>
                          <wps:cNvPr id="196" name="直接连接符 404"/>
                          <wps:cNvCnPr/>
                          <wps:spPr>
                            <a:xfrm>
                              <a:off x="8838" y="8112"/>
                              <a:ext cx="0" cy="881"/>
                            </a:xfrm>
                            <a:prstGeom prst="line">
                              <a:avLst/>
                            </a:prstGeom>
                            <a:ln w="3175" cap="flat" cmpd="sng">
                              <a:solidFill>
                                <a:srgbClr val="000000"/>
                              </a:solidFill>
                              <a:prstDash val="solid"/>
                              <a:headEnd type="none" w="med" len="med"/>
                              <a:tailEnd type="triangle" w="med" len="med"/>
                            </a:ln>
                          </wps:spPr>
                          <wps:bodyPr upright="1"/>
                        </wps:wsp>
                        <wps:wsp>
                          <wps:cNvPr id="197" name="直接连接符 405"/>
                          <wps:cNvCnPr/>
                          <wps:spPr>
                            <a:xfrm>
                              <a:off x="8838" y="9727"/>
                              <a:ext cx="0" cy="441"/>
                            </a:xfrm>
                            <a:prstGeom prst="line">
                              <a:avLst/>
                            </a:prstGeom>
                            <a:ln w="3175" cap="flat" cmpd="sng">
                              <a:solidFill>
                                <a:srgbClr val="000000"/>
                              </a:solidFill>
                              <a:prstDash val="solid"/>
                              <a:headEnd type="none" w="med" len="med"/>
                              <a:tailEnd type="triangle" w="med" len="med"/>
                            </a:ln>
                          </wps:spPr>
                          <wps:bodyPr upright="1"/>
                        </wps:wsp>
                        <wps:wsp>
                          <wps:cNvPr id="198" name="直接连接符 406"/>
                          <wps:cNvCnPr/>
                          <wps:spPr>
                            <a:xfrm>
                              <a:off x="8003" y="10168"/>
                              <a:ext cx="1670" cy="0"/>
                            </a:xfrm>
                            <a:prstGeom prst="line">
                              <a:avLst/>
                            </a:prstGeom>
                            <a:ln w="3175" cap="flat" cmpd="sng">
                              <a:solidFill>
                                <a:srgbClr val="000000"/>
                              </a:solidFill>
                              <a:prstDash val="solid"/>
                              <a:headEnd type="none" w="med" len="med"/>
                              <a:tailEnd type="none" w="med" len="med"/>
                            </a:ln>
                          </wps:spPr>
                          <wps:bodyPr upright="1"/>
                        </wps:wsp>
                        <wps:wsp>
                          <wps:cNvPr id="199" name="直接连接符 407"/>
                          <wps:cNvCnPr/>
                          <wps:spPr>
                            <a:xfrm>
                              <a:off x="9673" y="10168"/>
                              <a:ext cx="0" cy="587"/>
                            </a:xfrm>
                            <a:prstGeom prst="line">
                              <a:avLst/>
                            </a:prstGeom>
                            <a:ln w="3175" cap="flat" cmpd="sng">
                              <a:solidFill>
                                <a:srgbClr val="000000"/>
                              </a:solidFill>
                              <a:prstDash val="solid"/>
                              <a:headEnd type="none" w="med" len="med"/>
                              <a:tailEnd type="triangle" w="med" len="med"/>
                            </a:ln>
                          </wps:spPr>
                          <wps:bodyPr upright="1"/>
                        </wps:wsp>
                        <wps:wsp>
                          <wps:cNvPr id="200" name="直接连接符 408"/>
                          <wps:cNvCnPr/>
                          <wps:spPr>
                            <a:xfrm>
                              <a:off x="8003" y="10168"/>
                              <a:ext cx="0" cy="587"/>
                            </a:xfrm>
                            <a:prstGeom prst="line">
                              <a:avLst/>
                            </a:prstGeom>
                            <a:ln w="3175" cap="flat" cmpd="sng">
                              <a:solidFill>
                                <a:srgbClr val="000000"/>
                              </a:solidFill>
                              <a:prstDash val="solid"/>
                              <a:headEnd type="none" w="med" len="med"/>
                              <a:tailEnd type="triangle" w="med" len="med"/>
                            </a:ln>
                          </wps:spPr>
                          <wps:bodyPr upright="1"/>
                        </wps:wsp>
                        <wps:wsp>
                          <wps:cNvPr id="201" name="直接连接符 409"/>
                          <wps:cNvCnPr/>
                          <wps:spPr>
                            <a:xfrm>
                              <a:off x="8003" y="12518"/>
                              <a:ext cx="1670" cy="0"/>
                            </a:xfrm>
                            <a:prstGeom prst="line">
                              <a:avLst/>
                            </a:prstGeom>
                            <a:ln w="3175" cap="flat" cmpd="sng">
                              <a:solidFill>
                                <a:srgbClr val="000000"/>
                              </a:solidFill>
                              <a:prstDash val="solid"/>
                              <a:headEnd type="none" w="med" len="med"/>
                              <a:tailEnd type="none" w="med" len="med"/>
                            </a:ln>
                          </wps:spPr>
                          <wps:bodyPr upright="1"/>
                        </wps:wsp>
                        <wps:wsp>
                          <wps:cNvPr id="202" name="直接连接符 410"/>
                          <wps:cNvCnPr/>
                          <wps:spPr>
                            <a:xfrm flipV="1">
                              <a:off x="9673" y="12077"/>
                              <a:ext cx="0" cy="441"/>
                            </a:xfrm>
                            <a:prstGeom prst="line">
                              <a:avLst/>
                            </a:prstGeom>
                            <a:ln w="3175" cap="flat" cmpd="sng">
                              <a:solidFill>
                                <a:srgbClr val="000000"/>
                              </a:solidFill>
                              <a:prstDash val="solid"/>
                              <a:headEnd type="none" w="med" len="med"/>
                              <a:tailEnd type="none" w="med" len="med"/>
                            </a:ln>
                          </wps:spPr>
                          <wps:bodyPr upright="1"/>
                        </wps:wsp>
                        <wps:wsp>
                          <wps:cNvPr id="203" name="直接连接符 411"/>
                          <wps:cNvCnPr/>
                          <wps:spPr>
                            <a:xfrm flipV="1">
                              <a:off x="8003" y="12077"/>
                              <a:ext cx="0" cy="441"/>
                            </a:xfrm>
                            <a:prstGeom prst="line">
                              <a:avLst/>
                            </a:prstGeom>
                            <a:ln w="3175" cap="flat" cmpd="sng">
                              <a:solidFill>
                                <a:srgbClr val="000000"/>
                              </a:solidFill>
                              <a:prstDash val="solid"/>
                              <a:headEnd type="none" w="med" len="med"/>
                              <a:tailEnd type="none" w="med" len="med"/>
                            </a:ln>
                          </wps:spPr>
                          <wps:bodyPr upright="1"/>
                        </wps:wsp>
                        <wps:wsp>
                          <wps:cNvPr id="204" name="直接连接符 412"/>
                          <wps:cNvCnPr/>
                          <wps:spPr>
                            <a:xfrm>
                              <a:off x="3995" y="12812"/>
                              <a:ext cx="2338" cy="0"/>
                            </a:xfrm>
                            <a:prstGeom prst="line">
                              <a:avLst/>
                            </a:prstGeom>
                            <a:ln w="3175" cap="flat" cmpd="sng">
                              <a:solidFill>
                                <a:srgbClr val="000000"/>
                              </a:solidFill>
                              <a:prstDash val="solid"/>
                              <a:headEnd type="none" w="med" len="med"/>
                              <a:tailEnd type="none" w="med" len="med"/>
                            </a:ln>
                          </wps:spPr>
                          <wps:bodyPr upright="1"/>
                        </wps:wsp>
                        <wps:wsp>
                          <wps:cNvPr id="205" name="直接连接符 413"/>
                          <wps:cNvCnPr/>
                          <wps:spPr>
                            <a:xfrm flipV="1">
                              <a:off x="3995" y="12518"/>
                              <a:ext cx="0" cy="294"/>
                            </a:xfrm>
                            <a:prstGeom prst="line">
                              <a:avLst/>
                            </a:prstGeom>
                            <a:ln w="3175" cap="flat" cmpd="sng">
                              <a:solidFill>
                                <a:srgbClr val="000000"/>
                              </a:solidFill>
                              <a:prstDash val="solid"/>
                              <a:headEnd type="none" w="med" len="med"/>
                              <a:tailEnd type="none" w="med" len="med"/>
                            </a:ln>
                          </wps:spPr>
                          <wps:bodyPr upright="1"/>
                        </wps:wsp>
                        <wps:wsp>
                          <wps:cNvPr id="206" name="直接连接符 414"/>
                          <wps:cNvCnPr/>
                          <wps:spPr>
                            <a:xfrm flipV="1">
                              <a:off x="6333" y="12518"/>
                              <a:ext cx="0" cy="294"/>
                            </a:xfrm>
                            <a:prstGeom prst="line">
                              <a:avLst/>
                            </a:prstGeom>
                            <a:ln w="3175" cap="flat" cmpd="sng">
                              <a:solidFill>
                                <a:srgbClr val="000000"/>
                              </a:solidFill>
                              <a:prstDash val="solid"/>
                              <a:headEnd type="none" w="med" len="med"/>
                              <a:tailEnd type="none" w="med" len="med"/>
                            </a:ln>
                          </wps:spPr>
                          <wps:bodyPr upright="1"/>
                        </wps:wsp>
                        <wps:wsp>
                          <wps:cNvPr id="207" name="直接连接符 415"/>
                          <wps:cNvCnPr/>
                          <wps:spPr>
                            <a:xfrm flipV="1">
                              <a:off x="5164" y="12812"/>
                              <a:ext cx="0" cy="440"/>
                            </a:xfrm>
                            <a:prstGeom prst="line">
                              <a:avLst/>
                            </a:prstGeom>
                            <a:ln w="3175" cap="flat" cmpd="sng">
                              <a:solidFill>
                                <a:srgbClr val="000000"/>
                              </a:solidFill>
                              <a:prstDash val="solid"/>
                              <a:headEnd type="none" w="med" len="med"/>
                              <a:tailEnd type="none" w="med" len="med"/>
                            </a:ln>
                          </wps:spPr>
                          <wps:bodyPr upright="1"/>
                        </wps:wsp>
                        <wps:wsp>
                          <wps:cNvPr id="208" name="直接连接符 416"/>
                          <wps:cNvCnPr/>
                          <wps:spPr>
                            <a:xfrm>
                              <a:off x="4329" y="11490"/>
                              <a:ext cx="2338" cy="0"/>
                            </a:xfrm>
                            <a:prstGeom prst="line">
                              <a:avLst/>
                            </a:prstGeom>
                            <a:ln w="3175" cap="flat" cmpd="sng">
                              <a:solidFill>
                                <a:srgbClr val="000000"/>
                              </a:solidFill>
                              <a:prstDash val="solid"/>
                              <a:headEnd type="none" w="med" len="med"/>
                              <a:tailEnd type="none" w="med" len="med"/>
                            </a:ln>
                          </wps:spPr>
                          <wps:bodyPr upright="1"/>
                        </wps:wsp>
                        <wps:wsp>
                          <wps:cNvPr id="209" name="直接连接符 417"/>
                          <wps:cNvCnPr/>
                          <wps:spPr>
                            <a:xfrm flipV="1">
                              <a:off x="4329" y="11196"/>
                              <a:ext cx="0" cy="294"/>
                            </a:xfrm>
                            <a:prstGeom prst="line">
                              <a:avLst/>
                            </a:prstGeom>
                            <a:ln w="3175" cap="flat" cmpd="sng">
                              <a:solidFill>
                                <a:srgbClr val="000000"/>
                              </a:solidFill>
                              <a:prstDash val="solid"/>
                              <a:headEnd type="none" w="med" len="med"/>
                              <a:tailEnd type="none" w="med" len="med"/>
                            </a:ln>
                          </wps:spPr>
                          <wps:bodyPr upright="1"/>
                        </wps:wsp>
                        <wps:wsp>
                          <wps:cNvPr id="210" name="直接连接符 418"/>
                          <wps:cNvCnPr/>
                          <wps:spPr>
                            <a:xfrm flipV="1">
                              <a:off x="6667" y="11196"/>
                              <a:ext cx="0" cy="294"/>
                            </a:xfrm>
                            <a:prstGeom prst="line">
                              <a:avLst/>
                            </a:prstGeom>
                            <a:ln w="3175" cap="flat" cmpd="sng">
                              <a:solidFill>
                                <a:srgbClr val="000000"/>
                              </a:solidFill>
                              <a:prstDash val="solid"/>
                              <a:headEnd type="none" w="med" len="med"/>
                              <a:tailEnd type="none" w="med" len="med"/>
                            </a:ln>
                          </wps:spPr>
                          <wps:bodyPr upright="1"/>
                        </wps:wsp>
                        <wps:wsp>
                          <wps:cNvPr id="211" name="直接连接符 419"/>
                          <wps:cNvCnPr/>
                          <wps:spPr>
                            <a:xfrm flipV="1">
                              <a:off x="4997" y="11196"/>
                              <a:ext cx="0" cy="294"/>
                            </a:xfrm>
                            <a:prstGeom prst="line">
                              <a:avLst/>
                            </a:prstGeom>
                            <a:ln w="3175" cap="flat" cmpd="sng">
                              <a:solidFill>
                                <a:srgbClr val="000000"/>
                              </a:solidFill>
                              <a:prstDash val="solid"/>
                              <a:headEnd type="none" w="med" len="med"/>
                              <a:tailEnd type="none" w="med" len="med"/>
                            </a:ln>
                          </wps:spPr>
                          <wps:bodyPr upright="1"/>
                        </wps:wsp>
                        <wps:wsp>
                          <wps:cNvPr id="212" name="直接连接符 420"/>
                          <wps:cNvCnPr/>
                          <wps:spPr>
                            <a:xfrm flipV="1">
                              <a:off x="5999" y="11196"/>
                              <a:ext cx="0" cy="294"/>
                            </a:xfrm>
                            <a:prstGeom prst="line">
                              <a:avLst/>
                            </a:prstGeom>
                            <a:ln w="3175" cap="flat" cmpd="sng">
                              <a:solidFill>
                                <a:srgbClr val="000000"/>
                              </a:solidFill>
                              <a:prstDash val="solid"/>
                              <a:headEnd type="none" w="med" len="med"/>
                              <a:tailEnd type="none" w="med" len="med"/>
                            </a:ln>
                          </wps:spPr>
                          <wps:bodyPr upright="1"/>
                        </wps:wsp>
                        <wps:wsp>
                          <wps:cNvPr id="213" name="直接连接符 421"/>
                          <wps:cNvCnPr/>
                          <wps:spPr>
                            <a:xfrm>
                              <a:off x="3995" y="11784"/>
                              <a:ext cx="2338" cy="0"/>
                            </a:xfrm>
                            <a:prstGeom prst="line">
                              <a:avLst/>
                            </a:prstGeom>
                            <a:ln w="3175" cap="flat" cmpd="sng">
                              <a:solidFill>
                                <a:srgbClr val="000000"/>
                              </a:solidFill>
                              <a:prstDash val="solid"/>
                              <a:headEnd type="none" w="med" len="med"/>
                              <a:tailEnd type="none" w="med" len="med"/>
                            </a:ln>
                          </wps:spPr>
                          <wps:bodyPr upright="1"/>
                        </wps:wsp>
                        <wps:wsp>
                          <wps:cNvPr id="214" name="直接连接符 422"/>
                          <wps:cNvCnPr/>
                          <wps:spPr>
                            <a:xfrm>
                              <a:off x="3995" y="11784"/>
                              <a:ext cx="0" cy="293"/>
                            </a:xfrm>
                            <a:prstGeom prst="line">
                              <a:avLst/>
                            </a:prstGeom>
                            <a:ln w="3175" cap="flat" cmpd="sng">
                              <a:solidFill>
                                <a:srgbClr val="000000"/>
                              </a:solidFill>
                              <a:prstDash val="solid"/>
                              <a:headEnd type="none" w="med" len="med"/>
                              <a:tailEnd type="none" w="med" len="med"/>
                            </a:ln>
                          </wps:spPr>
                          <wps:bodyPr upright="1"/>
                        </wps:wsp>
                        <wps:wsp>
                          <wps:cNvPr id="215" name="直接连接符 423"/>
                          <wps:cNvCnPr/>
                          <wps:spPr>
                            <a:xfrm>
                              <a:off x="6333" y="11784"/>
                              <a:ext cx="0" cy="293"/>
                            </a:xfrm>
                            <a:prstGeom prst="line">
                              <a:avLst/>
                            </a:prstGeom>
                            <a:ln w="3175" cap="flat" cmpd="sng">
                              <a:solidFill>
                                <a:srgbClr val="000000"/>
                              </a:solidFill>
                              <a:prstDash val="solid"/>
                              <a:headEnd type="none" w="med" len="med"/>
                              <a:tailEnd type="none" w="med" len="med"/>
                            </a:ln>
                          </wps:spPr>
                          <wps:bodyPr upright="1"/>
                        </wps:wsp>
                        <wps:wsp>
                          <wps:cNvPr id="216" name="直接连接符 424"/>
                          <wps:cNvCnPr/>
                          <wps:spPr>
                            <a:xfrm>
                              <a:off x="5331" y="11490"/>
                              <a:ext cx="0" cy="294"/>
                            </a:xfrm>
                            <a:prstGeom prst="line">
                              <a:avLst/>
                            </a:prstGeom>
                            <a:ln w="3175" cap="flat" cmpd="sng">
                              <a:solidFill>
                                <a:srgbClr val="000000"/>
                              </a:solidFill>
                              <a:prstDash val="solid"/>
                              <a:headEnd type="none" w="med" len="med"/>
                              <a:tailEnd type="none" w="med" len="med"/>
                            </a:ln>
                          </wps:spPr>
                          <wps:bodyPr upright="1"/>
                        </wps:wsp>
                        <wps:wsp>
                          <wps:cNvPr id="217" name="直接连接符 425"/>
                          <wps:cNvCnPr/>
                          <wps:spPr>
                            <a:xfrm>
                              <a:off x="4329" y="9140"/>
                              <a:ext cx="2338" cy="0"/>
                            </a:xfrm>
                            <a:prstGeom prst="line">
                              <a:avLst/>
                            </a:prstGeom>
                            <a:ln w="3175" cap="flat" cmpd="sng">
                              <a:solidFill>
                                <a:srgbClr val="000000"/>
                              </a:solidFill>
                              <a:prstDash val="solid"/>
                              <a:headEnd type="none" w="med" len="med"/>
                              <a:tailEnd type="none" w="med" len="med"/>
                            </a:ln>
                          </wps:spPr>
                          <wps:bodyPr upright="1"/>
                        </wps:wsp>
                        <wps:wsp>
                          <wps:cNvPr id="218" name="直接连接符 426"/>
                          <wps:cNvCnPr/>
                          <wps:spPr>
                            <a:xfrm>
                              <a:off x="4329" y="9140"/>
                              <a:ext cx="0" cy="587"/>
                            </a:xfrm>
                            <a:prstGeom prst="line">
                              <a:avLst/>
                            </a:prstGeom>
                            <a:ln w="3175" cap="flat" cmpd="sng">
                              <a:solidFill>
                                <a:srgbClr val="000000"/>
                              </a:solidFill>
                              <a:prstDash val="solid"/>
                              <a:headEnd type="none" w="med" len="med"/>
                              <a:tailEnd type="triangle" w="med" len="med"/>
                            </a:ln>
                          </wps:spPr>
                          <wps:bodyPr upright="1"/>
                        </wps:wsp>
                        <wps:wsp>
                          <wps:cNvPr id="219" name="直接连接符 427"/>
                          <wps:cNvCnPr/>
                          <wps:spPr>
                            <a:xfrm>
                              <a:off x="6667" y="9140"/>
                              <a:ext cx="0" cy="587"/>
                            </a:xfrm>
                            <a:prstGeom prst="line">
                              <a:avLst/>
                            </a:prstGeom>
                            <a:ln w="3175" cap="flat" cmpd="sng">
                              <a:solidFill>
                                <a:srgbClr val="000000"/>
                              </a:solidFill>
                              <a:prstDash val="solid"/>
                              <a:headEnd type="none" w="med" len="med"/>
                              <a:tailEnd type="triangle" w="med" len="med"/>
                            </a:ln>
                          </wps:spPr>
                          <wps:bodyPr upright="1"/>
                        </wps:wsp>
                        <wps:wsp>
                          <wps:cNvPr id="220" name="直接连接符 428"/>
                          <wps:cNvCnPr/>
                          <wps:spPr>
                            <a:xfrm>
                              <a:off x="5164" y="9140"/>
                              <a:ext cx="0" cy="587"/>
                            </a:xfrm>
                            <a:prstGeom prst="line">
                              <a:avLst/>
                            </a:prstGeom>
                            <a:ln w="3175" cap="flat" cmpd="sng">
                              <a:solidFill>
                                <a:srgbClr val="000000"/>
                              </a:solidFill>
                              <a:prstDash val="solid"/>
                              <a:headEnd type="none" w="med" len="med"/>
                              <a:tailEnd type="triangle" w="med" len="med"/>
                            </a:ln>
                          </wps:spPr>
                          <wps:bodyPr upright="1"/>
                        </wps:wsp>
                        <wps:wsp>
                          <wps:cNvPr id="221" name="直接连接符 429"/>
                          <wps:cNvCnPr/>
                          <wps:spPr>
                            <a:xfrm>
                              <a:off x="5832" y="9140"/>
                              <a:ext cx="0" cy="587"/>
                            </a:xfrm>
                            <a:prstGeom prst="line">
                              <a:avLst/>
                            </a:prstGeom>
                            <a:ln w="3175" cap="flat" cmpd="sng">
                              <a:solidFill>
                                <a:srgbClr val="000000"/>
                              </a:solidFill>
                              <a:prstDash val="solid"/>
                              <a:headEnd type="none" w="med" len="med"/>
                              <a:tailEnd type="triangle" w="med" len="med"/>
                            </a:ln>
                          </wps:spPr>
                          <wps:bodyPr upright="1"/>
                        </wps:wsp>
                        <wps:wsp>
                          <wps:cNvPr id="222" name="直接连接符 430"/>
                          <wps:cNvCnPr/>
                          <wps:spPr>
                            <a:xfrm>
                              <a:off x="5498" y="8552"/>
                              <a:ext cx="0" cy="588"/>
                            </a:xfrm>
                            <a:prstGeom prst="line">
                              <a:avLst/>
                            </a:prstGeom>
                            <a:ln w="3175" cap="flat" cmpd="sng">
                              <a:solidFill>
                                <a:srgbClr val="000000"/>
                              </a:solidFill>
                              <a:prstDash val="solid"/>
                              <a:headEnd type="none" w="med" len="med"/>
                              <a:tailEnd type="triangle" w="med" len="med"/>
                            </a:ln>
                          </wps:spPr>
                          <wps:bodyPr upright="1"/>
                        </wps:wsp>
                        <wps:wsp>
                          <wps:cNvPr id="223" name="直接连接符 431"/>
                          <wps:cNvCnPr/>
                          <wps:spPr>
                            <a:xfrm>
                              <a:off x="5498" y="7377"/>
                              <a:ext cx="0" cy="441"/>
                            </a:xfrm>
                            <a:prstGeom prst="line">
                              <a:avLst/>
                            </a:prstGeom>
                            <a:ln w="3175" cap="flat" cmpd="sng">
                              <a:solidFill>
                                <a:srgbClr val="000000"/>
                              </a:solidFill>
                              <a:prstDash val="solid"/>
                              <a:headEnd type="none" w="med" len="med"/>
                              <a:tailEnd type="triangle" w="med" len="med"/>
                            </a:ln>
                          </wps:spPr>
                          <wps:bodyPr upright="1"/>
                        </wps:wsp>
                        <wps:wsp>
                          <wps:cNvPr id="224" name="直接连接符 432"/>
                          <wps:cNvCnPr/>
                          <wps:spPr>
                            <a:xfrm>
                              <a:off x="5498" y="7377"/>
                              <a:ext cx="1837" cy="0"/>
                            </a:xfrm>
                            <a:prstGeom prst="line">
                              <a:avLst/>
                            </a:prstGeom>
                            <a:ln w="3175" cap="flat" cmpd="sng">
                              <a:solidFill>
                                <a:srgbClr val="000000"/>
                              </a:solidFill>
                              <a:prstDash val="solid"/>
                              <a:headEnd type="none" w="med" len="med"/>
                              <a:tailEnd type="none" w="med" len="med"/>
                            </a:ln>
                          </wps:spPr>
                          <wps:bodyPr upright="1"/>
                        </wps:wsp>
                        <wps:wsp>
                          <wps:cNvPr id="225" name="直接连接符 433"/>
                          <wps:cNvCnPr/>
                          <wps:spPr>
                            <a:xfrm>
                              <a:off x="7335" y="7377"/>
                              <a:ext cx="0" cy="5728"/>
                            </a:xfrm>
                            <a:prstGeom prst="line">
                              <a:avLst/>
                            </a:prstGeom>
                            <a:ln w="3175" cap="flat" cmpd="sng">
                              <a:solidFill>
                                <a:srgbClr val="000000"/>
                              </a:solidFill>
                              <a:prstDash val="solid"/>
                              <a:headEnd type="none" w="med" len="med"/>
                              <a:tailEnd type="none" w="med" len="med"/>
                            </a:ln>
                          </wps:spPr>
                          <wps:bodyPr upright="1"/>
                        </wps:wsp>
                        <wps:wsp>
                          <wps:cNvPr id="226" name="直接连接符 434"/>
                          <wps:cNvCnPr/>
                          <wps:spPr>
                            <a:xfrm>
                              <a:off x="7335" y="13105"/>
                              <a:ext cx="1503" cy="0"/>
                            </a:xfrm>
                            <a:prstGeom prst="line">
                              <a:avLst/>
                            </a:prstGeom>
                            <a:ln w="3175" cap="flat" cmpd="sng">
                              <a:solidFill>
                                <a:srgbClr val="000000"/>
                              </a:solidFill>
                              <a:prstDash val="solid"/>
                              <a:headEnd type="none" w="med" len="med"/>
                              <a:tailEnd type="none" w="med" len="med"/>
                            </a:ln>
                          </wps:spPr>
                          <wps:bodyPr upright="1"/>
                        </wps:wsp>
                        <wps:wsp>
                          <wps:cNvPr id="227" name="直接连接符 435"/>
                          <wps:cNvCnPr/>
                          <wps:spPr>
                            <a:xfrm flipV="1">
                              <a:off x="8838" y="12518"/>
                              <a:ext cx="0" cy="587"/>
                            </a:xfrm>
                            <a:prstGeom prst="line">
                              <a:avLst/>
                            </a:prstGeom>
                            <a:ln w="3175" cap="flat" cmpd="sng">
                              <a:solidFill>
                                <a:srgbClr val="000000"/>
                              </a:solidFill>
                              <a:prstDash val="solid"/>
                              <a:headEnd type="none" w="med" len="med"/>
                              <a:tailEnd type="none" w="med" len="med"/>
                            </a:ln>
                          </wps:spPr>
                          <wps:bodyPr upright="1"/>
                        </wps:wsp>
                        <wps:wsp>
                          <wps:cNvPr id="228" name="文本框 5"/>
                          <wps:cNvSpPr txBox="1"/>
                          <wps:spPr>
                            <a:xfrm>
                              <a:off x="1525" y="10564"/>
                              <a:ext cx="1837" cy="44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DE0129D">
                                <w:pPr>
                                  <w:pStyle w:val="105"/>
                                </w:pPr>
                                <w:r>
                                  <w:rPr>
                                    <w:rFonts w:hint="eastAsia"/>
                                  </w:rPr>
                                  <w:t>工程首件制度</w:t>
                                </w:r>
                              </w:p>
                            </w:txbxContent>
                          </wps:txbx>
                          <wps:bodyPr upright="1"/>
                        </wps:wsp>
                      </wpg:grpSp>
                      <wps:wsp>
                        <wps:cNvPr id="230" name="直线 1649"/>
                        <wps:cNvCnPr/>
                        <wps:spPr>
                          <a:xfrm>
                            <a:off x="5755" y="5251433"/>
                            <a:ext cx="300" cy="14"/>
                          </a:xfrm>
                          <a:prstGeom prst="line">
                            <a:avLst/>
                          </a:prstGeom>
                          <a:ln w="3175" cap="flat" cmpd="sng">
                            <a:solidFill>
                              <a:srgbClr val="000000"/>
                            </a:solidFill>
                            <a:prstDash val="solid"/>
                            <a:headEnd type="none" w="med" len="med"/>
                            <a:tailEnd type="none" w="med" len="med"/>
                          </a:ln>
                        </wps:spPr>
                        <wps:bodyPr upright="1"/>
                      </wps:wsp>
                    </wpg:wgp>
                  </a:graphicData>
                </a:graphic>
              </wp:inline>
            </w:drawing>
          </mc:Choice>
          <mc:Fallback>
            <w:pict>
              <v:group id="组合 1064" o:spid="_x0000_s1026" o:spt="203" style="height:536.35pt;width:378.9pt;" coordorigin="3719,5243734" coordsize="8960,10538" o:gfxdata="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">
                <o:lock v:ext="edit" aspectratio="f"/>
                <v:group id="组合 729" o:spid="_x0000_s1026" o:spt="203" style="position:absolute;left:3719;top:5243734;height:10539;width:8961;" coordorigin="1490,2824" coordsize="8350,10852" o:gfxdata="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wCVC+AAAA3AAAAA8AAAAAAAAAAQAgAAAAIgAAAGRycy9kb3ducmV2Lnht&#10;bFBLAQIUABQAAAAIAIdO4kAzLwWeOwAAADkAAAAVAAAAAAAAAAEAIAAAAA0BAABkcnMvZ3JvdXBz&#10;aGFwZXhtbC54bWxQSwUGAAAAAAYABgBgAQAAygMAAAAA&#10;">
                  <o:lock v:ext="edit" aspectratio="f"/>
                  <v:shape id="文本框 319" o:spid="_x0000_s1026" o:spt="202" type="#_x0000_t202" style="position:absolute;left:3828;top:2824;height:441;width:3340;" fillcolor="#C6D9F1" filled="t" stroked="t" coordsize="21600,21600" o:gfxdata="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M5Bv7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7BF60902">
                          <w:pPr>
                            <w:pStyle w:val="105"/>
                          </w:pPr>
                          <w:r>
                            <w:rPr>
                              <w:rFonts w:hint="eastAsia"/>
                            </w:rPr>
                            <w:t>施工技术管理工作保证体系</w:t>
                          </w:r>
                        </w:p>
                      </w:txbxContent>
                    </v:textbox>
                  </v:shape>
                  <v:shape id="文本框 338" o:spid="_x0000_s1026" o:spt="202" type="#_x0000_t202" style="position:absolute;left:1490;top:3705;height:441;width:1837;" fillcolor="#C6D9F1" filled="t" stroked="t" coordsize="21600,21600" o:gfxdata="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C1+/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6BFB6232">
                          <w:pPr>
                            <w:pStyle w:val="105"/>
                          </w:pPr>
                          <w:r>
                            <w:rPr>
                              <w:rFonts w:hint="eastAsia"/>
                            </w:rPr>
                            <w:t>技术责任制</w:t>
                          </w:r>
                        </w:p>
                      </w:txbxContent>
                    </v:textbox>
                  </v:shape>
                  <v:shape id="文本框 339" o:spid="_x0000_s1026" o:spt="202" type="#_x0000_t202" style="position:absolute;left:1490;top:4440;height:440;width:1837;" fillcolor="#C6D9F1" filled="t" stroked="t" coordsize="21600,21600" o:gfxdata="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9h22S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7D0757A3">
                          <w:pPr>
                            <w:pStyle w:val="105"/>
                          </w:pPr>
                          <w:r>
                            <w:rPr>
                              <w:rFonts w:hint="eastAsia"/>
                            </w:rPr>
                            <w:t>图纸会审制</w:t>
                          </w:r>
                        </w:p>
                      </w:txbxContent>
                    </v:textbox>
                  </v:shape>
                  <v:shape id="文本框 340" o:spid="_x0000_s1026" o:spt="202" type="#_x0000_t202" style="position:absolute;left:1490;top:5174;height:441;width:1837;" fillcolor="#C6D9F1" filled="t" stroked="t" coordsize="21600,21600" o:gfxdata="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RRO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40801305">
                          <w:pPr>
                            <w:pStyle w:val="105"/>
                          </w:pPr>
                          <w:r>
                            <w:rPr>
                              <w:rFonts w:hint="eastAsia"/>
                            </w:rPr>
                            <w:t>技术交底制</w:t>
                          </w:r>
                        </w:p>
                      </w:txbxContent>
                    </v:textbox>
                  </v:shape>
                  <v:shape id="文本框 341" o:spid="_x0000_s1026" o:spt="202" type="#_x0000_t202" style="position:absolute;left:1490;top:5908;height:441;width:1837;" fillcolor="#C6D9F1" filled="t" stroked="t" coordsize="21600,21600" o:gfxdata="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4Ii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231FEB7B">
                          <w:pPr>
                            <w:pStyle w:val="105"/>
                          </w:pPr>
                          <w:r>
                            <w:rPr>
                              <w:rFonts w:hint="eastAsia"/>
                            </w:rPr>
                            <w:t>技术复核制</w:t>
                          </w:r>
                        </w:p>
                      </w:txbxContent>
                    </v:textbox>
                  </v:shape>
                  <v:shape id="文本框 349" o:spid="_x0000_s1026" o:spt="202" type="#_x0000_t202" style="position:absolute;left:1490;top:6643;height:440;width:1837;" fillcolor="#C6D9F1" filled="t" stroked="t" coordsize="21600,21600" o:gfxdata="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8WePy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6363D889">
                          <w:pPr>
                            <w:pStyle w:val="105"/>
                          </w:pPr>
                          <w:r>
                            <w:rPr>
                              <w:rFonts w:hint="eastAsia"/>
                            </w:rPr>
                            <w:t>测量复核制</w:t>
                          </w:r>
                        </w:p>
                      </w:txbxContent>
                    </v:textbox>
                  </v:shape>
                  <v:shape id="文本框 353" o:spid="_x0000_s1026" o:spt="202" type="#_x0000_t202" style="position:absolute;left:1490;top:7377;height:441;width:1837;" fillcolor="#C6D9F1" filled="t" stroked="t" coordsize="21600,21600" o:gfxdata="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t1n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51F1F03E">
                          <w:pPr>
                            <w:pStyle w:val="105"/>
                          </w:pPr>
                          <w:r>
                            <w:rPr>
                              <w:rFonts w:hint="eastAsia"/>
                            </w:rPr>
                            <w:t>工程试验制</w:t>
                          </w:r>
                        </w:p>
                      </w:txbxContent>
                    </v:textbox>
                  </v:shape>
                  <v:shape id="文本框 354" o:spid="_x0000_s1026" o:spt="202" type="#_x0000_t202" style="position:absolute;left:1490;top:8112;height:440;width:1837;" fillcolor="#C6D9F1" filled="t" stroked="t" coordsize="21600,21600" o:gfxdata="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iEMQ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51C59CA8">
                          <w:pPr>
                            <w:pStyle w:val="105"/>
                          </w:pPr>
                          <w:r>
                            <w:rPr>
                              <w:rFonts w:hint="eastAsia"/>
                            </w:rPr>
                            <w:t>质量检验制</w:t>
                          </w:r>
                        </w:p>
                      </w:txbxContent>
                    </v:textbox>
                  </v:shape>
                  <v:shape id="文本框 365" o:spid="_x0000_s1026" o:spt="202" type="#_x0000_t202" style="position:absolute;left:1490;top:8846;height:441;width:1837;" fillcolor="#C6D9F1" filled="t" stroked="t" coordsize="21600,21600" o:gfxdata="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5ou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68E72245">
                          <w:pPr>
                            <w:pStyle w:val="105"/>
                          </w:pPr>
                          <w:r>
                            <w:rPr>
                              <w:rFonts w:hint="eastAsia"/>
                            </w:rPr>
                            <w:t>施工日志制</w:t>
                          </w:r>
                        </w:p>
                      </w:txbxContent>
                    </v:textbox>
                  </v:shape>
                  <v:shape id="文本框 366" o:spid="_x0000_s1026" o:spt="202" type="#_x0000_t202" style="position:absolute;left:1490;top:9580;height:441;width:1837;" fillcolor="#C6D9F1" filled="t" stroked="t" coordsize="21600,21600" o:gfxdata="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lty+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75B8335C">
                          <w:pPr>
                            <w:pStyle w:val="105"/>
                          </w:pPr>
                          <w:r>
                            <w:rPr>
                              <w:rFonts w:hint="eastAsia"/>
                            </w:rPr>
                            <w:t>技术档案制</w:t>
                          </w:r>
                        </w:p>
                      </w:txbxContent>
                    </v:textbox>
                  </v:shape>
                  <v:shape id="文本框 367" o:spid="_x0000_s1026" o:spt="202" type="#_x0000_t202" style="position:absolute;left:7530;top:4146;height:734;width:2310;" fillcolor="#C6D9F1" filled="t" stroked="t" coordsize="21600,21600" o:gfxdata="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01+KC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5mm,1.27mm,1.5mm,1.27mm">
                      <w:txbxContent>
                        <w:p w14:paraId="51A208E5">
                          <w:pPr>
                            <w:pStyle w:val="105"/>
                          </w:pPr>
                          <w:r>
                            <w:rPr>
                              <w:rFonts w:hint="eastAsia"/>
                            </w:rPr>
                            <w:t>单位工程图纸审查，包括初审和综合会审</w:t>
                          </w:r>
                        </w:p>
                      </w:txbxContent>
                    </v:textbox>
                  </v:shape>
                  <v:shape id="文本框 368" o:spid="_x0000_s1026" o:spt="202" type="#_x0000_t202" style="position:absolute;left:7836;top:6055;height:441;width:2004;" fillcolor="#C6D9F1" filled="t" stroked="t" coordsize="21600,21600" o:gfxdata="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G0Q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476F7A0D">
                          <w:pPr>
                            <w:pStyle w:val="105"/>
                          </w:pPr>
                          <w:r>
                            <w:rPr>
                              <w:rFonts w:hint="eastAsia"/>
                            </w:rPr>
                            <w:t>审查后处理</w:t>
                          </w:r>
                        </w:p>
                      </w:txbxContent>
                    </v:textbox>
                  </v:shape>
                  <v:shape id="文本框 369" o:spid="_x0000_s1026" o:spt="202" type="#_x0000_t202" style="position:absolute;left:7836;top:7374;height:738;width:2004;" fillcolor="#C6D9F1" filled="t" stroked="t" coordsize="21600,21600" o:gfxdata="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0vPhu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5mm,1.27mm,1.5mm,1.27mm">
                      <w:txbxContent>
                        <w:p w14:paraId="09FDCD94">
                          <w:pPr>
                            <w:pStyle w:val="105"/>
                          </w:pPr>
                          <w:r>
                            <w:rPr>
                              <w:rFonts w:hint="eastAsia"/>
                            </w:rPr>
                            <w:t>编制单位工程实施性施工组织设计</w:t>
                          </w:r>
                        </w:p>
                      </w:txbxContent>
                    </v:textbox>
                  </v:shape>
                  <v:shape id="文本框 370" o:spid="_x0000_s1026" o:spt="202" type="#_x0000_t202" style="position:absolute;left:7836;top:8993;height:734;width:2004;" fillcolor="#C6D9F1" filled="t" stroked="t" coordsize="21600,21600" o:gfxdata="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d+Prr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47520693">
                          <w:pPr>
                            <w:pStyle w:val="105"/>
                          </w:pPr>
                          <w:r>
                            <w:rPr>
                              <w:rFonts w:hint="eastAsia"/>
                            </w:rPr>
                            <w:t>编制技术措施和</w:t>
                          </w:r>
                        </w:p>
                        <w:p w14:paraId="4CDF2E1E">
                          <w:pPr>
                            <w:ind w:firstLine="31680"/>
                          </w:pPr>
                          <w:r>
                            <w:rPr>
                              <w:rFonts w:hint="eastAsia"/>
                            </w:rPr>
                            <w:t>施工工艺</w:t>
                          </w:r>
                        </w:p>
                      </w:txbxContent>
                    </v:textbox>
                  </v:shape>
                  <v:shape id="文本框 371" o:spid="_x0000_s1026" o:spt="202" type="#_x0000_t202" style="position:absolute;left:7780;top:10747;height:1322;width:501;" fillcolor="#C6D9F1" filled="t" stroked="t" coordsize="21600,21600" o:gfxdata="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MlR0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mm,1.27mm,1mm,1.27mm">
                      <w:txbxContent>
                        <w:p w14:paraId="5FAAB639">
                          <w:pPr>
                            <w:pStyle w:val="105"/>
                          </w:pPr>
                          <w:r>
                            <w:rPr>
                              <w:rFonts w:hint="eastAsia"/>
                            </w:rPr>
                            <w:t>技</w:t>
                          </w:r>
                        </w:p>
                        <w:p w14:paraId="54806387">
                          <w:pPr>
                            <w:pStyle w:val="105"/>
                          </w:pPr>
                          <w:r>
                            <w:rPr>
                              <w:rFonts w:hint="eastAsia"/>
                            </w:rPr>
                            <w:t>术</w:t>
                          </w:r>
                        </w:p>
                        <w:p w14:paraId="4FE45ED0">
                          <w:pPr>
                            <w:pStyle w:val="105"/>
                          </w:pPr>
                          <w:r>
                            <w:rPr>
                              <w:rFonts w:hint="eastAsia"/>
                            </w:rPr>
                            <w:t>交</w:t>
                          </w:r>
                        </w:p>
                        <w:p w14:paraId="0562C974">
                          <w:pPr>
                            <w:pStyle w:val="105"/>
                          </w:pPr>
                          <w:r>
                            <w:rPr>
                              <w:rFonts w:hint="eastAsia"/>
                            </w:rPr>
                            <w:t>底</w:t>
                          </w:r>
                        </w:p>
                      </w:txbxContent>
                    </v:textbox>
                  </v:shape>
                  <v:shape id="文本框 372" o:spid="_x0000_s1026" o:spt="202" type="#_x0000_t202" style="position:absolute;left:8726;top:10755;height:1322;width:1114;" fillcolor="#C6D9F1" filled="t" stroked="t" coordsize="21600,21600" o:gfxdata="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erJB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3B22A100">
                          <w:pPr>
                            <w:pStyle w:val="105"/>
                          </w:pPr>
                          <w:r>
                            <w:rPr>
                              <w:rFonts w:hint="eastAsia"/>
                            </w:rPr>
                            <w:t>技术规程标准的学习与贯彻</w:t>
                          </w:r>
                        </w:p>
                      </w:txbxContent>
                    </v:textbox>
                  </v:shape>
                  <v:shape id="文本框 373" o:spid="_x0000_s1026" o:spt="202" type="#_x0000_t202" style="position:absolute;left:4162;top:5468;height:1322;width:835;" fillcolor="#C6D9F1" filled="t" stroked="t" coordsize="21600,21600" o:gfxdata="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Nhfa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6FFE5743">
                          <w:pPr>
                            <w:pStyle w:val="105"/>
                          </w:pPr>
                          <w:r>
                            <w:rPr>
                              <w:rFonts w:hint="eastAsia"/>
                            </w:rPr>
                            <w:t>建立各项规章制度</w:t>
                          </w:r>
                        </w:p>
                      </w:txbxContent>
                    </v:textbox>
                  </v:shape>
                  <v:shape id="文本框 374" o:spid="_x0000_s1026" o:spt="202" type="#_x0000_t202" style="position:absolute;left:5999;top:5468;height:1028;width:835;" fillcolor="#C6D9F1" filled="t" stroked="t" coordsize="21600,21600" o:gfxdata="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uSJrb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3BF747E2">
                          <w:pPr>
                            <w:pStyle w:val="105"/>
                          </w:pPr>
                          <w:r>
                            <w:rPr>
                              <w:rFonts w:hint="eastAsia"/>
                            </w:rPr>
                            <w:t>技术工作工序</w:t>
                          </w:r>
                        </w:p>
                      </w:txbxContent>
                    </v:textbox>
                  </v:shape>
                  <v:shape id="文本框 375" o:spid="_x0000_s1026" o:spt="202" type="#_x0000_t202" style="position:absolute;left:4329;top:7818;height:734;width:2338;" fillcolor="#C6D9F1" filled="t" stroked="t" coordsize="21600,21600" o:gfxdata="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qCw2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62BCFEEB">
                          <w:pPr>
                            <w:pStyle w:val="105"/>
                          </w:pPr>
                          <w:r>
                            <w:rPr>
                              <w:rFonts w:hint="eastAsia"/>
                            </w:rPr>
                            <w:t>施工中</w:t>
                          </w:r>
                        </w:p>
                        <w:p w14:paraId="7E7167AD">
                          <w:pPr>
                            <w:ind w:firstLine="31680"/>
                          </w:pPr>
                          <w:r>
                            <w:rPr>
                              <w:rFonts w:hint="eastAsia"/>
                            </w:rPr>
                            <w:t>技术指导与控制</w:t>
                          </w:r>
                        </w:p>
                      </w:txbxContent>
                    </v:textbox>
                  </v:shape>
                  <v:shape id="文本框 376" o:spid="_x0000_s1026" o:spt="202" type="#_x0000_t202" style="position:absolute;left:4162;top:9727;height:1469;width:501;" fillcolor="#C6D9F1" filled="t" stroked="t" coordsize="21600,21600" o:gfxdata="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De4R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09F96D52">
                          <w:pPr>
                            <w:pStyle w:val="105"/>
                          </w:pPr>
                          <w:r>
                            <w:rPr>
                              <w:rFonts w:hint="eastAsia"/>
                            </w:rPr>
                            <w:t>技术控制</w:t>
                          </w:r>
                        </w:p>
                      </w:txbxContent>
                    </v:textbox>
                  </v:shape>
                  <v:shape id="文本框 377" o:spid="_x0000_s1026" o:spt="202" type="#_x0000_t202" style="position:absolute;left:4830;top:9727;height:1469;width:501;" fillcolor="#C6D9F1" filled="t" stroked="t" coordsize="21600,21600" o:gfxdata="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7Hd+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4D6C3A37">
                          <w:pPr>
                            <w:pStyle w:val="105"/>
                          </w:pPr>
                          <w:r>
                            <w:rPr>
                              <w:rFonts w:hint="eastAsia"/>
                            </w:rPr>
                            <w:t>测量控制</w:t>
                          </w:r>
                        </w:p>
                      </w:txbxContent>
                    </v:textbox>
                  </v:shape>
                  <v:shape id="文本框 378" o:spid="_x0000_s1026" o:spt="202" type="#_x0000_t202" style="position:absolute;left:5665;top:9727;height:1469;width:501;" fillcolor="#C6D9F1" filled="t" stroked="t" coordsize="21600,21600" o:gfxdata="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5gin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3D7C3DB9">
                          <w:pPr>
                            <w:pStyle w:val="105"/>
                          </w:pPr>
                          <w:r>
                            <w:rPr>
                              <w:rFonts w:hint="eastAsia"/>
                            </w:rPr>
                            <w:t>试验控制</w:t>
                          </w:r>
                        </w:p>
                      </w:txbxContent>
                    </v:textbox>
                  </v:shape>
                  <v:shape id="文本框 379" o:spid="_x0000_s1026" o:spt="202" type="#_x0000_t202" style="position:absolute;left:6333;top:9727;height:1469;width:501;" fillcolor="#C6D9F1" filled="t" stroked="t" coordsize="21600,21600" o:gfxdata="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NSHBL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33038805">
                          <w:pPr>
                            <w:pStyle w:val="105"/>
                          </w:pPr>
                          <w:r>
                            <w:rPr>
                              <w:rFonts w:hint="eastAsia"/>
                            </w:rPr>
                            <w:t>施工日志</w:t>
                          </w:r>
                        </w:p>
                      </w:txbxContent>
                    </v:textbox>
                  </v:shape>
                  <v:shape id="文本框 380" o:spid="_x0000_s1026" o:spt="202" type="#_x0000_t202" style="position:absolute;left:3327;top:12077;height:441;width:1503;" fillcolor="#C6D9F1" filled="t" stroked="t" coordsize="21600,21600" o:gfxdata="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AYZc7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w:txbxContent>
                        <w:p w14:paraId="7FAC0E91">
                          <w:pPr>
                            <w:pStyle w:val="105"/>
                          </w:pPr>
                          <w:r>
                            <w:rPr>
                              <w:rFonts w:hint="eastAsia"/>
                            </w:rPr>
                            <w:t>竣工文件</w:t>
                          </w:r>
                        </w:p>
                      </w:txbxContent>
                    </v:textbox>
                  </v:shape>
                  <v:shape id="文本框 381" o:spid="_x0000_s1026" o:spt="202" type="#_x0000_t202" style="position:absolute;left:5498;top:12077;height:441;width:1503;" fillcolor="#C6D9F1" filled="t" stroked="t" coordsize="21600,21600" o:gfxdata="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KvOi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418481EE">
                          <w:pPr>
                            <w:pStyle w:val="105"/>
                          </w:pPr>
                          <w:r>
                            <w:rPr>
                              <w:rFonts w:hint="eastAsia"/>
                            </w:rPr>
                            <w:t>技术总结</w:t>
                          </w:r>
                        </w:p>
                      </w:txbxContent>
                    </v:textbox>
                  </v:shape>
                  <v:shape id="文本框 382" o:spid="_x0000_s1026" o:spt="202" type="#_x0000_t202" style="position:absolute;left:4412;top:13235;height:441;width:1503;" fillcolor="#C6D9F1" filled="t" stroked="t" coordsize="21600,21600" o:gfxdata="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jJJy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6E0923C7">
                          <w:pPr>
                            <w:pStyle w:val="105"/>
                          </w:pPr>
                          <w:r>
                            <w:rPr>
                              <w:rFonts w:hint="eastAsia"/>
                            </w:rPr>
                            <w:t>工程验交</w:t>
                          </w:r>
                        </w:p>
                      </w:txbxContent>
                    </v:textbox>
                  </v:shape>
                  <v:line id="直接连接符 383" o:spid="_x0000_s1026" o:spt="20" style="position:absolute;left:3661;top:3999;height:6781;width:18;" filled="f" stroked="t" coordsize="21600,21600" o:gfxdata="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n/2C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接连接符 384" o:spid="_x0000_s1026" o:spt="20" style="position:absolute;left:3327;top:9874;flip:x;height:0;width:334;" filled="f" stroked="t" coordsize="21600,21600" o:gfxdata="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EGze5AAAA3AAA&#10;AA8AAAAAAAAAAQAgAAAAIgAAAGRycy9kb3ducmV2LnhtbFBLAQIUABQAAAAIAIdO4kAzLwWeOwAA&#10;ADkAAAAQAAAAAAAAAAEAIAAAAAgBAABkcnMvc2hhcGV4bWwueG1sUEsFBgAAAAAGAAYAWwEAALID&#10;AAAAAA==&#10;">
                    <v:fill on="f" focussize="0,0"/>
                    <v:stroke weight="0.25pt" color="#000000" joinstyle="round"/>
                    <v:imagedata o:title=""/>
                    <o:lock v:ext="edit" aspectratio="f"/>
                  </v:line>
                  <v:line id="直接连接符 385" o:spid="_x0000_s1026" o:spt="20" style="position:absolute;left:3327;top:9140;height:0;width:334;" filled="f" stroked="t" coordsize="21600,21600" o:gfxdata="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kBxm6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386" o:spid="_x0000_s1026" o:spt="20" style="position:absolute;left:3327;top:8258;height:0;width:334;" filled="f" stroked="t" coordsize="21600,21600" o:gfxdata="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nlIc&#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接连接符 387" o:spid="_x0000_s1026" o:spt="20" style="position:absolute;left:3327;top:7671;height:0;width:334;" filled="f" stroked="t" coordsize="21600,21600" o:gfxdata="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0veH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接连接符 388" o:spid="_x0000_s1026" o:spt="20" style="position:absolute;left:3327;top:6790;height:0;width:334;" filled="f" stroked="t" coordsize="21600,21600" o:gfxdata="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M9Lj2/&#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389" o:spid="_x0000_s1026" o:spt="20" style="position:absolute;left:3327;top:6055;height:0;width:334;" filled="f" stroked="t" coordsize="21600,21600" o:gfxdata="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xi6a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390" o:spid="_x0000_s1026" o:spt="20" style="position:absolute;left:3327;top:5321;height:0;width:334;" filled="f" stroked="t" coordsize="21600,21600" o:gfxdata="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jFdG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391" o:spid="_x0000_s1026" o:spt="20" style="position:absolute;left:3327;top:4587;height:0;width:334;" filled="f" stroked="t" coordsize="21600,21600" o:gfxdata="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PvsEq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392" o:spid="_x0000_s1026" o:spt="20" style="position:absolute;left:3327;top:3999;flip:x;height:0;width:334;" filled="f" stroked="t" coordsize="21600,21600" o:gfxdata="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9Q/L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接连接符 393" o:spid="_x0000_s1026" o:spt="20" style="position:absolute;left:3661;top:6055;flip:x;height:0;width:501;" filled="f" stroked="t" coordsize="21600,21600" o:gfxdata="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f5BwLsAAADc&#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line>
                  <v:line id="直接连接符 394" o:spid="_x0000_s1026" o:spt="20" style="position:absolute;left:5498;top:3265;height:734;width:0;" filled="f" stroked="t" coordsize="21600,21600" o:gfxdata="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bh5e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line id="直接连接符 395" o:spid="_x0000_s1026" o:spt="20" style="position:absolute;left:4496;top:3999;height:0;width:1837;" filled="f" stroked="t" coordsize="21600,21600" o:gfxdata="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zUtkm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396" o:spid="_x0000_s1026" o:spt="20" style="position:absolute;left:4496;top:3999;height:1469;width:0;" filled="f" stroked="t" coordsize="21600,21600" o:gfxdata="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vS+3&#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接连接符 397" o:spid="_x0000_s1026" o:spt="20" style="position:absolute;left:6333;top:3999;height:1469;width:0;" filled="f" stroked="t" coordsize="21600,21600" o:gfxdata="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8Yos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line>
                  <v:line id="直接连接符 398" o:spid="_x0000_s1026" o:spt="20" style="position:absolute;left:8838;top:3558;height:588;width:0;" filled="f" stroked="t" coordsize="21600,21600" o:gfxdata="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0StWy/&#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接连接符 399" o:spid="_x0000_s1026" o:spt="20" style="position:absolute;left:6833;top:6055;height:0;width:335;" filled="f" stroked="t" coordsize="21600,21600" o:gfxdata="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oHXu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400" o:spid="_x0000_s1026" o:spt="20" style="position:absolute;left:7168;top:3558;flip:y;height:2497;width:0;" filled="f" stroked="t" coordsize="21600,21600" o:gfxdata="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vOugAAANw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f"/>
                  </v:line>
                  <v:line id="直接连接符 401" o:spid="_x0000_s1026" o:spt="20" style="position:absolute;left:7168;top:3558;height:0;width:1670;" filled="f" stroked="t" coordsize="21600,21600" o:gfxdata="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NiaX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接连接符 402" o:spid="_x0000_s1026" o:spt="20" style="position:absolute;left:8838;top:4880;height:1175;width:0;" filled="f" stroked="t" coordsize="21600,21600" o:gfxdata="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imzb7sAAADc&#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line>
                  <v:line id="直接连接符 403" o:spid="_x0000_s1026" o:spt="20" style="position:absolute;left:8838;top:6496;height:881;width:0;" filled="f" stroked="t" coordsize="21600,21600" o:gfxdata="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UW9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接连接符 404" o:spid="_x0000_s1026" o:spt="20" style="position:absolute;left:8838;top:8112;height:881;width:0;" filled="f" stroked="t" coordsize="21600,21600" o:gfxdata="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t4iD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line id="直接连接符 405" o:spid="_x0000_s1026" o:spt="20" style="position:absolute;left:8838;top:9727;height:441;width:0;" filled="f" stroked="t" coordsize="21600,21600" o:gfxdata="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y0Y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line id="直接连接符 406" o:spid="_x0000_s1026" o:spt="20" style="position:absolute;left:8003;top:10168;height:0;width:1670;" filled="f" stroked="t" coordsize="21600,21600" o:gfxdata="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krTm&#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接连接符 407" o:spid="_x0000_s1026" o:spt="20" style="position:absolute;left:9673;top:10168;height:587;width:0;" filled="f" stroked="t" coordsize="21600,21600" o:gfxdata="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8KBzx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line>
                  <v:line id="直接连接符 408" o:spid="_x0000_s1026" o:spt="20" style="position:absolute;left:8003;top:10168;height:587;width:0;" filled="f" stroked="t" coordsize="21600,21600" o:gfxdata="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PUGX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line>
                  <v:line id="直接连接符 409" o:spid="_x0000_s1026" o:spt="20" style="position:absolute;left:8003;top:12518;height:0;width:1670;" filled="f" stroked="t" coordsize="21600,21600" o:gfxdata="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qH6YC/&#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10" o:spid="_x0000_s1026" o:spt="20" style="position:absolute;left:9673;top:12077;flip:y;height:441;width:0;" filled="f" stroked="t" coordsize="21600,21600" o:gfxdata="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cDzW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411" o:spid="_x0000_s1026" o:spt="20" style="position:absolute;left:8003;top:12077;flip:y;height:441;width:0;" filled="f" stroked="t" coordsize="21600,21600" o:gfxdata="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Qqq6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412" o:spid="_x0000_s1026" o:spt="20" style="position:absolute;left:3995;top:12812;height:0;width:2338;" filled="f" stroked="t" coordsize="21600,21600" o:gfxdata="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wShi/&#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13" o:spid="_x0000_s1026" o:spt="20" style="position:absolute;left:3995;top:12518;flip:y;height:294;width:0;" filled="f" stroked="t" coordsize="21600,21600" o:gfxdata="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tZdB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接连接符 414" o:spid="_x0000_s1026" o:spt="20" style="position:absolute;left:6333;top:12518;flip:y;height:294;width:0;" filled="f" stroked="t" coordsize="21600,21600" o:gfxdata="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Zwk2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接连接符 415" o:spid="_x0000_s1026" o:spt="20" style="position:absolute;left:5164;top:12812;flip:y;height:440;width:0;" filled="f" stroked="t" coordsize="21600,21600" o:gfxdata="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rrK2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416" o:spid="_x0000_s1026" o:spt="20" style="position:absolute;left:4329;top:11490;height:0;width:2338;" filled="f" stroked="t" coordsize="21600,21600" o:gfxdata="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71AHb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接连接符 417" o:spid="_x0000_s1026" o:spt="20" style="position:absolute;left:4329;top:11196;flip:y;height:294;width:0;" filled="f" stroked="t" coordsize="21600,21600" o:gfxdata="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4nUS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接连接符 418" o:spid="_x0000_s1026" o:spt="20" style="position:absolute;left:6667;top:11196;flip:y;height:294;width:0;" filled="f" stroked="t" coordsize="21600,21600" o:gfxdata="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YbogS5AAAA3AAA&#10;AA8AAAAAAAAAAQAgAAAAIgAAAGRycy9kb3ducmV2LnhtbFBLAQIUABQAAAAIAIdO4kAzLwWeOwAA&#10;ADkAAAAQAAAAAAAAAAEAIAAAAAgBAABkcnMvc2hhcGV4bWwueG1sUEsFBgAAAAAGAAYAWwEAALID&#10;AAAAAA==&#10;">
                    <v:fill on="f" focussize="0,0"/>
                    <v:stroke weight="0.25pt" color="#000000" joinstyle="round"/>
                    <v:imagedata o:title=""/>
                    <o:lock v:ext="edit" aspectratio="f"/>
                  </v:line>
                  <v:line id="直接连接符 419" o:spid="_x0000_s1026" o:spt="20" style="position:absolute;left:4997;top:11196;flip:y;height:294;width:0;" filled="f" stroked="t" coordsize="21600,21600" o:gfxdata="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VcHn7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接连接符 420" o:spid="_x0000_s1026" o:spt="20" style="position:absolute;left:5999;top:11196;flip:y;height:294;width:0;" filled="f" stroked="t" coordsize="21600,21600" o:gfxdata="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hZno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接连接符 421" o:spid="_x0000_s1026" o:spt="20" style="position:absolute;left:3995;top:11784;height:0;width:2338;" filled="f" stroked="t" coordsize="21600,21600" o:gfxdata="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DARLG/&#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22" o:spid="_x0000_s1026" o:spt="20" style="position:absolute;left:3995;top:11784;height:293;width:0;" filled="f" stroked="t" coordsize="21600,21600" o:gfxdata="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8p3MW/&#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23" o:spid="_x0000_s1026" o:spt="20" style="position:absolute;left:6333;top:11784;height:293;width:0;" filled="f" stroked="t" coordsize="21600,21600" o:gfxdata="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BleV6/&#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24" o:spid="_x0000_s1026" o:spt="20" style="position:absolute;left:5331;top:11490;height:294;width:0;" filled="f" stroked="t" coordsize="21600,21600" o:gfxdata="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35ym/&#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25" o:spid="_x0000_s1026" o:spt="20" style="position:absolute;left:4329;top:9140;height:0;width:2338;" filled="f" stroked="t" coordsize="21600,21600" o:gfxdata="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7QrK/&#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26" o:spid="_x0000_s1026" o:spt="20" style="position:absolute;left:4329;top:9140;height:587;width:0;" filled="f" stroked="t" coordsize="21600,21600" o:gfxdata="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kttMugAAANwA&#10;AAAPAAAAAAAAAAEAIAAAACIAAABkcnMvZG93bnJldi54bWxQSwECFAAUAAAACACHTuJAMy8FnjsA&#10;AAA5AAAAEAAAAAAAAAABACAAAAAJAQAAZHJzL3NoYXBleG1sLnhtbFBLBQYAAAAABgAGAFsBAACz&#10;AwAAAAA=&#10;">
                    <v:fill on="f" focussize="0,0"/>
                    <v:stroke weight="0.25pt" color="#000000" joinstyle="round" endarrow="block"/>
                    <v:imagedata o:title=""/>
                    <o:lock v:ext="edit" aspectratio="f"/>
                  </v:line>
                  <v:line id="直接连接符 427" o:spid="_x0000_s1026" o:spt="20" style="position:absolute;left:6667;top:9140;height:587;width:0;" filled="f" stroked="t" coordsize="21600,21600" o:gfxdata="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3n7X&#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接连接符 428" o:spid="_x0000_s1026" o:spt="20" style="position:absolute;left:5164;top:9140;height:587;width:0;" filled="f" stroked="t" coordsize="21600,21600" o:gfxdata="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Ygd97gAAADcAAAA&#10;DwAAAAAAAAABACAAAAAiAAAAZHJzL2Rvd25yZXYueG1sUEsBAhQAFAAAAAgAh07iQDMvBZ47AAAA&#10;OQAAABAAAAAAAAAAAQAgAAAABwEAAGRycy9zaGFwZXhtbC54bWxQSwUGAAAAAAYABgBbAQAAsQMA&#10;AAAA&#10;">
                    <v:fill on="f" focussize="0,0"/>
                    <v:stroke weight="0.25pt" color="#000000" joinstyle="round" endarrow="block"/>
                    <v:imagedata o:title=""/>
                    <o:lock v:ext="edit" aspectratio="f"/>
                  </v:line>
                  <v:line id="直接连接符 429" o:spid="_x0000_s1026" o:spt="20" style="position:absolute;left:5832;top:9140;height:587;width:0;" filled="f" stroked="t" coordsize="21600,21600" o:gfxdata="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xLhs&#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接连接符 430" o:spid="_x0000_s1026" o:spt="20" style="position:absolute;left:5498;top:8552;height:588;width:0;" filled="f" stroked="t" coordsize="21600,21600" o:gfxdata="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YmG7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接连接符 431" o:spid="_x0000_s1026" o:spt="20" style="position:absolute;left:5498;top:7377;height:441;width:0;" filled="f" stroked="t" coordsize="21600,21600" o:gfxdata="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WoOA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line id="直接连接符 432" o:spid="_x0000_s1026" o:spt="20" style="position:absolute;left:5498;top:7377;height:0;width:1837;" filled="f" stroked="t" coordsize="21600,21600" o:gfxdata="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FFFni/&#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33" o:spid="_x0000_s1026" o:spt="20" style="position:absolute;left:7335;top:7377;height:5728;width:0;" filled="f" stroked="t" coordsize="21600,21600" o:gfxdata="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Js+O/&#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34" o:spid="_x0000_s1026" o:spt="20" style="position:absolute;left:7335;top:13105;height:0;width:1503;" filled="f" stroked="t" coordsize="21600,21600" o:gfxdata="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7bLZS/&#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接连接符 435" o:spid="_x0000_s1026" o:spt="20" style="position:absolute;left:8838;top:12518;flip:y;height:587;width:0;" filled="f" stroked="t" coordsize="21600,21600" o:gfxdata="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nvDN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shape id="文本框 5" o:spid="_x0000_s1026" o:spt="202" type="#_x0000_t202" style="position:absolute;left:1525;top:10564;height:441;width:1837;" fillcolor="#C6D9F1" filled="t" stroked="t" coordsize="21600,21600" o:gfxdata="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14YPi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f"/>
                    <v:textbox>
                      <w:txbxContent>
                        <w:p w14:paraId="1DE0129D">
                          <w:pPr>
                            <w:pStyle w:val="105"/>
                          </w:pPr>
                          <w:r>
                            <w:rPr>
                              <w:rFonts w:hint="eastAsia"/>
                            </w:rPr>
                            <w:t>工程首件制度</w:t>
                          </w:r>
                        </w:p>
                      </w:txbxContent>
                    </v:textbox>
                  </v:shape>
                </v:group>
                <v:line id="直线 1649" o:spid="_x0000_s1026" o:spt="20" style="position:absolute;left:5755;top:5251433;height:14;width:300;" filled="f" stroked="t" coordsize="21600,21600" o:gfxdata="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6eGpr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w10:wrap type="none"/>
                <w10:anchorlock/>
              </v:group>
            </w:pict>
          </mc:Fallback>
        </mc:AlternateContent>
      </w:r>
    </w:p>
    <w:p w14:paraId="624CB3E3"/>
    <w:bookmarkEnd w:id="2352"/>
    <w:p w14:paraId="76E965C5">
      <w:pPr>
        <w:pStyle w:val="4"/>
        <w:numPr>
          <w:ilvl w:val="1"/>
          <w:numId w:val="0"/>
        </w:numPr>
        <w:spacing w:line="360" w:lineRule="auto"/>
        <w:ind w:firstLine="0" w:firstLineChars="0"/>
        <w:rPr>
          <w:color w:val="auto"/>
        </w:rPr>
      </w:pPr>
      <w:bookmarkStart w:id="2386" w:name="_Toc12590"/>
      <w:bookmarkStart w:id="2387" w:name="_Toc5958"/>
      <w:bookmarkStart w:id="2388" w:name="_Toc32193"/>
      <w:bookmarkStart w:id="2389" w:name="_Toc26338"/>
      <w:bookmarkStart w:id="2390" w:name="_Toc32510"/>
      <w:bookmarkStart w:id="2391" w:name="_Toc232929399"/>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4</w:t>
      </w:r>
      <w:r>
        <w:rPr>
          <w:rFonts w:hint="default" w:ascii="Arial" w:hAnsi="Arial" w:eastAsia="宋体" w:cs="Times New Roman"/>
          <w:b/>
          <w:bCs/>
          <w:color w:val="auto"/>
          <w:kern w:val="2"/>
          <w:sz w:val="32"/>
          <w:szCs w:val="32"/>
          <w:lang w:val="en-US" w:eastAsia="zh-CN" w:bidi="ar-SA"/>
        </w:rPr>
        <w:t>.4.</w:t>
      </w:r>
      <w:r>
        <w:rPr>
          <w:rFonts w:hint="eastAsia"/>
          <w:color w:val="auto"/>
        </w:rPr>
        <w:t>施工技术管理措施</w:t>
      </w:r>
      <w:bookmarkEnd w:id="2386"/>
      <w:bookmarkEnd w:id="2387"/>
      <w:bookmarkEnd w:id="2388"/>
      <w:bookmarkEnd w:id="2389"/>
      <w:bookmarkEnd w:id="2390"/>
    </w:p>
    <w:p w14:paraId="5B683932">
      <w:pPr>
        <w:ind w:firstLine="480"/>
        <w:rPr>
          <w:rFonts w:hint="eastAsia" w:ascii="宋体" w:hAnsi="宋体" w:cs="宋体"/>
          <w:lang w:val="en-US" w:eastAsia="zh-CN"/>
        </w:rPr>
      </w:pPr>
      <w:r>
        <w:rPr>
          <w:rFonts w:hint="eastAsia" w:ascii="宋体" w:hAnsi="宋体" w:cs="宋体"/>
          <w:lang w:val="en-US" w:eastAsia="zh-CN"/>
        </w:rPr>
        <w:t>1）认真学习设计图纸和有关文件，领会设计意图；</w:t>
      </w:r>
    </w:p>
    <w:p w14:paraId="5DF4255A">
      <w:pPr>
        <w:ind w:firstLine="480"/>
        <w:rPr>
          <w:rFonts w:hint="eastAsia" w:ascii="宋体" w:hAnsi="宋体" w:cs="宋体"/>
          <w:lang w:val="en-US" w:eastAsia="zh-CN"/>
        </w:rPr>
      </w:pPr>
      <w:r>
        <w:rPr>
          <w:rFonts w:hint="eastAsia" w:ascii="宋体" w:hAnsi="宋体" w:cs="宋体"/>
          <w:lang w:val="en-US" w:eastAsia="zh-CN"/>
        </w:rPr>
        <w:t>2）对图纸中存在的问题，用文字形式向设计及监理工程师提出；</w:t>
      </w:r>
    </w:p>
    <w:p w14:paraId="54518A80">
      <w:pPr>
        <w:ind w:firstLine="480"/>
        <w:rPr>
          <w:rFonts w:hint="eastAsia" w:ascii="宋体" w:hAnsi="宋体" w:cs="宋体"/>
          <w:lang w:val="en-US" w:eastAsia="zh-CN"/>
        </w:rPr>
      </w:pPr>
      <w:r>
        <w:rPr>
          <w:rFonts w:hint="eastAsia" w:ascii="宋体" w:hAnsi="宋体" w:cs="宋体"/>
          <w:lang w:val="en-US" w:eastAsia="zh-CN"/>
        </w:rPr>
        <w:t>3）认真学习有关规范和质量标准，施工过程中严格执行；</w:t>
      </w:r>
    </w:p>
    <w:p w14:paraId="571A3EFE">
      <w:pPr>
        <w:ind w:firstLine="480"/>
        <w:rPr>
          <w:rFonts w:hint="eastAsia" w:ascii="宋体" w:hAnsi="宋体" w:cs="宋体"/>
          <w:lang w:val="en-US" w:eastAsia="zh-CN"/>
        </w:rPr>
      </w:pPr>
      <w:r>
        <w:rPr>
          <w:rFonts w:hint="eastAsia" w:ascii="宋体" w:hAnsi="宋体" w:cs="宋体"/>
          <w:lang w:val="en-US" w:eastAsia="zh-CN"/>
        </w:rPr>
        <w:t>4）集思广益研究施工工艺，编制切实可行的施工组织设计；</w:t>
      </w:r>
    </w:p>
    <w:p w14:paraId="26A038D2">
      <w:pPr>
        <w:ind w:firstLine="480"/>
        <w:rPr>
          <w:rFonts w:hint="eastAsia" w:ascii="宋体" w:hAnsi="宋体" w:cs="宋体"/>
          <w:lang w:val="en-US" w:eastAsia="zh-CN"/>
        </w:rPr>
      </w:pPr>
      <w:r>
        <w:rPr>
          <w:rFonts w:hint="eastAsia" w:ascii="宋体" w:hAnsi="宋体" w:cs="宋体"/>
          <w:lang w:val="en-US" w:eastAsia="zh-CN"/>
        </w:rPr>
        <w:t>5）施工组织设计审批手续齐全，严格按审批后的施工组织设计执行，重大改动报公司和监理审批；</w:t>
      </w:r>
    </w:p>
    <w:p w14:paraId="37D5BDD0">
      <w:pPr>
        <w:ind w:firstLine="480"/>
        <w:rPr>
          <w:rFonts w:hint="eastAsia" w:ascii="宋体" w:hAnsi="宋体" w:cs="宋体"/>
          <w:lang w:val="en-US" w:eastAsia="zh-CN"/>
        </w:rPr>
      </w:pPr>
      <w:r>
        <w:rPr>
          <w:rFonts w:hint="eastAsia" w:ascii="宋体" w:hAnsi="宋体" w:cs="宋体"/>
          <w:lang w:val="en-US" w:eastAsia="zh-CN"/>
        </w:rPr>
        <w:t>6）对各工种工人进行技术、质量培训，加强质量意识教育；</w:t>
      </w:r>
    </w:p>
    <w:p w14:paraId="1134E634">
      <w:pPr>
        <w:ind w:firstLine="480"/>
        <w:rPr>
          <w:rFonts w:hint="eastAsia" w:ascii="宋体" w:hAnsi="宋体" w:cs="宋体"/>
          <w:lang w:val="en-US" w:eastAsia="zh-CN"/>
        </w:rPr>
      </w:pPr>
      <w:r>
        <w:rPr>
          <w:rFonts w:hint="eastAsia" w:ascii="宋体" w:hAnsi="宋体" w:cs="宋体"/>
          <w:lang w:val="en-US" w:eastAsia="zh-CN"/>
        </w:rPr>
        <w:t>7）特殊工种和主要职能人员执证上岗；</w:t>
      </w:r>
    </w:p>
    <w:p w14:paraId="118542E4">
      <w:pPr>
        <w:ind w:firstLine="480"/>
        <w:rPr>
          <w:rFonts w:hint="eastAsia" w:ascii="宋体" w:hAnsi="宋体" w:cs="宋体"/>
          <w:lang w:val="en-US" w:eastAsia="zh-CN"/>
        </w:rPr>
      </w:pPr>
      <w:r>
        <w:rPr>
          <w:rFonts w:hint="eastAsia" w:ascii="宋体" w:hAnsi="宋体" w:cs="宋体"/>
          <w:lang w:val="en-US" w:eastAsia="zh-CN"/>
        </w:rPr>
        <w:t>8）项目总工在单位工程开工前向全体施工人员进行技术交底；</w:t>
      </w:r>
    </w:p>
    <w:p w14:paraId="2C5AE960">
      <w:pPr>
        <w:ind w:firstLine="480"/>
        <w:rPr>
          <w:rFonts w:hint="eastAsia" w:ascii="宋体" w:hAnsi="宋体" w:cs="宋体"/>
          <w:lang w:val="en-US" w:eastAsia="zh-CN"/>
        </w:rPr>
      </w:pPr>
      <w:r>
        <w:rPr>
          <w:rFonts w:hint="eastAsia" w:ascii="宋体" w:hAnsi="宋体" w:cs="宋体"/>
          <w:lang w:val="en-US" w:eastAsia="zh-CN"/>
        </w:rPr>
        <w:t>9）施工员（分项工程）开工前向施工班组进行细致具体的技术交底，并履行签字手续；</w:t>
      </w:r>
    </w:p>
    <w:p w14:paraId="7AAAA0C8">
      <w:pPr>
        <w:ind w:firstLine="480"/>
        <w:rPr>
          <w:rFonts w:hint="eastAsia" w:ascii="宋体" w:hAnsi="宋体" w:cs="宋体"/>
          <w:lang w:val="en-US" w:eastAsia="zh-CN"/>
        </w:rPr>
      </w:pPr>
      <w:r>
        <w:rPr>
          <w:rFonts w:hint="eastAsia" w:ascii="宋体" w:hAnsi="宋体" w:cs="宋体"/>
          <w:lang w:val="en-US" w:eastAsia="zh-CN"/>
        </w:rPr>
        <w:t>10）制订典型施工计划，明确施工方法质量标准和操作规程；</w:t>
      </w:r>
    </w:p>
    <w:p w14:paraId="6E2E8133">
      <w:pPr>
        <w:ind w:firstLine="480"/>
        <w:rPr>
          <w:rFonts w:hint="eastAsia" w:ascii="宋体" w:hAnsi="宋体" w:cs="宋体"/>
          <w:lang w:val="en-US" w:eastAsia="zh-CN"/>
        </w:rPr>
      </w:pPr>
      <w:r>
        <w:rPr>
          <w:rFonts w:hint="eastAsia" w:ascii="宋体" w:hAnsi="宋体" w:cs="宋体"/>
          <w:lang w:val="en-US" w:eastAsia="zh-CN"/>
        </w:rPr>
        <w:t>11）在典型施工中，检验施工工艺质量水平，以及存在的问题；</w:t>
      </w:r>
    </w:p>
    <w:p w14:paraId="09FC3CFC">
      <w:pPr>
        <w:ind w:firstLine="480"/>
        <w:rPr>
          <w:rFonts w:hint="eastAsia" w:ascii="宋体" w:hAnsi="宋体" w:cs="宋体"/>
          <w:lang w:val="en-US" w:eastAsia="zh-CN"/>
        </w:rPr>
      </w:pPr>
      <w:r>
        <w:rPr>
          <w:rFonts w:hint="eastAsia" w:ascii="宋体" w:hAnsi="宋体" w:cs="宋体"/>
          <w:lang w:val="en-US" w:eastAsia="zh-CN"/>
        </w:rPr>
        <w:t>12）改进和完善施工工艺，推广执行；</w:t>
      </w:r>
    </w:p>
    <w:p w14:paraId="6C9ACA5C">
      <w:pPr>
        <w:ind w:firstLine="480"/>
        <w:rPr>
          <w:rFonts w:hint="eastAsia" w:ascii="宋体" w:hAnsi="宋体" w:cs="宋体"/>
          <w:lang w:val="en-US" w:eastAsia="zh-CN"/>
        </w:rPr>
      </w:pPr>
      <w:r>
        <w:rPr>
          <w:rFonts w:hint="eastAsia" w:ascii="宋体" w:hAnsi="宋体" w:cs="宋体"/>
          <w:lang w:val="en-US" w:eastAsia="zh-CN"/>
        </w:rPr>
        <w:t>13）建立工程技术交底台账；</w:t>
      </w:r>
    </w:p>
    <w:p w14:paraId="6CE10A3E">
      <w:pPr>
        <w:ind w:firstLine="480"/>
        <w:rPr>
          <w:rFonts w:hint="eastAsia" w:ascii="宋体" w:hAnsi="宋体" w:cs="宋体"/>
          <w:lang w:val="en-US" w:eastAsia="zh-CN"/>
        </w:rPr>
      </w:pPr>
      <w:r>
        <w:rPr>
          <w:rFonts w:hint="eastAsia" w:ascii="宋体" w:hAnsi="宋体" w:cs="宋体"/>
          <w:lang w:val="en-US" w:eastAsia="zh-CN"/>
        </w:rPr>
        <w:t>14）建立原材料进场和抽检台账；</w:t>
      </w:r>
    </w:p>
    <w:p w14:paraId="7588D284">
      <w:pPr>
        <w:ind w:firstLine="480"/>
      </w:pPr>
      <w:r>
        <w:rPr>
          <w:rFonts w:hint="eastAsia" w:ascii="宋体" w:hAnsi="宋体" w:cs="宋体"/>
          <w:lang w:val="en-US" w:eastAsia="zh-CN"/>
        </w:rPr>
        <w:t>15）建立隐蔽工程验收台账。</w:t>
      </w:r>
    </w:p>
    <w:p w14:paraId="3A8DA1E9">
      <w:pPr>
        <w:pStyle w:val="4"/>
        <w:numPr>
          <w:ilvl w:val="1"/>
          <w:numId w:val="0"/>
        </w:numPr>
        <w:spacing w:line="360" w:lineRule="auto"/>
        <w:ind w:firstLine="0" w:firstLineChars="0"/>
        <w:rPr>
          <w:color w:val="auto"/>
        </w:rPr>
      </w:pPr>
      <w:bookmarkStart w:id="2392" w:name="_Toc500"/>
      <w:bookmarkStart w:id="2393" w:name="_Toc5318"/>
      <w:bookmarkStart w:id="2394" w:name="_Toc140"/>
      <w:bookmarkStart w:id="2395" w:name="_Toc5233"/>
      <w:bookmarkStart w:id="2396" w:name="_Toc2888"/>
      <w:bookmarkStart w:id="2397" w:name="_Toc3221"/>
      <w:bookmarkStart w:id="2398" w:name="_Toc24198"/>
      <w:bookmarkStart w:id="2399" w:name="_Toc16073"/>
      <w:bookmarkStart w:id="2400" w:name="_Toc392933547"/>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4</w:t>
      </w:r>
      <w:r>
        <w:rPr>
          <w:rFonts w:hint="default" w:ascii="Arial" w:hAnsi="Arial" w:eastAsia="宋体" w:cs="Times New Roman"/>
          <w:b/>
          <w:bCs/>
          <w:color w:val="auto"/>
          <w:kern w:val="2"/>
          <w:sz w:val="32"/>
          <w:szCs w:val="32"/>
          <w:lang w:val="en-US" w:eastAsia="zh-CN" w:bidi="ar-SA"/>
        </w:rPr>
        <w:t>.5.</w:t>
      </w:r>
      <w:r>
        <w:rPr>
          <w:rFonts w:hint="eastAsia"/>
          <w:color w:val="auto"/>
        </w:rPr>
        <w:t>施工技术保障措施</w:t>
      </w:r>
      <w:bookmarkEnd w:id="2392"/>
      <w:bookmarkEnd w:id="2393"/>
      <w:bookmarkEnd w:id="2394"/>
      <w:bookmarkEnd w:id="2395"/>
      <w:bookmarkEnd w:id="2396"/>
    </w:p>
    <w:p w14:paraId="66CE5C8E">
      <w:pPr>
        <w:pStyle w:val="5"/>
        <w:numPr>
          <w:ilvl w:val="2"/>
          <w:numId w:val="0"/>
        </w:numPr>
        <w:spacing w:line="360" w:lineRule="auto"/>
        <w:ind w:left="720" w:leftChars="0" w:hanging="720" w:firstLineChars="0"/>
        <w:rPr>
          <w:color w:val="auto"/>
        </w:rPr>
      </w:pPr>
      <w:bookmarkStart w:id="2401" w:name="_Toc482"/>
      <w:bookmarkStart w:id="2402" w:name="_Toc22762"/>
      <w:bookmarkStart w:id="2403" w:name="_Toc674"/>
      <w:bookmarkStart w:id="2404" w:name="_Toc3526"/>
      <w:bookmarkStart w:id="2405" w:name="_Toc1029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.5.1.</w:t>
      </w:r>
      <w:r>
        <w:rPr>
          <w:rFonts w:hint="eastAsia"/>
          <w:color w:val="auto"/>
        </w:rPr>
        <w:t>对供货商的管理措施</w:t>
      </w:r>
      <w:bookmarkEnd w:id="2397"/>
      <w:bookmarkEnd w:id="2398"/>
      <w:bookmarkEnd w:id="2399"/>
      <w:bookmarkEnd w:id="2401"/>
      <w:bookmarkEnd w:id="2402"/>
      <w:bookmarkEnd w:id="2403"/>
      <w:bookmarkEnd w:id="2404"/>
      <w:bookmarkEnd w:id="2405"/>
    </w:p>
    <w:p w14:paraId="5C84B74A">
      <w:pPr>
        <w:ind w:firstLine="480"/>
        <w:rPr>
          <w:rFonts w:hint="eastAsia" w:ascii="宋体" w:hAnsi="宋体" w:cs="宋体"/>
          <w:lang w:val="en-US" w:eastAsia="zh-CN"/>
        </w:rPr>
      </w:pPr>
      <w:r>
        <w:rPr>
          <w:rFonts w:hint="eastAsia" w:ascii="宋体" w:hAnsi="宋体" w:cs="宋体"/>
          <w:lang w:val="en-US" w:eastAsia="zh-CN"/>
        </w:rPr>
        <w:t>本合同段工程构成工程实体的水泥、钢筋等主要材料及其它材料由我项目部设物部直接采购供货。工程所用的材料必须进行严格的质量管理，包括对原材料、成品、半成品的质量管理。对供应商的严格管理也是保证工程质量的重要措施之一。</w:t>
      </w:r>
    </w:p>
    <w:p w14:paraId="6F0AE767">
      <w:pPr>
        <w:ind w:firstLine="480"/>
        <w:rPr>
          <w:rFonts w:hint="eastAsia" w:ascii="宋体" w:hAnsi="宋体" w:cs="宋体"/>
          <w:lang w:val="en-US" w:eastAsia="zh-CN"/>
        </w:rPr>
      </w:pPr>
      <w:bookmarkStart w:id="2406" w:name="_Toc176878849"/>
      <w:bookmarkStart w:id="2407" w:name="_Toc20489"/>
      <w:bookmarkStart w:id="2408" w:name="_Toc12551"/>
      <w:bookmarkStart w:id="2409" w:name="_Toc26720"/>
      <w:bookmarkStart w:id="2410" w:name="_Toc1054"/>
      <w:bookmarkStart w:id="2411" w:name="_Toc176609217"/>
      <w:r>
        <w:rPr>
          <w:rFonts w:hint="eastAsia" w:ascii="宋体" w:hAnsi="宋体" w:cs="宋体"/>
          <w:lang w:val="en-US" w:eastAsia="zh-CN"/>
        </w:rPr>
        <w:t>1.对供应商的调查、评价</w:t>
      </w:r>
      <w:bookmarkEnd w:id="2406"/>
      <w:bookmarkEnd w:id="2407"/>
      <w:bookmarkEnd w:id="2408"/>
      <w:bookmarkEnd w:id="2409"/>
      <w:bookmarkEnd w:id="2410"/>
      <w:bookmarkEnd w:id="2411"/>
    </w:p>
    <w:p w14:paraId="51F3DB83">
      <w:pPr>
        <w:ind w:firstLine="480"/>
        <w:rPr>
          <w:rFonts w:hint="eastAsia" w:ascii="宋体" w:hAnsi="宋体" w:cs="宋体"/>
          <w:lang w:val="en-US" w:eastAsia="zh-CN"/>
        </w:rPr>
      </w:pPr>
      <w:r>
        <w:rPr>
          <w:rFonts w:hint="eastAsia" w:ascii="宋体" w:hAnsi="宋体" w:cs="宋体"/>
          <w:lang w:val="en-US" w:eastAsia="zh-CN"/>
        </w:rPr>
        <w:t>1）采购前要调查供应商的生产能力、交货质量、信誉，评价满足产品质量要求的能力，查阅其被证实的能力和业绩的记录。可能情况下，提供该单位具有代表性的照片作为佐证，调查是否通过质量体系认证或近期获得国家/行业认可，对供应商的调查资料除说明该供应商的情况外，还应对该供应商提供产品的生产厂家进行说明。经对供应商进行全方位的调查后，采购部门根据调查资料，编制“供应商调查表”，被调查单位作为初选供货商。根据我公司质量体系文件规定，本工程的材料供应由物资部负责，物资部室与工程管理部联合组成本工程的采购部门。</w:t>
      </w:r>
    </w:p>
    <w:p w14:paraId="05E22B82">
      <w:pPr>
        <w:ind w:firstLine="480"/>
        <w:rPr>
          <w:rFonts w:hint="eastAsia" w:ascii="宋体" w:hAnsi="宋体" w:cs="宋体"/>
          <w:lang w:val="en-US" w:eastAsia="zh-CN"/>
        </w:rPr>
      </w:pPr>
      <w:r>
        <w:rPr>
          <w:rFonts w:hint="eastAsia" w:ascii="宋体" w:hAnsi="宋体" w:cs="宋体"/>
          <w:lang w:val="en-US" w:eastAsia="zh-CN"/>
        </w:rPr>
        <w:t>2）采购部门与初选供应商联络，请生产厂家、供应商提供需进行再试验产品的样品，送试验室检测。</w:t>
      </w:r>
    </w:p>
    <w:p w14:paraId="226D44A9">
      <w:pPr>
        <w:ind w:firstLine="480"/>
        <w:rPr>
          <w:rFonts w:hint="eastAsia" w:ascii="宋体" w:hAnsi="宋体" w:cs="宋体"/>
          <w:lang w:val="en-US" w:eastAsia="zh-CN"/>
        </w:rPr>
      </w:pPr>
      <w:r>
        <w:rPr>
          <w:rFonts w:hint="eastAsia" w:ascii="宋体" w:hAnsi="宋体" w:cs="宋体"/>
          <w:lang w:val="en-US" w:eastAsia="zh-CN"/>
        </w:rPr>
        <w:t>3）采购部门收集、整理供应商认定过程中的有关资料，对初选供应商进行评价，根据对供应商的调查和评价情况，负责认定合格供应商，编制“合格供应商名录”，建立合格供应商档案。</w:t>
      </w:r>
    </w:p>
    <w:p w14:paraId="7C6C3C1C">
      <w:pPr>
        <w:ind w:firstLine="480"/>
        <w:rPr>
          <w:rFonts w:hint="eastAsia" w:ascii="宋体" w:hAnsi="宋体" w:cs="宋体"/>
          <w:lang w:val="en-US" w:eastAsia="zh-CN"/>
        </w:rPr>
      </w:pPr>
      <w:r>
        <w:rPr>
          <w:rFonts w:hint="eastAsia" w:ascii="宋体" w:hAnsi="宋体" w:cs="宋体"/>
          <w:lang w:val="en-US" w:eastAsia="zh-CN"/>
        </w:rPr>
        <w:t>4）采购部门不得到未经认定为合格的供应商处采购产品。</w:t>
      </w:r>
    </w:p>
    <w:p w14:paraId="5B0FBD2C">
      <w:pPr>
        <w:ind w:firstLine="480"/>
        <w:rPr>
          <w:rFonts w:hint="eastAsia" w:ascii="宋体" w:hAnsi="宋体" w:cs="宋体"/>
          <w:lang w:val="en-US" w:eastAsia="zh-CN"/>
        </w:rPr>
      </w:pPr>
      <w:bookmarkStart w:id="2412" w:name="_Toc6527"/>
      <w:bookmarkStart w:id="2413" w:name="_Toc176878850"/>
      <w:bookmarkStart w:id="2414" w:name="_Toc15251"/>
      <w:bookmarkStart w:id="2415" w:name="_Toc176609218"/>
      <w:bookmarkStart w:id="2416" w:name="_Toc9391"/>
      <w:bookmarkStart w:id="2417" w:name="_Toc1927"/>
      <w:r>
        <w:rPr>
          <w:rFonts w:hint="eastAsia" w:ascii="宋体" w:hAnsi="宋体" w:cs="宋体"/>
          <w:lang w:val="en-US" w:eastAsia="zh-CN"/>
        </w:rPr>
        <w:t>2.产品的采购</w:t>
      </w:r>
      <w:bookmarkEnd w:id="2412"/>
      <w:bookmarkEnd w:id="2413"/>
      <w:bookmarkEnd w:id="2414"/>
      <w:bookmarkEnd w:id="2415"/>
      <w:bookmarkEnd w:id="2416"/>
      <w:bookmarkEnd w:id="2417"/>
    </w:p>
    <w:p w14:paraId="33BB7C0D">
      <w:pPr>
        <w:ind w:firstLine="480"/>
        <w:rPr>
          <w:rFonts w:hint="eastAsia" w:ascii="宋体" w:hAnsi="宋体" w:cs="宋体"/>
          <w:lang w:val="en-US" w:eastAsia="zh-CN"/>
        </w:rPr>
      </w:pPr>
      <w:r>
        <w:rPr>
          <w:rFonts w:hint="eastAsia" w:ascii="宋体" w:hAnsi="宋体" w:cs="宋体"/>
          <w:lang w:val="en-US" w:eastAsia="zh-CN"/>
        </w:rPr>
        <w:t>1）采购部门综合选择最优的合格供应商，项目经理部与长期且批量供货的合格供应商签订供货合同。</w:t>
      </w:r>
    </w:p>
    <w:p w14:paraId="200F0AD6">
      <w:pPr>
        <w:ind w:firstLine="480"/>
        <w:rPr>
          <w:rFonts w:hint="eastAsia" w:ascii="宋体" w:hAnsi="宋体" w:cs="宋体"/>
          <w:lang w:val="en-US" w:eastAsia="zh-CN"/>
        </w:rPr>
      </w:pPr>
      <w:r>
        <w:rPr>
          <w:rFonts w:hint="eastAsia" w:ascii="宋体" w:hAnsi="宋体" w:cs="宋体"/>
          <w:lang w:val="en-US" w:eastAsia="zh-CN"/>
        </w:rPr>
        <w:t>1）采购部门负责按采购合同要求到合格供应商货源处进行验证，验证内容应包括供货合同中与质量及供货能力有关的要求。</w:t>
      </w:r>
    </w:p>
    <w:p w14:paraId="1BD3C561">
      <w:pPr>
        <w:ind w:firstLine="480"/>
        <w:rPr>
          <w:rFonts w:hint="eastAsia" w:ascii="宋体" w:hAnsi="宋体" w:cs="宋体"/>
          <w:lang w:val="en-US" w:eastAsia="zh-CN"/>
        </w:rPr>
      </w:pPr>
      <w:r>
        <w:rPr>
          <w:rFonts w:hint="eastAsia" w:ascii="宋体" w:hAnsi="宋体" w:cs="宋体"/>
          <w:lang w:val="en-US" w:eastAsia="zh-CN"/>
        </w:rPr>
        <w:t>2）采购部门应索取每批产品的相关技术证件（技术证件要求填写齐全，如钢材炉号、水泥批号等）。</w:t>
      </w:r>
    </w:p>
    <w:p w14:paraId="63614E08">
      <w:pPr>
        <w:ind w:firstLine="480"/>
        <w:rPr>
          <w:rFonts w:hint="eastAsia" w:ascii="宋体" w:hAnsi="宋体" w:cs="宋体"/>
          <w:lang w:val="en-US" w:eastAsia="zh-CN"/>
        </w:rPr>
      </w:pPr>
      <w:r>
        <w:rPr>
          <w:rFonts w:hint="eastAsia" w:ascii="宋体" w:hAnsi="宋体" w:cs="宋体"/>
          <w:lang w:val="en-US" w:eastAsia="zh-CN"/>
        </w:rPr>
        <w:t>3）认真做好进货检验和试验，严把产品验收关，不合格的产品不得进入现场。</w:t>
      </w:r>
      <w:bookmarkStart w:id="2418" w:name="_Toc176878851"/>
      <w:bookmarkStart w:id="2419" w:name="_Toc176609219"/>
    </w:p>
    <w:p w14:paraId="1D0FC715">
      <w:pPr>
        <w:ind w:firstLine="480"/>
        <w:rPr>
          <w:rFonts w:hint="eastAsia" w:ascii="宋体" w:hAnsi="宋体" w:cs="宋体"/>
          <w:lang w:val="en-US" w:eastAsia="zh-CN"/>
        </w:rPr>
      </w:pPr>
      <w:bookmarkStart w:id="2420" w:name="_Toc16885"/>
      <w:bookmarkStart w:id="2421" w:name="_Toc16267"/>
      <w:bookmarkStart w:id="2422" w:name="_Toc26303"/>
      <w:bookmarkStart w:id="2423" w:name="_Toc15535"/>
      <w:r>
        <w:rPr>
          <w:rFonts w:hint="eastAsia" w:ascii="宋体" w:hAnsi="宋体" w:cs="宋体"/>
          <w:lang w:val="en-US" w:eastAsia="zh-CN"/>
        </w:rPr>
        <w:t>3.质量跟踪</w:t>
      </w:r>
      <w:bookmarkEnd w:id="2418"/>
      <w:bookmarkEnd w:id="2419"/>
      <w:bookmarkEnd w:id="2420"/>
      <w:bookmarkEnd w:id="2421"/>
      <w:bookmarkEnd w:id="2422"/>
      <w:bookmarkEnd w:id="2423"/>
    </w:p>
    <w:p w14:paraId="05CC8DE3">
      <w:pPr>
        <w:ind w:firstLine="480"/>
        <w:rPr>
          <w:rFonts w:hint="eastAsia" w:ascii="宋体" w:hAnsi="宋体" w:cs="宋体"/>
          <w:lang w:val="en-US" w:eastAsia="zh-CN"/>
        </w:rPr>
      </w:pPr>
      <w:r>
        <w:rPr>
          <w:rFonts w:hint="eastAsia" w:ascii="宋体" w:hAnsi="宋体" w:cs="宋体"/>
          <w:lang w:val="en-US" w:eastAsia="zh-CN"/>
        </w:rPr>
        <w:t>采购部门对已进货的分供方进行质量跟踪，对质量下降的分供方，采购部门提出限期改正措施。分供方仍不能解决问题，采购部门取消其合格分供方资格，从“合格分供方名录”中除去该分供方。</w:t>
      </w:r>
    </w:p>
    <w:p w14:paraId="511E1851">
      <w:pPr>
        <w:pStyle w:val="5"/>
        <w:numPr>
          <w:ilvl w:val="2"/>
          <w:numId w:val="0"/>
        </w:numPr>
        <w:spacing w:line="360" w:lineRule="auto"/>
        <w:ind w:left="720" w:leftChars="0" w:hanging="720" w:firstLineChars="0"/>
        <w:rPr>
          <w:color w:val="auto"/>
        </w:rPr>
      </w:pPr>
      <w:bookmarkStart w:id="2424" w:name="_Toc4565"/>
      <w:bookmarkStart w:id="2425" w:name="_Toc302"/>
      <w:bookmarkStart w:id="2426" w:name="_Toc5825"/>
      <w:bookmarkStart w:id="2427" w:name="_Toc3297"/>
      <w:bookmarkStart w:id="2428" w:name="_Toc9984"/>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.5.2.</w:t>
      </w:r>
      <w:r>
        <w:rPr>
          <w:rFonts w:hint="eastAsia"/>
          <w:color w:val="auto"/>
        </w:rPr>
        <w:t>路基</w:t>
      </w:r>
      <w:bookmarkEnd w:id="2400"/>
      <w:r>
        <w:rPr>
          <w:rFonts w:hint="eastAsia"/>
          <w:color w:val="auto"/>
        </w:rPr>
        <w:t>施工</w:t>
      </w:r>
      <w:bookmarkEnd w:id="2424"/>
      <w:bookmarkEnd w:id="2425"/>
      <w:bookmarkEnd w:id="2426"/>
      <w:bookmarkEnd w:id="2427"/>
      <w:bookmarkEnd w:id="2428"/>
    </w:p>
    <w:p w14:paraId="00EA08C1">
      <w:pPr>
        <w:ind w:firstLine="480"/>
        <w:rPr>
          <w:rFonts w:hint="eastAsia" w:ascii="宋体" w:hAnsi="宋体" w:cs="宋体"/>
          <w:lang w:val="en-US" w:eastAsia="zh-CN"/>
        </w:rPr>
      </w:pPr>
      <w:r>
        <w:rPr>
          <w:rFonts w:hint="eastAsia" w:ascii="宋体" w:hAnsi="宋体" w:cs="宋体"/>
          <w:lang w:val="en-US" w:eastAsia="zh-CN"/>
        </w:rPr>
        <w:t>路基开挖前，进行施工测量，准确确定线路中桩、边桩的位置和高程。严格按设计标高开挖。</w:t>
      </w:r>
    </w:p>
    <w:p w14:paraId="164C1839">
      <w:pPr>
        <w:ind w:firstLine="480"/>
        <w:rPr>
          <w:rFonts w:hint="eastAsia" w:ascii="宋体" w:hAnsi="宋体" w:cs="宋体"/>
          <w:lang w:val="en-US" w:eastAsia="zh-CN"/>
        </w:rPr>
      </w:pPr>
      <w:r>
        <w:rPr>
          <w:rFonts w:hint="eastAsia" w:ascii="宋体" w:hAnsi="宋体" w:cs="宋体"/>
          <w:lang w:val="en-US" w:eastAsia="zh-CN"/>
        </w:rPr>
        <w:t>优先选用质量稳定可靠的施工机械设备，尤其是路基碾压、特殊路基处理施工设备的配置，必须满足路基工后沉降的要求。</w:t>
      </w:r>
    </w:p>
    <w:p w14:paraId="05BCCCE6">
      <w:pPr>
        <w:ind w:firstLine="480"/>
        <w:rPr>
          <w:rFonts w:hint="eastAsia" w:ascii="宋体" w:hAnsi="宋体" w:cs="宋体"/>
          <w:lang w:val="en-US" w:eastAsia="zh-CN"/>
        </w:rPr>
      </w:pPr>
      <w:r>
        <w:rPr>
          <w:rFonts w:hint="eastAsia" w:ascii="宋体" w:hAnsi="宋体" w:cs="宋体"/>
          <w:lang w:val="en-US" w:eastAsia="zh-CN"/>
        </w:rPr>
        <w:t>加强对机械设备的维护与保养，确保正常工作。</w:t>
      </w:r>
    </w:p>
    <w:p w14:paraId="22A17769">
      <w:pPr>
        <w:ind w:firstLine="480"/>
        <w:rPr>
          <w:rFonts w:hint="eastAsia" w:ascii="宋体" w:hAnsi="宋体" w:cs="宋体"/>
          <w:lang w:val="en-US" w:eastAsia="zh-CN"/>
        </w:rPr>
      </w:pPr>
      <w:r>
        <w:rPr>
          <w:rFonts w:hint="eastAsia" w:ascii="宋体" w:hAnsi="宋体" w:cs="宋体"/>
          <w:lang w:val="en-US" w:eastAsia="zh-CN"/>
        </w:rPr>
        <w:t>严格填料筛选和检验、土质改良试验和检验；试验段先行，取得有关工艺参数后大面积施工；严格控制填土压实密度，要特别重视路基过渡段的施工，对于边角部位采用小型机械配合碾压、夯实。</w:t>
      </w:r>
    </w:p>
    <w:p w14:paraId="02287F59">
      <w:pPr>
        <w:ind w:firstLine="480"/>
        <w:rPr>
          <w:rFonts w:hint="eastAsia" w:ascii="宋体" w:hAnsi="宋体" w:cs="宋体"/>
          <w:lang w:val="en-US" w:eastAsia="zh-CN"/>
        </w:rPr>
      </w:pPr>
      <w:r>
        <w:rPr>
          <w:rFonts w:hint="eastAsia" w:ascii="宋体" w:hAnsi="宋体" w:cs="宋体"/>
          <w:lang w:val="en-US" w:eastAsia="zh-CN"/>
        </w:rPr>
        <w:t>对地基条件进行评价，核对地基处理措施。对路基本体及地基沉降进行全面、系统的监测，并通过沉降预测、评估技术，控制工后沉降。</w:t>
      </w:r>
    </w:p>
    <w:p w14:paraId="14913EA4">
      <w:pPr>
        <w:pStyle w:val="5"/>
        <w:numPr>
          <w:ilvl w:val="2"/>
          <w:numId w:val="0"/>
        </w:numPr>
        <w:spacing w:line="360" w:lineRule="auto"/>
        <w:ind w:left="720" w:leftChars="0" w:hanging="720" w:firstLineChars="0"/>
        <w:rPr>
          <w:color w:val="auto"/>
        </w:rPr>
      </w:pPr>
      <w:bookmarkStart w:id="2429" w:name="_Toc392933548"/>
      <w:bookmarkStart w:id="2430" w:name="_Toc865"/>
      <w:bookmarkStart w:id="2431" w:name="_Toc13378"/>
      <w:bookmarkStart w:id="2432" w:name="_Toc13072"/>
      <w:bookmarkStart w:id="2433" w:name="_Toc6132"/>
      <w:bookmarkStart w:id="2434" w:name="_Toc27084"/>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.5.3.</w:t>
      </w:r>
      <w:r>
        <w:rPr>
          <w:rFonts w:hint="eastAsia"/>
          <w:color w:val="auto"/>
        </w:rPr>
        <w:t>桥涵</w:t>
      </w:r>
      <w:bookmarkEnd w:id="2429"/>
      <w:r>
        <w:rPr>
          <w:rFonts w:hint="eastAsia"/>
          <w:color w:val="auto"/>
        </w:rPr>
        <w:t>施工</w:t>
      </w:r>
      <w:bookmarkEnd w:id="2430"/>
      <w:bookmarkEnd w:id="2431"/>
      <w:bookmarkEnd w:id="2432"/>
      <w:bookmarkEnd w:id="2433"/>
      <w:bookmarkEnd w:id="2434"/>
    </w:p>
    <w:p w14:paraId="380CB8D8">
      <w:pPr>
        <w:ind w:firstLine="480"/>
        <w:rPr>
          <w:rFonts w:hint="eastAsia" w:ascii="宋体" w:hAnsi="宋体" w:cs="宋体"/>
          <w:lang w:val="en-US" w:eastAsia="zh-CN"/>
        </w:rPr>
      </w:pPr>
      <w:bookmarkStart w:id="2435" w:name="_Toc95297396"/>
      <w:bookmarkStart w:id="2436" w:name="_Toc94690161"/>
      <w:bookmarkStart w:id="2437" w:name="_Toc96588860"/>
      <w:bookmarkStart w:id="2438" w:name="_Toc95321497"/>
      <w:bookmarkStart w:id="2439" w:name="_Toc96589804"/>
      <w:bookmarkStart w:id="2440" w:name="_Toc96404423"/>
      <w:bookmarkStart w:id="2441" w:name="_Toc96588077"/>
      <w:bookmarkStart w:id="2442" w:name="_Toc95962716"/>
      <w:bookmarkStart w:id="2443" w:name="_Toc96954236"/>
      <w:r>
        <w:rPr>
          <w:rFonts w:hint="eastAsia" w:ascii="宋体" w:hAnsi="宋体" w:cs="宋体"/>
          <w:lang w:val="en-US" w:eastAsia="zh-CN"/>
        </w:rPr>
        <w:t>⑴一般措施</w:t>
      </w:r>
    </w:p>
    <w:p w14:paraId="1E9DB8CF">
      <w:pPr>
        <w:ind w:firstLine="480"/>
        <w:rPr>
          <w:rFonts w:hint="eastAsia" w:ascii="宋体" w:hAnsi="宋体" w:cs="宋体"/>
          <w:lang w:val="en-US" w:eastAsia="zh-CN"/>
        </w:rPr>
      </w:pPr>
      <w:r>
        <w:rPr>
          <w:rFonts w:hint="eastAsia" w:ascii="宋体" w:hAnsi="宋体" w:cs="宋体"/>
          <w:lang w:val="en-US" w:eastAsia="zh-CN"/>
        </w:rPr>
        <w:t>桥梁工程现浇混凝土施工严格按施工技术规范执行，采用自动计量拌和站集中拌和，搅拌运输车尽快运输至现场浇筑，墩台身及箱梁采用混凝土泵浇筑。</w:t>
      </w:r>
    </w:p>
    <w:p w14:paraId="2D3F0AC7">
      <w:pPr>
        <w:ind w:firstLine="480"/>
        <w:rPr>
          <w:rFonts w:hint="eastAsia" w:ascii="宋体" w:hAnsi="宋体" w:cs="宋体"/>
          <w:lang w:val="en-US" w:eastAsia="zh-CN"/>
        </w:rPr>
      </w:pPr>
      <w:r>
        <w:rPr>
          <w:rFonts w:hint="eastAsia" w:ascii="宋体" w:hAnsi="宋体" w:cs="宋体"/>
          <w:lang w:val="en-US" w:eastAsia="zh-CN"/>
        </w:rPr>
        <w:t>为了使桥梁外观颜色一致，地面以上部分结构采用同一厂家同一品种的水泥生产的混凝土。</w:t>
      </w:r>
    </w:p>
    <w:p w14:paraId="2968CC55">
      <w:pPr>
        <w:ind w:firstLine="480"/>
        <w:rPr>
          <w:rFonts w:hint="eastAsia" w:ascii="宋体" w:hAnsi="宋体" w:cs="宋体"/>
          <w:lang w:val="en-US" w:eastAsia="zh-CN"/>
        </w:rPr>
      </w:pPr>
      <w:r>
        <w:rPr>
          <w:rFonts w:hint="eastAsia" w:ascii="宋体" w:hAnsi="宋体" w:cs="宋体"/>
          <w:lang w:val="en-US" w:eastAsia="zh-CN"/>
        </w:rPr>
        <w:t>⑵钻孔灌注桩</w:t>
      </w:r>
      <w:bookmarkEnd w:id="2435"/>
      <w:bookmarkEnd w:id="2436"/>
      <w:bookmarkEnd w:id="2437"/>
      <w:bookmarkEnd w:id="2438"/>
      <w:bookmarkEnd w:id="2439"/>
      <w:bookmarkEnd w:id="2440"/>
      <w:bookmarkEnd w:id="2441"/>
      <w:bookmarkEnd w:id="2442"/>
      <w:bookmarkEnd w:id="2443"/>
    </w:p>
    <w:p w14:paraId="6B7EEE71">
      <w:pPr>
        <w:ind w:firstLine="480"/>
        <w:rPr>
          <w:rFonts w:hint="eastAsia" w:ascii="宋体" w:hAnsi="宋体" w:cs="宋体"/>
          <w:lang w:val="en-US" w:eastAsia="zh-CN"/>
        </w:rPr>
      </w:pPr>
      <w:r>
        <w:rPr>
          <w:rFonts w:hint="eastAsia" w:ascii="宋体" w:hAnsi="宋体" w:cs="宋体"/>
          <w:lang w:val="en-US" w:eastAsia="zh-CN"/>
        </w:rPr>
        <w:t>钻机要固定牢固，防止由于在提锤和落锤时的冲击，使钻机移位，导致偏孔。</w:t>
      </w:r>
    </w:p>
    <w:p w14:paraId="6DC5163F">
      <w:pPr>
        <w:ind w:firstLine="480"/>
        <w:rPr>
          <w:rFonts w:hint="eastAsia" w:ascii="宋体" w:hAnsi="宋体" w:cs="宋体"/>
          <w:lang w:val="en-US" w:eastAsia="zh-CN"/>
        </w:rPr>
      </w:pPr>
      <w:r>
        <w:rPr>
          <w:rFonts w:hint="eastAsia" w:ascii="宋体" w:hAnsi="宋体" w:cs="宋体"/>
          <w:lang w:val="en-US" w:eastAsia="zh-CN"/>
        </w:rPr>
        <w:t>进入岩层后经常检查钻头的直径尺寸，钻头在岩层中磨损严重，如不及时补焊钻头，将导致孔缩径。</w:t>
      </w:r>
    </w:p>
    <w:p w14:paraId="5034613B">
      <w:pPr>
        <w:ind w:firstLine="480"/>
        <w:rPr>
          <w:rFonts w:hint="eastAsia" w:ascii="宋体" w:hAnsi="宋体" w:cs="宋体"/>
          <w:lang w:val="en-US" w:eastAsia="zh-CN"/>
        </w:rPr>
      </w:pPr>
      <w:r>
        <w:rPr>
          <w:rFonts w:hint="eastAsia" w:ascii="宋体" w:hAnsi="宋体" w:cs="宋体"/>
          <w:lang w:val="en-US" w:eastAsia="zh-CN"/>
        </w:rPr>
        <w:t>钢筋笼下放后，下放射风管，在灌注前开动空压机，利用气流扰动孔底沉渣，使之悬浮于泥浆中，以减少沉淀物。</w:t>
      </w:r>
    </w:p>
    <w:p w14:paraId="00340984">
      <w:pPr>
        <w:ind w:firstLine="480"/>
        <w:rPr>
          <w:rFonts w:hint="eastAsia" w:ascii="宋体" w:hAnsi="宋体" w:cs="宋体"/>
          <w:lang w:val="en-US" w:eastAsia="zh-CN"/>
        </w:rPr>
      </w:pPr>
      <w:r>
        <w:rPr>
          <w:rFonts w:hint="eastAsia" w:ascii="宋体" w:hAnsi="宋体" w:cs="宋体"/>
          <w:lang w:val="en-US" w:eastAsia="zh-CN"/>
        </w:rPr>
        <w:t>灌注水下砼要一次连续浇筑，始终保持导管埋入砼中2～6m，防止出现断桩。通过在混凝土中掺入缓凝剂，以延迟其凝结时间。</w:t>
      </w:r>
    </w:p>
    <w:p w14:paraId="31605CD2">
      <w:pPr>
        <w:ind w:firstLine="480"/>
        <w:rPr>
          <w:rFonts w:hint="eastAsia" w:ascii="宋体" w:hAnsi="宋体" w:cs="宋体"/>
          <w:lang w:val="en-US" w:eastAsia="zh-CN"/>
        </w:rPr>
      </w:pPr>
      <w:r>
        <w:rPr>
          <w:rFonts w:hint="eastAsia" w:ascii="宋体" w:hAnsi="宋体" w:cs="宋体"/>
          <w:lang w:val="en-US" w:eastAsia="zh-CN"/>
        </w:rPr>
        <w:t>承台（系梁）开挖后凿除桩头，对桩基进行桩身强度无损检测，评价桩基完整性。</w:t>
      </w:r>
    </w:p>
    <w:p w14:paraId="4F4FC547">
      <w:pPr>
        <w:ind w:firstLine="480"/>
        <w:rPr>
          <w:rFonts w:hint="eastAsia" w:ascii="宋体" w:hAnsi="宋体" w:cs="宋体"/>
          <w:lang w:val="en-US" w:eastAsia="zh-CN"/>
        </w:rPr>
      </w:pPr>
      <w:bookmarkStart w:id="2444" w:name="_Toc96588861"/>
      <w:bookmarkStart w:id="2445" w:name="_Toc96954237"/>
      <w:bookmarkStart w:id="2446" w:name="_Toc96588078"/>
      <w:bookmarkStart w:id="2447" w:name="_Toc95297397"/>
      <w:bookmarkStart w:id="2448" w:name="_Toc94690162"/>
      <w:bookmarkStart w:id="2449" w:name="_Toc95321498"/>
      <w:bookmarkStart w:id="2450" w:name="_Toc96589805"/>
      <w:bookmarkStart w:id="2451" w:name="_Toc95962717"/>
      <w:bookmarkStart w:id="2452" w:name="_Toc96404424"/>
      <w:r>
        <w:rPr>
          <w:rFonts w:hint="eastAsia" w:ascii="宋体" w:hAnsi="宋体" w:cs="宋体"/>
          <w:lang w:val="en-US" w:eastAsia="zh-CN"/>
        </w:rPr>
        <w:t>⑶承台（系梁）施工</w:t>
      </w:r>
      <w:bookmarkEnd w:id="2444"/>
      <w:bookmarkEnd w:id="2445"/>
      <w:bookmarkEnd w:id="2446"/>
      <w:bookmarkEnd w:id="2447"/>
      <w:bookmarkEnd w:id="2448"/>
      <w:bookmarkEnd w:id="2449"/>
      <w:bookmarkEnd w:id="2450"/>
      <w:bookmarkEnd w:id="2451"/>
      <w:bookmarkEnd w:id="2452"/>
      <w:r>
        <w:rPr>
          <w:rFonts w:hint="eastAsia" w:ascii="宋体" w:hAnsi="宋体" w:cs="宋体"/>
          <w:lang w:val="en-US" w:eastAsia="zh-CN"/>
        </w:rPr>
        <w:t>及时抽排基坑中积水。</w:t>
      </w:r>
    </w:p>
    <w:p w14:paraId="1D3B0A0D">
      <w:pPr>
        <w:ind w:firstLine="480"/>
        <w:rPr>
          <w:rFonts w:hint="eastAsia" w:ascii="宋体" w:hAnsi="宋体" w:cs="宋体"/>
          <w:lang w:val="en-US" w:eastAsia="zh-CN"/>
        </w:rPr>
      </w:pPr>
      <w:r>
        <w:rPr>
          <w:rFonts w:hint="eastAsia" w:ascii="宋体" w:hAnsi="宋体" w:cs="宋体"/>
          <w:lang w:val="en-US" w:eastAsia="zh-CN"/>
        </w:rPr>
        <w:t>严格进行基坑隐蔽工程检查，按设计及规范要求进行基底处理。</w:t>
      </w:r>
    </w:p>
    <w:p w14:paraId="2791AA2D">
      <w:pPr>
        <w:ind w:firstLine="480"/>
        <w:rPr>
          <w:rFonts w:hint="eastAsia" w:ascii="宋体" w:hAnsi="宋体" w:cs="宋体"/>
          <w:lang w:val="en-US" w:eastAsia="zh-CN"/>
        </w:rPr>
      </w:pPr>
      <w:r>
        <w:rPr>
          <w:rFonts w:hint="eastAsia" w:ascii="宋体" w:hAnsi="宋体" w:cs="宋体"/>
          <w:lang w:val="en-US" w:eastAsia="zh-CN"/>
        </w:rPr>
        <w:t>钢筋、模板的制作安装按设计、规范进行，混凝土采用分段分层浇筑，振捣密实。</w:t>
      </w:r>
    </w:p>
    <w:p w14:paraId="4CB4EE0F">
      <w:pPr>
        <w:ind w:firstLine="480"/>
        <w:rPr>
          <w:rFonts w:hint="eastAsia" w:ascii="宋体" w:hAnsi="宋体" w:cs="宋体"/>
          <w:lang w:val="en-US" w:eastAsia="zh-CN"/>
        </w:rPr>
      </w:pPr>
      <w:bookmarkStart w:id="2453" w:name="_Toc95321499"/>
      <w:bookmarkStart w:id="2454" w:name="_Toc95297398"/>
      <w:bookmarkStart w:id="2455" w:name="_Toc94690163"/>
      <w:bookmarkStart w:id="2456" w:name="_Toc95962718"/>
      <w:bookmarkStart w:id="2457" w:name="_Toc96954238"/>
      <w:bookmarkStart w:id="2458" w:name="_Toc96588862"/>
      <w:bookmarkStart w:id="2459" w:name="_Toc96589806"/>
      <w:bookmarkStart w:id="2460" w:name="_Toc96588079"/>
      <w:bookmarkStart w:id="2461" w:name="_Toc96404425"/>
      <w:r>
        <w:rPr>
          <w:rFonts w:hint="eastAsia" w:ascii="宋体" w:hAnsi="宋体" w:cs="宋体"/>
          <w:lang w:val="en-US" w:eastAsia="zh-CN"/>
        </w:rPr>
        <w:t>⑷墩台施工</w:t>
      </w:r>
      <w:bookmarkEnd w:id="2453"/>
      <w:bookmarkEnd w:id="2454"/>
      <w:bookmarkEnd w:id="2455"/>
      <w:bookmarkEnd w:id="2456"/>
      <w:bookmarkEnd w:id="2457"/>
      <w:bookmarkEnd w:id="2458"/>
      <w:bookmarkEnd w:id="2459"/>
      <w:bookmarkEnd w:id="2460"/>
      <w:bookmarkEnd w:id="2461"/>
    </w:p>
    <w:p w14:paraId="629BF72A">
      <w:pPr>
        <w:ind w:firstLine="480"/>
        <w:rPr>
          <w:rFonts w:hint="eastAsia" w:ascii="宋体" w:hAnsi="宋体" w:cs="宋体"/>
          <w:lang w:val="en-US" w:eastAsia="zh-CN"/>
        </w:rPr>
      </w:pPr>
      <w:r>
        <w:rPr>
          <w:rFonts w:hint="eastAsia" w:ascii="宋体" w:hAnsi="宋体" w:cs="宋体"/>
          <w:lang w:val="en-US" w:eastAsia="zh-CN"/>
        </w:rPr>
        <w:t>结构砼表面采用大块模板施工，浇筑砼前将模板表面清理干净，均匀涂抹脱模剂。所有模板拼装时在接缝处夹海绵条，使板缝严密、不漏浆。</w:t>
      </w:r>
    </w:p>
    <w:p w14:paraId="7B9858AE">
      <w:pPr>
        <w:ind w:firstLine="480"/>
        <w:rPr>
          <w:rFonts w:hint="eastAsia" w:ascii="宋体" w:hAnsi="宋体" w:cs="宋体"/>
          <w:lang w:val="en-US" w:eastAsia="zh-CN"/>
        </w:rPr>
      </w:pPr>
      <w:r>
        <w:rPr>
          <w:rFonts w:hint="eastAsia" w:ascii="宋体" w:hAnsi="宋体" w:cs="宋体"/>
          <w:lang w:val="en-US" w:eastAsia="zh-CN"/>
        </w:rPr>
        <w:t>模板表面平整、光滑，具有足够的强度、刚度、稳定性，支撑牢固。横竖缝排列有序，连接紧密。</w:t>
      </w:r>
    </w:p>
    <w:p w14:paraId="5914A1D7">
      <w:pPr>
        <w:ind w:firstLine="480"/>
        <w:rPr>
          <w:rFonts w:hint="eastAsia" w:ascii="宋体" w:hAnsi="宋体" w:cs="宋体"/>
          <w:lang w:val="en-US" w:eastAsia="zh-CN"/>
        </w:rPr>
      </w:pPr>
      <w:r>
        <w:rPr>
          <w:rFonts w:hint="eastAsia" w:ascii="宋体" w:hAnsi="宋体" w:cs="宋体"/>
          <w:lang w:val="en-US" w:eastAsia="zh-CN"/>
        </w:rPr>
        <w:t>墩身砼水平分层振捣，分层厚度为30～40cm，且一次连续灌注。严格控制砼塌落度，砼自由倾落高度超过2m时，用滑槽、串筒等灌注，防止砼离析。</w:t>
      </w:r>
    </w:p>
    <w:p w14:paraId="03EE4C8A">
      <w:pPr>
        <w:ind w:firstLine="480"/>
        <w:rPr>
          <w:rFonts w:hint="eastAsia" w:ascii="宋体" w:hAnsi="宋体" w:cs="宋体"/>
          <w:lang w:val="en-US" w:eastAsia="zh-CN"/>
        </w:rPr>
      </w:pPr>
      <w:r>
        <w:rPr>
          <w:rFonts w:hint="eastAsia" w:ascii="宋体" w:hAnsi="宋体" w:cs="宋体"/>
          <w:lang w:val="en-US" w:eastAsia="zh-CN"/>
        </w:rPr>
        <w:t>做好墩身混凝土降温防裂措施，完善墩身养护工艺，保证养护时间。</w:t>
      </w:r>
    </w:p>
    <w:p w14:paraId="16228F95">
      <w:pPr>
        <w:ind w:firstLine="480"/>
        <w:rPr>
          <w:rFonts w:hint="eastAsia" w:ascii="宋体" w:hAnsi="宋体" w:cs="宋体"/>
          <w:lang w:val="en-US" w:eastAsia="zh-CN"/>
        </w:rPr>
      </w:pPr>
      <w:r>
        <w:rPr>
          <w:rFonts w:hint="eastAsia" w:ascii="宋体" w:hAnsi="宋体" w:cs="宋体"/>
          <w:lang w:val="en-US" w:eastAsia="zh-CN"/>
        </w:rPr>
        <w:t>⑸上部结构施工</w:t>
      </w:r>
    </w:p>
    <w:p w14:paraId="53BF58FC">
      <w:pPr>
        <w:ind w:firstLine="480"/>
        <w:rPr>
          <w:rFonts w:hint="eastAsia" w:ascii="宋体" w:hAnsi="宋体" w:cs="宋体"/>
          <w:lang w:val="en-US" w:eastAsia="zh-CN"/>
        </w:rPr>
      </w:pPr>
      <w:r>
        <w:rPr>
          <w:rFonts w:hint="eastAsia" w:ascii="宋体" w:hAnsi="宋体" w:cs="宋体"/>
          <w:lang w:val="en-US" w:eastAsia="zh-CN"/>
        </w:rPr>
        <w:t>台座基础采用混凝土浇筑，上覆钢板作为底模，采用固定在混凝土中的角钢焊接牢固。台座按支座处为零、跨中为最大值设置预拱度，以减少起拱。</w:t>
      </w:r>
    </w:p>
    <w:p w14:paraId="39FA468A">
      <w:pPr>
        <w:ind w:firstLine="480"/>
        <w:rPr>
          <w:rFonts w:hint="eastAsia" w:ascii="宋体" w:hAnsi="宋体" w:cs="宋体"/>
          <w:lang w:val="en-US" w:eastAsia="zh-CN"/>
        </w:rPr>
      </w:pPr>
      <w:r>
        <w:rPr>
          <w:rFonts w:hint="eastAsia" w:ascii="宋体" w:hAnsi="宋体" w:cs="宋体"/>
          <w:lang w:val="en-US" w:eastAsia="zh-CN"/>
        </w:rPr>
        <w:t>模板采用定型大块钢模板，螺栓和拉杆连接牢固。安装前进行打磨及试拼，以确保模板表面光洁。</w:t>
      </w:r>
    </w:p>
    <w:p w14:paraId="6C9CC945">
      <w:pPr>
        <w:ind w:firstLine="480"/>
        <w:rPr>
          <w:rFonts w:hint="eastAsia" w:ascii="宋体" w:hAnsi="宋体" w:cs="宋体"/>
          <w:lang w:val="en-US" w:eastAsia="zh-CN"/>
        </w:rPr>
      </w:pPr>
      <w:r>
        <w:rPr>
          <w:rFonts w:hint="eastAsia" w:ascii="宋体" w:hAnsi="宋体" w:cs="宋体"/>
          <w:lang w:val="en-US" w:eastAsia="zh-CN"/>
        </w:rPr>
        <w:t>张拉机具应配套使用，并定期标定和校核，确保设备状态良好。张拉时采用控制应力与伸长值双控，以应力控制为主，伸长值校核。</w:t>
      </w:r>
    </w:p>
    <w:p w14:paraId="3F7C22A1">
      <w:pPr>
        <w:ind w:firstLine="480"/>
        <w:rPr>
          <w:rFonts w:hint="eastAsia" w:ascii="宋体" w:hAnsi="宋体" w:cs="宋体"/>
          <w:lang w:val="en-US" w:eastAsia="zh-CN"/>
        </w:rPr>
      </w:pPr>
      <w:r>
        <w:rPr>
          <w:rFonts w:hint="eastAsia" w:ascii="宋体" w:hAnsi="宋体" w:cs="宋体"/>
          <w:lang w:val="en-US" w:eastAsia="zh-CN"/>
        </w:rPr>
        <w:t>按照设计图保护层厚度购买或加工专用砂浆垫块，安装牢固。钢筋绑扎丝端头严防朝外侵入保护层。</w:t>
      </w:r>
    </w:p>
    <w:p w14:paraId="454C6FE9">
      <w:pPr>
        <w:pStyle w:val="5"/>
        <w:numPr>
          <w:ilvl w:val="2"/>
          <w:numId w:val="0"/>
        </w:numPr>
        <w:spacing w:line="360" w:lineRule="auto"/>
        <w:ind w:left="720" w:leftChars="0" w:hanging="720" w:firstLineChars="0"/>
        <w:rPr>
          <w:color w:val="auto"/>
        </w:rPr>
      </w:pPr>
      <w:bookmarkStart w:id="2462" w:name="_Toc3549"/>
      <w:bookmarkStart w:id="2463" w:name="_Toc25883"/>
      <w:bookmarkStart w:id="2464" w:name="_Toc30105"/>
      <w:bookmarkStart w:id="2465" w:name="_Toc18187"/>
      <w:bookmarkStart w:id="2466" w:name="_Toc27489"/>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.5.4.</w:t>
      </w:r>
      <w:r>
        <w:rPr>
          <w:rFonts w:hint="eastAsia"/>
          <w:color w:val="auto"/>
        </w:rPr>
        <w:t>水稳层施工</w:t>
      </w:r>
      <w:bookmarkEnd w:id="2462"/>
      <w:bookmarkEnd w:id="2463"/>
      <w:bookmarkEnd w:id="2464"/>
      <w:bookmarkEnd w:id="2465"/>
      <w:bookmarkEnd w:id="2466"/>
    </w:p>
    <w:p w14:paraId="610711FF">
      <w:pPr>
        <w:ind w:firstLine="480"/>
        <w:rPr>
          <w:rFonts w:hint="eastAsia" w:ascii="宋体" w:hAnsi="宋体" w:cs="宋体"/>
          <w:lang w:val="en-US" w:eastAsia="zh-CN"/>
        </w:rPr>
      </w:pPr>
      <w:r>
        <w:rPr>
          <w:rFonts w:hint="eastAsia" w:ascii="宋体" w:hAnsi="宋体" w:cs="宋体"/>
          <w:lang w:val="en-US" w:eastAsia="zh-CN"/>
        </w:rPr>
        <w:t>1、平整度可以通过两侧立模来保证，并在路中间位置每10m打一高程桩，设立方格网，以利及时检测和发现偏差情况。</w:t>
      </w:r>
    </w:p>
    <w:p w14:paraId="63BAB11C">
      <w:pPr>
        <w:ind w:firstLine="480"/>
        <w:rPr>
          <w:rFonts w:hint="eastAsia" w:ascii="宋体" w:hAnsi="宋体" w:cs="宋体"/>
          <w:lang w:val="en-US" w:eastAsia="zh-CN"/>
        </w:rPr>
      </w:pPr>
      <w:r>
        <w:rPr>
          <w:rFonts w:hint="eastAsia" w:ascii="宋体" w:hAnsi="宋体" w:cs="宋体"/>
          <w:lang w:val="en-US" w:eastAsia="zh-CN"/>
        </w:rPr>
        <w:t>2、每层初压后用3m铝合金直尺检查平整度，及时进行铲修、整平、低凹处应翻松后修整，翻修深度不得小于10cm。</w:t>
      </w:r>
    </w:p>
    <w:p w14:paraId="0094582A">
      <w:pPr>
        <w:ind w:firstLine="480"/>
        <w:rPr>
          <w:rFonts w:hint="eastAsia" w:ascii="宋体" w:hAnsi="宋体" w:cs="宋体"/>
          <w:lang w:val="en-US" w:eastAsia="zh-CN"/>
        </w:rPr>
      </w:pPr>
      <w:r>
        <w:rPr>
          <w:rFonts w:hint="eastAsia" w:ascii="宋体" w:hAnsi="宋体" w:cs="宋体"/>
          <w:lang w:val="en-US" w:eastAsia="zh-CN"/>
        </w:rPr>
        <w:t>3、车行道采用半幅施工，要采用阶梯斜接缝。上下层的接缝要错开。横向接缝亦采用垂直接缝形式，严禁斜接，垂直接缝的制作要严格按照规范执行。</w:t>
      </w:r>
    </w:p>
    <w:p w14:paraId="76A986DF">
      <w:pPr>
        <w:ind w:firstLine="480"/>
        <w:rPr>
          <w:rFonts w:hint="eastAsia" w:ascii="宋体" w:hAnsi="宋体" w:cs="宋体"/>
          <w:lang w:val="en-US" w:eastAsia="zh-CN"/>
        </w:rPr>
      </w:pPr>
      <w:r>
        <w:rPr>
          <w:rFonts w:hint="eastAsia" w:ascii="宋体" w:hAnsi="宋体" w:cs="宋体"/>
          <w:lang w:val="en-US" w:eastAsia="zh-CN"/>
        </w:rPr>
        <w:t>4、施工时严格按</w:t>
      </w:r>
      <w:r>
        <w:rPr>
          <w:rFonts w:hint="eastAsia" w:ascii="宋体" w:hAnsi="宋体" w:cs="宋体"/>
          <w:lang w:val="en-US" w:eastAsia="zh-CN"/>
        </w:rPr>
        <w:fldChar w:fldCharType="begin"/>
      </w:r>
      <w:r>
        <w:rPr>
          <w:rFonts w:hint="eastAsia" w:ascii="宋体" w:hAnsi="宋体" w:cs="宋体"/>
          <w:lang w:val="en-US" w:eastAsia="zh-CN"/>
        </w:rPr>
        <w:instrText xml:space="preserve"> HYPERLINK "http://www.9to.com/Soft/ShowClass.asp?ClassID=70" \t "_blank" </w:instrText>
      </w:r>
      <w:r>
        <w:rPr>
          <w:rFonts w:hint="eastAsia" w:ascii="宋体" w:hAnsi="宋体" w:cs="宋体"/>
          <w:lang w:val="en-US" w:eastAsia="zh-CN"/>
        </w:rPr>
        <w:fldChar w:fldCharType="separate"/>
      </w:r>
      <w:r>
        <w:rPr>
          <w:rFonts w:hint="eastAsia" w:ascii="宋体" w:hAnsi="宋体" w:cs="宋体"/>
          <w:lang w:val="en-US" w:eastAsia="zh-CN"/>
        </w:rPr>
        <w:t>图纸</w:t>
      </w:r>
      <w:r>
        <w:rPr>
          <w:rFonts w:hint="eastAsia" w:ascii="宋体" w:hAnsi="宋体" w:cs="宋体"/>
          <w:lang w:val="en-US" w:eastAsia="zh-CN"/>
        </w:rPr>
        <w:fldChar w:fldCharType="end"/>
      </w:r>
      <w:r>
        <w:rPr>
          <w:rFonts w:hint="eastAsia" w:ascii="宋体" w:hAnsi="宋体" w:cs="宋体"/>
          <w:lang w:val="en-US" w:eastAsia="zh-CN"/>
        </w:rPr>
        <w:t>和施工</w:t>
      </w:r>
      <w:r>
        <w:rPr>
          <w:rFonts w:hint="eastAsia" w:ascii="宋体" w:hAnsi="宋体" w:cs="宋体"/>
          <w:lang w:val="en-US" w:eastAsia="zh-CN"/>
        </w:rPr>
        <w:fldChar w:fldCharType="begin"/>
      </w:r>
      <w:r>
        <w:rPr>
          <w:rFonts w:hint="eastAsia" w:ascii="宋体" w:hAnsi="宋体" w:cs="宋体"/>
          <w:lang w:val="en-US" w:eastAsia="zh-CN"/>
        </w:rPr>
        <w:instrText xml:space="preserve"> HYPERLINK "http://www.9to.com/Soft/ShowSpecial.asp?SpecialID=13" \t "_blank" </w:instrText>
      </w:r>
      <w:r>
        <w:rPr>
          <w:rFonts w:hint="eastAsia" w:ascii="宋体" w:hAnsi="宋体" w:cs="宋体"/>
          <w:lang w:val="en-US" w:eastAsia="zh-CN"/>
        </w:rPr>
        <w:fldChar w:fldCharType="separate"/>
      </w:r>
      <w:r>
        <w:rPr>
          <w:rFonts w:hint="eastAsia" w:ascii="宋体" w:hAnsi="宋体" w:cs="宋体"/>
          <w:lang w:val="en-US" w:eastAsia="zh-CN"/>
        </w:rPr>
        <w:t>规范</w:t>
      </w:r>
      <w:r>
        <w:rPr>
          <w:rFonts w:hint="eastAsia" w:ascii="宋体" w:hAnsi="宋体" w:cs="宋体"/>
          <w:lang w:val="en-US" w:eastAsia="zh-CN"/>
        </w:rPr>
        <w:fldChar w:fldCharType="end"/>
      </w:r>
      <w:r>
        <w:rPr>
          <w:rFonts w:hint="eastAsia" w:ascii="宋体" w:hAnsi="宋体" w:cs="宋体"/>
          <w:lang w:val="en-US" w:eastAsia="zh-CN"/>
        </w:rPr>
        <w:t>进行施工。</w:t>
      </w:r>
    </w:p>
    <w:p w14:paraId="3CEFE1B3">
      <w:pPr>
        <w:ind w:firstLine="480"/>
        <w:rPr>
          <w:rFonts w:hint="eastAsia" w:ascii="宋体" w:hAnsi="宋体" w:cs="宋体"/>
          <w:lang w:val="en-US" w:eastAsia="zh-CN"/>
        </w:rPr>
      </w:pPr>
      <w:r>
        <w:rPr>
          <w:rFonts w:hint="eastAsia" w:ascii="宋体" w:hAnsi="宋体" w:cs="宋体"/>
          <w:lang w:val="en-US" w:eastAsia="zh-CN"/>
        </w:rPr>
        <w:t>5、路面基层时，严格控制填料质量及填料的含水量，并选择合适的压实时间。</w:t>
      </w:r>
    </w:p>
    <w:p w14:paraId="41E030A9">
      <w:pPr>
        <w:ind w:firstLine="480"/>
        <w:rPr>
          <w:rFonts w:hint="eastAsia" w:ascii="宋体" w:hAnsi="宋体" w:cs="宋体"/>
          <w:lang w:val="en-US" w:eastAsia="zh-CN"/>
        </w:rPr>
      </w:pPr>
      <w:r>
        <w:rPr>
          <w:rFonts w:hint="eastAsia" w:ascii="宋体" w:hAnsi="宋体" w:cs="宋体"/>
          <w:lang w:val="en-US" w:eastAsia="zh-CN"/>
        </w:rPr>
        <w:t>6、严格报表制度，对隐蔽工程检查项目必须及时报监理工程师检查。</w:t>
      </w:r>
    </w:p>
    <w:p w14:paraId="2F2F5498">
      <w:pPr>
        <w:ind w:firstLine="480"/>
        <w:rPr>
          <w:rFonts w:hint="eastAsia" w:ascii="宋体" w:hAnsi="宋体" w:cs="宋体"/>
          <w:lang w:val="en-US" w:eastAsia="zh-CN"/>
        </w:rPr>
      </w:pPr>
      <w:r>
        <w:rPr>
          <w:rFonts w:hint="eastAsia" w:ascii="宋体" w:hAnsi="宋体" w:cs="宋体"/>
          <w:lang w:val="en-US" w:eastAsia="zh-CN"/>
        </w:rPr>
        <w:t>7、虚心接受监理单位及业主提出的指导意见，积极请教完善质保措施。</w:t>
      </w:r>
    </w:p>
    <w:p w14:paraId="6CA2959B">
      <w:pPr>
        <w:pStyle w:val="5"/>
        <w:numPr>
          <w:ilvl w:val="2"/>
          <w:numId w:val="0"/>
        </w:numPr>
        <w:spacing w:line="360" w:lineRule="auto"/>
        <w:ind w:left="720" w:leftChars="0" w:hanging="720" w:firstLineChars="0"/>
        <w:rPr>
          <w:color w:val="auto"/>
        </w:rPr>
      </w:pPr>
      <w:bookmarkStart w:id="2467" w:name="_Toc323724889"/>
      <w:bookmarkStart w:id="2468" w:name="_Toc476226834"/>
      <w:bookmarkStart w:id="2469" w:name="_Toc10781"/>
      <w:bookmarkStart w:id="2470" w:name="_Toc5855"/>
      <w:bookmarkStart w:id="2471" w:name="_Toc475975445"/>
      <w:bookmarkStart w:id="2472" w:name="_Toc25705"/>
      <w:bookmarkStart w:id="2473" w:name="_Toc8557"/>
      <w:bookmarkStart w:id="2474" w:name="_Toc1303"/>
      <w:bookmarkStart w:id="2475" w:name="_Toc325534606"/>
      <w:bookmarkStart w:id="2476" w:name="_Toc4502"/>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.5.5.</w:t>
      </w:r>
      <w:r>
        <w:rPr>
          <w:rFonts w:hint="eastAsia"/>
          <w:color w:val="auto"/>
        </w:rPr>
        <w:t>沥青砼施工</w:t>
      </w:r>
      <w:bookmarkEnd w:id="2467"/>
      <w:bookmarkEnd w:id="2468"/>
      <w:bookmarkEnd w:id="2469"/>
      <w:bookmarkEnd w:id="2470"/>
      <w:bookmarkEnd w:id="2471"/>
      <w:bookmarkEnd w:id="2472"/>
      <w:bookmarkEnd w:id="2473"/>
      <w:bookmarkEnd w:id="2474"/>
      <w:bookmarkEnd w:id="2475"/>
      <w:bookmarkEnd w:id="2476"/>
    </w:p>
    <w:p w14:paraId="23310FA4">
      <w:pPr>
        <w:ind w:firstLine="480"/>
        <w:rPr>
          <w:rFonts w:hint="eastAsia" w:ascii="宋体" w:hAnsi="宋体" w:cs="宋体"/>
          <w:lang w:val="en-US" w:eastAsia="zh-CN"/>
        </w:rPr>
      </w:pPr>
      <w:r>
        <w:rPr>
          <w:rFonts w:hint="eastAsia" w:ascii="宋体" w:hAnsi="宋体" w:cs="宋体"/>
          <w:lang w:val="en-US" w:eastAsia="zh-CN"/>
        </w:rPr>
        <w:t>沥青路面施工必须按全面管理的质量要求，建立健全有效的质量保证体系，实际目标管理，工序管理，明确责任，对施工全过程，每道工序的质量进行严格的检查、评定，以保证其达到质量标准。具体抓好以下几个方面：</w:t>
      </w:r>
    </w:p>
    <w:p w14:paraId="07FFD36E">
      <w:pPr>
        <w:ind w:firstLine="480"/>
        <w:rPr>
          <w:rFonts w:hint="eastAsia" w:ascii="宋体" w:hAnsi="宋体" w:cs="宋体"/>
          <w:lang w:val="en-US" w:eastAsia="zh-CN"/>
        </w:rPr>
      </w:pPr>
      <w:r>
        <w:rPr>
          <w:rFonts w:hint="eastAsia" w:ascii="宋体" w:hAnsi="宋体" w:cs="宋体"/>
          <w:lang w:val="en-US" w:eastAsia="zh-CN"/>
        </w:rPr>
        <w:t>1）严格控制沥青拌合料的拌和质量，加大马歇尔试验频率，严格控制混合料的油石比、稳定度、流值指标。</w:t>
      </w:r>
    </w:p>
    <w:p w14:paraId="79FD5EDE">
      <w:pPr>
        <w:ind w:firstLine="480"/>
        <w:rPr>
          <w:rFonts w:hint="eastAsia" w:ascii="宋体" w:hAnsi="宋体" w:cs="宋体"/>
          <w:lang w:val="en-US" w:eastAsia="zh-CN"/>
        </w:rPr>
      </w:pPr>
      <w:r>
        <w:rPr>
          <w:rFonts w:hint="eastAsia" w:ascii="宋体" w:hAnsi="宋体" w:cs="宋体"/>
          <w:lang w:val="en-US" w:eastAsia="zh-CN"/>
        </w:rPr>
        <w:t>2）合理洒布透层油，粘层油。在进行各层摊铺前，必须保持顶面清洁，对于水泥稳定类半刚性基层，透油层应以慢裂型乳化沥青为宜。用沥青洒布车喷洒时，应保持稳定的车速和喷洒量，不能流淌或形成油膜。</w:t>
      </w:r>
    </w:p>
    <w:p w14:paraId="2A61B3E8">
      <w:pPr>
        <w:ind w:firstLine="480"/>
        <w:rPr>
          <w:rFonts w:hint="eastAsia" w:ascii="宋体" w:hAnsi="宋体" w:cs="宋体"/>
          <w:lang w:val="en-US" w:eastAsia="zh-CN"/>
        </w:rPr>
      </w:pPr>
      <w:r>
        <w:rPr>
          <w:rFonts w:hint="eastAsia" w:ascii="宋体" w:hAnsi="宋体" w:cs="宋体"/>
          <w:lang w:val="en-US" w:eastAsia="zh-CN"/>
        </w:rPr>
        <w:t>3）提高面层摊铺质量。在摊铺混合料时，运距不能过远，摊铺厚度均匀，压实设备数量应配套，碾压遍数不能太少，以免混合料空隙太大，一般不能进行补料，尤其是下面层；基层雨后潮湿未干，不能摊铺。纵横向接缝应紧密、平顺、各幅间重叠的混合料应用人工铲走。</w:t>
      </w:r>
    </w:p>
    <w:p w14:paraId="615F9498">
      <w:pPr>
        <w:ind w:firstLine="480"/>
        <w:rPr>
          <w:rFonts w:hint="eastAsia" w:ascii="宋体" w:hAnsi="宋体" w:cs="宋体"/>
          <w:lang w:val="en-US" w:eastAsia="zh-CN"/>
        </w:rPr>
      </w:pPr>
      <w:r>
        <w:rPr>
          <w:rFonts w:hint="eastAsia" w:ascii="宋体" w:hAnsi="宋体" w:cs="宋体"/>
          <w:lang w:val="en-US" w:eastAsia="zh-CN"/>
        </w:rPr>
        <w:t>4）严格控制碾压质量，提高碾压效果。沥青混凝土摊铺整平之后，应趁热及时碾压。碾压过程分初压、复压和终压三个阶段。初压用60—80KN压路机以1.5-2.0km/h的速度先碾压2 遍，使混合料得以初步稳定。随即用100-120KN压路机或轮胎压路机复压4-6遍。复压阶段碾压至稳定无显著轮迹为止。终压是在复压之后用60-80KN压路机以3km/h的碾压速度碾压2-4遍，以消除碾压过程中产生的轮迹，并确保路面表面的平整。碾压时压路机开行的方向应平行于路中心线。</w:t>
      </w:r>
    </w:p>
    <w:p w14:paraId="45CE18BD">
      <w:pPr>
        <w:ind w:firstLine="480"/>
        <w:rPr>
          <w:rFonts w:hint="eastAsia" w:ascii="宋体" w:hAnsi="宋体" w:cs="宋体"/>
          <w:lang w:val="en-US" w:eastAsia="zh-CN"/>
        </w:rPr>
      </w:pPr>
      <w:r>
        <w:rPr>
          <w:rFonts w:hint="eastAsia" w:ascii="宋体" w:hAnsi="宋体" w:cs="宋体"/>
          <w:lang w:val="en-US" w:eastAsia="zh-CN"/>
        </w:rPr>
        <w:t>5）严格控制接缝施工质量。沥青混凝土路面的各种施工缝处，往往由于压实不足，容易产生台阶、裂缝、松散等病害，影响路面的平整度和耐久性，施工时必须十分注意。</w:t>
      </w:r>
    </w:p>
    <w:p w14:paraId="3F2253F7">
      <w:pPr>
        <w:ind w:firstLine="480"/>
        <w:rPr>
          <w:rFonts w:hint="eastAsia" w:ascii="宋体" w:hAnsi="宋体" w:cs="宋体"/>
          <w:lang w:val="en-US" w:eastAsia="zh-CN"/>
        </w:rPr>
      </w:pPr>
      <w:r>
        <w:rPr>
          <w:rFonts w:hint="eastAsia" w:ascii="宋体" w:hAnsi="宋体" w:cs="宋体"/>
          <w:lang w:val="en-US" w:eastAsia="zh-CN"/>
        </w:rPr>
        <w:t>1）纵缝施工。对当日先后修筑的两个车道，摊铺宽度应与已铺车道重叠3-5cm，所摊铺的混合料应高出相邻已压实的路面，以便压实到相同的厚度。对不在同一天铺筑的相邻车道，或与旧沥青路面连接的纵缝，在摊铺新料之前，应对原路面边缘加以修理，要求边缘凿齐，塌落松动部分应刨除，露出坚硬的边缘。缝边应保持垂直，并需在涂刷一薄层粘层沥青之后方可摊铺新料。</w:t>
      </w:r>
    </w:p>
    <w:p w14:paraId="7FFDC58A">
      <w:pPr>
        <w:ind w:firstLine="480"/>
        <w:rPr>
          <w:rFonts w:hint="eastAsia" w:ascii="宋体" w:hAnsi="宋体" w:cs="宋体"/>
          <w:lang w:val="en-US" w:eastAsia="zh-CN"/>
        </w:rPr>
      </w:pPr>
      <w:r>
        <w:rPr>
          <w:rFonts w:hint="eastAsia" w:ascii="宋体" w:hAnsi="宋体" w:cs="宋体"/>
          <w:lang w:val="en-US" w:eastAsia="zh-CN"/>
        </w:rPr>
        <w:t>纵缝应在摊铺之后立即碾压，压路机应大部分在已铺好的路面上，仅有10-15cm的宽度压在新铺的车道上，然后逐渐移动跨过纵缝。</w:t>
      </w:r>
    </w:p>
    <w:p w14:paraId="6BA16685">
      <w:pPr>
        <w:ind w:firstLine="480"/>
        <w:rPr>
          <w:rFonts w:hint="eastAsia" w:ascii="宋体" w:hAnsi="宋体" w:cs="宋体"/>
          <w:lang w:val="en-US" w:eastAsia="zh-CN"/>
        </w:rPr>
      </w:pPr>
      <w:r>
        <w:rPr>
          <w:rFonts w:hint="eastAsia" w:ascii="宋体" w:hAnsi="宋体" w:cs="宋体"/>
          <w:lang w:val="en-US" w:eastAsia="zh-CN"/>
        </w:rPr>
        <w:t>2）横缝施工。横缝应与路中线垂直。接缝时先沿已刨齐的缝边用热沥青混合料覆盖，以资预热，覆盖厚度约15cm，待接缝处沥青混合料清除，换用新的热混合料摊铺，随即用热夯沿接缝边沿夯捣，并将接缝的热料铲平，然后趁热用压路机沿接缝边缘碾压密实。</w:t>
      </w:r>
    </w:p>
    <w:p w14:paraId="148501C4">
      <w:pPr>
        <w:pStyle w:val="5"/>
        <w:numPr>
          <w:ilvl w:val="2"/>
          <w:numId w:val="0"/>
        </w:numPr>
        <w:spacing w:line="360" w:lineRule="auto"/>
        <w:ind w:left="720" w:leftChars="0" w:hanging="720" w:firstLineChars="0"/>
        <w:rPr>
          <w:color w:val="auto"/>
        </w:rPr>
      </w:pPr>
      <w:bookmarkStart w:id="2477" w:name="_Toc13288"/>
      <w:bookmarkStart w:id="2478" w:name="_Toc475975446"/>
      <w:bookmarkStart w:id="2479" w:name="_Toc325534607"/>
      <w:bookmarkStart w:id="2480" w:name="_Toc476226835"/>
      <w:bookmarkStart w:id="2481" w:name="_Toc10913"/>
      <w:bookmarkStart w:id="2482" w:name="_Toc15821"/>
      <w:bookmarkStart w:id="2483" w:name="_Toc32570"/>
      <w:bookmarkStart w:id="2484" w:name="_Toc29799"/>
      <w:bookmarkStart w:id="2485" w:name="_Toc19527"/>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.5.6.</w:t>
      </w:r>
      <w:r>
        <w:rPr>
          <w:rFonts w:hint="eastAsia"/>
          <w:color w:val="auto"/>
        </w:rPr>
        <w:t>管道</w:t>
      </w:r>
      <w:bookmarkEnd w:id="2477"/>
      <w:bookmarkEnd w:id="2478"/>
      <w:bookmarkEnd w:id="2479"/>
      <w:bookmarkEnd w:id="2480"/>
      <w:r>
        <w:rPr>
          <w:rFonts w:hint="eastAsia"/>
          <w:color w:val="auto"/>
        </w:rPr>
        <w:t>施工</w:t>
      </w:r>
      <w:bookmarkEnd w:id="2481"/>
      <w:bookmarkEnd w:id="2482"/>
      <w:bookmarkEnd w:id="2483"/>
      <w:bookmarkEnd w:id="2484"/>
      <w:bookmarkEnd w:id="2485"/>
    </w:p>
    <w:p w14:paraId="2D4C8497">
      <w:pPr>
        <w:ind w:firstLine="480"/>
        <w:rPr>
          <w:rFonts w:hint="eastAsia" w:ascii="宋体" w:hAnsi="宋体" w:cs="宋体"/>
          <w:lang w:val="en-US" w:eastAsia="zh-CN"/>
        </w:rPr>
      </w:pPr>
      <w:r>
        <w:rPr>
          <w:rFonts w:hint="eastAsia" w:ascii="宋体" w:hAnsi="宋体" w:cs="宋体"/>
          <w:lang w:val="en-US" w:eastAsia="zh-CN"/>
        </w:rPr>
        <w:t>1、重视管材资料的检查。要求施工单位选用正规厂家生产的管材，并且检查管材的出厂合格证及送检力学试验报告等资料是否齐全。</w:t>
      </w:r>
    </w:p>
    <w:p w14:paraId="57E774B6">
      <w:pPr>
        <w:ind w:firstLine="480"/>
        <w:rPr>
          <w:rFonts w:hint="eastAsia" w:ascii="宋体" w:hAnsi="宋体" w:cs="宋体"/>
          <w:lang w:val="en-US" w:eastAsia="zh-CN"/>
        </w:rPr>
      </w:pPr>
      <w:r>
        <w:rPr>
          <w:rFonts w:hint="eastAsia" w:ascii="宋体" w:hAnsi="宋体" w:cs="宋体"/>
          <w:lang w:val="en-US" w:eastAsia="zh-CN"/>
        </w:rPr>
        <w:t>2、重视管材外观的检查。管材进场后，工程材料员应对管材外观进行检查，管材不得有破损、脱皮、蜂窝露骨、裂纹等现象，对外观检查不合格的管材不得使用。</w:t>
      </w:r>
    </w:p>
    <w:p w14:paraId="36A4F738">
      <w:pPr>
        <w:ind w:firstLine="480"/>
        <w:rPr>
          <w:rFonts w:hint="eastAsia" w:ascii="宋体" w:hAnsi="宋体" w:cs="宋体"/>
          <w:lang w:val="en-US" w:eastAsia="zh-CN"/>
        </w:rPr>
      </w:pPr>
      <w:r>
        <w:rPr>
          <w:rFonts w:hint="eastAsia" w:ascii="宋体" w:hAnsi="宋体" w:cs="宋体"/>
          <w:lang w:val="en-US" w:eastAsia="zh-CN"/>
        </w:rPr>
        <w:t>3、加强管材的保护。应要求生产厂家在管材运输、安装过程中加强对管材的保护。</w:t>
      </w:r>
    </w:p>
    <w:p w14:paraId="31D494F7">
      <w:pPr>
        <w:ind w:firstLine="480"/>
        <w:rPr>
          <w:rFonts w:hint="eastAsia" w:ascii="宋体" w:hAnsi="宋体" w:cs="宋体"/>
          <w:lang w:val="en-US" w:eastAsia="zh-CN"/>
        </w:rPr>
      </w:pPr>
      <w:r>
        <w:rPr>
          <w:rFonts w:hint="eastAsia" w:ascii="宋体" w:hAnsi="宋体" w:cs="宋体"/>
          <w:lang w:val="en-US" w:eastAsia="zh-CN"/>
        </w:rPr>
        <w:t>4、正确计算管道铺设长度：根据规范确定两检查井间管道铺设长度、管子伸进检查井内长度及两管端头之间预留间距。在安管过程中要严格控制，防止管头露出井壁过长或缩进井壁。</w:t>
      </w:r>
    </w:p>
    <w:p w14:paraId="2CEB93E1">
      <w:pPr>
        <w:ind w:firstLine="480"/>
        <w:rPr>
          <w:rFonts w:hint="eastAsia" w:ascii="宋体" w:hAnsi="宋体" w:cs="宋体"/>
          <w:lang w:val="en-US" w:eastAsia="zh-CN"/>
        </w:rPr>
      </w:pPr>
      <w:r>
        <w:rPr>
          <w:rFonts w:hint="eastAsia" w:ascii="宋体" w:hAnsi="宋体" w:cs="宋体"/>
          <w:lang w:val="en-US" w:eastAsia="zh-CN"/>
        </w:rPr>
        <w:t>5、严格控制管道的直顺度和坡度，可采取以下措施并随时检查：安管时要在管道半径处挂边线，线要拉紧，不能松弛；在调整每节管子的中心线和高程时，要用石块支垫牢固，相邻两管不得错口；在浇注管座前，要先用与管座混凝土同标号的细石混凝土把管子两侧与平基相接处的三角部分填浇填实，再在两侧同时浇注混凝土。</w:t>
      </w:r>
    </w:p>
    <w:p w14:paraId="0FC843C0">
      <w:pPr>
        <w:pStyle w:val="5"/>
        <w:numPr>
          <w:ilvl w:val="2"/>
          <w:numId w:val="0"/>
        </w:numPr>
        <w:spacing w:line="360" w:lineRule="auto"/>
        <w:ind w:left="720" w:leftChars="0" w:hanging="720" w:firstLineChars="0"/>
        <w:rPr>
          <w:color w:val="auto"/>
        </w:rPr>
      </w:pPr>
      <w:bookmarkStart w:id="2486" w:name="_Toc476226836"/>
      <w:bookmarkStart w:id="2487" w:name="_Toc4273"/>
      <w:bookmarkStart w:id="2488" w:name="_Toc475975447"/>
      <w:bookmarkStart w:id="2489" w:name="_Toc28046"/>
      <w:bookmarkStart w:id="2490" w:name="_Toc30561"/>
      <w:bookmarkStart w:id="2491" w:name="_Toc9431"/>
      <w:bookmarkStart w:id="2492" w:name="_Toc7771"/>
      <w:bookmarkStart w:id="2493" w:name="_Toc26762"/>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4</w:t>
      </w:r>
      <w:r>
        <w:rPr>
          <w:rFonts w:hint="default" w:ascii="Times New Roman" w:hAnsi="Times New Roman" w:eastAsia="宋体" w:cs="Times New Roman"/>
          <w:b/>
          <w:bCs/>
          <w:color w:val="auto"/>
          <w:kern w:val="2"/>
          <w:sz w:val="30"/>
          <w:szCs w:val="32"/>
          <w:lang w:val="en-US" w:eastAsia="zh-CN" w:bidi="ar-SA"/>
        </w:rPr>
        <w:t>.5.7.</w:t>
      </w:r>
      <w:r>
        <w:rPr>
          <w:rFonts w:hint="eastAsia"/>
          <w:color w:val="auto"/>
        </w:rPr>
        <w:t>绿化</w:t>
      </w:r>
      <w:bookmarkEnd w:id="2486"/>
      <w:bookmarkEnd w:id="2487"/>
      <w:bookmarkEnd w:id="2488"/>
      <w:r>
        <w:rPr>
          <w:rFonts w:hint="eastAsia"/>
          <w:color w:val="auto"/>
        </w:rPr>
        <w:t>施工</w:t>
      </w:r>
      <w:bookmarkEnd w:id="2489"/>
      <w:bookmarkEnd w:id="2490"/>
      <w:bookmarkEnd w:id="2491"/>
      <w:bookmarkEnd w:id="2492"/>
      <w:bookmarkEnd w:id="2493"/>
    </w:p>
    <w:p w14:paraId="0E37AE72">
      <w:pPr>
        <w:ind w:firstLine="480"/>
        <w:rPr>
          <w:rFonts w:hint="eastAsia" w:ascii="宋体" w:hAnsi="宋体" w:cs="宋体"/>
          <w:lang w:val="en-US" w:eastAsia="zh-CN"/>
        </w:rPr>
      </w:pPr>
      <w:r>
        <w:rPr>
          <w:rFonts w:hint="eastAsia" w:ascii="宋体" w:hAnsi="宋体" w:cs="宋体"/>
          <w:lang w:val="en-US" w:eastAsia="zh-CN"/>
        </w:rPr>
        <w:t>1、苗木质量保证措施：</w:t>
      </w:r>
    </w:p>
    <w:p w14:paraId="11C2598E">
      <w:pPr>
        <w:ind w:firstLine="480"/>
        <w:rPr>
          <w:rFonts w:hint="eastAsia" w:ascii="宋体" w:hAnsi="宋体" w:cs="宋体"/>
          <w:lang w:val="en-US" w:eastAsia="zh-CN"/>
        </w:rPr>
      </w:pPr>
      <w:r>
        <w:rPr>
          <w:rFonts w:hint="eastAsia" w:ascii="宋体" w:hAnsi="宋体" w:cs="宋体"/>
          <w:lang w:val="en-US" w:eastAsia="zh-CN"/>
        </w:rPr>
        <w:t>1）由材料负责人和监理一同到现场考察选苗，监督苗木起挖质量。</w:t>
      </w:r>
    </w:p>
    <w:p w14:paraId="04960A3D">
      <w:pPr>
        <w:ind w:firstLine="480"/>
        <w:rPr>
          <w:rFonts w:hint="eastAsia" w:ascii="宋体" w:hAnsi="宋体" w:cs="宋体"/>
          <w:lang w:val="en-US" w:eastAsia="zh-CN"/>
        </w:rPr>
      </w:pPr>
      <w:r>
        <w:rPr>
          <w:rFonts w:hint="eastAsia" w:ascii="宋体" w:hAnsi="宋体" w:cs="宋体"/>
          <w:lang w:val="en-US" w:eastAsia="zh-CN"/>
        </w:rPr>
        <w:t>2）苗木运输一律用雨篷遮荫。</w:t>
      </w:r>
    </w:p>
    <w:p w14:paraId="2B462DAC">
      <w:pPr>
        <w:ind w:firstLine="480"/>
        <w:rPr>
          <w:rFonts w:hint="eastAsia" w:ascii="宋体" w:hAnsi="宋体" w:cs="宋体"/>
          <w:lang w:val="en-US" w:eastAsia="zh-CN"/>
        </w:rPr>
      </w:pPr>
      <w:r>
        <w:rPr>
          <w:rFonts w:hint="eastAsia" w:ascii="宋体" w:hAnsi="宋体" w:cs="宋体"/>
          <w:lang w:val="en-US" w:eastAsia="zh-CN"/>
        </w:rPr>
        <w:t>3）运距远或外地苗木，一律夜间运输。</w:t>
      </w:r>
    </w:p>
    <w:p w14:paraId="0DA8942B">
      <w:pPr>
        <w:ind w:firstLine="480"/>
        <w:rPr>
          <w:rFonts w:hint="eastAsia" w:ascii="宋体" w:hAnsi="宋体" w:cs="宋体"/>
          <w:lang w:val="en-US" w:eastAsia="zh-CN"/>
        </w:rPr>
      </w:pPr>
      <w:r>
        <w:rPr>
          <w:rFonts w:hint="eastAsia" w:ascii="宋体" w:hAnsi="宋体" w:cs="宋体"/>
          <w:lang w:val="en-US" w:eastAsia="zh-CN"/>
        </w:rPr>
        <w:t>4）苗木运输车在途中不作长时间滞留，当天起挖苗木连夜运输至工地，次日当天全部种植完毕。</w:t>
      </w:r>
    </w:p>
    <w:p w14:paraId="239FC7EC">
      <w:pPr>
        <w:ind w:firstLine="480"/>
        <w:rPr>
          <w:rFonts w:hint="eastAsia" w:ascii="宋体" w:hAnsi="宋体" w:cs="宋体"/>
          <w:lang w:val="en-US" w:eastAsia="zh-CN"/>
        </w:rPr>
      </w:pPr>
      <w:r>
        <w:rPr>
          <w:rFonts w:hint="eastAsia" w:ascii="宋体" w:hAnsi="宋体" w:cs="宋体"/>
          <w:lang w:val="en-US" w:eastAsia="zh-CN"/>
        </w:rPr>
        <w:t>5、充分做好乔木移植前的准备工作：选树、切根、修剪、移植季节的选择均应严格按照标书中叙述的技术要求执行。充分考虑到各工序的技术关键。</w:t>
      </w:r>
    </w:p>
    <w:p w14:paraId="6FAF606D">
      <w:pPr>
        <w:ind w:firstLine="480"/>
        <w:rPr>
          <w:rFonts w:hint="eastAsia" w:ascii="宋体" w:hAnsi="宋体" w:cs="宋体"/>
          <w:lang w:val="en-US" w:eastAsia="zh-CN"/>
        </w:rPr>
      </w:pPr>
      <w:r>
        <w:rPr>
          <w:rFonts w:hint="eastAsia" w:ascii="宋体" w:hAnsi="宋体" w:cs="宋体"/>
          <w:lang w:val="en-US" w:eastAsia="zh-CN"/>
        </w:rPr>
        <w:t>6、严格按大树移疽，规程进行大树移植：挖掘包装、装运、栽植、支撑绑扎，必须严格按标书中叙述的技术要求操作。选派大树移植方面的技术师进行现场指挥。</w:t>
      </w:r>
    </w:p>
    <w:p w14:paraId="582C91C6">
      <w:pPr>
        <w:ind w:firstLine="480"/>
        <w:rPr>
          <w:rFonts w:hint="eastAsia" w:ascii="宋体" w:hAnsi="宋体" w:cs="宋体"/>
          <w:lang w:val="en-US" w:eastAsia="zh-CN"/>
        </w:rPr>
      </w:pPr>
      <w:r>
        <w:rPr>
          <w:rFonts w:hint="eastAsia" w:ascii="宋体" w:hAnsi="宋体" w:cs="宋体"/>
          <w:lang w:val="en-US" w:eastAsia="zh-CN"/>
        </w:rPr>
        <w:t>7、必须保证当天挖的苗木做到挖、运、种、固定在24小时内全部完成。</w:t>
      </w:r>
    </w:p>
    <w:p w14:paraId="1972F258">
      <w:pPr>
        <w:ind w:firstLine="480"/>
        <w:rPr>
          <w:rFonts w:hint="eastAsia" w:ascii="宋体" w:hAnsi="宋体" w:cs="宋体"/>
          <w:lang w:val="en-US" w:eastAsia="zh-CN"/>
        </w:rPr>
      </w:pPr>
      <w:r>
        <w:rPr>
          <w:rFonts w:hint="eastAsia" w:ascii="宋体" w:hAnsi="宋体" w:cs="宋体"/>
          <w:lang w:val="en-US" w:eastAsia="zh-CN"/>
        </w:rPr>
        <w:t>8、合格工程保证措施：</w:t>
      </w:r>
    </w:p>
    <w:p w14:paraId="00FCB306">
      <w:pPr>
        <w:ind w:firstLine="480"/>
        <w:rPr>
          <w:rFonts w:hint="eastAsia" w:ascii="宋体" w:hAnsi="宋体" w:cs="宋体"/>
          <w:lang w:val="en-US" w:eastAsia="zh-CN"/>
        </w:rPr>
      </w:pPr>
      <w:r>
        <w:rPr>
          <w:rFonts w:hint="eastAsia" w:ascii="宋体" w:hAnsi="宋体" w:cs="宋体"/>
          <w:lang w:val="en-US" w:eastAsia="zh-CN"/>
        </w:rPr>
        <w:t>1）以项目部为中心成立领导小组。由总部派质检员和现场技术早、施工员共同负责本工程试验、计量、施工的全面质量管理，下属各专业队设有专职质检人员具体分工负责各项质量工作，对质量问题全权处理，所有工程的施工经质检员检查合格后，方可向监理工程师报监。</w:t>
      </w:r>
    </w:p>
    <w:p w14:paraId="5EE03D3D">
      <w:pPr>
        <w:ind w:firstLine="480"/>
        <w:rPr>
          <w:rFonts w:hint="eastAsia" w:ascii="宋体" w:hAnsi="宋体" w:cs="宋体"/>
          <w:lang w:val="en-US" w:eastAsia="zh-CN"/>
        </w:rPr>
      </w:pPr>
      <w:r>
        <w:rPr>
          <w:rFonts w:hint="eastAsia" w:ascii="宋体" w:hAnsi="宋体" w:cs="宋体"/>
          <w:lang w:val="en-US" w:eastAsia="zh-CN"/>
        </w:rPr>
        <w:t>2）推行全面质量管理，成立各级质检小组，针对质量要求高的工序，由各级质检小组及时反馈给上级管理人员，进行改进和调整，提高全体施工人员的质量意识和整体组织和保证体系详见“质量管理流程”。</w:t>
      </w:r>
    </w:p>
    <w:p w14:paraId="12156E4F">
      <w:pPr>
        <w:ind w:firstLine="480"/>
        <w:rPr>
          <w:rFonts w:hint="eastAsia" w:ascii="宋体" w:hAnsi="宋体" w:cs="宋体"/>
          <w:lang w:val="en-US" w:eastAsia="zh-CN"/>
        </w:rPr>
      </w:pPr>
      <w:r>
        <w:rPr>
          <w:rFonts w:hint="eastAsia" w:ascii="宋体" w:hAnsi="宋体" w:cs="宋体"/>
          <w:lang w:val="en-US" w:eastAsia="zh-CN"/>
        </w:rPr>
        <w:t>3）实行项目经理质量责任制和技术质量双向承包责任制，并签订技术质量责任状，以经济手段激发全体参与项目施工人员的积极性，促进工程质量的提高。</w:t>
      </w:r>
    </w:p>
    <w:p w14:paraId="404F7CF0">
      <w:pPr>
        <w:ind w:firstLine="480"/>
        <w:rPr>
          <w:rFonts w:hint="eastAsia" w:ascii="宋体" w:hAnsi="宋体" w:cs="宋体"/>
          <w:lang w:val="en-US" w:eastAsia="zh-CN"/>
        </w:rPr>
      </w:pPr>
      <w:r>
        <w:rPr>
          <w:rFonts w:hint="eastAsia" w:ascii="宋体" w:hAnsi="宋体" w:cs="宋体"/>
          <w:lang w:val="en-US" w:eastAsia="zh-CN"/>
        </w:rPr>
        <w:t>4）各种原材料的计毒工作，必须落到实处，务必使职工树立牢固质量意识，形成车车过磅的习惯。</w:t>
      </w:r>
    </w:p>
    <w:p w14:paraId="797A90AD">
      <w:pPr>
        <w:ind w:firstLine="480"/>
        <w:rPr>
          <w:rFonts w:hint="eastAsia" w:ascii="宋体" w:hAnsi="宋体" w:cs="宋体"/>
          <w:lang w:val="en-US" w:eastAsia="zh-CN"/>
        </w:rPr>
      </w:pPr>
      <w:r>
        <w:rPr>
          <w:rFonts w:hint="eastAsia" w:ascii="宋体" w:hAnsi="宋体" w:cs="宋体"/>
          <w:lang w:val="en-US" w:eastAsia="zh-CN"/>
        </w:rPr>
        <w:t>5）资料保证：严格材料进场手续，对质保资料不符合设计要求不得使用，做好隐蔽工程等技术资料，各试块按规定留取，及时养护送样。</w:t>
      </w:r>
    </w:p>
    <w:p w14:paraId="4D6EA75B">
      <w:pPr>
        <w:ind w:firstLine="480"/>
        <w:rPr>
          <w:rFonts w:hint="eastAsia" w:ascii="宋体" w:hAnsi="宋体" w:cs="宋体"/>
          <w:lang w:val="en-US" w:eastAsia="zh-CN"/>
        </w:rPr>
      </w:pPr>
      <w:r>
        <w:rPr>
          <w:rFonts w:hint="eastAsia" w:ascii="宋体" w:hAnsi="宋体" w:cs="宋体"/>
          <w:lang w:val="en-US" w:eastAsia="zh-CN"/>
        </w:rPr>
        <w:t>6）确保整个工程的放样精确，做到“有放必复”，严格控制在允许偏差范围内。</w:t>
      </w:r>
    </w:p>
    <w:p w14:paraId="3C0B5FE1">
      <w:pPr>
        <w:ind w:firstLine="480"/>
        <w:rPr>
          <w:rFonts w:hint="eastAsia" w:ascii="宋体" w:hAnsi="宋体" w:cs="宋体"/>
          <w:lang w:val="en-US" w:eastAsia="zh-CN"/>
        </w:rPr>
      </w:pPr>
      <w:r>
        <w:rPr>
          <w:rFonts w:hint="eastAsia" w:ascii="宋体" w:hAnsi="宋体" w:cs="宋体"/>
          <w:lang w:val="en-US" w:eastAsia="zh-CN"/>
        </w:rPr>
        <w:t>7）对一些关键工序，在其施工前，应组织各班组对施工方案、质量目标、操作程序等进行详细地交底、消化、必要时，组织开现场会。</w:t>
      </w:r>
    </w:p>
    <w:p w14:paraId="037B41AD">
      <w:pPr>
        <w:ind w:firstLine="480"/>
        <w:rPr>
          <w:rFonts w:hint="eastAsia" w:ascii="宋体" w:hAnsi="宋体" w:cs="宋体"/>
          <w:lang w:val="en-US" w:eastAsia="zh-CN"/>
        </w:rPr>
      </w:pPr>
      <w:r>
        <w:rPr>
          <w:rFonts w:hint="eastAsia" w:ascii="宋体" w:hAnsi="宋体" w:cs="宋体"/>
          <w:lang w:val="en-US" w:eastAsia="zh-CN"/>
        </w:rPr>
        <w:t>8）在施工全过程中，实施质量予控法。积极开展TQC活动，实施“PDCA”循环。</w:t>
      </w:r>
    </w:p>
    <w:p w14:paraId="7DB9B674">
      <w:pPr>
        <w:ind w:firstLine="480"/>
        <w:rPr>
          <w:rFonts w:hint="eastAsia" w:ascii="宋体" w:hAnsi="宋体" w:cs="宋体"/>
          <w:lang w:val="en-US" w:eastAsia="zh-CN"/>
        </w:rPr>
      </w:pPr>
      <w:r>
        <w:rPr>
          <w:rFonts w:hint="eastAsia" w:ascii="宋体" w:hAnsi="宋体" w:cs="宋体"/>
          <w:lang w:val="en-US" w:eastAsia="zh-CN"/>
        </w:rPr>
        <w:t>9）采取挂牌作业制度，以加强职责，明确范围，促进联系，方便监督。</w:t>
      </w:r>
    </w:p>
    <w:p w14:paraId="363285E3">
      <w:pPr>
        <w:ind w:firstLine="480"/>
        <w:rPr>
          <w:rFonts w:hint="eastAsia" w:ascii="宋体" w:hAnsi="宋体" w:cs="宋体"/>
          <w:lang w:val="en-US" w:eastAsia="zh-CN"/>
        </w:rPr>
      </w:pPr>
      <w:r>
        <w:rPr>
          <w:rFonts w:hint="eastAsia" w:ascii="宋体" w:hAnsi="宋体" w:cs="宋体"/>
          <w:lang w:val="en-US" w:eastAsia="zh-CN"/>
        </w:rPr>
        <w:t>10）努力提高管理人员和操作人员的素质及质量意识。定期对有关施工人员进行技术训练，质量教育，树立典型以促进职工“质量第一”的思想意识，并通过制定质量管制度，质量奖惩措施等加以保障。</w:t>
      </w:r>
    </w:p>
    <w:p w14:paraId="39BF9BBF">
      <w:pPr>
        <w:ind w:firstLine="480"/>
        <w:rPr>
          <w:rFonts w:hint="eastAsia" w:ascii="宋体" w:hAnsi="宋体" w:cs="宋体"/>
          <w:lang w:val="en-US" w:eastAsia="zh-CN"/>
        </w:rPr>
      </w:pPr>
      <w:r>
        <w:rPr>
          <w:rFonts w:hint="eastAsia" w:ascii="宋体" w:hAnsi="宋体" w:cs="宋体"/>
          <w:lang w:val="en-US" w:eastAsia="zh-CN"/>
        </w:rPr>
        <w:t>11）严格执行各个施工项目的工艺要求，如改变施工工艺和施工方法时，要提前向监理工程师申请，得到监理工程师的同意后，方可施工。</w:t>
      </w:r>
    </w:p>
    <w:p w14:paraId="719025C4">
      <w:pPr>
        <w:ind w:firstLine="480"/>
        <w:rPr>
          <w:rFonts w:hint="eastAsia" w:ascii="宋体" w:hAnsi="宋体" w:cs="宋体"/>
          <w:lang w:val="en-US" w:eastAsia="zh-CN"/>
        </w:rPr>
      </w:pPr>
      <w:r>
        <w:rPr>
          <w:rFonts w:hint="eastAsia" w:ascii="宋体" w:hAnsi="宋体" w:cs="宋体"/>
          <w:lang w:val="en-US" w:eastAsia="zh-CN"/>
        </w:rPr>
        <w:t>12）对各个工序的衔接一定要按照规范要求进行，不能只考虑条件允许就颠倒顺序，特别注意交叉作业，严格按照计划进度表控制施工。</w:t>
      </w:r>
    </w:p>
    <w:bookmarkEnd w:id="2124"/>
    <w:bookmarkEnd w:id="2125"/>
    <w:bookmarkEnd w:id="2126"/>
    <w:bookmarkEnd w:id="2127"/>
    <w:bookmarkEnd w:id="2128"/>
    <w:bookmarkEnd w:id="2129"/>
    <w:bookmarkEnd w:id="2130"/>
    <w:bookmarkEnd w:id="2353"/>
    <w:bookmarkEnd w:id="2391"/>
    <w:p w14:paraId="47EEB3DA">
      <w:pPr>
        <w:pStyle w:val="2"/>
        <w:numPr>
          <w:ilvl w:val="0"/>
          <w:numId w:val="0"/>
        </w:numPr>
        <w:spacing w:line="360" w:lineRule="auto"/>
        <w:ind w:left="432" w:leftChars="0" w:hanging="432" w:firstLineChars="0"/>
        <w:jc w:val="left"/>
        <w:rPr>
          <w:color w:val="auto"/>
          <w:highlight w:val="none"/>
        </w:rPr>
      </w:pPr>
      <w:bookmarkStart w:id="2494" w:name="_Toc3555"/>
      <w:bookmarkStart w:id="2495" w:name="_Toc24971"/>
      <w:bookmarkStart w:id="2496" w:name="_Toc16137"/>
      <w:bookmarkStart w:id="2497" w:name="_Toc31457"/>
      <w:bookmarkStart w:id="2498" w:name="_Toc260037212"/>
      <w:bookmarkStart w:id="2499" w:name="_Toc7213"/>
      <w:bookmarkStart w:id="2500" w:name="_Toc27871"/>
      <w:bookmarkStart w:id="2501" w:name="_Toc260036582"/>
      <w:bookmarkStart w:id="2502" w:name="_Toc392933566"/>
      <w:bookmarkStart w:id="2503" w:name="_Toc4282"/>
      <w:bookmarkStart w:id="2504" w:name="_Toc14651"/>
      <w:bookmarkStart w:id="2505" w:name="_Toc392165656"/>
      <w:bookmarkStart w:id="2506" w:name="_Toc22475"/>
      <w:bookmarkStart w:id="2507" w:name="_Toc2963"/>
      <w:bookmarkStart w:id="2508" w:name="_Toc18374"/>
      <w:bookmarkStart w:id="2509" w:name="_Toc10135"/>
      <w:r>
        <w:rPr>
          <w:rFonts w:hint="eastAsia" w:cs="Times New Roman"/>
          <w:b/>
          <w:bCs/>
          <w:color w:val="auto"/>
          <w:kern w:val="36"/>
          <w:sz w:val="36"/>
          <w:szCs w:val="48"/>
          <w:lang w:val="en-US" w:eastAsia="zh-CN" w:bidi="ar-SA"/>
        </w:rPr>
        <w:t xml:space="preserve">第十五章 </w:t>
      </w:r>
      <w:r>
        <w:rPr>
          <w:rFonts w:hint="eastAsia"/>
          <w:color w:val="auto"/>
          <w:highlight w:val="none"/>
        </w:rPr>
        <w:t>环境保护、水土保持保证体系及保证措施</w:t>
      </w:r>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p>
    <w:p w14:paraId="083BECEC">
      <w:pPr>
        <w:pStyle w:val="4"/>
        <w:numPr>
          <w:ilvl w:val="1"/>
          <w:numId w:val="0"/>
        </w:numPr>
        <w:spacing w:line="360" w:lineRule="auto"/>
        <w:ind w:firstLine="0" w:firstLineChars="0"/>
        <w:rPr>
          <w:color w:val="auto"/>
          <w:highlight w:val="none"/>
        </w:rPr>
      </w:pPr>
      <w:bookmarkStart w:id="2510" w:name="_Toc24355"/>
      <w:bookmarkStart w:id="2511" w:name="_Toc19922"/>
      <w:bookmarkStart w:id="2512" w:name="_Toc18354"/>
      <w:bookmarkStart w:id="2513" w:name="_Toc28494"/>
      <w:bookmarkStart w:id="2514" w:name="_Toc260036583"/>
      <w:bookmarkStart w:id="2515" w:name="_Toc1647"/>
      <w:bookmarkStart w:id="2516" w:name="_Toc260037213"/>
      <w:bookmarkStart w:id="2517" w:name="_Toc392933567"/>
      <w:bookmarkStart w:id="2518" w:name="_Toc23546"/>
      <w:bookmarkStart w:id="2519" w:name="_Toc232929428"/>
      <w:bookmarkStart w:id="2520" w:name="_Toc23883"/>
      <w:bookmarkStart w:id="2521" w:name="_Toc26081"/>
      <w:bookmarkStart w:id="2522" w:name="_Toc392165657"/>
      <w:bookmarkStart w:id="2523" w:name="_Toc13241"/>
      <w:bookmarkStart w:id="2524" w:name="_Toc20712"/>
      <w:bookmarkStart w:id="2525" w:name="_Toc22289"/>
      <w:bookmarkStart w:id="2526" w:name="_Toc13586"/>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5</w:t>
      </w:r>
      <w:r>
        <w:rPr>
          <w:rFonts w:hint="default" w:ascii="Arial" w:hAnsi="Arial" w:eastAsia="宋体" w:cs="Times New Roman"/>
          <w:b/>
          <w:bCs/>
          <w:color w:val="auto"/>
          <w:kern w:val="2"/>
          <w:sz w:val="32"/>
          <w:szCs w:val="32"/>
          <w:lang w:val="en-US" w:eastAsia="zh-CN" w:bidi="ar-SA"/>
        </w:rPr>
        <w:t>.1.</w:t>
      </w:r>
      <w:r>
        <w:rPr>
          <w:rFonts w:hint="eastAsia"/>
          <w:color w:val="auto"/>
          <w:highlight w:val="none"/>
        </w:rPr>
        <w:t>施工环保、水土保持管理体系</w:t>
      </w:r>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p>
    <w:p w14:paraId="7810CE77">
      <w:pPr>
        <w:ind w:firstLine="480"/>
        <w:rPr>
          <w:rFonts w:ascii="宋体"/>
          <w:highlight w:val="none"/>
        </w:rPr>
      </w:pPr>
      <w:r>
        <w:rPr>
          <w:rFonts w:hint="eastAsia" w:ascii="宋体" w:hAnsi="宋体" w:cs="宋体"/>
          <w:highlight w:val="none"/>
          <w:lang w:val="en-US" w:eastAsia="zh-CN"/>
        </w:rPr>
        <w:t>项目部建立以项目经理任组长的环境保护、水土保持领导小组，配备必要的环保设施和环保专业人员。建立由项目部领导、部室分工管理、安全质量部监督指导和作业队实施的保证体系</w:t>
      </w:r>
      <w:r>
        <w:rPr>
          <w:rFonts w:hint="eastAsia" w:ascii="宋体"/>
          <w:highlight w:val="none"/>
        </w:rPr>
        <w:t>。</w:t>
      </w:r>
    </w:p>
    <w:p w14:paraId="306596E2">
      <w:pPr>
        <w:pStyle w:val="5"/>
        <w:numPr>
          <w:ilvl w:val="2"/>
          <w:numId w:val="0"/>
        </w:numPr>
        <w:spacing w:line="360" w:lineRule="auto"/>
        <w:ind w:left="720" w:leftChars="0" w:hanging="720" w:firstLineChars="0"/>
        <w:rPr>
          <w:color w:val="auto"/>
          <w:highlight w:val="none"/>
        </w:rPr>
      </w:pPr>
      <w:bookmarkStart w:id="2527" w:name="_Toc12148"/>
      <w:bookmarkStart w:id="2528" w:name="_Toc9402"/>
      <w:bookmarkStart w:id="2529" w:name="_Toc17977"/>
      <w:bookmarkStart w:id="2530" w:name="_Toc15148"/>
      <w:bookmarkStart w:id="2531" w:name="_Toc2331"/>
      <w:bookmarkStart w:id="2532" w:name="_Toc19433"/>
      <w:bookmarkStart w:id="2533" w:name="_Toc6243"/>
      <w:bookmarkStart w:id="2534" w:name="_Toc24125"/>
      <w:bookmarkStart w:id="2535" w:name="_Toc6663"/>
      <w:bookmarkStart w:id="2536" w:name="_Toc2249"/>
      <w:bookmarkStart w:id="2537" w:name="_Toc542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5</w:t>
      </w:r>
      <w:r>
        <w:rPr>
          <w:rFonts w:hint="default" w:ascii="Times New Roman" w:hAnsi="Times New Roman" w:eastAsia="宋体" w:cs="Times New Roman"/>
          <w:b/>
          <w:bCs/>
          <w:color w:val="auto"/>
          <w:kern w:val="2"/>
          <w:sz w:val="30"/>
          <w:szCs w:val="32"/>
          <w:lang w:val="en-US" w:eastAsia="zh-CN" w:bidi="ar-SA"/>
        </w:rPr>
        <w:t>.1.1.</w:t>
      </w:r>
      <w:r>
        <w:rPr>
          <w:rFonts w:hint="eastAsia"/>
          <w:color w:val="auto"/>
          <w:highlight w:val="none"/>
        </w:rPr>
        <w:t>领导小组</w:t>
      </w:r>
      <w:bookmarkEnd w:id="2527"/>
      <w:bookmarkEnd w:id="2528"/>
      <w:bookmarkEnd w:id="2529"/>
      <w:bookmarkEnd w:id="2530"/>
      <w:bookmarkEnd w:id="2531"/>
      <w:bookmarkEnd w:id="2532"/>
      <w:bookmarkEnd w:id="2533"/>
      <w:bookmarkEnd w:id="2534"/>
      <w:bookmarkEnd w:id="2535"/>
      <w:bookmarkEnd w:id="2536"/>
      <w:bookmarkEnd w:id="2537"/>
    </w:p>
    <w:p w14:paraId="09C65F32">
      <w:pPr>
        <w:ind w:firstLine="480"/>
        <w:rPr>
          <w:rFonts w:hint="eastAsia" w:ascii="宋体" w:hAnsi="宋体" w:cs="宋体"/>
          <w:highlight w:val="none"/>
          <w:lang w:val="en-US" w:eastAsia="zh-CN"/>
        </w:rPr>
      </w:pPr>
      <w:r>
        <w:rPr>
          <w:rFonts w:hint="eastAsia" w:ascii="宋体" w:hAnsi="宋体" w:cs="宋体"/>
          <w:highlight w:val="none"/>
          <w:lang w:val="en-US" w:eastAsia="zh-CN"/>
        </w:rPr>
        <w:t>成立以项目经理为组长的施工环保、水土保持领导小组，制定施工环保、水土保持措施，项目经理部、班组分级管理、检查、监督各项环保、水土保持工作的落实。</w:t>
      </w:r>
    </w:p>
    <w:p w14:paraId="5239FF13">
      <w:pPr>
        <w:ind w:firstLine="480"/>
        <w:rPr>
          <w:rFonts w:hint="default" w:ascii="宋体" w:hAnsi="宋体" w:cs="宋体"/>
          <w:highlight w:val="none"/>
          <w:lang w:val="en-US" w:eastAsia="zh-CN"/>
        </w:rPr>
      </w:pPr>
      <w:bookmarkStart w:id="2538" w:name="_Toc2015"/>
      <w:bookmarkStart w:id="2539" w:name="_Toc413506353"/>
      <w:bookmarkStart w:id="2540" w:name="_Toc423985399"/>
      <w:bookmarkStart w:id="2541" w:name="_Toc27256"/>
      <w:bookmarkStart w:id="2542" w:name="_Toc22473"/>
      <w:bookmarkStart w:id="2543" w:name="_Toc434387662"/>
      <w:bookmarkStart w:id="2544" w:name="_Toc14133"/>
      <w:bookmarkStart w:id="2545" w:name="_Toc24954"/>
      <w:bookmarkStart w:id="2546" w:name="_Toc6248"/>
      <w:bookmarkStart w:id="2547" w:name="_Toc434407996"/>
      <w:bookmarkStart w:id="2548" w:name="_Toc434391571"/>
      <w:bookmarkStart w:id="2549" w:name="_Toc21757"/>
      <w:bookmarkStart w:id="2550" w:name="_Toc433029233"/>
      <w:bookmarkStart w:id="2551" w:name="_Toc5522"/>
      <w:bookmarkStart w:id="2552" w:name="_Toc416947409"/>
      <w:bookmarkStart w:id="2553" w:name="_Toc35525023"/>
      <w:bookmarkStart w:id="2554" w:name="_Toc32008"/>
      <w:bookmarkStart w:id="2555" w:name="_Toc6845"/>
      <w:bookmarkStart w:id="2556" w:name="_Toc432673057"/>
      <w:bookmarkStart w:id="2557" w:name="_Toc399184132"/>
      <w:bookmarkStart w:id="2558" w:name="_Toc14180791"/>
      <w:bookmarkStart w:id="2559" w:name="_Toc399184133"/>
      <w:bookmarkStart w:id="2560" w:name="_Toc353624822"/>
      <w:bookmarkStart w:id="2561" w:name="_Toc413506354"/>
      <w:r>
        <w:rPr>
          <w:rFonts w:hint="eastAsia" w:ascii="宋体" w:hAnsi="宋体" w:cs="宋体"/>
          <w:highlight w:val="none"/>
          <w:lang w:val="en-US" w:eastAsia="zh-CN"/>
        </w:rPr>
        <w:t>组  长：李令举</w:t>
      </w:r>
    </w:p>
    <w:p w14:paraId="68AD88F5">
      <w:pPr>
        <w:ind w:firstLine="480"/>
        <w:rPr>
          <w:rFonts w:hint="eastAsia" w:ascii="宋体" w:hAnsi="宋体" w:cs="宋体"/>
          <w:highlight w:val="none"/>
          <w:lang w:val="en-US" w:eastAsia="zh-CN"/>
        </w:rPr>
      </w:pPr>
      <w:r>
        <w:rPr>
          <w:rFonts w:hint="eastAsia" w:ascii="宋体" w:hAnsi="宋体" w:cs="宋体"/>
          <w:highlight w:val="none"/>
          <w:lang w:val="en-US" w:eastAsia="zh-CN"/>
        </w:rPr>
        <w:t>副组长：王 磊、陈  天、刘重阳</w:t>
      </w:r>
    </w:p>
    <w:p w14:paraId="43538A54">
      <w:pPr>
        <w:ind w:firstLine="480"/>
        <w:rPr>
          <w:rFonts w:hint="eastAsia" w:ascii="宋体" w:hAnsi="宋体" w:cs="宋体"/>
          <w:highlight w:val="none"/>
          <w:lang w:val="en-US" w:eastAsia="zh-CN"/>
        </w:rPr>
      </w:pPr>
      <w:r>
        <w:rPr>
          <w:rFonts w:hint="eastAsia" w:ascii="宋体" w:hAnsi="宋体" w:cs="宋体"/>
          <w:highlight w:val="none"/>
          <w:lang w:val="en-US" w:eastAsia="zh-CN"/>
        </w:rPr>
        <w:t>组  员：</w:t>
      </w:r>
      <w:r>
        <w:rPr>
          <w:rFonts w:hint="eastAsia" w:ascii="宋体" w:hAnsi="宋体" w:cs="宋体"/>
          <w:lang w:val="en-US" w:eastAsia="zh-CN"/>
        </w:rPr>
        <w:t>费露、王帅军、叶卫卫、沈志伟、乔迈、陈建、孙阿伟、阙胜永</w:t>
      </w:r>
    </w:p>
    <w:p w14:paraId="4A520D64">
      <w:pPr>
        <w:pStyle w:val="5"/>
        <w:numPr>
          <w:ilvl w:val="2"/>
          <w:numId w:val="0"/>
        </w:numPr>
        <w:spacing w:line="360" w:lineRule="auto"/>
        <w:ind w:left="720" w:leftChars="0" w:hanging="720" w:firstLineChars="0"/>
        <w:rPr>
          <w:color w:val="auto"/>
          <w:highlight w:val="none"/>
        </w:rPr>
      </w:pPr>
      <w:bookmarkStart w:id="2562" w:name="_Toc2503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5</w:t>
      </w:r>
      <w:r>
        <w:rPr>
          <w:rFonts w:hint="default" w:ascii="Times New Roman" w:hAnsi="Times New Roman" w:eastAsia="宋体" w:cs="Times New Roman"/>
          <w:b/>
          <w:bCs/>
          <w:color w:val="auto"/>
          <w:kern w:val="2"/>
          <w:sz w:val="30"/>
          <w:szCs w:val="32"/>
          <w:lang w:val="en-US" w:eastAsia="zh-CN" w:bidi="ar-SA"/>
        </w:rPr>
        <w:t>.1.2.</w:t>
      </w:r>
      <w:r>
        <w:rPr>
          <w:rFonts w:hint="eastAsia"/>
          <w:color w:val="auto"/>
          <w:highlight w:val="none"/>
        </w:rPr>
        <w:t>人员配置</w:t>
      </w:r>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62"/>
    </w:p>
    <w:p w14:paraId="48697C77">
      <w:pPr>
        <w:ind w:firstLine="480"/>
        <w:rPr>
          <w:highlight w:val="none"/>
        </w:rPr>
      </w:pPr>
      <w:r>
        <w:rPr>
          <w:rFonts w:hint="eastAsia" w:ascii="宋体" w:hAnsi="宋体" w:cs="宋体"/>
          <w:highlight w:val="none"/>
          <w:lang w:val="en-US" w:eastAsia="zh-CN"/>
        </w:rPr>
        <w:t>项目经理部工程管理部设置环境保护办公室，设主任1名，配备1名环保工程师，收集国家和地方的相关法律、法规，负责识别、评价环境因素，制定环保方案和措施，并检查和监督措施的落实；组织全体施工人员学习有关环境保护法规和相关知识，并经常进行宣传教育。配备1名环保工程师，配备2名兼职环保监察员，负责协助环保工程师工作，并在施工中执行环保方案和措施，及时反馈环保信息，为环保方案和措施的调整提供资料。</w:t>
      </w:r>
    </w:p>
    <w:p w14:paraId="7EBBF065">
      <w:pPr>
        <w:pStyle w:val="5"/>
        <w:numPr>
          <w:ilvl w:val="2"/>
          <w:numId w:val="0"/>
        </w:numPr>
        <w:spacing w:line="360" w:lineRule="auto"/>
        <w:ind w:left="720" w:leftChars="0" w:hanging="720" w:firstLineChars="0"/>
        <w:rPr>
          <w:color w:val="auto"/>
          <w:highlight w:val="none"/>
        </w:rPr>
      </w:pPr>
      <w:bookmarkStart w:id="2563" w:name="_Toc16153"/>
      <w:bookmarkStart w:id="2564" w:name="_Toc14180792"/>
      <w:bookmarkStart w:id="2565" w:name="_Toc26039"/>
      <w:bookmarkStart w:id="2566" w:name="_Toc8527"/>
      <w:bookmarkStart w:id="2567" w:name="_Toc14637"/>
      <w:bookmarkStart w:id="2568" w:name="_Toc423985400"/>
      <w:bookmarkStart w:id="2569" w:name="_Toc416947410"/>
      <w:bookmarkStart w:id="2570" w:name="_Toc3452"/>
      <w:bookmarkStart w:id="2571" w:name="_Toc35525024"/>
      <w:bookmarkStart w:id="2572" w:name="_Toc433029234"/>
      <w:bookmarkStart w:id="2573" w:name="_Toc434407997"/>
      <w:bookmarkStart w:id="2574" w:name="_Toc10811"/>
      <w:bookmarkStart w:id="2575" w:name="_Toc15999"/>
      <w:bookmarkStart w:id="2576" w:name="_Toc1820"/>
      <w:bookmarkStart w:id="2577" w:name="_Toc432673058"/>
      <w:bookmarkStart w:id="2578" w:name="_Toc434391572"/>
      <w:bookmarkStart w:id="2579" w:name="_Toc10184"/>
      <w:bookmarkStart w:id="2580" w:name="_Toc9088"/>
      <w:bookmarkStart w:id="2581" w:name="_Toc434387663"/>
      <w:bookmarkStart w:id="2582" w:name="_Toc24832"/>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5</w:t>
      </w:r>
      <w:r>
        <w:rPr>
          <w:rFonts w:hint="default" w:ascii="Times New Roman" w:hAnsi="Times New Roman" w:eastAsia="宋体" w:cs="Times New Roman"/>
          <w:b/>
          <w:bCs/>
          <w:color w:val="auto"/>
          <w:kern w:val="2"/>
          <w:sz w:val="30"/>
          <w:szCs w:val="32"/>
          <w:lang w:val="en-US" w:eastAsia="zh-CN" w:bidi="ar-SA"/>
        </w:rPr>
        <w:t>.1.3.</w:t>
      </w:r>
      <w:r>
        <w:rPr>
          <w:rFonts w:hint="eastAsia"/>
          <w:color w:val="auto"/>
          <w:highlight w:val="none"/>
        </w:rPr>
        <w:t>实行环境保护工作责任制</w:t>
      </w:r>
      <w:bookmarkEnd w:id="2559"/>
      <w:bookmarkEnd w:id="2560"/>
      <w:bookmarkEnd w:id="2561"/>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p w14:paraId="0B20A641">
      <w:pPr>
        <w:ind w:firstLine="480"/>
        <w:rPr>
          <w:rFonts w:hint="eastAsia" w:ascii="宋体" w:hAnsi="宋体" w:cs="宋体"/>
          <w:highlight w:val="none"/>
          <w:lang w:val="en-US" w:eastAsia="zh-CN"/>
        </w:rPr>
      </w:pPr>
      <w:r>
        <w:rPr>
          <w:rFonts w:hint="eastAsia" w:ascii="宋体" w:hAnsi="宋体" w:cs="宋体"/>
          <w:highlight w:val="none"/>
          <w:lang w:val="en-US" w:eastAsia="zh-CN"/>
        </w:rPr>
        <w:t>1、班组长对施工环境保护保持工作负全责，其职责是：监督检查各部门环保工作措施的落实情况，检查环保措施是否有效、全面、是否存有隐患，进行宏观控制。</w:t>
      </w:r>
    </w:p>
    <w:p w14:paraId="4797A20F">
      <w:pPr>
        <w:ind w:firstLine="480"/>
        <w:rPr>
          <w:rFonts w:hint="eastAsia" w:ascii="宋体" w:hAnsi="宋体" w:cs="宋体"/>
          <w:highlight w:val="none"/>
          <w:lang w:val="en-US" w:eastAsia="zh-CN"/>
        </w:rPr>
      </w:pPr>
      <w:r>
        <w:rPr>
          <w:rFonts w:hint="eastAsia" w:ascii="宋体" w:hAnsi="宋体" w:cs="宋体"/>
          <w:highlight w:val="none"/>
          <w:lang w:val="en-US" w:eastAsia="zh-CN"/>
        </w:rPr>
        <w:t>2、各部门负责制定具体的施工环保措施、工作制度，并检查各队的执行情况，及时上报环保工作动态和指导下级工作。</w:t>
      </w:r>
    </w:p>
    <w:p w14:paraId="5E3A65DE">
      <w:pPr>
        <w:ind w:firstLine="480"/>
        <w:rPr>
          <w:rFonts w:hint="eastAsia" w:ascii="宋体" w:hAnsi="宋体" w:cs="宋体"/>
          <w:highlight w:val="none"/>
          <w:lang w:val="en-US" w:eastAsia="zh-CN"/>
        </w:rPr>
      </w:pPr>
      <w:r>
        <w:rPr>
          <w:rFonts w:hint="eastAsia" w:ascii="宋体" w:hAnsi="宋体" w:cs="宋体"/>
          <w:highlight w:val="none"/>
          <w:lang w:val="en-US" w:eastAsia="zh-CN"/>
        </w:rPr>
        <w:t>3、各队环保工程师负责执行各项环保措施的落实工作，检查工班环保员的工作是否到位，效果是否满足环保措施要求。</w:t>
      </w:r>
    </w:p>
    <w:p w14:paraId="050C584E">
      <w:pPr>
        <w:ind w:firstLine="480"/>
        <w:rPr>
          <w:rFonts w:hint="eastAsia" w:ascii="宋体" w:hAnsi="宋体" w:cs="宋体"/>
          <w:lang w:val="en-US" w:eastAsia="zh-CN"/>
        </w:rPr>
      </w:pPr>
      <w:r>
        <w:rPr>
          <w:rFonts w:hint="eastAsia" w:ascii="宋体" w:hAnsi="宋体" w:cs="宋体"/>
          <w:highlight w:val="none"/>
          <w:lang w:val="en-US" w:eastAsia="zh-CN"/>
        </w:rPr>
        <w:t>4</w:t>
      </w:r>
      <w:r>
        <w:rPr>
          <w:rFonts w:hint="eastAsia" w:ascii="宋体" w:hAnsi="宋体" w:cs="宋体"/>
          <w:lang w:val="en-US" w:eastAsia="zh-CN"/>
        </w:rPr>
        <w:t>、工作上一级报一级，确保环保工作不流于形式，使各项环保措施落实到位。</w:t>
      </w:r>
    </w:p>
    <w:p w14:paraId="58F62371">
      <w:pPr>
        <w:pStyle w:val="4"/>
        <w:numPr>
          <w:ilvl w:val="1"/>
          <w:numId w:val="0"/>
        </w:numPr>
        <w:spacing w:line="360" w:lineRule="auto"/>
        <w:ind w:firstLine="0" w:firstLineChars="0"/>
        <w:rPr>
          <w:color w:val="auto"/>
        </w:rPr>
      </w:pPr>
      <w:bookmarkStart w:id="2583" w:name="_Toc392933568"/>
      <w:bookmarkStart w:id="2584" w:name="_Toc7470"/>
      <w:bookmarkStart w:id="2585" w:name="_Toc11861"/>
      <w:bookmarkStart w:id="2586" w:name="_Toc14107"/>
      <w:bookmarkStart w:id="2587" w:name="_Toc8794"/>
      <w:bookmarkStart w:id="2588" w:name="_Toc260037218"/>
      <w:bookmarkStart w:id="2589" w:name="_Toc28323"/>
      <w:bookmarkStart w:id="2590" w:name="_Toc392165658"/>
      <w:bookmarkStart w:id="2591" w:name="_Toc17421"/>
      <w:bookmarkStart w:id="2592" w:name="_Toc31579"/>
      <w:bookmarkStart w:id="2593" w:name="_Toc260036588"/>
      <w:bookmarkStart w:id="2594" w:name="_Toc21100"/>
      <w:bookmarkStart w:id="2595" w:name="_Toc21391"/>
      <w:bookmarkStart w:id="2596" w:name="_Toc232929432"/>
      <w:bookmarkStart w:id="2597" w:name="_Toc20362"/>
      <w:bookmarkStart w:id="2598" w:name="_Toc10126"/>
      <w:bookmarkStart w:id="2599" w:name="_Toc28816"/>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5</w:t>
      </w:r>
      <w:r>
        <w:rPr>
          <w:rFonts w:hint="default" w:ascii="Arial" w:hAnsi="Arial" w:eastAsia="宋体" w:cs="Times New Roman"/>
          <w:b/>
          <w:bCs/>
          <w:color w:val="auto"/>
          <w:kern w:val="2"/>
          <w:sz w:val="32"/>
          <w:szCs w:val="32"/>
          <w:lang w:val="en-US" w:eastAsia="zh-CN" w:bidi="ar-SA"/>
        </w:rPr>
        <w:t>.2.</w:t>
      </w:r>
      <w:r>
        <w:rPr>
          <w:rFonts w:hint="eastAsia"/>
          <w:color w:val="auto"/>
        </w:rPr>
        <w:t>施工环保、水土保持保证措施</w:t>
      </w:r>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p>
    <w:p w14:paraId="352AA615">
      <w:pPr>
        <w:pStyle w:val="5"/>
        <w:numPr>
          <w:ilvl w:val="2"/>
          <w:numId w:val="0"/>
        </w:numPr>
        <w:spacing w:line="360" w:lineRule="auto"/>
        <w:ind w:left="720" w:leftChars="0" w:hanging="720" w:firstLineChars="0"/>
        <w:rPr>
          <w:color w:val="auto"/>
        </w:rPr>
      </w:pPr>
      <w:bookmarkStart w:id="2600" w:name="_Toc25405"/>
      <w:bookmarkStart w:id="2601" w:name="_Toc11486"/>
      <w:bookmarkStart w:id="2602" w:name="_Toc26909"/>
      <w:bookmarkStart w:id="2603" w:name="_Toc18515"/>
      <w:bookmarkStart w:id="2604" w:name="_Toc12493"/>
      <w:bookmarkStart w:id="2605" w:name="_Toc9746"/>
      <w:bookmarkStart w:id="2606" w:name="_Toc29764"/>
      <w:bookmarkStart w:id="2607" w:name="_Toc21774"/>
      <w:bookmarkStart w:id="2608" w:name="_Toc7271"/>
      <w:bookmarkStart w:id="2609" w:name="_Toc392933569"/>
      <w:bookmarkStart w:id="2610" w:name="_Toc392165659"/>
      <w:bookmarkStart w:id="2611" w:name="_Toc3389"/>
      <w:bookmarkStart w:id="2612" w:name="_Toc21014"/>
      <w:bookmarkStart w:id="2613" w:name="_Toc9674"/>
      <w:bookmarkStart w:id="2614" w:name="_Toc260037219"/>
      <w:bookmarkStart w:id="2615" w:name="_Toc260036589"/>
      <w:bookmarkStart w:id="2616" w:name="_Toc232929434"/>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5</w:t>
      </w:r>
      <w:r>
        <w:rPr>
          <w:rFonts w:hint="default" w:ascii="Times New Roman" w:hAnsi="Times New Roman" w:eastAsia="宋体" w:cs="Times New Roman"/>
          <w:b/>
          <w:bCs/>
          <w:color w:val="auto"/>
          <w:kern w:val="2"/>
          <w:sz w:val="30"/>
          <w:szCs w:val="32"/>
          <w:lang w:val="en-US" w:eastAsia="zh-CN" w:bidi="ar-SA"/>
        </w:rPr>
        <w:t>.2.1.</w:t>
      </w:r>
      <w:r>
        <w:rPr>
          <w:rFonts w:hint="eastAsia"/>
          <w:color w:val="auto"/>
        </w:rPr>
        <w:t>目标责任制</w:t>
      </w:r>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p>
    <w:p w14:paraId="0EBCF657">
      <w:pPr>
        <w:ind w:firstLine="480"/>
        <w:rPr>
          <w:rFonts w:hint="eastAsia" w:ascii="宋体" w:hAnsi="宋体" w:cs="宋体"/>
          <w:lang w:val="en-US" w:eastAsia="zh-CN"/>
        </w:rPr>
      </w:pPr>
      <w:r>
        <w:rPr>
          <w:rFonts w:hint="eastAsia" w:ascii="宋体" w:hAnsi="宋体" w:cs="宋体"/>
          <w:lang w:val="en-US" w:eastAsia="zh-CN"/>
        </w:rPr>
        <w:t>施工中严格遵守当地施工现场环境保护标准的有关规定，无条件服从福清市交通主管部门和建设单位关于文明施工、环境保护的指令，确保施工现场不造成环境污染。</w:t>
      </w:r>
    </w:p>
    <w:p w14:paraId="659F3F5A">
      <w:pPr>
        <w:ind w:firstLine="480"/>
        <w:rPr>
          <w:rFonts w:hint="eastAsia" w:ascii="宋体" w:hAnsi="宋体" w:cs="宋体"/>
          <w:lang w:val="en-US" w:eastAsia="zh-CN"/>
        </w:rPr>
      </w:pPr>
      <w:r>
        <w:rPr>
          <w:rFonts w:hint="eastAsia" w:ascii="宋体" w:hAnsi="宋体" w:cs="宋体"/>
          <w:lang w:val="en-US" w:eastAsia="zh-CN"/>
        </w:rPr>
        <w:t>建立环境保护、水土保持目标责任制，项目经理部负责环境保护目标责任书的制定、下达、实施和考核工作，将环境保护工作与每个人的责任、权力、利益和义务有机结合，做到奖优罚劣。</w:t>
      </w:r>
    </w:p>
    <w:p w14:paraId="2F239137">
      <w:pPr>
        <w:pStyle w:val="5"/>
        <w:numPr>
          <w:ilvl w:val="2"/>
          <w:numId w:val="0"/>
        </w:numPr>
        <w:spacing w:line="360" w:lineRule="auto"/>
        <w:ind w:left="720" w:leftChars="0" w:hanging="720" w:firstLineChars="0"/>
        <w:rPr>
          <w:color w:val="auto"/>
        </w:rPr>
      </w:pPr>
      <w:bookmarkStart w:id="2617" w:name="_Toc27209"/>
      <w:bookmarkStart w:id="2618" w:name="_Toc5457"/>
      <w:bookmarkStart w:id="2619" w:name="_Toc16641"/>
      <w:bookmarkStart w:id="2620" w:name="_Toc2383"/>
      <w:bookmarkStart w:id="2621" w:name="_Toc2191"/>
      <w:bookmarkStart w:id="2622" w:name="_Toc392933570"/>
      <w:bookmarkStart w:id="2623" w:name="_Toc24718"/>
      <w:bookmarkStart w:id="2624" w:name="_Toc6809"/>
      <w:bookmarkStart w:id="2625" w:name="_Toc7147"/>
      <w:bookmarkStart w:id="2626" w:name="_Toc7235"/>
      <w:bookmarkStart w:id="2627" w:name="_Toc21706"/>
      <w:bookmarkStart w:id="2628" w:name="_Toc392165660"/>
      <w:bookmarkStart w:id="2629" w:name="_Toc20817"/>
      <w:bookmarkStart w:id="2630" w:name="_Toc3073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5</w:t>
      </w:r>
      <w:r>
        <w:rPr>
          <w:rFonts w:hint="default" w:ascii="Times New Roman" w:hAnsi="Times New Roman" w:eastAsia="宋体" w:cs="Times New Roman"/>
          <w:b/>
          <w:bCs/>
          <w:color w:val="auto"/>
          <w:kern w:val="2"/>
          <w:sz w:val="30"/>
          <w:szCs w:val="32"/>
          <w:lang w:val="en-US" w:eastAsia="zh-CN" w:bidi="ar-SA"/>
        </w:rPr>
        <w:t>.2.2.</w:t>
      </w:r>
      <w:r>
        <w:rPr>
          <w:rFonts w:hint="eastAsia"/>
          <w:color w:val="auto"/>
        </w:rPr>
        <w:t>环境保护措施</w:t>
      </w:r>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p>
    <w:p w14:paraId="4D4F69C8">
      <w:pPr>
        <w:pStyle w:val="6"/>
        <w:numPr>
          <w:ilvl w:val="3"/>
          <w:numId w:val="0"/>
        </w:numPr>
        <w:ind w:left="720" w:leftChars="0" w:firstLine="0" w:firstLineChars="0"/>
      </w:pPr>
      <w:bookmarkStart w:id="2631" w:name="_Toc392933573"/>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5</w:t>
      </w:r>
      <w:r>
        <w:rPr>
          <w:rFonts w:hint="default" w:ascii="Cambria" w:hAnsi="Cambria" w:eastAsia="宋体" w:cs="Times New Roman"/>
          <w:b/>
          <w:bCs/>
          <w:kern w:val="2"/>
          <w:sz w:val="24"/>
          <w:szCs w:val="28"/>
          <w:lang w:val="en-US" w:eastAsia="zh-CN" w:bidi="ar-SA"/>
        </w:rPr>
        <w:t>.2.2.1.</w:t>
      </w:r>
      <w:r>
        <w:rPr>
          <w:rFonts w:hint="eastAsia"/>
        </w:rPr>
        <w:t>环境污染来源</w:t>
      </w:r>
    </w:p>
    <w:p w14:paraId="02AFBE7B">
      <w:pPr>
        <w:ind w:firstLine="480"/>
        <w:rPr>
          <w:rFonts w:hint="eastAsia" w:ascii="宋体" w:hAnsi="宋体" w:cs="宋体"/>
          <w:lang w:val="en-US" w:eastAsia="zh-CN"/>
        </w:rPr>
      </w:pPr>
      <w:r>
        <w:rPr>
          <w:rFonts w:hint="eastAsia" w:ascii="宋体" w:hAnsi="宋体" w:cs="宋体"/>
          <w:lang w:val="en-US" w:eastAsia="zh-CN"/>
        </w:rPr>
        <w:t>1、噪声</w:t>
      </w:r>
    </w:p>
    <w:p w14:paraId="79413B11">
      <w:pPr>
        <w:ind w:firstLine="480"/>
        <w:rPr>
          <w:rFonts w:hint="eastAsia" w:ascii="宋体" w:hAnsi="宋体" w:cs="宋体"/>
          <w:lang w:val="en-US" w:eastAsia="zh-CN"/>
        </w:rPr>
      </w:pPr>
      <w:r>
        <w:rPr>
          <w:rFonts w:hint="eastAsia" w:ascii="宋体" w:hAnsi="宋体" w:cs="宋体"/>
          <w:lang w:val="en-US" w:eastAsia="zh-CN"/>
        </w:rPr>
        <w:t>施工噪声主要来源是：拆除、钢筋、木工、砼、机械作业和施工运输车辆。</w:t>
      </w:r>
    </w:p>
    <w:p w14:paraId="460637F9">
      <w:pPr>
        <w:ind w:firstLine="480"/>
        <w:rPr>
          <w:rFonts w:hint="eastAsia" w:ascii="宋体" w:hAnsi="宋体" w:cs="宋体"/>
          <w:lang w:val="en-US" w:eastAsia="zh-CN"/>
        </w:rPr>
      </w:pPr>
      <w:r>
        <w:rPr>
          <w:rFonts w:hint="eastAsia" w:ascii="宋体" w:hAnsi="宋体" w:cs="宋体"/>
          <w:lang w:val="en-US" w:eastAsia="zh-CN"/>
        </w:rPr>
        <w:t>2、大气污染</w:t>
      </w:r>
    </w:p>
    <w:p w14:paraId="2BDE8661">
      <w:pPr>
        <w:ind w:firstLine="480"/>
        <w:rPr>
          <w:rFonts w:hint="eastAsia" w:ascii="宋体" w:hAnsi="宋体" w:cs="宋体"/>
          <w:lang w:val="en-US" w:eastAsia="zh-CN"/>
        </w:rPr>
      </w:pPr>
      <w:r>
        <w:rPr>
          <w:rFonts w:hint="eastAsia" w:ascii="宋体" w:hAnsi="宋体" w:cs="宋体"/>
          <w:lang w:val="en-US" w:eastAsia="zh-CN"/>
        </w:rPr>
        <w:t>挖土、装卸、运输、回填、夯实等过程和开挖面、露天堆放场、场内施工道路等区域会产生大量扬尘，扬尘在大风天气和旱季较为严重，是本工程的主要大气污染。此外，各种施工机械、运输车辆和炉灶等燃具也排放废气。</w:t>
      </w:r>
    </w:p>
    <w:p w14:paraId="0FAD0FF2">
      <w:pPr>
        <w:ind w:firstLine="480"/>
        <w:rPr>
          <w:rFonts w:hint="eastAsia" w:ascii="宋体" w:hAnsi="宋体" w:cs="宋体"/>
          <w:lang w:val="en-US" w:eastAsia="zh-CN"/>
        </w:rPr>
      </w:pPr>
      <w:r>
        <w:rPr>
          <w:rFonts w:hint="eastAsia" w:ascii="宋体" w:hAnsi="宋体" w:cs="宋体"/>
          <w:lang w:val="en-US" w:eastAsia="zh-CN"/>
        </w:rPr>
        <w:t>3、水污染</w:t>
      </w:r>
    </w:p>
    <w:p w14:paraId="4204EA41">
      <w:pPr>
        <w:ind w:firstLine="480"/>
        <w:rPr>
          <w:rFonts w:hint="eastAsia" w:ascii="宋体" w:hAnsi="宋体" w:cs="宋体"/>
          <w:lang w:val="en-US" w:eastAsia="zh-CN"/>
        </w:rPr>
      </w:pPr>
      <w:r>
        <w:rPr>
          <w:rFonts w:hint="eastAsia" w:ascii="宋体" w:hAnsi="宋体" w:cs="宋体"/>
          <w:lang w:val="en-US" w:eastAsia="zh-CN"/>
        </w:rPr>
        <w:t>施工产生的废水有施工人员生活污水、施工泥浆水、车辆冲洗水等。其中施工废水含泥沙量较大，车辆冲洗废水含油量较大。</w:t>
      </w:r>
    </w:p>
    <w:p w14:paraId="63AF0AF1">
      <w:pPr>
        <w:ind w:firstLine="480"/>
        <w:rPr>
          <w:rFonts w:hint="eastAsia" w:ascii="宋体" w:hAnsi="宋体" w:cs="宋体"/>
          <w:lang w:val="en-US" w:eastAsia="zh-CN"/>
        </w:rPr>
      </w:pPr>
      <w:r>
        <w:rPr>
          <w:rFonts w:hint="eastAsia" w:ascii="宋体" w:hAnsi="宋体" w:cs="宋体"/>
          <w:lang w:val="en-US" w:eastAsia="zh-CN"/>
        </w:rPr>
        <w:t>4、固体废弃物污染</w:t>
      </w:r>
    </w:p>
    <w:p w14:paraId="2F35D1AC">
      <w:pPr>
        <w:ind w:firstLine="480"/>
        <w:rPr>
          <w:rFonts w:hint="eastAsia" w:ascii="宋体" w:hAnsi="宋体" w:cs="宋体"/>
          <w:lang w:val="en-US" w:eastAsia="zh-CN"/>
        </w:rPr>
      </w:pPr>
      <w:r>
        <w:rPr>
          <w:rFonts w:hint="eastAsia" w:ascii="宋体" w:hAnsi="宋体" w:cs="宋体"/>
          <w:lang w:val="en-US" w:eastAsia="zh-CN"/>
        </w:rPr>
        <w:t>施工期产生的固体废物主要有工程弃土、建筑废料和施工人员的生活垃圾等。</w:t>
      </w:r>
    </w:p>
    <w:p w14:paraId="2820D305">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5</w:t>
      </w:r>
      <w:r>
        <w:rPr>
          <w:rFonts w:hint="default" w:ascii="Cambria" w:hAnsi="Cambria" w:eastAsia="宋体" w:cs="Times New Roman"/>
          <w:b/>
          <w:bCs/>
          <w:kern w:val="2"/>
          <w:sz w:val="24"/>
          <w:szCs w:val="28"/>
          <w:lang w:val="en-US" w:eastAsia="zh-CN" w:bidi="ar-SA"/>
        </w:rPr>
        <w:t>.2.2.2.</w:t>
      </w:r>
      <w:r>
        <w:rPr>
          <w:rFonts w:hint="eastAsia"/>
        </w:rPr>
        <w:t>环境保护措施</w:t>
      </w:r>
    </w:p>
    <w:p w14:paraId="756A9909">
      <w:pPr>
        <w:ind w:firstLine="480"/>
        <w:rPr>
          <w:rFonts w:hint="eastAsia" w:ascii="宋体" w:hAnsi="宋体" w:cs="宋体"/>
          <w:lang w:val="en-US" w:eastAsia="zh-CN"/>
        </w:rPr>
      </w:pPr>
      <w:r>
        <w:rPr>
          <w:rFonts w:hint="eastAsia" w:ascii="宋体" w:hAnsi="宋体" w:cs="宋体"/>
          <w:lang w:val="en-US" w:eastAsia="zh-CN"/>
        </w:rPr>
        <w:t>1.在工程开工的同时，建立由项目经理直接领导的环境保护管理和监督机构，负责组织和监督本工程环境保护措施的落实。在工程施工过程中，对施工中出现的环境与各项施工、经营之间的矛盾和问题进行协调，达到工程与环境保护协调发展。</w:t>
      </w:r>
    </w:p>
    <w:p w14:paraId="20A70C30">
      <w:pPr>
        <w:ind w:firstLine="480"/>
        <w:rPr>
          <w:rFonts w:hint="eastAsia" w:ascii="宋体" w:hAnsi="宋体" w:cs="宋体"/>
          <w:lang w:val="zh-CN" w:eastAsia="zh-CN"/>
        </w:rPr>
      </w:pPr>
      <w:r>
        <w:rPr>
          <w:rFonts w:hint="eastAsia" w:ascii="宋体" w:hAnsi="宋体" w:cs="宋体"/>
          <w:lang w:val="en-US" w:eastAsia="zh-CN"/>
        </w:rPr>
        <w:t>2.</w:t>
      </w:r>
      <w:r>
        <w:rPr>
          <w:rFonts w:hint="eastAsia" w:ascii="宋体" w:hAnsi="宋体" w:cs="宋体"/>
          <w:lang w:val="zh-CN" w:eastAsia="zh-CN"/>
        </w:rPr>
        <w:t>路基施工应遵守国家土地管理、水土保持、环境保护、生态保护、资源利用、能源利用、循环经济的有关法律法规，合理利用资源和能源，控制污染，保护环境。</w:t>
      </w:r>
    </w:p>
    <w:p w14:paraId="69D006CF">
      <w:pPr>
        <w:ind w:firstLine="480"/>
        <w:rPr>
          <w:rFonts w:hint="eastAsia" w:ascii="宋体" w:hAnsi="宋体" w:cs="宋体"/>
          <w:lang w:val="zh-CN" w:eastAsia="zh-CN"/>
        </w:rPr>
      </w:pPr>
      <w:r>
        <w:rPr>
          <w:rFonts w:hint="eastAsia" w:ascii="宋体" w:hAnsi="宋体" w:cs="宋体"/>
          <w:lang w:val="en-US" w:eastAsia="zh-CN"/>
        </w:rPr>
        <w:t>3.</w:t>
      </w:r>
      <w:r>
        <w:rPr>
          <w:rFonts w:hint="eastAsia" w:ascii="宋体" w:hAnsi="宋体" w:cs="宋体"/>
          <w:lang w:val="zh-CN" w:eastAsia="zh-CN"/>
        </w:rPr>
        <w:t>坚持“不破坏就是最大的保护”的原则，最大程度地保护公路沿线的原地形地貌。把公路建设对生态、水环境、声环境的不利影响降低到最小程度，最大程度恢复沿线植被，使公路融入自然之中。</w:t>
      </w:r>
    </w:p>
    <w:p w14:paraId="7D82DE1E">
      <w:pPr>
        <w:ind w:firstLine="480"/>
        <w:rPr>
          <w:rFonts w:hint="eastAsia" w:ascii="宋体" w:hAnsi="宋体" w:cs="宋体"/>
          <w:lang w:val="zh-CN" w:eastAsia="zh-CN"/>
        </w:rPr>
      </w:pPr>
      <w:r>
        <w:rPr>
          <w:rFonts w:hint="eastAsia" w:ascii="宋体" w:hAnsi="宋体" w:cs="宋体"/>
          <w:lang w:val="en-US" w:eastAsia="zh-CN"/>
        </w:rPr>
        <w:t>4.</w:t>
      </w:r>
      <w:r>
        <w:rPr>
          <w:rFonts w:hint="eastAsia" w:ascii="宋体" w:hAnsi="宋体" w:cs="宋体"/>
          <w:lang w:val="zh-CN" w:eastAsia="zh-CN"/>
        </w:rPr>
        <w:t>工程开工前，应对施工现场的地形、地质、水文、气象、生态环境条件以及既有结构物状况进行调查，根据国家有关建设项目环境保护管理的规定以及节约资源、节约能源、减少排放等相关法规和技术标准，施工单位应建立内部职业健康安全管理体系以及环境管理体系，创造良好的施工环境和施工程序，建立绿色施工各方面检测系统，使文明、环保施工贯穿施工现场全过程。</w:t>
      </w:r>
    </w:p>
    <w:p w14:paraId="2E4B8066">
      <w:pPr>
        <w:ind w:firstLine="480"/>
        <w:rPr>
          <w:rFonts w:hint="eastAsia" w:ascii="宋体" w:hAnsi="宋体" w:cs="宋体"/>
          <w:lang w:val="zh-CN" w:eastAsia="zh-CN"/>
        </w:rPr>
      </w:pPr>
      <w:r>
        <w:rPr>
          <w:rFonts w:hint="eastAsia" w:ascii="宋体" w:hAnsi="宋体" w:cs="宋体"/>
          <w:lang w:val="en-US" w:eastAsia="zh-CN"/>
        </w:rPr>
        <w:t>5.</w:t>
      </w:r>
      <w:r>
        <w:rPr>
          <w:rFonts w:hint="eastAsia" w:ascii="宋体" w:hAnsi="宋体" w:cs="宋体"/>
          <w:lang w:val="zh-CN" w:eastAsia="zh-CN"/>
        </w:rPr>
        <w:t>成立以项目部经理为组长，生产、技术、卫生等管理人员为成员的环保及水保管理机构，项目部配备兼职环保工程师及专职的环保员，定期检查测试污水（油），有害气体等的含量，使有害物不超过国家卫生规定指标。</w:t>
      </w:r>
    </w:p>
    <w:p w14:paraId="42882A23">
      <w:pPr>
        <w:ind w:firstLine="480"/>
        <w:rPr>
          <w:rFonts w:hint="eastAsia" w:ascii="宋体" w:hAnsi="宋体" w:cs="宋体"/>
          <w:lang w:val="zh-CN" w:eastAsia="zh-CN"/>
        </w:rPr>
      </w:pPr>
      <w:r>
        <w:rPr>
          <w:rFonts w:hint="eastAsia" w:ascii="宋体" w:hAnsi="宋体" w:cs="宋体"/>
          <w:lang w:val="en-US" w:eastAsia="zh-CN"/>
        </w:rPr>
        <w:t>6.</w:t>
      </w:r>
      <w:r>
        <w:rPr>
          <w:rFonts w:hint="eastAsia" w:ascii="宋体" w:hAnsi="宋体" w:cs="宋体"/>
          <w:lang w:val="zh-CN" w:eastAsia="zh-CN"/>
        </w:rPr>
        <w:t>项目经理是环保工作的第一责任人，项目部根据国家卫生标准指标制定环保责任书，做到个人对生产班组、生产班组对施工队、施工队对项目部，层层签订环保责任书建立一个内行善管的环</w:t>
      </w:r>
    </w:p>
    <w:p w14:paraId="23FE8D15">
      <w:pPr>
        <w:ind w:firstLine="480"/>
        <w:rPr>
          <w:rFonts w:hint="eastAsia" w:ascii="宋体" w:hAnsi="宋体" w:cs="宋体"/>
          <w:lang w:val="zh-CN" w:eastAsia="zh-CN"/>
        </w:rPr>
      </w:pPr>
      <w:r>
        <w:rPr>
          <w:rFonts w:hint="eastAsia" w:ascii="宋体" w:hAnsi="宋体" w:cs="宋体"/>
          <w:lang w:val="en-US" w:eastAsia="zh-CN"/>
        </w:rPr>
        <w:t>7.</w:t>
      </w:r>
      <w:r>
        <w:rPr>
          <w:rFonts w:hint="eastAsia" w:ascii="宋体" w:hAnsi="宋体" w:cs="宋体"/>
          <w:lang w:val="zh-CN" w:eastAsia="zh-CN"/>
        </w:rPr>
        <w:t>取、弃土场选址应符合区域性环境规划和当地的土地利用规划，取、弃土场选址应符合城镇、景区等规划要求，并与周边景观相互协调。</w:t>
      </w:r>
    </w:p>
    <w:p w14:paraId="7AA65476">
      <w:pPr>
        <w:ind w:firstLine="480"/>
        <w:rPr>
          <w:rFonts w:hint="eastAsia" w:ascii="宋体" w:hAnsi="宋体" w:cs="宋体"/>
          <w:lang w:val="en-US" w:eastAsia="zh-CN"/>
        </w:rPr>
      </w:pPr>
      <w:r>
        <w:rPr>
          <w:rFonts w:hint="eastAsia" w:ascii="宋体" w:hAnsi="宋体" w:cs="宋体"/>
          <w:lang w:val="en-US" w:eastAsia="zh-CN"/>
        </w:rPr>
        <w:t>8.</w:t>
      </w:r>
      <w:r>
        <w:rPr>
          <w:rFonts w:hint="eastAsia" w:ascii="宋体" w:hAnsi="宋体" w:cs="宋体"/>
          <w:lang w:val="zh-CN" w:eastAsia="zh-CN"/>
        </w:rPr>
        <w:t>加强各类环保设施的维护与运行管理，全面推进沿线公路附属设施污水处理和利用，实现垃圾分类收集和无害化处置。</w:t>
      </w:r>
    </w:p>
    <w:p w14:paraId="46533CEF">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5</w:t>
      </w:r>
      <w:r>
        <w:rPr>
          <w:rFonts w:hint="default" w:ascii="Cambria" w:hAnsi="Cambria" w:eastAsia="宋体" w:cs="Times New Roman"/>
          <w:b/>
          <w:bCs/>
          <w:kern w:val="2"/>
          <w:sz w:val="24"/>
          <w:szCs w:val="28"/>
          <w:lang w:val="en-US" w:eastAsia="zh-CN" w:bidi="ar-SA"/>
        </w:rPr>
        <w:t>.2.2.3.</w:t>
      </w:r>
      <w:r>
        <w:rPr>
          <w:rFonts w:hint="eastAsia"/>
        </w:rPr>
        <w:t>水环境保护</w:t>
      </w:r>
      <w:bookmarkEnd w:id="2631"/>
    </w:p>
    <w:p w14:paraId="5443B737">
      <w:pPr>
        <w:ind w:firstLine="480"/>
        <w:rPr>
          <w:rFonts w:hint="eastAsia" w:ascii="宋体" w:hAnsi="宋体" w:cs="宋体"/>
          <w:lang w:val="en-US" w:eastAsia="zh-CN"/>
        </w:rPr>
      </w:pPr>
      <w:r>
        <w:rPr>
          <w:rFonts w:hint="eastAsia" w:ascii="宋体" w:hAnsi="宋体" w:cs="宋体"/>
          <w:lang w:val="en-US" w:eastAsia="zh-CN"/>
        </w:rPr>
        <w:t>靠近石浔溪两岸的施工，用壕沟或堤坝同施工现场用水隔开，避免污染海洋水资源。施工区产生的施工污水经治理净化处理后排放，生活污水采取二级生化或化粪池等措施进行净化处理，生活废水必须经沉淀处理，经检查符合标准后方可排放，不直接排入海洋。</w:t>
      </w:r>
    </w:p>
    <w:p w14:paraId="3633D0E0">
      <w:pPr>
        <w:ind w:firstLine="480"/>
        <w:rPr>
          <w:rFonts w:hint="eastAsia" w:ascii="宋体" w:hAnsi="宋体" w:cs="宋体"/>
          <w:lang w:val="en-US" w:eastAsia="zh-CN"/>
        </w:rPr>
      </w:pPr>
      <w:r>
        <w:rPr>
          <w:rFonts w:hint="eastAsia" w:ascii="宋体" w:hAnsi="宋体" w:cs="宋体"/>
          <w:lang w:val="en-US" w:eastAsia="zh-CN"/>
        </w:rPr>
        <w:t>机械存放点、维修点以及油品存放点做好隔离沟，将废油、废水或漏油等通过隔离沟集中到隔油池，经处理后进行排放。</w:t>
      </w:r>
    </w:p>
    <w:p w14:paraId="4D8C33C5">
      <w:pPr>
        <w:ind w:firstLine="480"/>
        <w:rPr>
          <w:rFonts w:hint="eastAsia" w:ascii="宋体" w:hAnsi="宋体" w:cs="宋体"/>
          <w:lang w:val="en-US" w:eastAsia="zh-CN"/>
        </w:rPr>
      </w:pPr>
      <w:r>
        <w:rPr>
          <w:rFonts w:hint="eastAsia" w:ascii="宋体" w:hAnsi="宋体" w:cs="宋体"/>
          <w:lang w:val="en-US" w:eastAsia="zh-CN"/>
        </w:rPr>
        <w:t>注意保护自然水流形态，做到不淤、不堵、不留施工隐患，不阻塞河道。</w:t>
      </w:r>
    </w:p>
    <w:p w14:paraId="795CDE1A">
      <w:pPr>
        <w:pStyle w:val="6"/>
        <w:numPr>
          <w:ilvl w:val="3"/>
          <w:numId w:val="0"/>
        </w:numPr>
        <w:ind w:left="720" w:leftChars="0" w:firstLine="0" w:firstLineChars="0"/>
        <w:rPr>
          <w:lang w:val="zh-CN"/>
        </w:rPr>
      </w:pPr>
      <w:bookmarkStart w:id="2632" w:name="_Toc392933575"/>
      <w:bookmarkStart w:id="2633" w:name="_Toc260036590"/>
      <w:bookmarkStart w:id="2634" w:name="_Toc392933576"/>
      <w:bookmarkStart w:id="2635" w:name="_Toc392165661"/>
      <w:bookmarkStart w:id="2636" w:name="_Toc260037220"/>
      <w:bookmarkStart w:id="2637" w:name="_Toc232929435"/>
      <w:r>
        <w:rPr>
          <w:rFonts w:hint="default" w:ascii="Cambria" w:hAnsi="Cambria" w:eastAsia="宋体" w:cs="Times New Roman"/>
          <w:b/>
          <w:bCs/>
          <w:kern w:val="2"/>
          <w:sz w:val="24"/>
          <w:szCs w:val="28"/>
          <w:lang w:val="zh-CN" w:eastAsia="zh-CN" w:bidi="ar-SA"/>
        </w:rPr>
        <w:t>1</w:t>
      </w:r>
      <w:r>
        <w:rPr>
          <w:rFonts w:hint="eastAsia" w:cs="Times New Roman"/>
          <w:b/>
          <w:bCs/>
          <w:kern w:val="2"/>
          <w:sz w:val="24"/>
          <w:szCs w:val="28"/>
          <w:lang w:val="en-US" w:eastAsia="zh-CN" w:bidi="ar-SA"/>
        </w:rPr>
        <w:t>5</w:t>
      </w:r>
      <w:r>
        <w:rPr>
          <w:rFonts w:hint="default" w:ascii="Cambria" w:hAnsi="Cambria" w:eastAsia="宋体" w:cs="Times New Roman"/>
          <w:b/>
          <w:bCs/>
          <w:kern w:val="2"/>
          <w:sz w:val="24"/>
          <w:szCs w:val="28"/>
          <w:lang w:val="zh-CN" w:eastAsia="zh-CN" w:bidi="ar-SA"/>
        </w:rPr>
        <w:t>.2.2.4.</w:t>
      </w:r>
      <w:r>
        <w:rPr>
          <w:rFonts w:hint="eastAsia"/>
          <w:lang w:val="zh-CN"/>
        </w:rPr>
        <w:t>空气污染防治措施</w:t>
      </w:r>
    </w:p>
    <w:p w14:paraId="671752A7">
      <w:pPr>
        <w:ind w:firstLine="480"/>
        <w:rPr>
          <w:rFonts w:hint="eastAsia" w:ascii="宋体" w:hAnsi="宋体" w:eastAsia="宋体" w:cs="宋体"/>
          <w:lang w:val="zh-CN" w:eastAsia="zh-CN"/>
        </w:rPr>
      </w:pPr>
      <w:r>
        <w:rPr>
          <w:rFonts w:hint="eastAsia" w:ascii="宋体" w:hAnsi="宋体" w:cs="宋体"/>
          <w:lang w:val="en-US" w:eastAsia="zh-CN"/>
        </w:rPr>
        <w:t>1.</w:t>
      </w:r>
      <w:r>
        <w:rPr>
          <w:rFonts w:hint="eastAsia" w:ascii="宋体" w:hAnsi="宋体" w:eastAsia="宋体" w:cs="宋体"/>
          <w:lang w:val="zh-CN" w:eastAsia="zh-CN"/>
        </w:rPr>
        <w:t>路基施工过程中应采取措施控制废气排放和扬尘，使之符合国家环境空气质量标准的相关规定。</w:t>
      </w:r>
    </w:p>
    <w:p w14:paraId="533C49DA">
      <w:pPr>
        <w:ind w:firstLine="480"/>
        <w:rPr>
          <w:rFonts w:hint="eastAsia" w:ascii="宋体" w:hAnsi="宋体" w:eastAsia="宋体" w:cs="宋体"/>
          <w:lang w:val="zh-CN" w:eastAsia="zh-CN"/>
        </w:rPr>
      </w:pPr>
      <w:r>
        <w:rPr>
          <w:rFonts w:hint="eastAsia" w:ascii="宋体" w:hAnsi="宋体" w:cs="宋体"/>
          <w:lang w:val="en-US" w:eastAsia="zh-CN"/>
        </w:rPr>
        <w:t>2.</w:t>
      </w:r>
      <w:r>
        <w:rPr>
          <w:rFonts w:hint="eastAsia" w:ascii="宋体" w:hAnsi="宋体" w:eastAsia="宋体" w:cs="宋体"/>
          <w:lang w:val="zh-CN" w:eastAsia="zh-CN"/>
        </w:rPr>
        <w:t>施工的各种临时设施和场地，如堆料场、材料加工厂、混凝土拌和站等，均宜远离居民区，而且应设置于居民区主要风向的下风处。若无法满足时，应采取防尘及消声等环保措施。</w:t>
      </w:r>
    </w:p>
    <w:p w14:paraId="642204EC">
      <w:pPr>
        <w:ind w:firstLine="480"/>
        <w:rPr>
          <w:rFonts w:hint="eastAsia" w:ascii="宋体" w:hAnsi="宋体" w:eastAsia="宋体" w:cs="宋体"/>
          <w:lang w:val="zh-CN" w:eastAsia="zh-CN"/>
        </w:rPr>
      </w:pPr>
      <w:r>
        <w:rPr>
          <w:rFonts w:hint="eastAsia" w:ascii="宋体" w:hAnsi="宋体" w:cs="宋体"/>
          <w:lang w:val="en-US" w:eastAsia="zh-CN"/>
        </w:rPr>
        <w:t>3.</w:t>
      </w:r>
      <w:r>
        <w:rPr>
          <w:rFonts w:hint="eastAsia" w:ascii="宋体" w:hAnsi="宋体" w:eastAsia="宋体" w:cs="宋体"/>
          <w:lang w:val="zh-CN" w:eastAsia="zh-CN"/>
        </w:rPr>
        <w:t>粉状材料应采用袋装或其它密封方法运输，不得散装散卸、不得超限运输。施工运输应采取防止扬尘的措施。</w:t>
      </w:r>
    </w:p>
    <w:p w14:paraId="0A0C9B85">
      <w:pPr>
        <w:ind w:firstLine="480"/>
        <w:rPr>
          <w:rFonts w:hint="eastAsia" w:ascii="宋体" w:hAnsi="宋体" w:eastAsia="宋体" w:cs="宋体"/>
          <w:lang w:val="zh-CN" w:eastAsia="zh-CN"/>
        </w:rPr>
      </w:pPr>
      <w:r>
        <w:rPr>
          <w:rFonts w:hint="eastAsia" w:ascii="宋体" w:hAnsi="宋体" w:cs="宋体"/>
          <w:lang w:val="en-US" w:eastAsia="zh-CN"/>
        </w:rPr>
        <w:t>4.</w:t>
      </w:r>
      <w:r>
        <w:rPr>
          <w:rFonts w:hint="eastAsia" w:ascii="宋体" w:hAnsi="宋体" w:eastAsia="宋体" w:cs="宋体"/>
          <w:lang w:val="zh-CN" w:eastAsia="zh-CN"/>
        </w:rPr>
        <w:t>工程施工用的粉末材料，应存放在室内。当受条件限制在露天堆放时，应采取覆盖的措施，避免扬尘和因水流失。</w:t>
      </w:r>
    </w:p>
    <w:p w14:paraId="7B3A6BC1">
      <w:pPr>
        <w:ind w:firstLine="480"/>
        <w:rPr>
          <w:rFonts w:hint="eastAsia" w:ascii="宋体" w:hAnsi="宋体" w:eastAsia="宋体" w:cs="宋体"/>
          <w:lang w:val="zh-CN" w:eastAsia="zh-CN"/>
        </w:rPr>
      </w:pPr>
      <w:r>
        <w:rPr>
          <w:rFonts w:hint="eastAsia" w:ascii="宋体" w:hAnsi="宋体" w:cs="宋体"/>
          <w:lang w:val="en-US" w:eastAsia="zh-CN"/>
        </w:rPr>
        <w:t>5.</w:t>
      </w:r>
      <w:r>
        <w:rPr>
          <w:rFonts w:hint="eastAsia" w:ascii="宋体" w:hAnsi="宋体" w:eastAsia="宋体" w:cs="宋体"/>
          <w:lang w:val="zh-CN" w:eastAsia="zh-CN"/>
        </w:rPr>
        <w:t>在设备选型时选择低污染设备，并安装空气净化系统，确保达标排放。</w:t>
      </w:r>
    </w:p>
    <w:p w14:paraId="51B4A33B">
      <w:pPr>
        <w:ind w:firstLine="480"/>
        <w:rPr>
          <w:rFonts w:hint="eastAsia" w:ascii="宋体" w:hAnsi="宋体" w:eastAsia="宋体" w:cs="宋体"/>
          <w:lang w:val="zh-CN" w:eastAsia="zh-CN"/>
        </w:rPr>
      </w:pPr>
      <w:r>
        <w:rPr>
          <w:rFonts w:hint="eastAsia" w:ascii="宋体" w:hAnsi="宋体" w:cs="宋体"/>
          <w:lang w:val="en-US" w:eastAsia="zh-CN"/>
        </w:rPr>
        <w:t>6.</w:t>
      </w:r>
      <w:r>
        <w:rPr>
          <w:rFonts w:hint="eastAsia" w:ascii="宋体" w:hAnsi="宋体" w:eastAsia="宋体" w:cs="宋体"/>
          <w:lang w:val="zh-CN" w:eastAsia="zh-CN"/>
        </w:rPr>
        <w:t>施工便道宜硬化处理，并定期洒水清扫，防止扬尘。运输车辆不得超载，防止沿路滴、洒、漏，保持便道清洁。</w:t>
      </w:r>
    </w:p>
    <w:p w14:paraId="5B333E10">
      <w:pPr>
        <w:ind w:firstLine="480"/>
        <w:rPr>
          <w:rFonts w:hint="eastAsia" w:ascii="宋体" w:hAnsi="宋体" w:eastAsia="宋体" w:cs="宋体"/>
          <w:lang w:val="zh-CN" w:eastAsia="zh-CN"/>
        </w:rPr>
      </w:pPr>
      <w:r>
        <w:rPr>
          <w:rFonts w:hint="eastAsia" w:ascii="宋体" w:hAnsi="宋体" w:cs="宋体"/>
          <w:lang w:val="en-US" w:eastAsia="zh-CN"/>
        </w:rPr>
        <w:t>7.</w:t>
      </w:r>
      <w:r>
        <w:rPr>
          <w:rFonts w:hint="eastAsia" w:ascii="宋体" w:hAnsi="宋体" w:eastAsia="宋体" w:cs="宋体"/>
          <w:lang w:val="zh-CN" w:eastAsia="zh-CN"/>
        </w:rPr>
        <w:t>对汽油等易挥发品的存放要密闭，并尽量缩短开启时间。</w:t>
      </w:r>
    </w:p>
    <w:p w14:paraId="2BF228E2">
      <w:pPr>
        <w:ind w:firstLine="480"/>
        <w:rPr>
          <w:rFonts w:hint="eastAsia" w:ascii="宋体" w:hAnsi="宋体" w:eastAsia="宋体" w:cs="宋体"/>
          <w:lang w:val="zh-CN" w:eastAsia="zh-CN"/>
        </w:rPr>
      </w:pPr>
      <w:r>
        <w:rPr>
          <w:rFonts w:hint="eastAsia" w:ascii="宋体" w:hAnsi="宋体" w:cs="宋体"/>
          <w:lang w:val="en-US" w:eastAsia="zh-CN"/>
        </w:rPr>
        <w:t>8.</w:t>
      </w:r>
      <w:r>
        <w:rPr>
          <w:rFonts w:hint="eastAsia" w:ascii="宋体" w:hAnsi="宋体" w:eastAsia="宋体" w:cs="宋体"/>
          <w:lang w:val="zh-CN" w:eastAsia="zh-CN"/>
        </w:rPr>
        <w:t>采用粉状材料作为路基填料或对路基填料进行现场改良施工时，应避免在大风天作业，施工人员应佩戴防尘口罩等劳动保护用品，并采取环境保护措施。</w:t>
      </w:r>
    </w:p>
    <w:p w14:paraId="1E9BB0A8">
      <w:pPr>
        <w:ind w:firstLine="480"/>
        <w:rPr>
          <w:rFonts w:hint="eastAsia" w:ascii="宋体" w:hAnsi="宋体" w:eastAsia="宋体" w:cs="宋体"/>
          <w:lang w:val="zh-CN" w:eastAsia="zh-CN"/>
        </w:rPr>
      </w:pPr>
      <w:r>
        <w:rPr>
          <w:rFonts w:hint="eastAsia" w:ascii="宋体" w:hAnsi="宋体" w:cs="宋体"/>
          <w:lang w:val="en-US" w:eastAsia="zh-CN"/>
        </w:rPr>
        <w:t>9.</w:t>
      </w:r>
      <w:r>
        <w:rPr>
          <w:rFonts w:hint="eastAsia" w:ascii="宋体" w:hAnsi="宋体" w:eastAsia="宋体" w:cs="宋体"/>
          <w:lang w:val="zh-CN" w:eastAsia="zh-CN"/>
        </w:rPr>
        <w:t>不得焚烧生活和生产垃圾。在场地清理时，不得焚烧杂草和树木。</w:t>
      </w:r>
    </w:p>
    <w:bookmarkEnd w:id="2632"/>
    <w:p w14:paraId="3D056BB9">
      <w:pPr>
        <w:pStyle w:val="5"/>
        <w:numPr>
          <w:ilvl w:val="2"/>
          <w:numId w:val="0"/>
        </w:numPr>
        <w:spacing w:line="360" w:lineRule="auto"/>
        <w:ind w:left="720" w:leftChars="0" w:hanging="720" w:firstLineChars="0"/>
        <w:rPr>
          <w:color w:val="auto"/>
        </w:rPr>
      </w:pPr>
      <w:bookmarkStart w:id="2638" w:name="_Toc383"/>
      <w:bookmarkStart w:id="2639" w:name="_Toc12163"/>
      <w:bookmarkStart w:id="2640" w:name="_Toc32668"/>
      <w:bookmarkStart w:id="2641" w:name="_Toc30113"/>
      <w:bookmarkStart w:id="2642" w:name="_Toc11438"/>
      <w:bookmarkStart w:id="2643" w:name="_Toc16435"/>
      <w:bookmarkStart w:id="2644" w:name="_Toc3430"/>
      <w:bookmarkStart w:id="2645" w:name="_Toc11526"/>
      <w:bookmarkStart w:id="2646" w:name="_Toc5999"/>
      <w:bookmarkStart w:id="2647" w:name="_Toc14542"/>
      <w:bookmarkStart w:id="2648" w:name="_Toc20173"/>
      <w:bookmarkStart w:id="2649" w:name="_Toc4720"/>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5</w:t>
      </w:r>
      <w:r>
        <w:rPr>
          <w:rFonts w:hint="default" w:ascii="Times New Roman" w:hAnsi="Times New Roman" w:eastAsia="宋体" w:cs="Times New Roman"/>
          <w:b/>
          <w:bCs/>
          <w:color w:val="auto"/>
          <w:kern w:val="2"/>
          <w:sz w:val="30"/>
          <w:szCs w:val="32"/>
          <w:lang w:val="en-US" w:eastAsia="zh-CN" w:bidi="ar-SA"/>
        </w:rPr>
        <w:t>.2.3.</w:t>
      </w:r>
      <w:r>
        <w:rPr>
          <w:rFonts w:hint="eastAsia"/>
          <w:color w:val="auto"/>
        </w:rPr>
        <w:t>水土保持措施</w:t>
      </w:r>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711D801C">
      <w:pPr>
        <w:ind w:firstLine="480"/>
        <w:rPr>
          <w:rFonts w:hint="eastAsia" w:ascii="宋体" w:hAnsi="宋体" w:eastAsia="宋体" w:cs="宋体"/>
          <w:lang w:val="en-US" w:eastAsia="zh-CN"/>
        </w:rPr>
      </w:pPr>
      <w:r>
        <w:rPr>
          <w:rFonts w:hint="eastAsia" w:ascii="宋体" w:hAnsi="宋体" w:eastAsia="宋体" w:cs="宋体"/>
          <w:lang w:val="en-US" w:eastAsia="zh-CN"/>
        </w:rPr>
        <w:t>根据工程可能引起水土流失的情况，划分水土流失防治分区，制定相应的水土保持措施方案。</w:t>
      </w:r>
    </w:p>
    <w:p w14:paraId="061AC4EC">
      <w:pPr>
        <w:ind w:firstLine="480"/>
        <w:rPr>
          <w:rFonts w:hint="eastAsia" w:ascii="宋体" w:hAnsi="宋体" w:eastAsia="宋体" w:cs="宋体"/>
          <w:lang w:val="en-US" w:eastAsia="zh-CN"/>
        </w:rPr>
      </w:pPr>
      <w:r>
        <w:rPr>
          <w:rFonts w:hint="eastAsia" w:ascii="宋体" w:hAnsi="宋体" w:eastAsia="宋体" w:cs="宋体"/>
          <w:lang w:val="en-US" w:eastAsia="zh-CN"/>
        </w:rPr>
        <w:t>合理安排施工顺序，力求挖填方平衡，减少取弃土量。对已完坡面工程及时防护或植草绿化。</w:t>
      </w:r>
    </w:p>
    <w:p w14:paraId="2E523532">
      <w:pPr>
        <w:ind w:firstLine="480"/>
        <w:rPr>
          <w:rFonts w:hint="eastAsia" w:ascii="宋体" w:hAnsi="宋体" w:eastAsia="宋体" w:cs="宋体"/>
          <w:lang w:val="en-US" w:eastAsia="zh-CN"/>
        </w:rPr>
      </w:pPr>
      <w:r>
        <w:rPr>
          <w:rFonts w:hint="eastAsia" w:ascii="宋体" w:hAnsi="宋体" w:eastAsia="宋体" w:cs="宋体"/>
          <w:lang w:val="en-US" w:eastAsia="zh-CN"/>
        </w:rPr>
        <w:t>合理安排工期，尽量缩短施工周期，减少疏松地面的裸露时间。大规模填挖路基避开雨季施工。如无法错开，及时掌握雨情，做好防护工作。</w:t>
      </w:r>
    </w:p>
    <w:p w14:paraId="56F508EC">
      <w:pPr>
        <w:ind w:firstLine="480"/>
        <w:rPr>
          <w:rFonts w:hint="eastAsia" w:ascii="宋体" w:hAnsi="宋体" w:eastAsia="宋体" w:cs="宋体"/>
          <w:lang w:val="en-US" w:eastAsia="zh-CN"/>
        </w:rPr>
      </w:pPr>
      <w:r>
        <w:rPr>
          <w:rFonts w:hint="eastAsia" w:ascii="宋体" w:hAnsi="宋体" w:eastAsia="宋体" w:cs="宋体"/>
          <w:lang w:val="en-US" w:eastAsia="zh-CN"/>
        </w:rPr>
        <w:t>弃土场地应事先构筑拦渣工程，并施工截、排水设施；临时用地使用结束后及时采用表土回填复耕或进行绿化恢复。</w:t>
      </w:r>
    </w:p>
    <w:p w14:paraId="7ADC75FE">
      <w:pPr>
        <w:ind w:firstLine="480"/>
        <w:rPr>
          <w:rFonts w:hint="eastAsia" w:ascii="宋体" w:hAnsi="宋体" w:eastAsia="宋体" w:cs="宋体"/>
          <w:lang w:val="en-US" w:eastAsia="zh-CN"/>
        </w:rPr>
      </w:pPr>
      <w:r>
        <w:rPr>
          <w:rFonts w:hint="eastAsia" w:ascii="宋体" w:hAnsi="宋体" w:eastAsia="宋体" w:cs="宋体"/>
          <w:lang w:val="en-US" w:eastAsia="zh-CN"/>
        </w:rPr>
        <w:t>防护工程分段开挖及砌筑，完成后立即回填，同时做好坡面、坡脚排水系统。</w:t>
      </w:r>
      <w:bookmarkStart w:id="2650" w:name="_Toc392933571"/>
    </w:p>
    <w:p w14:paraId="2DFAE093">
      <w:pPr>
        <w:pStyle w:val="22"/>
      </w:pPr>
    </w:p>
    <w:p w14:paraId="45D890D9">
      <w:pPr>
        <w:pStyle w:val="103"/>
        <w:jc w:val="both"/>
        <w:rPr>
          <w:rFonts w:hint="eastAsia"/>
          <w:color w:val="auto"/>
          <w:highlight w:val="none"/>
        </w:rPr>
      </w:pPr>
    </w:p>
    <w:p w14:paraId="1DC08067">
      <w:pPr>
        <w:pStyle w:val="103"/>
        <w:jc w:val="center"/>
        <w:rPr>
          <w:color w:val="auto"/>
          <w:highlight w:val="none"/>
        </w:rPr>
      </w:pPr>
      <w:r>
        <w:rPr>
          <w:rFonts w:hint="eastAsia"/>
          <w:color w:val="auto"/>
          <w:highlight w:val="none"/>
        </w:rPr>
        <w:t>环境保护及水土保持保证体系框图</w:t>
      </w:r>
    </w:p>
    <w:p w14:paraId="3C6C516D">
      <w:pPr>
        <w:pStyle w:val="22"/>
        <w:jc w:val="both"/>
      </w:pPr>
      <w:r>
        <mc:AlternateContent>
          <mc:Choice Requires="wpg">
            <w:drawing>
              <wp:anchor distT="0" distB="0" distL="114300" distR="114300" simplePos="0" relativeHeight="251666432" behindDoc="0" locked="0" layoutInCell="1" allowOverlap="1">
                <wp:simplePos x="0" y="0"/>
                <wp:positionH relativeFrom="column">
                  <wp:posOffset>143510</wp:posOffset>
                </wp:positionH>
                <wp:positionV relativeFrom="paragraph">
                  <wp:posOffset>177165</wp:posOffset>
                </wp:positionV>
                <wp:extent cx="5795645" cy="6225540"/>
                <wp:effectExtent l="4445" t="5080" r="6350" b="17780"/>
                <wp:wrapTopAndBottom/>
                <wp:docPr id="723" name="组合 545"/>
                <wp:cNvGraphicFramePr/>
                <a:graphic xmlns:a="http://schemas.openxmlformats.org/drawingml/2006/main">
                  <a:graphicData uri="http://schemas.microsoft.com/office/word/2010/wordprocessingGroup">
                    <wpg:wgp>
                      <wpg:cNvGrpSpPr/>
                      <wpg:grpSpPr>
                        <a:xfrm>
                          <a:off x="0" y="0"/>
                          <a:ext cx="5795645" cy="6225540"/>
                          <a:chOff x="338" y="2051"/>
                          <a:chExt cx="8653" cy="7614"/>
                        </a:xfrm>
                      </wpg:grpSpPr>
                      <wps:wsp>
                        <wps:cNvPr id="685" name="Line 408"/>
                        <wps:cNvCnPr/>
                        <wps:spPr>
                          <a:xfrm>
                            <a:off x="3573" y="7459"/>
                            <a:ext cx="0" cy="384"/>
                          </a:xfrm>
                          <a:prstGeom prst="line">
                            <a:avLst/>
                          </a:prstGeom>
                          <a:ln w="3175" cap="flat" cmpd="sng">
                            <a:solidFill>
                              <a:srgbClr val="000000"/>
                            </a:solidFill>
                            <a:prstDash val="solid"/>
                            <a:headEnd type="none" w="med" len="med"/>
                            <a:tailEnd type="triangle" w="med" len="med"/>
                          </a:ln>
                        </wps:spPr>
                        <wps:bodyPr upright="1"/>
                      </wps:wsp>
                      <wps:wsp>
                        <wps:cNvPr id="686" name="Line 418"/>
                        <wps:cNvCnPr/>
                        <wps:spPr>
                          <a:xfrm>
                            <a:off x="1244" y="7877"/>
                            <a:ext cx="6958" cy="0"/>
                          </a:xfrm>
                          <a:prstGeom prst="line">
                            <a:avLst/>
                          </a:prstGeom>
                          <a:ln w="3175" cap="flat" cmpd="sng">
                            <a:solidFill>
                              <a:srgbClr val="000000"/>
                            </a:solidFill>
                            <a:prstDash val="solid"/>
                            <a:headEnd type="none" w="med" len="med"/>
                            <a:tailEnd type="none" w="med" len="med"/>
                          </a:ln>
                        </wps:spPr>
                        <wps:bodyPr upright="1"/>
                      </wps:wsp>
                      <wps:wsp>
                        <wps:cNvPr id="687" name="Rectangle 421"/>
                        <wps:cNvSpPr/>
                        <wps:spPr>
                          <a:xfrm>
                            <a:off x="2653" y="8262"/>
                            <a:ext cx="4211" cy="50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0D1FF9E">
                              <w:pPr>
                                <w:pStyle w:val="117"/>
                                <w:rPr>
                                  <w:sz w:val="21"/>
                                  <w:szCs w:val="21"/>
                                </w:rPr>
                              </w:pPr>
                              <w:r>
                                <w:rPr>
                                  <w:rFonts w:hint="eastAsia"/>
                                  <w:sz w:val="21"/>
                                  <w:szCs w:val="21"/>
                                </w:rPr>
                                <w:t>施工现场作业队</w:t>
                              </w:r>
                            </w:p>
                          </w:txbxContent>
                        </wps:txbx>
                        <wps:bodyPr lIns="0" tIns="0" rIns="0" bIns="0" upright="1"/>
                      </wps:wsp>
                      <wps:wsp>
                        <wps:cNvPr id="688" name="Rectangle 423"/>
                        <wps:cNvSpPr/>
                        <wps:spPr>
                          <a:xfrm>
                            <a:off x="3137" y="9204"/>
                            <a:ext cx="3279" cy="46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365E641">
                              <w:pPr>
                                <w:pStyle w:val="117"/>
                                <w:rPr>
                                  <w:sz w:val="21"/>
                                  <w:szCs w:val="21"/>
                                </w:rPr>
                              </w:pPr>
                              <w:r>
                                <w:rPr>
                                  <w:rFonts w:hint="eastAsia"/>
                                  <w:sz w:val="21"/>
                                  <w:szCs w:val="21"/>
                                </w:rPr>
                                <w:t>实现环保目标</w:t>
                              </w:r>
                            </w:p>
                          </w:txbxContent>
                        </wps:txbx>
                        <wps:bodyPr lIns="0" tIns="0" rIns="0" bIns="0" upright="1"/>
                      </wps:wsp>
                      <wpg:grpSp>
                        <wpg:cNvPr id="700" name="组合 550"/>
                        <wpg:cNvGrpSpPr/>
                        <wpg:grpSpPr>
                          <a:xfrm>
                            <a:off x="597" y="2051"/>
                            <a:ext cx="8338" cy="1700"/>
                            <a:chOff x="597" y="2051"/>
                            <a:chExt cx="8338" cy="1700"/>
                          </a:xfrm>
                        </wpg:grpSpPr>
                        <wps:wsp>
                          <wps:cNvPr id="689" name="Rectangle 389"/>
                          <wps:cNvSpPr/>
                          <wps:spPr>
                            <a:xfrm>
                              <a:off x="597" y="3239"/>
                              <a:ext cx="1449" cy="50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BFBADDB">
                                <w:pPr>
                                  <w:pStyle w:val="117"/>
                                  <w:spacing w:line="240" w:lineRule="auto"/>
                                  <w:rPr>
                                    <w:sz w:val="21"/>
                                    <w:szCs w:val="21"/>
                                  </w:rPr>
                                </w:pPr>
                                <w:r>
                                  <w:rPr>
                                    <w:rFonts w:hint="eastAsia"/>
                                    <w:sz w:val="21"/>
                                    <w:szCs w:val="21"/>
                                  </w:rPr>
                                  <w:t>组织保证</w:t>
                                </w:r>
                              </w:p>
                            </w:txbxContent>
                          </wps:txbx>
                          <wps:bodyPr lIns="0" tIns="0" rIns="0" bIns="0" upright="1"/>
                        </wps:wsp>
                        <wps:wsp>
                          <wps:cNvPr id="690" name="Rectangle 390"/>
                          <wps:cNvSpPr/>
                          <wps:spPr>
                            <a:xfrm>
                              <a:off x="2988" y="2051"/>
                              <a:ext cx="3507" cy="53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24CE81F">
                                <w:pPr>
                                  <w:pStyle w:val="117"/>
                                  <w:jc w:val="center"/>
                                  <w:rPr>
                                    <w:sz w:val="21"/>
                                    <w:szCs w:val="21"/>
                                  </w:rPr>
                                </w:pPr>
                                <w:r>
                                  <w:rPr>
                                    <w:rFonts w:hint="eastAsia"/>
                                    <w:sz w:val="21"/>
                                    <w:szCs w:val="21"/>
                                  </w:rPr>
                                  <w:t>施工环保、水土保持体系</w:t>
                                </w:r>
                              </w:p>
                            </w:txbxContent>
                          </wps:txbx>
                          <wps:bodyPr lIns="0" tIns="0" rIns="0" bIns="0" upright="1"/>
                        </wps:wsp>
                        <wps:wsp>
                          <wps:cNvPr id="691" name="Line 391"/>
                          <wps:cNvCnPr/>
                          <wps:spPr>
                            <a:xfrm>
                              <a:off x="4657" y="2598"/>
                              <a:ext cx="0" cy="257"/>
                            </a:xfrm>
                            <a:prstGeom prst="line">
                              <a:avLst/>
                            </a:prstGeom>
                            <a:ln w="3175" cap="flat" cmpd="sng">
                              <a:solidFill>
                                <a:srgbClr val="000000"/>
                              </a:solidFill>
                              <a:prstDash val="solid"/>
                              <a:headEnd type="none" w="med" len="med"/>
                              <a:tailEnd type="triangle" w="med" len="med"/>
                            </a:ln>
                          </wps:spPr>
                          <wps:bodyPr upright="1"/>
                        </wps:wsp>
                        <wps:wsp>
                          <wps:cNvPr id="692" name="Line 392"/>
                          <wps:cNvCnPr/>
                          <wps:spPr>
                            <a:xfrm>
                              <a:off x="1316" y="2856"/>
                              <a:ext cx="6903" cy="0"/>
                            </a:xfrm>
                            <a:prstGeom prst="line">
                              <a:avLst/>
                            </a:prstGeom>
                            <a:ln w="3175" cap="flat" cmpd="sng">
                              <a:solidFill>
                                <a:srgbClr val="000000"/>
                              </a:solidFill>
                              <a:prstDash val="solid"/>
                              <a:headEnd type="none" w="med" len="med"/>
                              <a:tailEnd type="none" w="med" len="med"/>
                            </a:ln>
                          </wps:spPr>
                          <wps:bodyPr upright="1"/>
                        </wps:wsp>
                        <wps:wsp>
                          <wps:cNvPr id="693" name="Line 393"/>
                          <wps:cNvCnPr/>
                          <wps:spPr>
                            <a:xfrm>
                              <a:off x="1314" y="2879"/>
                              <a:ext cx="0" cy="356"/>
                            </a:xfrm>
                            <a:prstGeom prst="line">
                              <a:avLst/>
                            </a:prstGeom>
                            <a:ln w="3175" cap="flat" cmpd="sng">
                              <a:solidFill>
                                <a:srgbClr val="000000"/>
                              </a:solidFill>
                              <a:prstDash val="solid"/>
                              <a:headEnd type="none" w="med" len="med"/>
                              <a:tailEnd type="triangle" w="med" len="med"/>
                            </a:ln>
                          </wps:spPr>
                          <wps:bodyPr upright="1"/>
                        </wps:wsp>
                        <wps:wsp>
                          <wps:cNvPr id="694" name="Rectangle 400"/>
                          <wps:cNvSpPr/>
                          <wps:spPr>
                            <a:xfrm>
                              <a:off x="7486" y="3273"/>
                              <a:ext cx="1449" cy="46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4AFD3A8">
                                <w:pPr>
                                  <w:pStyle w:val="117"/>
                                  <w:rPr>
                                    <w:sz w:val="21"/>
                                    <w:szCs w:val="21"/>
                                  </w:rPr>
                                </w:pPr>
                                <w:r>
                                  <w:rPr>
                                    <w:rFonts w:hint="eastAsia"/>
                                    <w:sz w:val="21"/>
                                    <w:szCs w:val="21"/>
                                  </w:rPr>
                                  <w:t>经济保证</w:t>
                                </w:r>
                              </w:p>
                            </w:txbxContent>
                          </wps:txbx>
                          <wps:bodyPr lIns="0" tIns="0" rIns="0" bIns="0" upright="1"/>
                        </wps:wsp>
                        <wps:wsp>
                          <wps:cNvPr id="695" name="Rectangle 401"/>
                          <wps:cNvSpPr/>
                          <wps:spPr>
                            <a:xfrm>
                              <a:off x="5341" y="3284"/>
                              <a:ext cx="1448" cy="46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0F1DDFA">
                                <w:pPr>
                                  <w:pStyle w:val="117"/>
                                  <w:rPr>
                                    <w:sz w:val="21"/>
                                    <w:szCs w:val="21"/>
                                  </w:rPr>
                                </w:pPr>
                                <w:r>
                                  <w:rPr>
                                    <w:rFonts w:hint="eastAsia"/>
                                    <w:sz w:val="21"/>
                                    <w:szCs w:val="21"/>
                                  </w:rPr>
                                  <w:t>制度保证</w:t>
                                </w:r>
                              </w:p>
                            </w:txbxContent>
                          </wps:txbx>
                          <wps:bodyPr lIns="0" tIns="0" rIns="0" bIns="0" upright="1"/>
                        </wps:wsp>
                        <wps:wsp>
                          <wps:cNvPr id="696" name="Rectangle 402"/>
                          <wps:cNvSpPr/>
                          <wps:spPr>
                            <a:xfrm>
                              <a:off x="2895" y="3273"/>
                              <a:ext cx="1447" cy="46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94A1CF1">
                                <w:pPr>
                                  <w:pStyle w:val="117"/>
                                  <w:rPr>
                                    <w:sz w:val="21"/>
                                    <w:szCs w:val="21"/>
                                  </w:rPr>
                                </w:pPr>
                                <w:r>
                                  <w:rPr>
                                    <w:rFonts w:hint="eastAsia"/>
                                    <w:sz w:val="21"/>
                                    <w:szCs w:val="21"/>
                                  </w:rPr>
                                  <w:t>工作保证</w:t>
                                </w:r>
                              </w:p>
                            </w:txbxContent>
                          </wps:txbx>
                          <wps:bodyPr lIns="0" tIns="0" rIns="0" bIns="0" upright="1"/>
                        </wps:wsp>
                        <wps:wsp>
                          <wps:cNvPr id="697" name="Line 424"/>
                          <wps:cNvCnPr/>
                          <wps:spPr>
                            <a:xfrm>
                              <a:off x="3598" y="2861"/>
                              <a:ext cx="0" cy="374"/>
                            </a:xfrm>
                            <a:prstGeom prst="line">
                              <a:avLst/>
                            </a:prstGeom>
                            <a:ln w="3175" cap="flat" cmpd="sng">
                              <a:solidFill>
                                <a:srgbClr val="000000"/>
                              </a:solidFill>
                              <a:prstDash val="solid"/>
                              <a:headEnd type="none" w="med" len="med"/>
                              <a:tailEnd type="triangle" w="med" len="med"/>
                            </a:ln>
                          </wps:spPr>
                          <wps:bodyPr upright="1"/>
                        </wps:wsp>
                        <wps:wsp>
                          <wps:cNvPr id="698" name="Line 425"/>
                          <wps:cNvCnPr/>
                          <wps:spPr>
                            <a:xfrm>
                              <a:off x="6056" y="2883"/>
                              <a:ext cx="0" cy="352"/>
                            </a:xfrm>
                            <a:prstGeom prst="line">
                              <a:avLst/>
                            </a:prstGeom>
                            <a:ln w="3175" cap="flat" cmpd="sng">
                              <a:solidFill>
                                <a:srgbClr val="000000"/>
                              </a:solidFill>
                              <a:prstDash val="solid"/>
                              <a:headEnd type="none" w="med" len="med"/>
                              <a:tailEnd type="triangle" w="med" len="med"/>
                            </a:ln>
                          </wps:spPr>
                          <wps:bodyPr upright="1"/>
                        </wps:wsp>
                        <wps:wsp>
                          <wps:cNvPr id="699" name="Line 426"/>
                          <wps:cNvCnPr/>
                          <wps:spPr>
                            <a:xfrm>
                              <a:off x="8220" y="2861"/>
                              <a:ext cx="0" cy="374"/>
                            </a:xfrm>
                            <a:prstGeom prst="line">
                              <a:avLst/>
                            </a:prstGeom>
                            <a:ln w="3175" cap="flat" cmpd="sng">
                              <a:solidFill>
                                <a:srgbClr val="000000"/>
                              </a:solidFill>
                              <a:prstDash val="solid"/>
                              <a:headEnd type="none" w="med" len="med"/>
                              <a:tailEnd type="triangle" w="med" len="med"/>
                            </a:ln>
                          </wps:spPr>
                          <wps:bodyPr upright="1"/>
                        </wps:wsp>
                      </wpg:grpSp>
                      <wps:wsp>
                        <wps:cNvPr id="701" name="Line 394"/>
                        <wps:cNvCnPr/>
                        <wps:spPr>
                          <a:xfrm>
                            <a:off x="1280" y="3707"/>
                            <a:ext cx="0" cy="339"/>
                          </a:xfrm>
                          <a:prstGeom prst="line">
                            <a:avLst/>
                          </a:prstGeom>
                          <a:ln w="3175" cap="flat" cmpd="sng">
                            <a:solidFill>
                              <a:srgbClr val="000000"/>
                            </a:solidFill>
                            <a:prstDash val="solid"/>
                            <a:headEnd type="none" w="med" len="med"/>
                            <a:tailEnd type="triangle" w="med" len="med"/>
                          </a:ln>
                        </wps:spPr>
                        <wps:bodyPr upright="1"/>
                      </wps:wsp>
                      <wps:wsp>
                        <wps:cNvPr id="702" name="Line 395"/>
                        <wps:cNvCnPr/>
                        <wps:spPr>
                          <a:xfrm>
                            <a:off x="3591" y="3778"/>
                            <a:ext cx="0" cy="340"/>
                          </a:xfrm>
                          <a:prstGeom prst="line">
                            <a:avLst/>
                          </a:prstGeom>
                          <a:ln w="3175" cap="flat" cmpd="sng">
                            <a:solidFill>
                              <a:srgbClr val="000000"/>
                            </a:solidFill>
                            <a:prstDash val="solid"/>
                            <a:headEnd type="none" w="med" len="med"/>
                            <a:tailEnd type="triangle" w="med" len="med"/>
                          </a:ln>
                        </wps:spPr>
                        <wps:bodyPr upright="1"/>
                      </wps:wsp>
                      <wps:wsp>
                        <wps:cNvPr id="703" name="Line 396"/>
                        <wps:cNvCnPr/>
                        <wps:spPr>
                          <a:xfrm>
                            <a:off x="6042" y="3771"/>
                            <a:ext cx="0" cy="342"/>
                          </a:xfrm>
                          <a:prstGeom prst="line">
                            <a:avLst/>
                          </a:prstGeom>
                          <a:ln w="3175" cap="flat" cmpd="sng">
                            <a:solidFill>
                              <a:srgbClr val="000000"/>
                            </a:solidFill>
                            <a:prstDash val="solid"/>
                            <a:headEnd type="none" w="med" len="med"/>
                            <a:tailEnd type="triangle" w="med" len="med"/>
                          </a:ln>
                        </wps:spPr>
                        <wps:bodyPr upright="1"/>
                      </wps:wsp>
                      <wps:wsp>
                        <wps:cNvPr id="704" name="Line 397"/>
                        <wps:cNvCnPr/>
                        <wps:spPr>
                          <a:xfrm>
                            <a:off x="8200" y="3744"/>
                            <a:ext cx="0" cy="365"/>
                          </a:xfrm>
                          <a:prstGeom prst="line">
                            <a:avLst/>
                          </a:prstGeom>
                          <a:ln w="3175" cap="flat" cmpd="sng">
                            <a:solidFill>
                              <a:srgbClr val="000000"/>
                            </a:solidFill>
                            <a:prstDash val="solid"/>
                            <a:headEnd type="none" w="med" len="med"/>
                            <a:tailEnd type="triangle" w="med" len="med"/>
                          </a:ln>
                        </wps:spPr>
                        <wps:bodyPr upright="1"/>
                      </wps:wsp>
                      <wps:wsp>
                        <wps:cNvPr id="705" name="Line 398"/>
                        <wps:cNvCnPr/>
                        <wps:spPr>
                          <a:xfrm>
                            <a:off x="1270" y="4938"/>
                            <a:ext cx="0" cy="385"/>
                          </a:xfrm>
                          <a:prstGeom prst="line">
                            <a:avLst/>
                          </a:prstGeom>
                          <a:ln w="3175" cap="flat" cmpd="sng">
                            <a:solidFill>
                              <a:srgbClr val="000000"/>
                            </a:solidFill>
                            <a:prstDash val="solid"/>
                            <a:headEnd type="none" w="med" len="med"/>
                            <a:tailEnd type="triangle" w="med" len="med"/>
                          </a:ln>
                        </wps:spPr>
                        <wps:bodyPr upright="1"/>
                      </wps:wsp>
                      <wps:wsp>
                        <wps:cNvPr id="706" name="Line 399"/>
                        <wps:cNvCnPr/>
                        <wps:spPr>
                          <a:xfrm>
                            <a:off x="3591" y="5025"/>
                            <a:ext cx="0" cy="365"/>
                          </a:xfrm>
                          <a:prstGeom prst="line">
                            <a:avLst/>
                          </a:prstGeom>
                          <a:ln w="3175" cap="flat" cmpd="sng">
                            <a:solidFill>
                              <a:srgbClr val="000000"/>
                            </a:solidFill>
                            <a:prstDash val="solid"/>
                            <a:headEnd type="none" w="med" len="med"/>
                            <a:tailEnd type="triangle" w="med" len="med"/>
                          </a:ln>
                        </wps:spPr>
                        <wps:bodyPr upright="1"/>
                      </wps:wsp>
                      <wps:wsp>
                        <wps:cNvPr id="707" name="Rectangle 403"/>
                        <wps:cNvSpPr/>
                        <wps:spPr>
                          <a:xfrm>
                            <a:off x="505" y="4046"/>
                            <a:ext cx="1531" cy="88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0D7C01F">
                              <w:pPr>
                                <w:pStyle w:val="117"/>
                                <w:rPr>
                                  <w:sz w:val="21"/>
                                  <w:szCs w:val="21"/>
                                </w:rPr>
                              </w:pPr>
                              <w:r>
                                <w:rPr>
                                  <w:rFonts w:hint="eastAsia"/>
                                  <w:sz w:val="21"/>
                                  <w:szCs w:val="21"/>
                                </w:rPr>
                                <w:t>环境保护领</w:t>
                              </w:r>
                            </w:p>
                            <w:p w14:paraId="7D0D2F4C">
                              <w:pPr>
                                <w:pStyle w:val="117"/>
                                <w:rPr>
                                  <w:sz w:val="21"/>
                                  <w:szCs w:val="21"/>
                                </w:rPr>
                              </w:pPr>
                              <w:r>
                                <w:rPr>
                                  <w:rFonts w:hint="eastAsia"/>
                                  <w:sz w:val="21"/>
                                  <w:szCs w:val="21"/>
                                </w:rPr>
                                <w:t>导小组</w:t>
                              </w:r>
                            </w:p>
                          </w:txbxContent>
                        </wps:txbx>
                        <wps:bodyPr lIns="0" tIns="0" rIns="0" bIns="0" upright="1"/>
                      </wps:wsp>
                      <wps:wsp>
                        <wps:cNvPr id="708" name="Rectangle 404"/>
                        <wps:cNvSpPr/>
                        <wps:spPr>
                          <a:xfrm>
                            <a:off x="2843" y="4097"/>
                            <a:ext cx="1532" cy="90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CC53D5C">
                              <w:pPr>
                                <w:pStyle w:val="117"/>
                                <w:rPr>
                                  <w:sz w:val="21"/>
                                  <w:szCs w:val="21"/>
                                </w:rPr>
                              </w:pPr>
                              <w:r>
                                <w:rPr>
                                  <w:rFonts w:hint="eastAsia"/>
                                  <w:sz w:val="21"/>
                                  <w:szCs w:val="21"/>
                                </w:rPr>
                                <w:t>编制实施性环</w:t>
                              </w:r>
                            </w:p>
                            <w:p w14:paraId="5AC9C44C">
                              <w:pPr>
                                <w:pStyle w:val="117"/>
                                <w:rPr>
                                  <w:sz w:val="21"/>
                                  <w:szCs w:val="21"/>
                                </w:rPr>
                              </w:pPr>
                              <w:r>
                                <w:rPr>
                                  <w:rFonts w:hint="eastAsia"/>
                                  <w:sz w:val="21"/>
                                  <w:szCs w:val="21"/>
                                </w:rPr>
                                <w:t>保措施</w:t>
                              </w:r>
                            </w:p>
                          </w:txbxContent>
                        </wps:txbx>
                        <wps:bodyPr lIns="0" tIns="0" rIns="0" bIns="0" upright="1"/>
                      </wps:wsp>
                      <wps:wsp>
                        <wps:cNvPr id="709" name="Rectangle 405"/>
                        <wps:cNvSpPr/>
                        <wps:spPr>
                          <a:xfrm>
                            <a:off x="5251" y="4112"/>
                            <a:ext cx="1531" cy="90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B0ECB68">
                              <w:pPr>
                                <w:pStyle w:val="117"/>
                                <w:rPr>
                                  <w:sz w:val="21"/>
                                  <w:szCs w:val="21"/>
                                </w:rPr>
                              </w:pPr>
                              <w:r>
                                <w:rPr>
                                  <w:rFonts w:hint="eastAsia"/>
                                  <w:sz w:val="21"/>
                                  <w:szCs w:val="21"/>
                                </w:rPr>
                                <w:t>各项环保水土保持措施</w:t>
                              </w:r>
                            </w:p>
                          </w:txbxContent>
                        </wps:txbx>
                        <wps:bodyPr lIns="0" tIns="0" rIns="0" bIns="0" upright="1"/>
                      </wps:wsp>
                      <wps:wsp>
                        <wps:cNvPr id="710" name="Rectangle 406"/>
                        <wps:cNvSpPr/>
                        <wps:spPr>
                          <a:xfrm>
                            <a:off x="7420" y="4112"/>
                            <a:ext cx="1530" cy="862"/>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2770DA2">
                              <w:pPr>
                                <w:pStyle w:val="117"/>
                                <w:rPr>
                                  <w:sz w:val="21"/>
                                  <w:szCs w:val="21"/>
                                </w:rPr>
                              </w:pPr>
                              <w:r>
                                <w:rPr>
                                  <w:rFonts w:hint="eastAsia"/>
                                  <w:sz w:val="21"/>
                                  <w:szCs w:val="21"/>
                                </w:rPr>
                                <w:t>包保</w:t>
                              </w:r>
                            </w:p>
                            <w:p w14:paraId="42D19137">
                              <w:pPr>
                                <w:pStyle w:val="117"/>
                                <w:rPr>
                                  <w:sz w:val="21"/>
                                  <w:szCs w:val="21"/>
                                </w:rPr>
                              </w:pPr>
                              <w:r>
                                <w:rPr>
                                  <w:rFonts w:hint="eastAsia"/>
                                  <w:sz w:val="21"/>
                                  <w:szCs w:val="21"/>
                                </w:rPr>
                                <w:t>责任制</w:t>
                              </w:r>
                            </w:p>
                          </w:txbxContent>
                        </wps:txbx>
                        <wps:bodyPr lIns="0" tIns="0" rIns="0" bIns="0" upright="1"/>
                      </wps:wsp>
                      <wps:wsp>
                        <wps:cNvPr id="711" name="Line 407"/>
                        <wps:cNvCnPr/>
                        <wps:spPr>
                          <a:xfrm flipH="1">
                            <a:off x="6055" y="7509"/>
                            <a:ext cx="5" cy="390"/>
                          </a:xfrm>
                          <a:prstGeom prst="line">
                            <a:avLst/>
                          </a:prstGeom>
                          <a:ln w="3175" cap="flat" cmpd="sng">
                            <a:solidFill>
                              <a:srgbClr val="000000"/>
                            </a:solidFill>
                            <a:prstDash val="solid"/>
                            <a:headEnd type="none" w="med" len="med"/>
                            <a:tailEnd type="triangle" w="med" len="med"/>
                          </a:ln>
                        </wps:spPr>
                        <wps:bodyPr upright="1"/>
                      </wps:wsp>
                      <wps:wsp>
                        <wps:cNvPr id="712" name="Line 409"/>
                        <wps:cNvCnPr/>
                        <wps:spPr>
                          <a:xfrm>
                            <a:off x="6037" y="4996"/>
                            <a:ext cx="0" cy="366"/>
                          </a:xfrm>
                          <a:prstGeom prst="line">
                            <a:avLst/>
                          </a:prstGeom>
                          <a:ln w="3175" cap="flat" cmpd="sng">
                            <a:solidFill>
                              <a:srgbClr val="000000"/>
                            </a:solidFill>
                            <a:prstDash val="solid"/>
                            <a:headEnd type="none" w="med" len="med"/>
                            <a:tailEnd type="triangle" w="med" len="med"/>
                          </a:ln>
                        </wps:spPr>
                        <wps:bodyPr upright="1"/>
                      </wps:wsp>
                      <wps:wsp>
                        <wps:cNvPr id="713" name="Line 410"/>
                        <wps:cNvCnPr/>
                        <wps:spPr>
                          <a:xfrm>
                            <a:off x="8219" y="5015"/>
                            <a:ext cx="0" cy="367"/>
                          </a:xfrm>
                          <a:prstGeom prst="line">
                            <a:avLst/>
                          </a:prstGeom>
                          <a:ln w="3175" cap="flat" cmpd="sng">
                            <a:solidFill>
                              <a:srgbClr val="000000"/>
                            </a:solidFill>
                            <a:prstDash val="solid"/>
                            <a:headEnd type="none" w="med" len="med"/>
                            <a:tailEnd type="triangle" w="med" len="med"/>
                          </a:ln>
                        </wps:spPr>
                        <wps:bodyPr upright="1"/>
                      </wps:wsp>
                      <wps:wsp>
                        <wps:cNvPr id="714" name="Rectangle 411"/>
                        <wps:cNvSpPr/>
                        <wps:spPr>
                          <a:xfrm>
                            <a:off x="338" y="5314"/>
                            <a:ext cx="2156" cy="219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A9FC50C">
                              <w:pPr>
                                <w:pStyle w:val="117"/>
                                <w:rPr>
                                  <w:sz w:val="21"/>
                                  <w:szCs w:val="21"/>
                                </w:rPr>
                              </w:pPr>
                              <w:r>
                                <w:rPr>
                                  <w:rFonts w:hint="eastAsia"/>
                                  <w:sz w:val="21"/>
                                  <w:szCs w:val="21"/>
                                </w:rPr>
                                <w:t>建立制度，做好思想教育工作，把环保工作列入议事日程，了解情况，发现问题，采取措施。</w:t>
                              </w:r>
                            </w:p>
                          </w:txbxContent>
                        </wps:txbx>
                        <wps:bodyPr lIns="0" tIns="36000" rIns="0" bIns="0" upright="1"/>
                      </wps:wsp>
                      <wps:wsp>
                        <wps:cNvPr id="715" name="Rectangle 412"/>
                        <wps:cNvSpPr/>
                        <wps:spPr>
                          <a:xfrm>
                            <a:off x="5025" y="5323"/>
                            <a:ext cx="2064" cy="219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C78B5C2">
                              <w:pPr>
                                <w:pStyle w:val="117"/>
                                <w:rPr>
                                  <w:sz w:val="21"/>
                                  <w:szCs w:val="21"/>
                                </w:rPr>
                              </w:pPr>
                              <w:r>
                                <w:rPr>
                                  <w:rFonts w:hint="eastAsia"/>
                                  <w:sz w:val="21"/>
                                  <w:szCs w:val="21"/>
                                </w:rPr>
                                <w:t>抓好环保、水土保持日常管理；建立健全环保责任制；定期进行环保、水土保持工作检查</w:t>
                              </w:r>
                            </w:p>
                          </w:txbxContent>
                        </wps:txbx>
                        <wps:bodyPr lIns="0" tIns="36000" rIns="0" bIns="0" upright="1"/>
                      </wps:wsp>
                      <wps:wsp>
                        <wps:cNvPr id="716" name="Rectangle 413"/>
                        <wps:cNvSpPr/>
                        <wps:spPr>
                          <a:xfrm>
                            <a:off x="2846" y="5426"/>
                            <a:ext cx="1405" cy="211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C807649">
                              <w:pPr>
                                <w:pStyle w:val="117"/>
                                <w:rPr>
                                  <w:sz w:val="21"/>
                                  <w:szCs w:val="21"/>
                                </w:rPr>
                              </w:pPr>
                              <w:r>
                                <w:rPr>
                                  <w:rFonts w:hint="eastAsia"/>
                                  <w:sz w:val="21"/>
                                  <w:szCs w:val="21"/>
                                </w:rPr>
                                <w:t>按设计文件和施工组织设计要求进行落实</w:t>
                              </w:r>
                            </w:p>
                          </w:txbxContent>
                        </wps:txbx>
                        <wps:bodyPr lIns="0" tIns="72000" rIns="0" bIns="0" upright="1"/>
                      </wps:wsp>
                      <wps:wsp>
                        <wps:cNvPr id="717" name="Rectangle 414"/>
                        <wps:cNvSpPr/>
                        <wps:spPr>
                          <a:xfrm>
                            <a:off x="7438" y="6607"/>
                            <a:ext cx="1532" cy="88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75B4D48">
                              <w:pPr>
                                <w:pStyle w:val="117"/>
                                <w:rPr>
                                  <w:sz w:val="21"/>
                                  <w:szCs w:val="21"/>
                                </w:rPr>
                              </w:pPr>
                              <w:r>
                                <w:rPr>
                                  <w:rFonts w:hint="eastAsia"/>
                                  <w:sz w:val="21"/>
                                  <w:szCs w:val="21"/>
                                </w:rPr>
                                <w:t>经济</w:t>
                              </w:r>
                            </w:p>
                            <w:p w14:paraId="6070EA32">
                              <w:pPr>
                                <w:pStyle w:val="117"/>
                                <w:rPr>
                                  <w:sz w:val="21"/>
                                  <w:szCs w:val="21"/>
                                </w:rPr>
                              </w:pPr>
                              <w:r>
                                <w:rPr>
                                  <w:rFonts w:hint="eastAsia"/>
                                  <w:sz w:val="21"/>
                                  <w:szCs w:val="21"/>
                                </w:rPr>
                                <w:t>兑现</w:t>
                              </w:r>
                            </w:p>
                          </w:txbxContent>
                        </wps:txbx>
                        <wps:bodyPr lIns="0" tIns="36000" rIns="0" bIns="0" upright="1"/>
                      </wps:wsp>
                      <wps:wsp>
                        <wps:cNvPr id="718" name="Rectangle 415"/>
                        <wps:cNvSpPr/>
                        <wps:spPr>
                          <a:xfrm>
                            <a:off x="7459" y="5403"/>
                            <a:ext cx="1532" cy="86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14DB33A">
                              <w:pPr>
                                <w:pStyle w:val="117"/>
                                <w:rPr>
                                  <w:sz w:val="21"/>
                                  <w:szCs w:val="21"/>
                                </w:rPr>
                              </w:pPr>
                              <w:r>
                                <w:rPr>
                                  <w:rFonts w:hint="eastAsia"/>
                                  <w:sz w:val="21"/>
                                  <w:szCs w:val="21"/>
                                </w:rPr>
                                <w:t>奖罚</w:t>
                              </w:r>
                            </w:p>
                            <w:p w14:paraId="3D94CD9D">
                              <w:pPr>
                                <w:pStyle w:val="117"/>
                                <w:rPr>
                                  <w:sz w:val="21"/>
                                  <w:szCs w:val="21"/>
                                </w:rPr>
                              </w:pPr>
                              <w:r>
                                <w:rPr>
                                  <w:rFonts w:hint="eastAsia"/>
                                  <w:sz w:val="21"/>
                                  <w:szCs w:val="21"/>
                                </w:rPr>
                                <w:t>措施</w:t>
                              </w:r>
                            </w:p>
                          </w:txbxContent>
                        </wps:txbx>
                        <wps:bodyPr lIns="0" tIns="0" rIns="0" bIns="0" upright="1"/>
                      </wps:wsp>
                      <wps:wsp>
                        <wps:cNvPr id="719" name="Line 417"/>
                        <wps:cNvCnPr/>
                        <wps:spPr>
                          <a:xfrm flipH="1">
                            <a:off x="1245" y="7520"/>
                            <a:ext cx="0" cy="363"/>
                          </a:xfrm>
                          <a:prstGeom prst="line">
                            <a:avLst/>
                          </a:prstGeom>
                          <a:ln w="3175" cap="flat" cmpd="sng">
                            <a:solidFill>
                              <a:srgbClr val="000000"/>
                            </a:solidFill>
                            <a:prstDash val="solid"/>
                            <a:headEnd type="none" w="med" len="med"/>
                            <a:tailEnd type="triangle" w="med" len="med"/>
                          </a:ln>
                        </wps:spPr>
                        <wps:bodyPr upright="1"/>
                      </wps:wsp>
                      <wps:wsp>
                        <wps:cNvPr id="720" name="Line 419"/>
                        <wps:cNvCnPr/>
                        <wps:spPr>
                          <a:xfrm>
                            <a:off x="8206" y="7506"/>
                            <a:ext cx="0" cy="393"/>
                          </a:xfrm>
                          <a:prstGeom prst="line">
                            <a:avLst/>
                          </a:prstGeom>
                          <a:ln w="3175" cap="flat" cmpd="sng">
                            <a:solidFill>
                              <a:srgbClr val="000000"/>
                            </a:solidFill>
                            <a:prstDash val="solid"/>
                            <a:headEnd type="none" w="med" len="med"/>
                            <a:tailEnd type="triangle" w="med" len="med"/>
                          </a:ln>
                        </wps:spPr>
                        <wps:bodyPr upright="1"/>
                      </wps:wsp>
                      <wps:wsp>
                        <wps:cNvPr id="721" name="Line 420"/>
                        <wps:cNvCnPr/>
                        <wps:spPr>
                          <a:xfrm>
                            <a:off x="4755" y="7895"/>
                            <a:ext cx="0" cy="381"/>
                          </a:xfrm>
                          <a:prstGeom prst="line">
                            <a:avLst/>
                          </a:prstGeom>
                          <a:ln w="3175" cap="flat" cmpd="sng">
                            <a:solidFill>
                              <a:srgbClr val="000000"/>
                            </a:solidFill>
                            <a:prstDash val="solid"/>
                            <a:headEnd type="none" w="med" len="med"/>
                            <a:tailEnd type="triangle" w="med" len="med"/>
                          </a:ln>
                        </wps:spPr>
                        <wps:bodyPr upright="1"/>
                      </wps:wsp>
                      <wps:wsp>
                        <wps:cNvPr id="722" name="Line 422"/>
                        <wps:cNvCnPr/>
                        <wps:spPr>
                          <a:xfrm>
                            <a:off x="4745" y="8797"/>
                            <a:ext cx="1" cy="373"/>
                          </a:xfrm>
                          <a:prstGeom prst="line">
                            <a:avLst/>
                          </a:prstGeom>
                          <a:ln w="3175" cap="flat" cmpd="sng">
                            <a:solidFill>
                              <a:srgbClr val="000000"/>
                            </a:solidFill>
                            <a:prstDash val="solid"/>
                            <a:headEnd type="none" w="med" len="med"/>
                            <a:tailEnd type="triangle" w="med" len="med"/>
                          </a:ln>
                        </wps:spPr>
                        <wps:bodyPr upright="1"/>
                      </wps:wsp>
                    </wpg:wgp>
                  </a:graphicData>
                </a:graphic>
              </wp:anchor>
            </w:drawing>
          </mc:Choice>
          <mc:Fallback>
            <w:pict>
              <v:group id="组合 545" o:spid="_x0000_s1026" o:spt="203" style="position:absolute;left:0pt;margin-left:11.3pt;margin-top:13.95pt;height:490.2pt;width:456.35pt;mso-wrap-distance-bottom:0pt;mso-wrap-distance-top:0pt;z-index:251666432;mso-width-relative:page;mso-height-relative:page;" coordorigin="338,2051" coordsize="8653,7614" o:gfxdata="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">
                <o:lock v:ext="edit" aspectratio="f"/>
                <v:line id="Line 408" o:spid="_x0000_s1026" o:spt="20" style="position:absolute;left:3573;top:7459;height:384;width:0;" filled="f" stroked="t" coordsize="21600,21600" o:gfxdata="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Fk1M&#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Line 418" o:spid="_x0000_s1026" o:spt="20" style="position:absolute;left:1244;top:7877;height:0;width:6958;" filled="f" stroked="t" coordsize="21600,21600" o:gfxdata="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y3re/&#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rect id="Rectangle 421" o:spid="_x0000_s1026" o:spt="1" style="position:absolute;left:2653;top:8262;height:502;width:4211;" fillcolor="#C6D9F1" filled="t" stroked="t" coordsize="21600,21600" o:gfxdata="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gSG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mm,0mm,0mm,0mm">
                    <w:txbxContent>
                      <w:p w14:paraId="40D1FF9E">
                        <w:pPr>
                          <w:pStyle w:val="117"/>
                          <w:rPr>
                            <w:sz w:val="21"/>
                            <w:szCs w:val="21"/>
                          </w:rPr>
                        </w:pPr>
                        <w:r>
                          <w:rPr>
                            <w:rFonts w:hint="eastAsia"/>
                            <w:sz w:val="21"/>
                            <w:szCs w:val="21"/>
                          </w:rPr>
                          <w:t>施工现场作业队</w:t>
                        </w:r>
                      </w:p>
                    </w:txbxContent>
                  </v:textbox>
                </v:rect>
                <v:rect id="Rectangle 423" o:spid="_x0000_s1026" o:spt="1" style="position:absolute;left:3137;top:9204;height:461;width:3279;" fillcolor="#C6D9F1" filled="t" stroked="t" coordsize="21600,21600" o:gfxdata="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GeGar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0mm,0mm,0mm,0mm">
                    <w:txbxContent>
                      <w:p w14:paraId="6365E641">
                        <w:pPr>
                          <w:pStyle w:val="117"/>
                          <w:rPr>
                            <w:sz w:val="21"/>
                            <w:szCs w:val="21"/>
                          </w:rPr>
                        </w:pPr>
                        <w:r>
                          <w:rPr>
                            <w:rFonts w:hint="eastAsia"/>
                            <w:sz w:val="21"/>
                            <w:szCs w:val="21"/>
                          </w:rPr>
                          <w:t>实现环保目标</w:t>
                        </w:r>
                      </w:p>
                    </w:txbxContent>
                  </v:textbox>
                </v:rect>
                <v:group id="组合 550" o:spid="_x0000_s1026" o:spt="203" style="position:absolute;left:597;top:2051;height:1700;width:8338;" coordorigin="597,2051" coordsize="8338,1700" o:gfxdata="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DvRXym7AAAA3AAAAA8AAAAAAAAAAQAgAAAAIgAAAGRycy9kb3ducmV2LnhtbFBL&#10;AQIUABQAAAAIAIdO4kAzLwWeOwAAADkAAAAVAAAAAAAAAAEAIAAAAAoBAABkcnMvZ3JvdXBzaGFw&#10;ZXhtbC54bWxQSwUGAAAAAAYABgBgAQAAxwMAAAAA&#10;">
                  <o:lock v:ext="edit" aspectratio="f"/>
                  <v:rect id="Rectangle 389" o:spid="_x0000_s1026" o:spt="1" style="position:absolute;left:597;top:3239;height:509;width:1449;" fillcolor="#C6D9F1" filled="t" stroked="t" coordsize="21600,21600" o:gfxdata="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KyPx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0mm,0mm,0mm,0mm">
                      <w:txbxContent>
                        <w:p w14:paraId="4BFBADDB">
                          <w:pPr>
                            <w:pStyle w:val="117"/>
                            <w:spacing w:line="240" w:lineRule="auto"/>
                            <w:rPr>
                              <w:sz w:val="21"/>
                              <w:szCs w:val="21"/>
                            </w:rPr>
                          </w:pPr>
                          <w:r>
                            <w:rPr>
                              <w:rFonts w:hint="eastAsia"/>
                              <w:sz w:val="21"/>
                              <w:szCs w:val="21"/>
                            </w:rPr>
                            <w:t>组织保证</w:t>
                          </w:r>
                        </w:p>
                      </w:txbxContent>
                    </v:textbox>
                  </v:rect>
                  <v:rect id="Rectangle 390" o:spid="_x0000_s1026" o:spt="1" style="position:absolute;left:2988;top:2051;height:530;width:3507;" fillcolor="#C6D9F1" filled="t" stroked="t" coordsize="21600,21600" o:gfxdata="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IHLG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0mm,0mm,0mm,0mm">
                      <w:txbxContent>
                        <w:p w14:paraId="324CE81F">
                          <w:pPr>
                            <w:pStyle w:val="117"/>
                            <w:jc w:val="center"/>
                            <w:rPr>
                              <w:sz w:val="21"/>
                              <w:szCs w:val="21"/>
                            </w:rPr>
                          </w:pPr>
                          <w:r>
                            <w:rPr>
                              <w:rFonts w:hint="eastAsia"/>
                              <w:sz w:val="21"/>
                              <w:szCs w:val="21"/>
                            </w:rPr>
                            <w:t>施工环保、水土保持体系</w:t>
                          </w:r>
                        </w:p>
                      </w:txbxContent>
                    </v:textbox>
                  </v:rect>
                  <v:line id="Line 391" o:spid="_x0000_s1026" o:spt="20" style="position:absolute;left:4657;top:2598;height:257;width:0;" filled="f" stroked="t" coordsize="21600,21600" o:gfxdata="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9N2S&#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Line 392" o:spid="_x0000_s1026" o:spt="20" style="position:absolute;left:1316;top:2856;height:0;width:6903;" filled="f" stroked="t" coordsize="21600,21600" o:gfxdata="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QTmm/&#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Line 393" o:spid="_x0000_s1026" o:spt="20" style="position:absolute;left:1314;top:2879;height:356;width:0;" filled="f" stroked="t" coordsize="21600,21600" o:gfxdata="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auZ+&#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rect id="Rectangle 400" o:spid="_x0000_s1026" o:spt="1" style="position:absolute;left:7486;top:3273;height:466;width:1449;" fillcolor="#C6D9F1" filled="t" stroked="t" coordsize="21600,21600" o:gfxdata="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PMas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mm,0mm,0mm,0mm">
                      <w:txbxContent>
                        <w:p w14:paraId="54AFD3A8">
                          <w:pPr>
                            <w:pStyle w:val="117"/>
                            <w:rPr>
                              <w:sz w:val="21"/>
                              <w:szCs w:val="21"/>
                            </w:rPr>
                          </w:pPr>
                          <w:r>
                            <w:rPr>
                              <w:rFonts w:hint="eastAsia"/>
                              <w:sz w:val="21"/>
                              <w:szCs w:val="21"/>
                            </w:rPr>
                            <w:t>经济保证</w:t>
                          </w:r>
                        </w:p>
                      </w:txbxContent>
                    </v:textbox>
                  </v:rect>
                  <v:rect id="Rectangle 401" o:spid="_x0000_s1026" o:spt="1" style="position:absolute;left:5341;top:3284;height:467;width:1448;" fillcolor="#C6D9F1" filled="t" stroked="t" coordsize="21600,21600" o:gfxdata="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7+/K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mm,0mm,0mm,0mm">
                      <w:txbxContent>
                        <w:p w14:paraId="60F1DDFA">
                          <w:pPr>
                            <w:pStyle w:val="117"/>
                            <w:rPr>
                              <w:sz w:val="21"/>
                              <w:szCs w:val="21"/>
                            </w:rPr>
                          </w:pPr>
                          <w:r>
                            <w:rPr>
                              <w:rFonts w:hint="eastAsia"/>
                              <w:sz w:val="21"/>
                              <w:szCs w:val="21"/>
                            </w:rPr>
                            <w:t>制度保证</w:t>
                          </w:r>
                        </w:p>
                      </w:txbxContent>
                    </v:textbox>
                  </v:rect>
                  <v:rect id="Rectangle 402" o:spid="_x0000_s1026" o:spt="1" style="position:absolute;left:2895;top:3273;height:466;width:1447;" fillcolor="#C6D9F1" filled="t" stroked="t" coordsize="21600,21600" o:gfxdata="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bSFe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0mm,0mm,0mm,0mm">
                      <w:txbxContent>
                        <w:p w14:paraId="594A1CF1">
                          <w:pPr>
                            <w:pStyle w:val="117"/>
                            <w:rPr>
                              <w:sz w:val="21"/>
                              <w:szCs w:val="21"/>
                            </w:rPr>
                          </w:pPr>
                          <w:r>
                            <w:rPr>
                              <w:rFonts w:hint="eastAsia"/>
                              <w:sz w:val="21"/>
                              <w:szCs w:val="21"/>
                            </w:rPr>
                            <w:t>工作保证</w:t>
                          </w:r>
                        </w:p>
                      </w:txbxContent>
                    </v:textbox>
                  </v:rect>
                  <v:line id="Line 424" o:spid="_x0000_s1026" o:spt="20" style="position:absolute;left:3598;top:2861;height:374;width:0;" filled="f" stroked="t" coordsize="21600,21600" o:gfxdata="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UeB9&#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Line 425" o:spid="_x0000_s1026" o:spt="20" style="position:absolute;left:6056;top:2883;height:352;width:0;" filled="f" stroked="t" coordsize="21600,21600" o:gfxdata="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POdA+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Line 426" o:spid="_x0000_s1026" o:spt="20" style="position:absolute;left:8220;top:2861;height:374;width:0;" filled="f" stroked="t" coordsize="21600,21600" o:gfxdata="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ILRl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group>
                <v:line id="Line 394" o:spid="_x0000_s1026" o:spt="20" style="position:absolute;left:1280;top:3707;height:339;width:0;" filled="f" stroked="t" coordsize="21600,21600" o:gfxdata="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fR4i/&#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395" o:spid="_x0000_s1026" o:spt="20" style="position:absolute;left:3591;top:3778;height:340;width:0;" filled="f" stroked="t" coordsize="21600,21600" o:gfxdata="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N2f+/&#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396" o:spid="_x0000_s1026" o:spt="20" style="position:absolute;left:6042;top:3771;height:342;width:0;" filled="f" stroked="t" coordsize="21600,21600" o:gfxdata="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BfGS/&#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397" o:spid="_x0000_s1026" o:spt="20" style="position:absolute;left:8200;top:3744;height:365;width:0;" filled="f" stroked="t" coordsize="21600,21600" o:gfxdata="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o5BC/&#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398" o:spid="_x0000_s1026" o:spt="20" style="position:absolute;left:1270;top:4938;height:385;width:0;" filled="f" stroked="t" coordsize="21600,21600" o:gfxdata="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kQYu/&#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399" o:spid="_x0000_s1026" o:spt="20" style="position:absolute;left:3591;top:5025;height:365;width:0;" filled="f" stroked="t" coordsize="21600,21600" o:gfxdata="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bf/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rect id="Rectangle 403" o:spid="_x0000_s1026" o:spt="1" style="position:absolute;left:505;top:4046;height:882;width:1531;" fillcolor="#C6D9F1" filled="t" stroked="t" coordsize="21600,21600" o:gfxdata="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soe3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mm,0mm,0mm,0mm">
                    <w:txbxContent>
                      <w:p w14:paraId="60D7C01F">
                        <w:pPr>
                          <w:pStyle w:val="117"/>
                          <w:rPr>
                            <w:sz w:val="21"/>
                            <w:szCs w:val="21"/>
                          </w:rPr>
                        </w:pPr>
                        <w:r>
                          <w:rPr>
                            <w:rFonts w:hint="eastAsia"/>
                            <w:sz w:val="21"/>
                            <w:szCs w:val="21"/>
                          </w:rPr>
                          <w:t>环境保护领</w:t>
                        </w:r>
                      </w:p>
                      <w:p w14:paraId="7D0D2F4C">
                        <w:pPr>
                          <w:pStyle w:val="117"/>
                          <w:rPr>
                            <w:sz w:val="21"/>
                            <w:szCs w:val="21"/>
                          </w:rPr>
                        </w:pPr>
                        <w:r>
                          <w:rPr>
                            <w:rFonts w:hint="eastAsia"/>
                            <w:sz w:val="21"/>
                            <w:szCs w:val="21"/>
                          </w:rPr>
                          <w:t>导小组</w:t>
                        </w:r>
                      </w:p>
                    </w:txbxContent>
                  </v:textbox>
                </v:rect>
                <v:rect id="Rectangle 404" o:spid="_x0000_s1026" o:spt="1" style="position:absolute;left:2843;top:4097;height:902;width:1532;" fillcolor="#C6D9F1" filled="t" stroked="t" coordsize="21600,21600" o:gfxdata="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VYqt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0mm,0mm,0mm,0mm">
                    <w:txbxContent>
                      <w:p w14:paraId="0CC53D5C">
                        <w:pPr>
                          <w:pStyle w:val="117"/>
                          <w:rPr>
                            <w:sz w:val="21"/>
                            <w:szCs w:val="21"/>
                          </w:rPr>
                        </w:pPr>
                        <w:r>
                          <w:rPr>
                            <w:rFonts w:hint="eastAsia"/>
                            <w:sz w:val="21"/>
                            <w:szCs w:val="21"/>
                          </w:rPr>
                          <w:t>编制实施性环</w:t>
                        </w:r>
                      </w:p>
                      <w:p w14:paraId="5AC9C44C">
                        <w:pPr>
                          <w:pStyle w:val="117"/>
                          <w:rPr>
                            <w:sz w:val="21"/>
                            <w:szCs w:val="21"/>
                          </w:rPr>
                        </w:pPr>
                        <w:r>
                          <w:rPr>
                            <w:rFonts w:hint="eastAsia"/>
                            <w:sz w:val="21"/>
                            <w:szCs w:val="21"/>
                          </w:rPr>
                          <w:t>保措施</w:t>
                        </w:r>
                      </w:p>
                    </w:txbxContent>
                  </v:textbox>
                </v:rect>
                <v:rect id="Rectangle 405" o:spid="_x0000_s1026" o:spt="1" style="position:absolute;left:5251;top:4112;height:903;width:1531;" fillcolor="#C6D9F1" filled="t" stroked="t" coordsize="21600,21600" o:gfxdata="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gZLza/&#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0mm,0mm,0mm,0mm">
                    <w:txbxContent>
                      <w:p w14:paraId="5B0ECB68">
                        <w:pPr>
                          <w:pStyle w:val="117"/>
                          <w:rPr>
                            <w:sz w:val="21"/>
                            <w:szCs w:val="21"/>
                          </w:rPr>
                        </w:pPr>
                        <w:r>
                          <w:rPr>
                            <w:rFonts w:hint="eastAsia"/>
                            <w:sz w:val="21"/>
                            <w:szCs w:val="21"/>
                          </w:rPr>
                          <w:t>各项环保水土保持措施</w:t>
                        </w:r>
                      </w:p>
                    </w:txbxContent>
                  </v:textbox>
                </v:rect>
                <v:rect id="Rectangle 406" o:spid="_x0000_s1026" o:spt="1" style="position:absolute;left:7420;top:4112;height:862;width:1530;" fillcolor="#C6D9F1" filled="t" stroked="t" coordsize="21600,21600" o:gfxdata="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hB2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0mm,0mm,0mm,0mm">
                    <w:txbxContent>
                      <w:p w14:paraId="72770DA2">
                        <w:pPr>
                          <w:pStyle w:val="117"/>
                          <w:rPr>
                            <w:sz w:val="21"/>
                            <w:szCs w:val="21"/>
                          </w:rPr>
                        </w:pPr>
                        <w:r>
                          <w:rPr>
                            <w:rFonts w:hint="eastAsia"/>
                            <w:sz w:val="21"/>
                            <w:szCs w:val="21"/>
                          </w:rPr>
                          <w:t>包保</w:t>
                        </w:r>
                      </w:p>
                      <w:p w14:paraId="42D19137">
                        <w:pPr>
                          <w:pStyle w:val="117"/>
                          <w:rPr>
                            <w:sz w:val="21"/>
                            <w:szCs w:val="21"/>
                          </w:rPr>
                        </w:pPr>
                        <w:r>
                          <w:rPr>
                            <w:rFonts w:hint="eastAsia"/>
                            <w:sz w:val="21"/>
                            <w:szCs w:val="21"/>
                          </w:rPr>
                          <w:t>责任制</w:t>
                        </w:r>
                      </w:p>
                    </w:txbxContent>
                  </v:textbox>
                </v:rect>
                <v:line id="Line 407" o:spid="_x0000_s1026" o:spt="20" style="position:absolute;left:6055;top:7509;flip:x;height:390;width:5;" filled="f" stroked="t" coordsize="21600,21600" o:gfxdata="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IQQv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Line 409" o:spid="_x0000_s1026" o:spt="20" style="position:absolute;left:6037;top:4996;height:366;width:0;" filled="f" stroked="t" coordsize="21600,21600" o:gfxdata="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FE8i&#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Line 410" o:spid="_x0000_s1026" o:spt="20" style="position:absolute;left:8219;top:5015;height:367;width:0;" filled="f" stroked="t" coordsize="21600,21600" o:gfxdata="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WOq5&#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rect id="Rectangle 411" o:spid="_x0000_s1026" o:spt="1" style="position:absolute;left:338;top:5314;height:2198;width:2156;" fillcolor="#C6D9F1" filled="t" stroked="t" coordsize="21600,21600" o:gfxdata="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kpzK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0mm,1mm,0mm,0mm">
                    <w:txbxContent>
                      <w:p w14:paraId="1A9FC50C">
                        <w:pPr>
                          <w:pStyle w:val="117"/>
                          <w:rPr>
                            <w:sz w:val="21"/>
                            <w:szCs w:val="21"/>
                          </w:rPr>
                        </w:pPr>
                        <w:r>
                          <w:rPr>
                            <w:rFonts w:hint="eastAsia"/>
                            <w:sz w:val="21"/>
                            <w:szCs w:val="21"/>
                          </w:rPr>
                          <w:t>建立制度，做好思想教育工作，把环保工作列入议事日程，了解情况，发现问题，采取措施。</w:t>
                        </w:r>
                      </w:p>
                    </w:txbxContent>
                  </v:textbox>
                </v:rect>
                <v:rect id="Rectangle 412" o:spid="_x0000_s1026" o:spt="1" style="position:absolute;left:5025;top:5323;height:2197;width:2064;" fillcolor="#C6D9F1" filled="t" stroked="t" coordsize="21600,21600" o:gfxdata="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3jlR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0mm,1mm,0mm,0mm">
                    <w:txbxContent>
                      <w:p w14:paraId="2C78B5C2">
                        <w:pPr>
                          <w:pStyle w:val="117"/>
                          <w:rPr>
                            <w:sz w:val="21"/>
                            <w:szCs w:val="21"/>
                          </w:rPr>
                        </w:pPr>
                        <w:r>
                          <w:rPr>
                            <w:rFonts w:hint="eastAsia"/>
                            <w:sz w:val="21"/>
                            <w:szCs w:val="21"/>
                          </w:rPr>
                          <w:t>抓好环保、水土保持日常管理；建立健全环保责任制；定期进行环保、水土保持工作检查</w:t>
                        </w:r>
                      </w:p>
                    </w:txbxContent>
                  </v:textbox>
                </v:rect>
                <v:rect id="Rectangle 413" o:spid="_x0000_s1026" o:spt="1" style="position:absolute;left:2846;top:5426;height:2113;width:1405;" fillcolor="#C6D9F1" filled="t" stroked="t" coordsize="21600,21600" o:gfxdata="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8Am6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0mm,2mm,0mm,0mm">
                    <w:txbxContent>
                      <w:p w14:paraId="0C807649">
                        <w:pPr>
                          <w:pStyle w:val="117"/>
                          <w:rPr>
                            <w:sz w:val="21"/>
                            <w:szCs w:val="21"/>
                          </w:rPr>
                        </w:pPr>
                        <w:r>
                          <w:rPr>
                            <w:rFonts w:hint="eastAsia"/>
                            <w:sz w:val="21"/>
                            <w:szCs w:val="21"/>
                          </w:rPr>
                          <w:t>按设计文件和施工组织设计要求进行落实</w:t>
                        </w:r>
                      </w:p>
                    </w:txbxContent>
                  </v:textbox>
                </v:rect>
                <v:rect id="Rectangle 414" o:spid="_x0000_s1026" o:spt="1" style="position:absolute;left:7438;top:6607;height:883;width:1532;" fillcolor="#C6D9F1" filled="t" stroked="t" coordsize="21600,21600" o:gfxdata="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QAK9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0mm,1mm,0mm,0mm">
                    <w:txbxContent>
                      <w:p w14:paraId="375B4D48">
                        <w:pPr>
                          <w:pStyle w:val="117"/>
                          <w:rPr>
                            <w:sz w:val="21"/>
                            <w:szCs w:val="21"/>
                          </w:rPr>
                        </w:pPr>
                        <w:r>
                          <w:rPr>
                            <w:rFonts w:hint="eastAsia"/>
                            <w:sz w:val="21"/>
                            <w:szCs w:val="21"/>
                          </w:rPr>
                          <w:t>经济</w:t>
                        </w:r>
                      </w:p>
                      <w:p w14:paraId="6070EA32">
                        <w:pPr>
                          <w:pStyle w:val="117"/>
                          <w:rPr>
                            <w:sz w:val="21"/>
                            <w:szCs w:val="21"/>
                          </w:rPr>
                        </w:pPr>
                        <w:r>
                          <w:rPr>
                            <w:rFonts w:hint="eastAsia"/>
                            <w:sz w:val="21"/>
                            <w:szCs w:val="21"/>
                          </w:rPr>
                          <w:t>兑现</w:t>
                        </w:r>
                      </w:p>
                    </w:txbxContent>
                  </v:textbox>
                </v:rect>
                <v:rect id="Rectangle 415" o:spid="_x0000_s1026" o:spt="1" style="position:absolute;left:7459;top:5403;height:865;width:1532;" fillcolor="#C6D9F1" filled="t" stroked="t" coordsize="21600,21600" o:gfxdata="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jBxw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0mm,0mm,0mm,0mm">
                    <w:txbxContent>
                      <w:p w14:paraId="514DB33A">
                        <w:pPr>
                          <w:pStyle w:val="117"/>
                          <w:rPr>
                            <w:sz w:val="21"/>
                            <w:szCs w:val="21"/>
                          </w:rPr>
                        </w:pPr>
                        <w:r>
                          <w:rPr>
                            <w:rFonts w:hint="eastAsia"/>
                            <w:sz w:val="21"/>
                            <w:szCs w:val="21"/>
                          </w:rPr>
                          <w:t>奖罚</w:t>
                        </w:r>
                      </w:p>
                      <w:p w14:paraId="3D94CD9D">
                        <w:pPr>
                          <w:pStyle w:val="117"/>
                          <w:rPr>
                            <w:sz w:val="21"/>
                            <w:szCs w:val="21"/>
                          </w:rPr>
                        </w:pPr>
                        <w:r>
                          <w:rPr>
                            <w:rFonts w:hint="eastAsia"/>
                            <w:sz w:val="21"/>
                            <w:szCs w:val="21"/>
                          </w:rPr>
                          <w:t>措施</w:t>
                        </w:r>
                      </w:p>
                    </w:txbxContent>
                  </v:textbox>
                </v:rect>
                <v:line id="Line 417" o:spid="_x0000_s1026" o:spt="20" style="position:absolute;left:1245;top:7520;flip:x;height:363;width:0;" filled="f" stroked="t" coordsize="21600,21600" o:gfxdata="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byHLq/&#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Line 419" o:spid="_x0000_s1026" o:spt="20" style="position:absolute;left:8206;top:7506;height:393;width:0;" filled="f" stroked="t" coordsize="21600,21600" o:gfxdata="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mvnO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Line 420" o:spid="_x0000_s1026" o:spt="20" style="position:absolute;left:4755;top:7895;height:381;width:0;" filled="f" stroked="t" coordsize="21600,21600" o:gfxdata="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qhvo&#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Line 422" o:spid="_x0000_s1026" o:spt="20" style="position:absolute;left:4745;top:8797;height:373;width:1;" filled="f" stroked="t" coordsize="21600,21600" o:gfxdata="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4hZ+/&#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w10:wrap type="topAndBottom"/>
              </v:group>
            </w:pict>
          </mc:Fallback>
        </mc:AlternateContent>
      </w:r>
    </w:p>
    <w:p w14:paraId="7C7572F0">
      <w:pPr>
        <w:tabs>
          <w:tab w:val="left" w:pos="1117"/>
        </w:tabs>
        <w:bidi w:val="0"/>
        <w:ind w:left="0" w:leftChars="0" w:firstLine="0" w:firstLineChars="0"/>
        <w:jc w:val="left"/>
        <w:rPr>
          <w:lang w:val="en-US" w:eastAsia="zh-CN"/>
        </w:rPr>
        <w:sectPr>
          <w:footerReference r:id="rId9" w:type="default"/>
          <w:pgSz w:w="11906" w:h="16838"/>
          <w:pgMar w:top="1440" w:right="1134" w:bottom="1440" w:left="1247" w:header="850" w:footer="992" w:gutter="0"/>
          <w:pgNumType w:fmt="numberInDash" w:start="1"/>
          <w:cols w:space="720" w:num="1"/>
          <w:docGrid w:linePitch="326" w:charSpace="0"/>
        </w:sectPr>
      </w:pPr>
    </w:p>
    <w:bookmarkEnd w:id="2650"/>
    <w:p w14:paraId="4D1F3019">
      <w:pPr>
        <w:pStyle w:val="2"/>
        <w:numPr>
          <w:ilvl w:val="0"/>
          <w:numId w:val="0"/>
        </w:numPr>
        <w:spacing w:line="360" w:lineRule="auto"/>
        <w:ind w:left="432" w:leftChars="0" w:hanging="432" w:firstLineChars="0"/>
        <w:jc w:val="left"/>
        <w:rPr>
          <w:color w:val="auto"/>
        </w:rPr>
      </w:pPr>
      <w:bookmarkStart w:id="2651" w:name="_Toc28645"/>
      <w:bookmarkStart w:id="2652" w:name="_Toc24549"/>
      <w:bookmarkStart w:id="2653" w:name="_Toc392165662"/>
      <w:bookmarkStart w:id="2654" w:name="_Toc9814"/>
      <w:bookmarkStart w:id="2655" w:name="_Toc10439"/>
      <w:bookmarkStart w:id="2656" w:name="_Toc19167"/>
      <w:bookmarkStart w:id="2657" w:name="_Toc13624"/>
      <w:bookmarkStart w:id="2658" w:name="_Toc20067"/>
      <w:bookmarkStart w:id="2659" w:name="_Toc30510"/>
      <w:bookmarkStart w:id="2660" w:name="_Toc232929475"/>
      <w:bookmarkStart w:id="2661" w:name="_Toc260036591"/>
      <w:bookmarkStart w:id="2662" w:name="_Toc26098"/>
      <w:bookmarkStart w:id="2663" w:name="_Toc24669"/>
      <w:bookmarkStart w:id="2664" w:name="_Toc27710"/>
      <w:bookmarkStart w:id="2665" w:name="_Toc260037221"/>
      <w:bookmarkStart w:id="2666" w:name="_Toc392933577"/>
      <w:bookmarkStart w:id="2667" w:name="_Toc6901"/>
      <w:r>
        <w:rPr>
          <w:rFonts w:hint="eastAsia" w:cs="Times New Roman"/>
          <w:b/>
          <w:bCs/>
          <w:color w:val="auto"/>
          <w:kern w:val="36"/>
          <w:sz w:val="36"/>
          <w:szCs w:val="48"/>
          <w:lang w:val="en-US" w:eastAsia="zh-CN" w:bidi="ar-SA"/>
        </w:rPr>
        <w:t xml:space="preserve">第十六章 </w:t>
      </w:r>
      <w:r>
        <w:rPr>
          <w:rFonts w:hint="eastAsia"/>
          <w:color w:val="auto"/>
        </w:rPr>
        <w:t>文明施工、文物保护保证体系及保证措施</w:t>
      </w:r>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p>
    <w:p w14:paraId="6B1F1221">
      <w:pPr>
        <w:pStyle w:val="4"/>
        <w:numPr>
          <w:ilvl w:val="1"/>
          <w:numId w:val="0"/>
        </w:numPr>
        <w:spacing w:line="360" w:lineRule="auto"/>
        <w:ind w:firstLine="0" w:firstLineChars="0"/>
        <w:rPr>
          <w:color w:val="auto"/>
        </w:rPr>
      </w:pPr>
      <w:bookmarkStart w:id="2668" w:name="_Toc15964"/>
      <w:bookmarkStart w:id="2669" w:name="_Toc22421"/>
      <w:bookmarkStart w:id="2670" w:name="_Toc260036592"/>
      <w:bookmarkStart w:id="2671" w:name="_Toc4447"/>
      <w:bookmarkStart w:id="2672" w:name="_Toc232929476"/>
      <w:bookmarkStart w:id="2673" w:name="_Toc23298"/>
      <w:bookmarkStart w:id="2674" w:name="_Toc392165663"/>
      <w:bookmarkStart w:id="2675" w:name="_Toc3542"/>
      <w:bookmarkStart w:id="2676" w:name="_Toc16394"/>
      <w:bookmarkStart w:id="2677" w:name="_Toc260037222"/>
      <w:bookmarkStart w:id="2678" w:name="_Toc6220"/>
      <w:bookmarkStart w:id="2679" w:name="_Toc15998"/>
      <w:bookmarkStart w:id="2680" w:name="_Toc2904"/>
      <w:bookmarkStart w:id="2681" w:name="_Toc392933578"/>
      <w:bookmarkStart w:id="2682" w:name="_Toc13932"/>
      <w:bookmarkStart w:id="2683" w:name="_Toc29156"/>
      <w:bookmarkStart w:id="2684" w:name="_Toc6328"/>
      <w:bookmarkStart w:id="2685" w:name="_Toc232929480"/>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6</w:t>
      </w:r>
      <w:r>
        <w:rPr>
          <w:rFonts w:hint="default" w:ascii="Arial" w:hAnsi="Arial" w:eastAsia="宋体" w:cs="Times New Roman"/>
          <w:b/>
          <w:bCs/>
          <w:color w:val="auto"/>
          <w:kern w:val="2"/>
          <w:sz w:val="32"/>
          <w:szCs w:val="32"/>
          <w:lang w:val="en-US" w:eastAsia="zh-CN" w:bidi="ar-SA"/>
        </w:rPr>
        <w:t>.1.</w:t>
      </w:r>
      <w:r>
        <w:rPr>
          <w:rFonts w:hint="eastAsia"/>
          <w:color w:val="auto"/>
        </w:rPr>
        <w:t>文明施工、文物保护保证体系</w:t>
      </w:r>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p>
    <w:p w14:paraId="4C0F70B5">
      <w:pPr>
        <w:ind w:firstLine="480"/>
        <w:rPr>
          <w:rFonts w:hint="eastAsia" w:ascii="宋体" w:hAnsi="宋体" w:eastAsia="宋体" w:cs="宋体"/>
          <w:lang w:val="en-US" w:eastAsia="zh-CN"/>
        </w:rPr>
      </w:pPr>
      <w:r>
        <w:rPr>
          <w:rFonts w:hint="eastAsia" w:ascii="宋体" w:hAnsi="宋体" w:eastAsia="宋体" w:cs="宋体"/>
          <w:lang w:val="en-US" w:eastAsia="zh-CN"/>
        </w:rPr>
        <w:t>项目部成立以项目经理为组长的文明施工与文物保护领导小组，各工程队成立以队长为组长的现场文明施工与文物保护小组，负责各施工区域内的现场管理，并结合《福建省高速公路标准化施工指南》要求制定文明施工管理细则。文明施工、文物保护保证体系。</w:t>
      </w:r>
    </w:p>
    <w:bookmarkEnd w:id="2685"/>
    <w:p w14:paraId="644DF3C8">
      <w:pPr>
        <w:pStyle w:val="4"/>
        <w:numPr>
          <w:ilvl w:val="1"/>
          <w:numId w:val="0"/>
        </w:numPr>
        <w:spacing w:line="360" w:lineRule="auto"/>
        <w:ind w:firstLine="0" w:firstLineChars="0"/>
        <w:rPr>
          <w:color w:val="auto"/>
        </w:rPr>
      </w:pPr>
      <w:bookmarkStart w:id="2686" w:name="_Toc28378"/>
      <w:bookmarkStart w:id="2687" w:name="_Toc7083"/>
      <w:bookmarkStart w:id="2688" w:name="_Toc232929479"/>
      <w:bookmarkStart w:id="2689" w:name="_Toc32492"/>
      <w:bookmarkStart w:id="2690" w:name="_Toc260037224"/>
      <w:bookmarkStart w:id="2691" w:name="_Toc2175"/>
      <w:bookmarkStart w:id="2692" w:name="_Toc8853"/>
      <w:bookmarkStart w:id="2693" w:name="_Toc25040"/>
      <w:bookmarkStart w:id="2694" w:name="_Toc31678"/>
      <w:bookmarkStart w:id="2695" w:name="_Toc260036594"/>
      <w:bookmarkStart w:id="2696" w:name="_Toc15038"/>
      <w:bookmarkStart w:id="2697" w:name="_Toc392165664"/>
      <w:bookmarkStart w:id="2698" w:name="_Toc26922"/>
      <w:bookmarkStart w:id="2699" w:name="_Toc392933579"/>
      <w:bookmarkStart w:id="2700" w:name="_Toc7366"/>
      <w:bookmarkStart w:id="2701" w:name="_Toc2858"/>
      <w:bookmarkStart w:id="2702" w:name="_Toc15916"/>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6</w:t>
      </w:r>
      <w:r>
        <w:rPr>
          <w:rFonts w:hint="default" w:ascii="Arial" w:hAnsi="Arial" w:eastAsia="宋体" w:cs="Times New Roman"/>
          <w:b/>
          <w:bCs/>
          <w:color w:val="auto"/>
          <w:kern w:val="2"/>
          <w:sz w:val="32"/>
          <w:szCs w:val="32"/>
          <w:lang w:val="en-US" w:eastAsia="zh-CN" w:bidi="ar-SA"/>
        </w:rPr>
        <w:t>.2.</w:t>
      </w:r>
      <w:r>
        <w:rPr>
          <w:rFonts w:hint="eastAsia"/>
          <w:color w:val="auto"/>
        </w:rPr>
        <w:t>文明施工措施</w:t>
      </w:r>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p>
    <w:p w14:paraId="1B7096E3">
      <w:pPr>
        <w:ind w:firstLine="482"/>
        <w:rPr>
          <w:b/>
          <w:bCs/>
        </w:rPr>
      </w:pPr>
      <w:bookmarkStart w:id="2703" w:name="_Toc18840"/>
      <w:bookmarkStart w:id="2704" w:name="_Toc5350"/>
      <w:bookmarkStart w:id="2705" w:name="_Toc12512"/>
      <w:bookmarkStart w:id="2706" w:name="_Toc392165665"/>
      <w:bookmarkStart w:id="2707" w:name="_Toc2313"/>
      <w:bookmarkStart w:id="2708" w:name="_Toc19225"/>
      <w:bookmarkStart w:id="2709" w:name="_Toc392933580"/>
      <w:bookmarkStart w:id="2710" w:name="_Toc9917"/>
      <w:bookmarkStart w:id="2711" w:name="_Toc17983"/>
      <w:r>
        <w:rPr>
          <w:rFonts w:hint="eastAsia"/>
          <w:b/>
          <w:bCs/>
        </w:rPr>
        <w:t>（一）完善健全管理制度</w:t>
      </w:r>
      <w:bookmarkEnd w:id="2703"/>
      <w:bookmarkEnd w:id="2704"/>
      <w:bookmarkEnd w:id="2705"/>
      <w:bookmarkEnd w:id="2706"/>
      <w:bookmarkEnd w:id="2707"/>
      <w:bookmarkEnd w:id="2708"/>
      <w:bookmarkEnd w:id="2709"/>
      <w:bookmarkEnd w:id="2710"/>
      <w:bookmarkEnd w:id="2711"/>
    </w:p>
    <w:p w14:paraId="03686F92">
      <w:pPr>
        <w:ind w:firstLine="480"/>
        <w:rPr>
          <w:rFonts w:hint="eastAsia" w:ascii="宋体"/>
        </w:rPr>
      </w:pPr>
      <w:r>
        <w:rPr>
          <w:rFonts w:hint="eastAsia" w:ascii="宋体" w:hAnsi="宋体" w:eastAsia="宋体" w:cs="宋体"/>
          <w:lang w:val="en-US" w:eastAsia="zh-CN"/>
        </w:rPr>
        <mc:AlternateContent>
          <mc:Choice Requires="wpg">
            <w:drawing>
              <wp:anchor distT="0" distB="0" distL="114300" distR="114300" simplePos="0" relativeHeight="251676672" behindDoc="0" locked="0" layoutInCell="1" allowOverlap="1">
                <wp:simplePos x="0" y="0"/>
                <wp:positionH relativeFrom="column">
                  <wp:posOffset>243205</wp:posOffset>
                </wp:positionH>
                <wp:positionV relativeFrom="paragraph">
                  <wp:posOffset>964565</wp:posOffset>
                </wp:positionV>
                <wp:extent cx="5198745" cy="4618990"/>
                <wp:effectExtent l="4445" t="4445" r="8890" b="9525"/>
                <wp:wrapTopAndBottom/>
                <wp:docPr id="1275" name="组合 620"/>
                <wp:cNvGraphicFramePr/>
                <a:graphic xmlns:a="http://schemas.openxmlformats.org/drawingml/2006/main">
                  <a:graphicData uri="http://schemas.microsoft.com/office/word/2010/wordprocessingGroup">
                    <wpg:wgp>
                      <wpg:cNvGrpSpPr/>
                      <wpg:grpSpPr>
                        <a:xfrm>
                          <a:off x="0" y="0"/>
                          <a:ext cx="5198745" cy="4618990"/>
                          <a:chOff x="842" y="108"/>
                          <a:chExt cx="7917" cy="6901"/>
                        </a:xfrm>
                      </wpg:grpSpPr>
                      <wpg:grpSp>
                        <wpg:cNvPr id="1273" name="组合 621"/>
                        <wpg:cNvGrpSpPr/>
                        <wpg:grpSpPr>
                          <a:xfrm>
                            <a:off x="842" y="108"/>
                            <a:ext cx="7917" cy="6901"/>
                            <a:chOff x="842" y="108"/>
                            <a:chExt cx="7917" cy="6901"/>
                          </a:xfrm>
                        </wpg:grpSpPr>
                        <wpg:grpSp>
                          <wpg:cNvPr id="1245" name="组合 622"/>
                          <wpg:cNvGrpSpPr/>
                          <wpg:grpSpPr>
                            <a:xfrm>
                              <a:off x="842" y="108"/>
                              <a:ext cx="7917" cy="5088"/>
                              <a:chOff x="842" y="108"/>
                              <a:chExt cx="7917" cy="5088"/>
                            </a:xfrm>
                          </wpg:grpSpPr>
                          <wps:wsp>
                            <wps:cNvPr id="1202" name="Quad Arrow 625"/>
                            <wps:cNvSpPr txBox="1"/>
                            <wps:spPr>
                              <a:xfrm>
                                <a:off x="3000" y="2171"/>
                                <a:ext cx="2183"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E6E625A">
                                  <w:pPr>
                                    <w:pStyle w:val="117"/>
                                  </w:pPr>
                                  <w:r>
                                    <w:rPr>
                                      <w:rFonts w:hint="eastAsia"/>
                                    </w:rPr>
                                    <w:t>各职能部门</w:t>
                                  </w:r>
                                </w:p>
                              </w:txbxContent>
                            </wps:txbx>
                            <wps:bodyPr lIns="18034" tIns="45720" rIns="18034" bIns="45720" upright="1"/>
                          </wps:wsp>
                          <wpg:grpSp>
                            <wpg:cNvPr id="1244" name="组合 624"/>
                            <wpg:cNvGrpSpPr/>
                            <wpg:grpSpPr>
                              <a:xfrm>
                                <a:off x="842" y="108"/>
                                <a:ext cx="7917" cy="5088"/>
                                <a:chOff x="842" y="108"/>
                                <a:chExt cx="7917" cy="5088"/>
                              </a:xfrm>
                            </wpg:grpSpPr>
                            <wps:wsp>
                              <wps:cNvPr id="1203" name="Quad Arrow 627"/>
                              <wps:cNvSpPr txBox="1"/>
                              <wps:spPr>
                                <a:xfrm>
                                  <a:off x="3004" y="3685"/>
                                  <a:ext cx="2174"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4794455">
                                    <w:pPr>
                                      <w:pStyle w:val="117"/>
                                    </w:pPr>
                                    <w:r>
                                      <w:rPr>
                                        <w:rFonts w:hint="eastAsia"/>
                                      </w:rPr>
                                      <w:t>各班组文明活动人员</w:t>
                                    </w:r>
                                  </w:p>
                                </w:txbxContent>
                              </wps:txbx>
                              <wps:bodyPr lIns="18034" tIns="45720" rIns="18034" bIns="45720" upright="1"/>
                            </wps:wsp>
                            <wps:wsp>
                              <wps:cNvPr id="1204" name="Quad Arrow 628"/>
                              <wps:cNvSpPr txBox="1"/>
                              <wps:spPr>
                                <a:xfrm>
                                  <a:off x="2983" y="4417"/>
                                  <a:ext cx="2197"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194C3D0">
                                    <w:pPr>
                                      <w:pStyle w:val="117"/>
                                    </w:pPr>
                                    <w:r>
                                      <w:rPr>
                                        <w:rFonts w:hint="eastAsia"/>
                                      </w:rPr>
                                      <w:t>义务文明活动队</w:t>
                                    </w:r>
                                  </w:p>
                                </w:txbxContent>
                              </wps:txbx>
                              <wps:bodyPr lIns="18034" tIns="45720" rIns="18034" bIns="45720" upright="1"/>
                            </wps:wsp>
                            <wps:wsp>
                              <wps:cNvPr id="1205" name="Quad Arrow 635"/>
                              <wps:cNvSpPr txBox="1"/>
                              <wps:spPr>
                                <a:xfrm>
                                  <a:off x="5472" y="2429"/>
                                  <a:ext cx="374" cy="182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ED6E6FF">
                                    <w:pPr>
                                      <w:pStyle w:val="117"/>
                                    </w:pPr>
                                    <w:r>
                                      <w:rPr>
                                        <w:rFonts w:hint="eastAsia"/>
                                      </w:rPr>
                                      <w:t>岗</w:t>
                                    </w:r>
                                  </w:p>
                                  <w:p w14:paraId="4A46BA53">
                                    <w:pPr>
                                      <w:pStyle w:val="117"/>
                                    </w:pPr>
                                    <w:r>
                                      <w:rPr>
                                        <w:rFonts w:hint="eastAsia"/>
                                      </w:rPr>
                                      <w:t>位</w:t>
                                    </w:r>
                                  </w:p>
                                  <w:p w14:paraId="0BEA0523">
                                    <w:pPr>
                                      <w:pStyle w:val="117"/>
                                    </w:pPr>
                                    <w:r>
                                      <w:rPr>
                                        <w:rFonts w:hint="eastAsia"/>
                                      </w:rPr>
                                      <w:t>责</w:t>
                                    </w:r>
                                  </w:p>
                                  <w:p w14:paraId="39DD8829">
                                    <w:pPr>
                                      <w:pStyle w:val="117"/>
                                    </w:pPr>
                                    <w:r>
                                      <w:rPr>
                                        <w:rFonts w:hint="eastAsia"/>
                                      </w:rPr>
                                      <w:t>任</w:t>
                                    </w:r>
                                  </w:p>
                                  <w:p w14:paraId="554BAF34">
                                    <w:pPr>
                                      <w:pStyle w:val="117"/>
                                    </w:pPr>
                                    <w:r>
                                      <w:rPr>
                                        <w:rFonts w:hint="eastAsia"/>
                                      </w:rPr>
                                      <w:t>制</w:t>
                                    </w:r>
                                  </w:p>
                                </w:txbxContent>
                              </wps:txbx>
                              <wps:bodyPr lIns="18034" tIns="45720" rIns="18034" bIns="45720" upright="1"/>
                            </wps:wsp>
                            <wps:wsp>
                              <wps:cNvPr id="1206" name="Quad Arrow 636"/>
                              <wps:cNvSpPr txBox="1"/>
                              <wps:spPr>
                                <a:xfrm>
                                  <a:off x="6374" y="2430"/>
                                  <a:ext cx="373" cy="182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C355431">
                                    <w:pPr>
                                      <w:pStyle w:val="117"/>
                                    </w:pPr>
                                    <w:r>
                                      <w:rPr>
                                        <w:rFonts w:hint="eastAsia"/>
                                      </w:rPr>
                                      <w:t>落</w:t>
                                    </w:r>
                                  </w:p>
                                  <w:p w14:paraId="583F36FE">
                                    <w:pPr>
                                      <w:pStyle w:val="117"/>
                                    </w:pPr>
                                    <w:r>
                                      <w:rPr>
                                        <w:rFonts w:hint="eastAsia"/>
                                      </w:rPr>
                                      <w:t>实</w:t>
                                    </w:r>
                                  </w:p>
                                  <w:p w14:paraId="6F10FDBA">
                                    <w:pPr>
                                      <w:pStyle w:val="117"/>
                                    </w:pPr>
                                    <w:r>
                                      <w:rPr>
                                        <w:rFonts w:hint="eastAsia"/>
                                      </w:rPr>
                                      <w:t>活</w:t>
                                    </w:r>
                                  </w:p>
                                  <w:p w14:paraId="561F7C72">
                                    <w:pPr>
                                      <w:pStyle w:val="117"/>
                                    </w:pPr>
                                    <w:r>
                                      <w:rPr>
                                        <w:rFonts w:hint="eastAsia"/>
                                      </w:rPr>
                                      <w:t>动</w:t>
                                    </w:r>
                                  </w:p>
                                </w:txbxContent>
                              </wps:txbx>
                              <wps:bodyPr lIns="18034" tIns="45720" rIns="18034" bIns="45720" upright="1"/>
                            </wps:wsp>
                            <wps:wsp>
                              <wps:cNvPr id="1207" name="Quad Arrow 644"/>
                              <wps:cNvSpPr txBox="1"/>
                              <wps:spPr>
                                <a:xfrm>
                                  <a:off x="7317" y="2443"/>
                                  <a:ext cx="374" cy="182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DF9C308">
                                    <w:pPr>
                                      <w:pStyle w:val="117"/>
                                    </w:pPr>
                                    <w:r>
                                      <w:rPr>
                                        <w:rFonts w:hint="eastAsia"/>
                                      </w:rPr>
                                      <w:t>岗</w:t>
                                    </w:r>
                                  </w:p>
                                  <w:p w14:paraId="0E8F987C">
                                    <w:pPr>
                                      <w:pStyle w:val="117"/>
                                    </w:pPr>
                                    <w:r>
                                      <w:rPr>
                                        <w:rFonts w:hint="eastAsia"/>
                                      </w:rPr>
                                      <w:t>位</w:t>
                                    </w:r>
                                  </w:p>
                                  <w:p w14:paraId="5476AA08">
                                    <w:pPr>
                                      <w:pStyle w:val="117"/>
                                    </w:pPr>
                                    <w:r>
                                      <w:rPr>
                                        <w:rFonts w:hint="eastAsia"/>
                                      </w:rPr>
                                      <w:t>责</w:t>
                                    </w:r>
                                  </w:p>
                                  <w:p w14:paraId="6B6C764B">
                                    <w:pPr>
                                      <w:pStyle w:val="117"/>
                                    </w:pPr>
                                    <w:r>
                                      <w:rPr>
                                        <w:rFonts w:hint="eastAsia"/>
                                      </w:rPr>
                                      <w:t>任</w:t>
                                    </w:r>
                                  </w:p>
                                  <w:p w14:paraId="20E8A67A">
                                    <w:pPr>
                                      <w:pStyle w:val="117"/>
                                    </w:pPr>
                                    <w:r>
                                      <w:rPr>
                                        <w:rFonts w:hint="eastAsia"/>
                                      </w:rPr>
                                      <w:t>制</w:t>
                                    </w:r>
                                  </w:p>
                                </w:txbxContent>
                              </wps:txbx>
                              <wps:bodyPr lIns="18034" tIns="45720" rIns="18034" bIns="45720" upright="1"/>
                            </wps:wsp>
                            <wps:wsp>
                              <wps:cNvPr id="1208" name="Quad Arrow 645"/>
                              <wps:cNvSpPr txBox="1"/>
                              <wps:spPr>
                                <a:xfrm>
                                  <a:off x="8184" y="2399"/>
                                  <a:ext cx="373" cy="181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907CE5B">
                                    <w:pPr>
                                      <w:pStyle w:val="117"/>
                                    </w:pPr>
                                    <w:r>
                                      <w:rPr>
                                        <w:rFonts w:hint="eastAsia"/>
                                      </w:rPr>
                                      <w:t>开</w:t>
                                    </w:r>
                                  </w:p>
                                  <w:p w14:paraId="6F2BA7FC">
                                    <w:pPr>
                                      <w:pStyle w:val="117"/>
                                    </w:pPr>
                                    <w:r>
                                      <w:rPr>
                                        <w:rFonts w:hint="eastAsia"/>
                                      </w:rPr>
                                      <w:t>展</w:t>
                                    </w:r>
                                  </w:p>
                                  <w:p w14:paraId="5C739458">
                                    <w:pPr>
                                      <w:pStyle w:val="117"/>
                                    </w:pPr>
                                    <w:r>
                                      <w:rPr>
                                        <w:rFonts w:hint="eastAsia"/>
                                      </w:rPr>
                                      <w:t>活</w:t>
                                    </w:r>
                                  </w:p>
                                  <w:p w14:paraId="4197890A">
                                    <w:pPr>
                                      <w:pStyle w:val="117"/>
                                    </w:pPr>
                                    <w:r>
                                      <w:rPr>
                                        <w:rFonts w:hint="eastAsia"/>
                                      </w:rPr>
                                      <w:t>动</w:t>
                                    </w:r>
                                  </w:p>
                                </w:txbxContent>
                              </wps:txbx>
                              <wps:bodyPr lIns="18034" tIns="45720" rIns="18034" bIns="45720" upright="1"/>
                            </wps:wsp>
                            <wps:wsp>
                              <wps:cNvPr id="1209" name="直线 3507"/>
                              <wps:cNvCnPr/>
                              <wps:spPr>
                                <a:xfrm flipH="1">
                                  <a:off x="4069" y="4180"/>
                                  <a:ext cx="0" cy="271"/>
                                </a:xfrm>
                                <a:prstGeom prst="line">
                                  <a:avLst/>
                                </a:prstGeom>
                                <a:ln w="3175" cap="flat" cmpd="sng">
                                  <a:solidFill>
                                    <a:srgbClr val="000000"/>
                                  </a:solidFill>
                                  <a:prstDash val="solid"/>
                                  <a:headEnd type="none" w="med" len="med"/>
                                  <a:tailEnd type="triangle" w="med" len="med"/>
                                </a:ln>
                              </wps:spPr>
                              <wps:bodyPr upright="1"/>
                            </wps:wsp>
                            <wps:wsp>
                              <wps:cNvPr id="1210" name="直线 3508"/>
                              <wps:cNvCnPr/>
                              <wps:spPr>
                                <a:xfrm flipH="1">
                                  <a:off x="4064" y="4925"/>
                                  <a:ext cx="1" cy="271"/>
                                </a:xfrm>
                                <a:prstGeom prst="line">
                                  <a:avLst/>
                                </a:prstGeom>
                                <a:ln w="3175" cap="flat" cmpd="sng">
                                  <a:solidFill>
                                    <a:srgbClr val="000000"/>
                                  </a:solidFill>
                                  <a:prstDash val="solid"/>
                                  <a:headEnd type="none" w="med" len="med"/>
                                  <a:tailEnd type="triangle" w="med" len="med"/>
                                </a:ln>
                              </wps:spPr>
                              <wps:bodyPr upright="1"/>
                            </wps:wsp>
                            <wps:wsp>
                              <wps:cNvPr id="1211" name="Quad Arrow 621"/>
                              <wps:cNvSpPr txBox="1"/>
                              <wps:spPr>
                                <a:xfrm>
                                  <a:off x="889" y="2424"/>
                                  <a:ext cx="373" cy="182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600335C">
                                    <w:pPr>
                                      <w:pStyle w:val="117"/>
                                    </w:pPr>
                                    <w:r>
                                      <w:rPr>
                                        <w:rFonts w:hint="eastAsia"/>
                                      </w:rPr>
                                      <w:t>岗</w:t>
                                    </w:r>
                                  </w:p>
                                  <w:p w14:paraId="0B415195">
                                    <w:pPr>
                                      <w:pStyle w:val="117"/>
                                    </w:pPr>
                                    <w:r>
                                      <w:rPr>
                                        <w:rFonts w:hint="eastAsia"/>
                                      </w:rPr>
                                      <w:t>位</w:t>
                                    </w:r>
                                  </w:p>
                                  <w:p w14:paraId="7227FC61">
                                    <w:pPr>
                                      <w:pStyle w:val="117"/>
                                    </w:pPr>
                                    <w:r>
                                      <w:rPr>
                                        <w:rFonts w:hint="eastAsia"/>
                                      </w:rPr>
                                      <w:t>责</w:t>
                                    </w:r>
                                  </w:p>
                                  <w:p w14:paraId="09C919C6">
                                    <w:pPr>
                                      <w:pStyle w:val="117"/>
                                    </w:pPr>
                                    <w:r>
                                      <w:rPr>
                                        <w:rFonts w:hint="eastAsia"/>
                                      </w:rPr>
                                      <w:t>任</w:t>
                                    </w:r>
                                  </w:p>
                                  <w:p w14:paraId="77636792">
                                    <w:pPr>
                                      <w:pStyle w:val="117"/>
                                    </w:pPr>
                                    <w:r>
                                      <w:rPr>
                                        <w:rFonts w:hint="eastAsia"/>
                                      </w:rPr>
                                      <w:t>制</w:t>
                                    </w:r>
                                  </w:p>
                                </w:txbxContent>
                              </wps:txbx>
                              <wps:bodyPr lIns="18034" tIns="45720" rIns="18034" bIns="45720" upright="1"/>
                            </wps:wsp>
                            <wps:wsp>
                              <wps:cNvPr id="1212" name="Quad Arrow 622"/>
                              <wps:cNvSpPr txBox="1"/>
                              <wps:spPr>
                                <a:xfrm>
                                  <a:off x="1637" y="2426"/>
                                  <a:ext cx="374" cy="182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0FFCEE1">
                                    <w:pPr>
                                      <w:pStyle w:val="117"/>
                                    </w:pPr>
                                    <w:r>
                                      <w:rPr>
                                        <w:rFonts w:hint="eastAsia"/>
                                      </w:rPr>
                                      <w:t>落</w:t>
                                    </w:r>
                                  </w:p>
                                  <w:p w14:paraId="5AFFDDF7">
                                    <w:pPr>
                                      <w:pStyle w:val="117"/>
                                    </w:pPr>
                                    <w:r>
                                      <w:rPr>
                                        <w:rFonts w:hint="eastAsia"/>
                                      </w:rPr>
                                      <w:t>实</w:t>
                                    </w:r>
                                  </w:p>
                                  <w:p w14:paraId="0151B606">
                                    <w:pPr>
                                      <w:pStyle w:val="117"/>
                                    </w:pPr>
                                    <w:r>
                                      <w:rPr>
                                        <w:rFonts w:hint="eastAsia"/>
                                      </w:rPr>
                                      <w:t>活</w:t>
                                    </w:r>
                                  </w:p>
                                  <w:p w14:paraId="7144DDA2">
                                    <w:pPr>
                                      <w:pStyle w:val="127"/>
                                      <w:spacing w:line="300" w:lineRule="exact"/>
                                    </w:pPr>
                                    <w:r>
                                      <w:rPr>
                                        <w:rFonts w:hint="eastAsia"/>
                                      </w:rPr>
                                      <w:t>动</w:t>
                                    </w:r>
                                  </w:p>
                                </w:txbxContent>
                              </wps:txbx>
                              <wps:bodyPr lIns="18034" tIns="0" rIns="18034" bIns="0" upright="1"/>
                            </wps:wsp>
                            <wps:wsp>
                              <wps:cNvPr id="1213" name="Quad Arrow 623"/>
                              <wps:cNvSpPr txBox="1"/>
                              <wps:spPr>
                                <a:xfrm>
                                  <a:off x="2415" y="2424"/>
                                  <a:ext cx="373" cy="182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AB32E3C">
                                    <w:pPr>
                                      <w:pStyle w:val="117"/>
                                    </w:pPr>
                                    <w:r>
                                      <w:rPr>
                                        <w:rFonts w:hint="eastAsia"/>
                                      </w:rPr>
                                      <w:t>文</w:t>
                                    </w:r>
                                  </w:p>
                                  <w:p w14:paraId="56A3D59B">
                                    <w:pPr>
                                      <w:pStyle w:val="117"/>
                                    </w:pPr>
                                    <w:r>
                                      <w:rPr>
                                        <w:rFonts w:hint="eastAsia"/>
                                      </w:rPr>
                                      <w:t>明</w:t>
                                    </w:r>
                                  </w:p>
                                  <w:p w14:paraId="2A326CF5">
                                    <w:pPr>
                                      <w:pStyle w:val="117"/>
                                    </w:pPr>
                                    <w:r>
                                      <w:rPr>
                                        <w:rFonts w:hint="eastAsia"/>
                                      </w:rPr>
                                      <w:t>施</w:t>
                                    </w:r>
                                  </w:p>
                                  <w:p w14:paraId="1E1D0CD7">
                                    <w:pPr>
                                      <w:pStyle w:val="117"/>
                                    </w:pPr>
                                    <w:r>
                                      <w:rPr>
                                        <w:rFonts w:hint="eastAsia"/>
                                      </w:rPr>
                                      <w:t>工</w:t>
                                    </w:r>
                                  </w:p>
                                  <w:p w14:paraId="458D3F7E">
                                    <w:pPr>
                                      <w:pStyle w:val="117"/>
                                    </w:pPr>
                                    <w:r>
                                      <w:rPr>
                                        <w:rFonts w:hint="eastAsia"/>
                                      </w:rPr>
                                      <w:t>奖</w:t>
                                    </w:r>
                                  </w:p>
                                  <w:p w14:paraId="0A82EDA1">
                                    <w:pPr>
                                      <w:pStyle w:val="117"/>
                                      <w:spacing w:line="260" w:lineRule="exact"/>
                                    </w:pPr>
                                    <w:r>
                                      <w:rPr>
                                        <w:rFonts w:hint="eastAsia"/>
                                      </w:rPr>
                                      <w:t>惩</w:t>
                                    </w:r>
                                  </w:p>
                                </w:txbxContent>
                              </wps:txbx>
                              <wps:bodyPr lIns="18034" tIns="0" rIns="18034" bIns="0" upright="1"/>
                            </wps:wsp>
                            <wps:wsp>
                              <wps:cNvPr id="1214" name="Quad Arrow 626"/>
                              <wps:cNvSpPr txBox="1"/>
                              <wps:spPr>
                                <a:xfrm>
                                  <a:off x="2959" y="2932"/>
                                  <a:ext cx="2175"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E6A8DEA">
                                    <w:pPr>
                                      <w:pStyle w:val="117"/>
                                    </w:pPr>
                                    <w:r>
                                      <w:rPr>
                                        <w:rFonts w:hint="eastAsia"/>
                                      </w:rPr>
                                      <w:t>各级文明施工监察员</w:t>
                                    </w:r>
                                  </w:p>
                                </w:txbxContent>
                              </wps:txbx>
                              <wps:bodyPr lIns="18034" tIns="45720" rIns="18034" bIns="45720" upright="1"/>
                            </wps:wsp>
                            <wpg:grpSp>
                              <wpg:cNvPr id="1218" name="组合 637"/>
                              <wpg:cNvGrpSpPr/>
                              <wpg:grpSpPr>
                                <a:xfrm>
                                  <a:off x="5628" y="2161"/>
                                  <a:ext cx="960" cy="285"/>
                                  <a:chOff x="5628" y="2161"/>
                                  <a:chExt cx="960" cy="285"/>
                                </a:xfrm>
                              </wpg:grpSpPr>
                              <wps:wsp>
                                <wps:cNvPr id="1215" name="直线 3669"/>
                                <wps:cNvCnPr/>
                                <wps:spPr>
                                  <a:xfrm flipH="1">
                                    <a:off x="5637" y="2174"/>
                                    <a:ext cx="1" cy="272"/>
                                  </a:xfrm>
                                  <a:prstGeom prst="line">
                                    <a:avLst/>
                                  </a:prstGeom>
                                  <a:ln w="3175" cap="flat" cmpd="sng">
                                    <a:solidFill>
                                      <a:srgbClr val="000000"/>
                                    </a:solidFill>
                                    <a:prstDash val="solid"/>
                                    <a:headEnd type="none" w="med" len="med"/>
                                    <a:tailEnd type="triangle" w="med" len="med"/>
                                  </a:ln>
                                </wps:spPr>
                                <wps:bodyPr upright="1"/>
                              </wps:wsp>
                              <wps:wsp>
                                <wps:cNvPr id="1216" name="直线 3670"/>
                                <wps:cNvCnPr/>
                                <wps:spPr>
                                  <a:xfrm flipH="1">
                                    <a:off x="6584" y="2161"/>
                                    <a:ext cx="1" cy="271"/>
                                  </a:xfrm>
                                  <a:prstGeom prst="line">
                                    <a:avLst/>
                                  </a:prstGeom>
                                  <a:ln w="3175" cap="flat" cmpd="sng">
                                    <a:solidFill>
                                      <a:srgbClr val="000000"/>
                                    </a:solidFill>
                                    <a:prstDash val="solid"/>
                                    <a:headEnd type="none" w="med" len="med"/>
                                    <a:tailEnd type="triangle" w="med" len="med"/>
                                  </a:ln>
                                </wps:spPr>
                                <wps:bodyPr upright="1"/>
                              </wps:wsp>
                              <wps:wsp>
                                <wps:cNvPr id="1217" name="直线 3671"/>
                                <wps:cNvCnPr/>
                                <wps:spPr>
                                  <a:xfrm flipV="1">
                                    <a:off x="5628" y="2167"/>
                                    <a:ext cx="960" cy="2"/>
                                  </a:xfrm>
                                  <a:prstGeom prst="line">
                                    <a:avLst/>
                                  </a:prstGeom>
                                  <a:ln w="3175" cap="flat" cmpd="sng">
                                    <a:solidFill>
                                      <a:srgbClr val="000000"/>
                                    </a:solidFill>
                                    <a:prstDash val="solid"/>
                                    <a:headEnd type="none" w="med" len="med"/>
                                    <a:tailEnd type="none" w="med" len="med"/>
                                  </a:ln>
                                </wps:spPr>
                                <wps:bodyPr upright="1"/>
                              </wps:wsp>
                            </wpg:grpSp>
                            <wpg:grpSp>
                              <wpg:cNvPr id="1235" name="组合 641"/>
                              <wpg:cNvGrpSpPr/>
                              <wpg:grpSpPr>
                                <a:xfrm>
                                  <a:off x="842" y="108"/>
                                  <a:ext cx="7917" cy="2102"/>
                                  <a:chOff x="842" y="108"/>
                                  <a:chExt cx="7917" cy="2102"/>
                                </a:xfrm>
                              </wpg:grpSpPr>
                              <wps:wsp>
                                <wps:cNvPr id="1219" name="Quad Arrow 612"/>
                                <wps:cNvSpPr txBox="1"/>
                                <wps:spPr>
                                  <a:xfrm>
                                    <a:off x="842" y="1358"/>
                                    <a:ext cx="2098"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42376E2">
                                      <w:pPr>
                                        <w:pStyle w:val="117"/>
                                      </w:pPr>
                                      <w:r>
                                        <w:rPr>
                                          <w:rFonts w:hint="eastAsia"/>
                                        </w:rPr>
                                        <w:t>文明施工责任制</w:t>
                                      </w:r>
                                    </w:p>
                                  </w:txbxContent>
                                </wps:txbx>
                                <wps:bodyPr lIns="18034" tIns="45720" rIns="18034" bIns="45720" upright="1"/>
                              </wps:wsp>
                              <wps:wsp>
                                <wps:cNvPr id="1220" name="Quad Arrow 613"/>
                                <wps:cNvSpPr txBox="1"/>
                                <wps:spPr>
                                  <a:xfrm>
                                    <a:off x="3133" y="1380"/>
                                    <a:ext cx="1983"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103AD96">
                                      <w:pPr>
                                        <w:pStyle w:val="117"/>
                                      </w:pPr>
                                      <w:r>
                                        <w:rPr>
                                          <w:rFonts w:hint="eastAsia"/>
                                        </w:rPr>
                                        <w:t>文明施工管理制度</w:t>
                                      </w:r>
                                    </w:p>
                                  </w:txbxContent>
                                </wps:txbx>
                                <wps:bodyPr lIns="18034" tIns="45720" rIns="18034" bIns="45720" upright="1"/>
                              </wps:wsp>
                              <wps:wsp>
                                <wps:cNvPr id="1221" name="Quad Arrow 614"/>
                                <wps:cNvSpPr txBox="1"/>
                                <wps:spPr>
                                  <a:xfrm>
                                    <a:off x="5336" y="1374"/>
                                    <a:ext cx="1493" cy="521"/>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43C03E9">
                                      <w:pPr>
                                        <w:pStyle w:val="117"/>
                                      </w:pPr>
                                      <w:r>
                                        <w:rPr>
                                          <w:rFonts w:hint="eastAsia"/>
                                        </w:rPr>
                                        <w:t>文明施工教育</w:t>
                                      </w:r>
                                    </w:p>
                                  </w:txbxContent>
                                </wps:txbx>
                                <wps:bodyPr lIns="18034" tIns="45720" rIns="18034" bIns="45720" upright="1"/>
                              </wps:wsp>
                              <wps:wsp>
                                <wps:cNvPr id="1222" name="Quad Arrow 615"/>
                                <wps:cNvSpPr txBox="1"/>
                                <wps:spPr>
                                  <a:xfrm>
                                    <a:off x="7106" y="1373"/>
                                    <a:ext cx="1653"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0752105">
                                      <w:pPr>
                                        <w:pStyle w:val="117"/>
                                      </w:pPr>
                                      <w:r>
                                        <w:rPr>
                                          <w:rFonts w:hint="eastAsia"/>
                                        </w:rPr>
                                        <w:t>文明施工工作检查</w:t>
                                      </w:r>
                                    </w:p>
                                  </w:txbxContent>
                                </wps:txbx>
                                <wps:bodyPr lIns="18034" tIns="45720" rIns="18034" bIns="45720" upright="1"/>
                              </wps:wsp>
                              <wps:wsp>
                                <wps:cNvPr id="1223" name="直线 3652"/>
                                <wps:cNvCnPr/>
                                <wps:spPr>
                                  <a:xfrm flipH="1">
                                    <a:off x="6114" y="1936"/>
                                    <a:ext cx="1" cy="274"/>
                                  </a:xfrm>
                                  <a:prstGeom prst="line">
                                    <a:avLst/>
                                  </a:prstGeom>
                                  <a:ln w="3175" cap="flat" cmpd="sng">
                                    <a:solidFill>
                                      <a:srgbClr val="000000"/>
                                    </a:solidFill>
                                    <a:prstDash val="solid"/>
                                    <a:headEnd type="none" w="med" len="med"/>
                                    <a:tailEnd type="triangle" w="med" len="med"/>
                                  </a:ln>
                                </wps:spPr>
                                <wps:bodyPr upright="1"/>
                              </wps:wsp>
                              <wps:wsp>
                                <wps:cNvPr id="1224" name="直线 3653"/>
                                <wps:cNvCnPr/>
                                <wps:spPr>
                                  <a:xfrm flipH="1">
                                    <a:off x="8028" y="1894"/>
                                    <a:ext cx="1" cy="273"/>
                                  </a:xfrm>
                                  <a:prstGeom prst="line">
                                    <a:avLst/>
                                  </a:prstGeom>
                                  <a:ln w="3175" cap="flat" cmpd="sng">
                                    <a:solidFill>
                                      <a:srgbClr val="000000"/>
                                    </a:solidFill>
                                    <a:prstDash val="solid"/>
                                    <a:headEnd type="none" w="med" len="med"/>
                                    <a:tailEnd type="triangle" w="med" len="med"/>
                                  </a:ln>
                                </wps:spPr>
                                <wps:bodyPr upright="1"/>
                              </wps:wsp>
                              <wps:wsp>
                                <wps:cNvPr id="1225" name="直线 3654"/>
                                <wps:cNvCnPr/>
                                <wps:spPr>
                                  <a:xfrm flipH="1">
                                    <a:off x="4060" y="1934"/>
                                    <a:ext cx="1" cy="271"/>
                                  </a:xfrm>
                                  <a:prstGeom prst="line">
                                    <a:avLst/>
                                  </a:prstGeom>
                                  <a:ln w="3175" cap="flat" cmpd="sng">
                                    <a:solidFill>
                                      <a:srgbClr val="000000"/>
                                    </a:solidFill>
                                    <a:prstDash val="solid"/>
                                    <a:headEnd type="none" w="med" len="med"/>
                                    <a:tailEnd type="triangle" w="med" len="med"/>
                                  </a:ln>
                                </wps:spPr>
                                <wps:bodyPr upright="1"/>
                              </wps:wsp>
                              <wps:wsp>
                                <wps:cNvPr id="1226" name="直线 3655"/>
                                <wps:cNvCnPr/>
                                <wps:spPr>
                                  <a:xfrm flipH="1">
                                    <a:off x="1833" y="1888"/>
                                    <a:ext cx="1" cy="273"/>
                                  </a:xfrm>
                                  <a:prstGeom prst="line">
                                    <a:avLst/>
                                  </a:prstGeom>
                                  <a:ln w="3175" cap="flat" cmpd="sng">
                                    <a:solidFill>
                                      <a:srgbClr val="000000"/>
                                    </a:solidFill>
                                    <a:prstDash val="solid"/>
                                    <a:headEnd type="none" w="med" len="med"/>
                                    <a:tailEnd type="triangle" w="med" len="med"/>
                                  </a:ln>
                                </wps:spPr>
                                <wps:bodyPr upright="1"/>
                              </wps:wsp>
                              <wpg:grpSp>
                                <wpg:cNvPr id="1234" name="组合 650"/>
                                <wpg:cNvGrpSpPr/>
                                <wpg:grpSpPr>
                                  <a:xfrm>
                                    <a:off x="1894" y="108"/>
                                    <a:ext cx="6118" cy="1282"/>
                                    <a:chOff x="1894" y="108"/>
                                    <a:chExt cx="6118" cy="1282"/>
                                  </a:xfrm>
                                </wpg:grpSpPr>
                                <wps:wsp>
                                  <wps:cNvPr id="1227" name="Quad Arrow 605"/>
                                  <wps:cNvSpPr txBox="1"/>
                                  <wps:spPr>
                                    <a:xfrm>
                                      <a:off x="3990" y="108"/>
                                      <a:ext cx="2401" cy="5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5A18B3C">
                                        <w:pPr>
                                          <w:pStyle w:val="117"/>
                                        </w:pPr>
                                        <w:r>
                                          <w:rPr>
                                            <w:rFonts w:hint="eastAsia"/>
                                          </w:rPr>
                                          <w:t>项目部文明施工督查小组</w:t>
                                        </w:r>
                                      </w:p>
                                    </w:txbxContent>
                                  </wps:txbx>
                                  <wps:bodyPr lIns="18034" tIns="45720" rIns="18034" bIns="45720" upright="1"/>
                                </wps:wsp>
                                <wps:wsp>
                                  <wps:cNvPr id="1228" name="直线 3658"/>
                                  <wps:cNvCnPr/>
                                  <wps:spPr>
                                    <a:xfrm flipV="1">
                                      <a:off x="1908" y="974"/>
                                      <a:ext cx="6104" cy="1"/>
                                    </a:xfrm>
                                    <a:prstGeom prst="line">
                                      <a:avLst/>
                                    </a:prstGeom>
                                    <a:ln w="3175" cap="flat" cmpd="sng">
                                      <a:solidFill>
                                        <a:srgbClr val="000000"/>
                                      </a:solidFill>
                                      <a:prstDash val="solid"/>
                                      <a:headEnd type="none" w="med" len="med"/>
                                      <a:tailEnd type="none" w="med" len="med"/>
                                    </a:ln>
                                  </wps:spPr>
                                  <wps:bodyPr upright="1"/>
                                </wps:wsp>
                                <wps:wsp>
                                  <wps:cNvPr id="1229" name="直线 3659"/>
                                  <wps:cNvCnPr/>
                                  <wps:spPr>
                                    <a:xfrm flipH="1">
                                      <a:off x="5142" y="589"/>
                                      <a:ext cx="1" cy="409"/>
                                    </a:xfrm>
                                    <a:prstGeom prst="line">
                                      <a:avLst/>
                                    </a:prstGeom>
                                    <a:ln w="3175" cap="flat" cmpd="sng">
                                      <a:solidFill>
                                        <a:srgbClr val="000000"/>
                                      </a:solidFill>
                                      <a:prstDash val="solid"/>
                                      <a:headEnd type="none" w="med" len="med"/>
                                      <a:tailEnd type="triangle" w="med" len="med"/>
                                    </a:ln>
                                  </wps:spPr>
                                  <wps:bodyPr upright="1"/>
                                </wps:wsp>
                                <wps:wsp>
                                  <wps:cNvPr id="1230" name="直线 3660"/>
                                  <wps:cNvCnPr/>
                                  <wps:spPr>
                                    <a:xfrm flipH="1">
                                      <a:off x="1894" y="956"/>
                                      <a:ext cx="1" cy="410"/>
                                    </a:xfrm>
                                    <a:prstGeom prst="line">
                                      <a:avLst/>
                                    </a:prstGeom>
                                    <a:ln w="3175" cap="flat" cmpd="sng">
                                      <a:solidFill>
                                        <a:srgbClr val="000000"/>
                                      </a:solidFill>
                                      <a:prstDash val="solid"/>
                                      <a:headEnd type="none" w="med" len="med"/>
                                      <a:tailEnd type="triangle" w="med" len="med"/>
                                    </a:ln>
                                  </wps:spPr>
                                  <wps:bodyPr upright="1"/>
                                </wps:wsp>
                                <wps:wsp>
                                  <wps:cNvPr id="1231" name="直线 3661"/>
                                  <wps:cNvCnPr/>
                                  <wps:spPr>
                                    <a:xfrm flipH="1">
                                      <a:off x="4049" y="958"/>
                                      <a:ext cx="1" cy="410"/>
                                    </a:xfrm>
                                    <a:prstGeom prst="line">
                                      <a:avLst/>
                                    </a:prstGeom>
                                    <a:ln w="3175" cap="flat" cmpd="sng">
                                      <a:solidFill>
                                        <a:srgbClr val="000000"/>
                                      </a:solidFill>
                                      <a:prstDash val="solid"/>
                                      <a:headEnd type="none" w="med" len="med"/>
                                      <a:tailEnd type="triangle" w="med" len="med"/>
                                    </a:ln>
                                  </wps:spPr>
                                  <wps:bodyPr upright="1"/>
                                </wps:wsp>
                                <wps:wsp>
                                  <wps:cNvPr id="1232" name="直线 3662"/>
                                  <wps:cNvCnPr/>
                                  <wps:spPr>
                                    <a:xfrm flipH="1">
                                      <a:off x="6168" y="962"/>
                                      <a:ext cx="1" cy="410"/>
                                    </a:xfrm>
                                    <a:prstGeom prst="line">
                                      <a:avLst/>
                                    </a:prstGeom>
                                    <a:ln w="3175" cap="flat" cmpd="sng">
                                      <a:solidFill>
                                        <a:srgbClr val="000000"/>
                                      </a:solidFill>
                                      <a:prstDash val="solid"/>
                                      <a:headEnd type="none" w="med" len="med"/>
                                      <a:tailEnd type="triangle" w="med" len="med"/>
                                    </a:ln>
                                  </wps:spPr>
                                  <wps:bodyPr upright="1"/>
                                </wps:wsp>
                                <wps:wsp>
                                  <wps:cNvPr id="1233" name="直线 3663"/>
                                  <wps:cNvCnPr/>
                                  <wps:spPr>
                                    <a:xfrm flipH="1">
                                      <a:off x="8005" y="980"/>
                                      <a:ext cx="1" cy="410"/>
                                    </a:xfrm>
                                    <a:prstGeom prst="line">
                                      <a:avLst/>
                                    </a:prstGeom>
                                    <a:ln w="3175" cap="flat" cmpd="sng">
                                      <a:solidFill>
                                        <a:srgbClr val="000000"/>
                                      </a:solidFill>
                                      <a:prstDash val="solid"/>
                                      <a:headEnd type="none" w="med" len="med"/>
                                      <a:tailEnd type="triangle" w="med" len="med"/>
                                    </a:ln>
                                  </wps:spPr>
                                  <wps:bodyPr upright="1"/>
                                </wps:wsp>
                              </wpg:grpSp>
                            </wpg:grpSp>
                            <wps:wsp>
                              <wps:cNvPr id="1236" name="直线 3674"/>
                              <wps:cNvCnPr/>
                              <wps:spPr>
                                <a:xfrm flipH="1">
                                  <a:off x="1064" y="2140"/>
                                  <a:ext cx="1" cy="273"/>
                                </a:xfrm>
                                <a:prstGeom prst="line">
                                  <a:avLst/>
                                </a:prstGeom>
                                <a:ln w="3175" cap="flat" cmpd="sng">
                                  <a:solidFill>
                                    <a:srgbClr val="000000"/>
                                  </a:solidFill>
                                  <a:prstDash val="solid"/>
                                  <a:headEnd type="none" w="med" len="med"/>
                                  <a:tailEnd type="triangle" w="med" len="med"/>
                                </a:ln>
                              </wps:spPr>
                              <wps:bodyPr upright="1"/>
                            </wps:wsp>
                            <wps:wsp>
                              <wps:cNvPr id="1237" name="直线 3679"/>
                              <wps:cNvCnPr/>
                              <wps:spPr>
                                <a:xfrm flipH="1">
                                  <a:off x="4049" y="3463"/>
                                  <a:ext cx="1" cy="271"/>
                                </a:xfrm>
                                <a:prstGeom prst="line">
                                  <a:avLst/>
                                </a:prstGeom>
                                <a:ln w="3175" cap="flat" cmpd="sng">
                                  <a:solidFill>
                                    <a:srgbClr val="000000"/>
                                  </a:solidFill>
                                  <a:prstDash val="solid"/>
                                  <a:headEnd type="none" w="med" len="med"/>
                                  <a:tailEnd type="triangle" w="med" len="med"/>
                                </a:ln>
                              </wps:spPr>
                              <wps:bodyPr upright="1"/>
                            </wps:wsp>
                            <wps:wsp>
                              <wps:cNvPr id="1238" name="直线 3677"/>
                              <wps:cNvCnPr/>
                              <wps:spPr>
                                <a:xfrm flipH="1">
                                  <a:off x="1829" y="2173"/>
                                  <a:ext cx="1" cy="274"/>
                                </a:xfrm>
                                <a:prstGeom prst="line">
                                  <a:avLst/>
                                </a:prstGeom>
                                <a:ln w="3175" cap="flat" cmpd="sng">
                                  <a:solidFill>
                                    <a:srgbClr val="000000"/>
                                  </a:solidFill>
                                  <a:prstDash val="solid"/>
                                  <a:headEnd type="none" w="med" len="med"/>
                                  <a:tailEnd type="triangle" w="med" len="med"/>
                                </a:ln>
                              </wps:spPr>
                              <wps:bodyPr upright="1"/>
                            </wps:wsp>
                            <wpg:grpSp>
                              <wpg:cNvPr id="1242" name="组合 661"/>
                              <wpg:cNvGrpSpPr/>
                              <wpg:grpSpPr>
                                <a:xfrm>
                                  <a:off x="7442" y="2163"/>
                                  <a:ext cx="960" cy="285"/>
                                  <a:chOff x="7442" y="2163"/>
                                  <a:chExt cx="960" cy="285"/>
                                </a:xfrm>
                              </wpg:grpSpPr>
                              <wps:wsp>
                                <wps:cNvPr id="1239" name="直线 3665"/>
                                <wps:cNvCnPr/>
                                <wps:spPr>
                                  <a:xfrm flipH="1">
                                    <a:off x="7451" y="2177"/>
                                    <a:ext cx="1" cy="271"/>
                                  </a:xfrm>
                                  <a:prstGeom prst="line">
                                    <a:avLst/>
                                  </a:prstGeom>
                                  <a:ln w="3175" cap="flat" cmpd="sng">
                                    <a:solidFill>
                                      <a:srgbClr val="000000"/>
                                    </a:solidFill>
                                    <a:prstDash val="solid"/>
                                    <a:headEnd type="none" w="med" len="med"/>
                                    <a:tailEnd type="triangle" w="med" len="med"/>
                                  </a:ln>
                                </wps:spPr>
                                <wps:bodyPr upright="1"/>
                              </wps:wsp>
                              <wps:wsp>
                                <wps:cNvPr id="1240" name="直线 3666"/>
                                <wps:cNvCnPr/>
                                <wps:spPr>
                                  <a:xfrm flipH="1">
                                    <a:off x="8398" y="2163"/>
                                    <a:ext cx="1" cy="271"/>
                                  </a:xfrm>
                                  <a:prstGeom prst="line">
                                    <a:avLst/>
                                  </a:prstGeom>
                                  <a:ln w="3175" cap="flat" cmpd="sng">
                                    <a:solidFill>
                                      <a:srgbClr val="000000"/>
                                    </a:solidFill>
                                    <a:prstDash val="solid"/>
                                    <a:headEnd type="none" w="med" len="med"/>
                                    <a:tailEnd type="triangle" w="med" len="med"/>
                                  </a:ln>
                                </wps:spPr>
                                <wps:bodyPr upright="1"/>
                              </wps:wsp>
                              <wps:wsp>
                                <wps:cNvPr id="1241" name="直线 3667"/>
                                <wps:cNvCnPr/>
                                <wps:spPr>
                                  <a:xfrm flipV="1">
                                    <a:off x="7442" y="2169"/>
                                    <a:ext cx="960" cy="2"/>
                                  </a:xfrm>
                                  <a:prstGeom prst="line">
                                    <a:avLst/>
                                  </a:prstGeom>
                                  <a:ln w="3175" cap="flat" cmpd="sng">
                                    <a:solidFill>
                                      <a:srgbClr val="000000"/>
                                    </a:solidFill>
                                    <a:prstDash val="solid"/>
                                    <a:headEnd type="none" w="med" len="med"/>
                                    <a:tailEnd type="none" w="med" len="med"/>
                                  </a:ln>
                                </wps:spPr>
                                <wps:bodyPr upright="1"/>
                              </wps:wsp>
                            </wpg:grpSp>
                            <wps:wsp>
                              <wps:cNvPr id="1243" name="直线 3673"/>
                              <wps:cNvCnPr/>
                              <wps:spPr>
                                <a:xfrm flipH="1">
                                  <a:off x="2655" y="2146"/>
                                  <a:ext cx="1" cy="273"/>
                                </a:xfrm>
                                <a:prstGeom prst="line">
                                  <a:avLst/>
                                </a:prstGeom>
                                <a:ln w="3175" cap="flat" cmpd="sng">
                                  <a:solidFill>
                                    <a:srgbClr val="000000"/>
                                  </a:solidFill>
                                  <a:prstDash val="solid"/>
                                  <a:headEnd type="none" w="med" len="med"/>
                                  <a:tailEnd type="triangle" w="med" len="med"/>
                                </a:ln>
                              </wps:spPr>
                              <wps:bodyPr upright="1"/>
                            </wps:wsp>
                          </wpg:grpSp>
                        </wpg:grpSp>
                        <wps:wsp>
                          <wps:cNvPr id="1246" name="Quad Arrow 655"/>
                          <wps:cNvSpPr txBox="1"/>
                          <wps:spPr>
                            <a:xfrm>
                              <a:off x="1033" y="5129"/>
                              <a:ext cx="1706" cy="76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1D24DC3">
                                <w:pPr>
                                  <w:pStyle w:val="117"/>
                                </w:pPr>
                                <w:r>
                                  <w:rPr>
                                    <w:rFonts w:hint="eastAsia"/>
                                  </w:rPr>
                                  <w:t>奖惩兑现</w:t>
                                </w:r>
                              </w:p>
                            </w:txbxContent>
                          </wps:txbx>
                          <wps:bodyPr lIns="18034" tIns="45720" rIns="18034" bIns="45720" upright="1"/>
                        </wps:wsp>
                        <wps:wsp>
                          <wps:cNvPr id="1247" name="Quad Arrow 657"/>
                          <wps:cNvSpPr txBox="1"/>
                          <wps:spPr>
                            <a:xfrm>
                              <a:off x="3152" y="5109"/>
                              <a:ext cx="1867" cy="82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6A13FEF">
                                <w:pPr>
                                  <w:pStyle w:val="117"/>
                                </w:pPr>
                                <w:r>
                                  <w:rPr>
                                    <w:rFonts w:hint="eastAsia"/>
                                  </w:rPr>
                                  <w:t>提高文明施工</w:t>
                                </w:r>
                              </w:p>
                              <w:p w14:paraId="1A2A0AD5">
                                <w:pPr>
                                  <w:pStyle w:val="117"/>
                                </w:pPr>
                                <w:r>
                                  <w:rPr>
                                    <w:rFonts w:hint="eastAsia"/>
                                  </w:rPr>
                                  <w:t>预控能力</w:t>
                                </w:r>
                              </w:p>
                            </w:txbxContent>
                          </wps:txbx>
                          <wps:bodyPr lIns="18034" tIns="45720" rIns="18034" bIns="45720" upright="1"/>
                        </wps:wsp>
                        <wps:wsp>
                          <wps:cNvPr id="1248" name="Quad Arrow 658"/>
                          <wps:cNvSpPr txBox="1"/>
                          <wps:spPr>
                            <a:xfrm>
                              <a:off x="5256" y="5138"/>
                              <a:ext cx="1440" cy="810"/>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A6CC986">
                                <w:pPr>
                                  <w:pStyle w:val="117"/>
                                </w:pPr>
                                <w:r>
                                  <w:rPr>
                                    <w:rFonts w:hint="eastAsia"/>
                                  </w:rPr>
                                  <w:t>提高文明施工</w:t>
                                </w:r>
                              </w:p>
                              <w:p w14:paraId="0FAE8967">
                                <w:pPr>
                                  <w:pStyle w:val="117"/>
                                </w:pPr>
                                <w:r>
                                  <w:rPr>
                                    <w:rFonts w:hint="eastAsia"/>
                                  </w:rPr>
                                  <w:t>意识与能力</w:t>
                                </w:r>
                              </w:p>
                            </w:txbxContent>
                          </wps:txbx>
                          <wps:bodyPr lIns="18034" tIns="45720" rIns="18034" bIns="45720" upright="1"/>
                        </wps:wsp>
                        <wps:wsp>
                          <wps:cNvPr id="1249" name="Quad Arrow 659"/>
                          <wps:cNvSpPr txBox="1"/>
                          <wps:spPr>
                            <a:xfrm>
                              <a:off x="7108" y="5145"/>
                              <a:ext cx="1547" cy="7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B4E02A8">
                                <w:pPr>
                                  <w:pStyle w:val="117"/>
                                </w:pPr>
                                <w:r>
                                  <w:rPr>
                                    <w:rFonts w:hint="eastAsia"/>
                                  </w:rPr>
                                  <w:t>消除不文明施工</w:t>
                                </w:r>
                              </w:p>
                            </w:txbxContent>
                          </wps:txbx>
                          <wps:bodyPr lIns="18034" tIns="45720" rIns="18034" bIns="45720" upright="1"/>
                        </wps:wsp>
                        <wps:wsp>
                          <wps:cNvPr id="1250" name="Quad Arrow 667"/>
                          <wps:cNvSpPr txBox="1"/>
                          <wps:spPr>
                            <a:xfrm>
                              <a:off x="4082" y="6476"/>
                              <a:ext cx="2026" cy="53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2525333">
                                <w:pPr>
                                  <w:pStyle w:val="117"/>
                                </w:pPr>
                                <w:r>
                                  <w:rPr>
                                    <w:rFonts w:hint="eastAsia"/>
                                  </w:rPr>
                                  <w:t>实现文明施工目标</w:t>
                                </w:r>
                              </w:p>
                            </w:txbxContent>
                          </wps:txbx>
                          <wps:bodyPr lIns="18034" tIns="45720" rIns="18034" bIns="45720" upright="1"/>
                        </wps:wsp>
                        <wps:wsp>
                          <wps:cNvPr id="1251" name="直线 3489"/>
                          <wps:cNvCnPr/>
                          <wps:spPr>
                            <a:xfrm flipV="1">
                              <a:off x="1782" y="6164"/>
                              <a:ext cx="6081" cy="1"/>
                            </a:xfrm>
                            <a:prstGeom prst="line">
                              <a:avLst/>
                            </a:prstGeom>
                            <a:ln w="3175" cap="flat" cmpd="sng">
                              <a:solidFill>
                                <a:srgbClr val="000000"/>
                              </a:solidFill>
                              <a:prstDash val="solid"/>
                              <a:headEnd type="none" w="med" len="med"/>
                              <a:tailEnd type="none" w="med" len="med"/>
                            </a:ln>
                          </wps:spPr>
                          <wps:bodyPr upright="1"/>
                        </wps:wsp>
                        <wps:wsp>
                          <wps:cNvPr id="1252" name="直线 3509"/>
                          <wps:cNvCnPr/>
                          <wps:spPr>
                            <a:xfrm flipH="1">
                              <a:off x="7900" y="4493"/>
                              <a:ext cx="1" cy="684"/>
                            </a:xfrm>
                            <a:prstGeom prst="line">
                              <a:avLst/>
                            </a:prstGeom>
                            <a:ln w="3175" cap="flat" cmpd="sng">
                              <a:solidFill>
                                <a:srgbClr val="000000"/>
                              </a:solidFill>
                              <a:prstDash val="solid"/>
                              <a:headEnd type="none" w="med" len="med"/>
                              <a:tailEnd type="triangle" w="med" len="med"/>
                            </a:ln>
                          </wps:spPr>
                          <wps:bodyPr upright="1"/>
                        </wps:wsp>
                        <wps:wsp>
                          <wps:cNvPr id="1253" name="直线 3510"/>
                          <wps:cNvCnPr/>
                          <wps:spPr>
                            <a:xfrm flipH="1">
                              <a:off x="4071" y="5925"/>
                              <a:ext cx="1" cy="271"/>
                            </a:xfrm>
                            <a:prstGeom prst="line">
                              <a:avLst/>
                            </a:prstGeom>
                            <a:ln w="3175" cap="flat" cmpd="sng">
                              <a:solidFill>
                                <a:srgbClr val="000000"/>
                              </a:solidFill>
                              <a:prstDash val="solid"/>
                              <a:headEnd type="none" w="med" len="med"/>
                              <a:tailEnd type="triangle" w="med" len="med"/>
                            </a:ln>
                          </wps:spPr>
                          <wps:bodyPr upright="1"/>
                        </wps:wsp>
                        <wps:wsp>
                          <wps:cNvPr id="1254" name="直线 3511"/>
                          <wps:cNvCnPr/>
                          <wps:spPr>
                            <a:xfrm flipH="1">
                              <a:off x="6019" y="5929"/>
                              <a:ext cx="1" cy="271"/>
                            </a:xfrm>
                            <a:prstGeom prst="line">
                              <a:avLst/>
                            </a:prstGeom>
                            <a:ln w="3175" cap="flat" cmpd="sng">
                              <a:solidFill>
                                <a:srgbClr val="000000"/>
                              </a:solidFill>
                              <a:prstDash val="solid"/>
                              <a:headEnd type="none" w="med" len="med"/>
                              <a:tailEnd type="triangle" w="med" len="med"/>
                            </a:ln>
                          </wps:spPr>
                          <wps:bodyPr upright="1"/>
                        </wps:wsp>
                        <wps:wsp>
                          <wps:cNvPr id="1255" name="直线 3517"/>
                          <wps:cNvCnPr/>
                          <wps:spPr>
                            <a:xfrm flipH="1">
                              <a:off x="1853" y="4493"/>
                              <a:ext cx="1" cy="684"/>
                            </a:xfrm>
                            <a:prstGeom prst="line">
                              <a:avLst/>
                            </a:prstGeom>
                            <a:ln w="3175" cap="flat" cmpd="sng">
                              <a:solidFill>
                                <a:srgbClr val="000000"/>
                              </a:solidFill>
                              <a:prstDash val="solid"/>
                              <a:headEnd type="none" w="med" len="med"/>
                              <a:tailEnd type="triangle" w="med" len="med"/>
                            </a:ln>
                          </wps:spPr>
                          <wps:bodyPr upright="1"/>
                        </wps:wsp>
                        <wps:wsp>
                          <wps:cNvPr id="1256" name="直线 3521"/>
                          <wps:cNvCnPr/>
                          <wps:spPr>
                            <a:xfrm flipH="1">
                              <a:off x="7880" y="5907"/>
                              <a:ext cx="1" cy="271"/>
                            </a:xfrm>
                            <a:prstGeom prst="line">
                              <a:avLst/>
                            </a:prstGeom>
                            <a:ln w="3175" cap="flat" cmpd="sng">
                              <a:solidFill>
                                <a:srgbClr val="000000"/>
                              </a:solidFill>
                              <a:prstDash val="solid"/>
                              <a:headEnd type="none" w="med" len="med"/>
                              <a:tailEnd type="triangle" w="med" len="med"/>
                            </a:ln>
                          </wps:spPr>
                          <wps:bodyPr upright="1"/>
                        </wps:wsp>
                        <wps:wsp>
                          <wps:cNvPr id="1257" name="直线 3522"/>
                          <wps:cNvCnPr/>
                          <wps:spPr>
                            <a:xfrm flipH="1">
                              <a:off x="1830" y="5901"/>
                              <a:ext cx="1" cy="271"/>
                            </a:xfrm>
                            <a:prstGeom prst="line">
                              <a:avLst/>
                            </a:prstGeom>
                            <a:ln w="3175" cap="flat" cmpd="sng">
                              <a:solidFill>
                                <a:srgbClr val="000000"/>
                              </a:solidFill>
                              <a:prstDash val="solid"/>
                              <a:headEnd type="none" w="med" len="med"/>
                              <a:tailEnd type="triangle" w="med" len="med"/>
                            </a:ln>
                          </wps:spPr>
                          <wps:bodyPr upright="1"/>
                        </wps:wsp>
                        <wps:wsp>
                          <wps:cNvPr id="1258" name="直线 3524"/>
                          <wps:cNvCnPr/>
                          <wps:spPr>
                            <a:xfrm flipH="1">
                              <a:off x="6049" y="4533"/>
                              <a:ext cx="1" cy="615"/>
                            </a:xfrm>
                            <a:prstGeom prst="line">
                              <a:avLst/>
                            </a:prstGeom>
                            <a:ln w="3175" cap="flat" cmpd="sng">
                              <a:solidFill>
                                <a:srgbClr val="000000"/>
                              </a:solidFill>
                              <a:prstDash val="solid"/>
                              <a:headEnd type="none" w="med" len="med"/>
                              <a:tailEnd type="triangle" w="med" len="med"/>
                            </a:ln>
                          </wps:spPr>
                          <wps:bodyPr upright="1"/>
                        </wps:wsp>
                        <wpg:grpSp>
                          <wpg:cNvPr id="1263" name="组合 679"/>
                          <wpg:cNvGrpSpPr/>
                          <wpg:grpSpPr>
                            <a:xfrm rot="10800000">
                              <a:off x="1030" y="4202"/>
                              <a:ext cx="1605" cy="312"/>
                              <a:chOff x="1030" y="4202"/>
                              <a:chExt cx="1605" cy="312"/>
                            </a:xfrm>
                          </wpg:grpSpPr>
                          <wps:wsp>
                            <wps:cNvPr id="1259" name="直线 3684"/>
                            <wps:cNvCnPr/>
                            <wps:spPr>
                              <a:xfrm flipV="1">
                                <a:off x="1030" y="4202"/>
                                <a:ext cx="1600" cy="1"/>
                              </a:xfrm>
                              <a:prstGeom prst="line">
                                <a:avLst/>
                              </a:prstGeom>
                              <a:ln w="3175" cap="flat" cmpd="sng">
                                <a:solidFill>
                                  <a:srgbClr val="000000"/>
                                </a:solidFill>
                                <a:prstDash val="solid"/>
                                <a:headEnd type="none" w="med" len="med"/>
                                <a:tailEnd type="none" w="med" len="med"/>
                              </a:ln>
                            </wps:spPr>
                            <wps:bodyPr upright="1"/>
                          </wps:wsp>
                          <wps:wsp>
                            <wps:cNvPr id="1260" name="直线 3685"/>
                            <wps:cNvCnPr/>
                            <wps:spPr>
                              <a:xfrm flipH="1">
                                <a:off x="1042" y="4206"/>
                                <a:ext cx="1" cy="274"/>
                              </a:xfrm>
                              <a:prstGeom prst="line">
                                <a:avLst/>
                              </a:prstGeom>
                              <a:ln w="3175" cap="flat" cmpd="sng">
                                <a:solidFill>
                                  <a:srgbClr val="000000"/>
                                </a:solidFill>
                                <a:prstDash val="solid"/>
                                <a:headEnd type="none" w="med" len="med"/>
                                <a:tailEnd type="triangle" w="med" len="med"/>
                              </a:ln>
                            </wps:spPr>
                            <wps:bodyPr upright="1"/>
                          </wps:wsp>
                          <wps:wsp>
                            <wps:cNvPr id="1261" name="直线 3686"/>
                            <wps:cNvCnPr/>
                            <wps:spPr>
                              <a:xfrm flipH="1">
                                <a:off x="1808" y="4240"/>
                                <a:ext cx="1" cy="274"/>
                              </a:xfrm>
                              <a:prstGeom prst="line">
                                <a:avLst/>
                              </a:prstGeom>
                              <a:ln w="3175" cap="flat" cmpd="sng">
                                <a:solidFill>
                                  <a:srgbClr val="000000"/>
                                </a:solidFill>
                                <a:prstDash val="solid"/>
                                <a:headEnd type="none" w="med" len="med"/>
                                <a:tailEnd type="triangle" w="med" len="med"/>
                              </a:ln>
                            </wps:spPr>
                            <wps:bodyPr upright="1"/>
                          </wps:wsp>
                          <wps:wsp>
                            <wps:cNvPr id="1262" name="直线 3687"/>
                            <wps:cNvCnPr/>
                            <wps:spPr>
                              <a:xfrm flipH="1">
                                <a:off x="2634" y="4213"/>
                                <a:ext cx="1" cy="273"/>
                              </a:xfrm>
                              <a:prstGeom prst="line">
                                <a:avLst/>
                              </a:prstGeom>
                              <a:ln w="3175" cap="flat" cmpd="sng">
                                <a:solidFill>
                                  <a:srgbClr val="000000"/>
                                </a:solidFill>
                                <a:prstDash val="solid"/>
                                <a:headEnd type="none" w="med" len="med"/>
                                <a:tailEnd type="triangle" w="med" len="med"/>
                              </a:ln>
                            </wps:spPr>
                            <wps:bodyPr upright="1"/>
                          </wps:wsp>
                        </wpg:grpSp>
                        <wpg:grpSp>
                          <wpg:cNvPr id="1267" name="组合 684"/>
                          <wpg:cNvGrpSpPr/>
                          <wpg:grpSpPr>
                            <a:xfrm rot="10800000">
                              <a:off x="7419" y="4214"/>
                              <a:ext cx="959" cy="284"/>
                              <a:chOff x="7419" y="4214"/>
                              <a:chExt cx="959" cy="284"/>
                            </a:xfrm>
                          </wpg:grpSpPr>
                          <wps:wsp>
                            <wps:cNvPr id="1264" name="直线 3689"/>
                            <wps:cNvCnPr/>
                            <wps:spPr>
                              <a:xfrm flipH="1">
                                <a:off x="7427" y="4227"/>
                                <a:ext cx="1" cy="271"/>
                              </a:xfrm>
                              <a:prstGeom prst="line">
                                <a:avLst/>
                              </a:prstGeom>
                              <a:ln w="3175" cap="flat" cmpd="sng">
                                <a:solidFill>
                                  <a:srgbClr val="000000"/>
                                </a:solidFill>
                                <a:prstDash val="solid"/>
                                <a:headEnd type="none" w="med" len="med"/>
                                <a:tailEnd type="triangle" w="med" len="med"/>
                              </a:ln>
                            </wps:spPr>
                            <wps:bodyPr upright="1"/>
                          </wps:wsp>
                          <wps:wsp>
                            <wps:cNvPr id="1265" name="直线 3690"/>
                            <wps:cNvCnPr/>
                            <wps:spPr>
                              <a:xfrm flipH="1">
                                <a:off x="8375" y="4214"/>
                                <a:ext cx="1" cy="270"/>
                              </a:xfrm>
                              <a:prstGeom prst="line">
                                <a:avLst/>
                              </a:prstGeom>
                              <a:ln w="3175" cap="flat" cmpd="sng">
                                <a:solidFill>
                                  <a:srgbClr val="000000"/>
                                </a:solidFill>
                                <a:prstDash val="solid"/>
                                <a:headEnd type="none" w="med" len="med"/>
                                <a:tailEnd type="triangle" w="med" len="med"/>
                              </a:ln>
                            </wps:spPr>
                            <wps:bodyPr upright="1"/>
                          </wps:wsp>
                          <wps:wsp>
                            <wps:cNvPr id="1266" name="直线 3691"/>
                            <wps:cNvCnPr/>
                            <wps:spPr>
                              <a:xfrm flipV="1">
                                <a:off x="7419" y="4220"/>
                                <a:ext cx="959" cy="1"/>
                              </a:xfrm>
                              <a:prstGeom prst="line">
                                <a:avLst/>
                              </a:prstGeom>
                              <a:ln w="3175" cap="flat" cmpd="sng">
                                <a:solidFill>
                                  <a:srgbClr val="000000"/>
                                </a:solidFill>
                                <a:prstDash val="solid"/>
                                <a:headEnd type="none" w="med" len="med"/>
                                <a:tailEnd type="none" w="med" len="med"/>
                              </a:ln>
                            </wps:spPr>
                            <wps:bodyPr upright="1"/>
                          </wps:wsp>
                        </wpg:grpSp>
                        <wpg:grpSp>
                          <wpg:cNvPr id="1271" name="组合 688"/>
                          <wpg:cNvGrpSpPr/>
                          <wpg:grpSpPr>
                            <a:xfrm rot="10800000">
                              <a:off x="5621" y="4232"/>
                              <a:ext cx="960" cy="284"/>
                              <a:chOff x="5621" y="4232"/>
                              <a:chExt cx="960" cy="284"/>
                            </a:xfrm>
                          </wpg:grpSpPr>
                          <wps:wsp>
                            <wps:cNvPr id="1268" name="直线 3693"/>
                            <wps:cNvCnPr/>
                            <wps:spPr>
                              <a:xfrm flipH="1">
                                <a:off x="5629" y="4245"/>
                                <a:ext cx="1" cy="271"/>
                              </a:xfrm>
                              <a:prstGeom prst="line">
                                <a:avLst/>
                              </a:prstGeom>
                              <a:ln w="3175" cap="flat" cmpd="sng">
                                <a:solidFill>
                                  <a:srgbClr val="000000"/>
                                </a:solidFill>
                                <a:prstDash val="solid"/>
                                <a:headEnd type="none" w="med" len="med"/>
                                <a:tailEnd type="triangle" w="med" len="med"/>
                              </a:ln>
                            </wps:spPr>
                            <wps:bodyPr upright="1"/>
                          </wps:wsp>
                          <wps:wsp>
                            <wps:cNvPr id="1269" name="直线 3694"/>
                            <wps:cNvCnPr/>
                            <wps:spPr>
                              <a:xfrm flipH="1">
                                <a:off x="6577" y="4232"/>
                                <a:ext cx="1" cy="271"/>
                              </a:xfrm>
                              <a:prstGeom prst="line">
                                <a:avLst/>
                              </a:prstGeom>
                              <a:ln w="3175" cap="flat" cmpd="sng">
                                <a:solidFill>
                                  <a:srgbClr val="000000"/>
                                </a:solidFill>
                                <a:prstDash val="solid"/>
                                <a:headEnd type="none" w="med" len="med"/>
                                <a:tailEnd type="triangle" w="med" len="med"/>
                              </a:ln>
                            </wps:spPr>
                            <wps:bodyPr upright="1"/>
                          </wps:wsp>
                          <wps:wsp>
                            <wps:cNvPr id="1270" name="直线 3695"/>
                            <wps:cNvCnPr/>
                            <wps:spPr>
                              <a:xfrm flipV="1">
                                <a:off x="5621" y="4238"/>
                                <a:ext cx="960" cy="1"/>
                              </a:xfrm>
                              <a:prstGeom prst="line">
                                <a:avLst/>
                              </a:prstGeom>
                              <a:ln w="3175" cap="flat" cmpd="sng">
                                <a:solidFill>
                                  <a:srgbClr val="000000"/>
                                </a:solidFill>
                                <a:prstDash val="solid"/>
                                <a:headEnd type="none" w="med" len="med"/>
                                <a:tailEnd type="none" w="med" len="med"/>
                              </a:ln>
                            </wps:spPr>
                            <wps:bodyPr upright="1"/>
                          </wps:wsp>
                        </wpg:grpSp>
                        <wps:wsp>
                          <wps:cNvPr id="1272" name="直线 3696"/>
                          <wps:cNvCnPr/>
                          <wps:spPr>
                            <a:xfrm flipH="1">
                              <a:off x="5072" y="6140"/>
                              <a:ext cx="1" cy="361"/>
                            </a:xfrm>
                            <a:prstGeom prst="line">
                              <a:avLst/>
                            </a:prstGeom>
                            <a:ln w="3175" cap="flat" cmpd="sng">
                              <a:solidFill>
                                <a:srgbClr val="000000"/>
                              </a:solidFill>
                              <a:prstDash val="solid"/>
                              <a:headEnd type="none" w="med" len="med"/>
                              <a:tailEnd type="triangle" w="med" len="med"/>
                            </a:ln>
                          </wps:spPr>
                          <wps:bodyPr upright="1"/>
                        </wps:wsp>
                      </wpg:grpSp>
                      <wps:wsp>
                        <wps:cNvPr id="1274" name="直线 3698"/>
                        <wps:cNvCnPr/>
                        <wps:spPr>
                          <a:xfrm flipV="1">
                            <a:off x="1034" y="2095"/>
                            <a:ext cx="1642" cy="1"/>
                          </a:xfrm>
                          <a:prstGeom prst="line">
                            <a:avLst/>
                          </a:prstGeom>
                          <a:ln w="3175" cap="flat" cmpd="sng">
                            <a:solidFill>
                              <a:srgbClr val="000000"/>
                            </a:solidFill>
                            <a:prstDash val="solid"/>
                            <a:headEnd type="none" w="med" len="med"/>
                            <a:tailEnd type="none" w="med" len="med"/>
                          </a:ln>
                        </wps:spPr>
                        <wps:bodyPr upright="1"/>
                      </wps:wsp>
                    </wpg:wgp>
                  </a:graphicData>
                </a:graphic>
              </wp:anchor>
            </w:drawing>
          </mc:Choice>
          <mc:Fallback>
            <w:pict>
              <v:group id="组合 620" o:spid="_x0000_s1026" o:spt="203" style="position:absolute;left:0pt;margin-left:19.15pt;margin-top:75.95pt;height:363.7pt;width:409.35pt;mso-wrap-distance-bottom:0pt;mso-wrap-distance-top:0pt;z-index:251676672;mso-width-relative:page;mso-height-relative:page;" coordorigin="842,108" coordsize="7917,6901" o:gfxdata="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">
                <o:lock v:ext="edit" aspectratio="f"/>
                <v:group id="组合 621" o:spid="_x0000_s1026" o:spt="203" style="position:absolute;left:842;top:108;height:6901;width:7917;" coordorigin="842,108" coordsize="7917,6901" o:gfxdata="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sepg+r0AAADdAAAADwAAAAAAAAABACAAAAAiAAAAZHJzL2Rvd25yZXYueG1s&#10;UEsBAhQAFAAAAAgAh07iQDMvBZ47AAAAOQAAABUAAAAAAAAAAQAgAAAADAEAAGRycy9ncm91cHNo&#10;YXBleG1sLnhtbFBLBQYAAAAABgAGAGABAADJAwAAAAA=&#10;">
                  <o:lock v:ext="edit" aspectratio="f"/>
                  <v:group id="组合 622" o:spid="_x0000_s1026" o:spt="203" style="position:absolute;left:842;top:108;height:5088;width:7917;" coordorigin="842,108" coordsize="7917,5088" o:gfxdata="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8jl6i+AAAA3QAAAA8AAAAAAAAAAQAgAAAAIgAAAGRycy9kb3ducmV2Lnht&#10;bFBLAQIUABQAAAAIAIdO4kAzLwWeOwAAADkAAAAVAAAAAAAAAAEAIAAAAA0BAABkcnMvZ3JvdXBz&#10;aGFwZXhtbC54bWxQSwUGAAAAAAYABgBgAQAAygMAAAAA&#10;">
                    <o:lock v:ext="edit" aspectratio="f"/>
                    <v:shape id="Quad Arrow 625" o:spid="_x0000_s1026" o:spt="202" type="#_x0000_t202" style="position:absolute;left:3000;top:2171;height:510;width:2183;" fillcolor="#C6D9F1" filled="t" stroked="t" coordsize="21600,21600" o:gfxdata="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JWAa7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1.42pt,1.27mm,1.42pt,1.27mm">
                        <w:txbxContent>
                          <w:p w14:paraId="5E6E625A">
                            <w:pPr>
                              <w:pStyle w:val="117"/>
                            </w:pPr>
                            <w:r>
                              <w:rPr>
                                <w:rFonts w:hint="eastAsia"/>
                              </w:rPr>
                              <w:t>各职能部门</w:t>
                            </w:r>
                          </w:p>
                        </w:txbxContent>
                      </v:textbox>
                    </v:shape>
                    <v:group id="组合 624" o:spid="_x0000_s1026" o:spt="203" style="position:absolute;left:842;top:108;height:5088;width:7917;" coordorigin="842,108" coordsize="7917,5088" o:gfxdata="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BvMjO+AAAA3QAAAA8AAAAAAAAAAQAgAAAAIgAAAGRycy9kb3ducmV2Lnht&#10;bFBLAQIUABQAAAAIAIdO4kAzLwWeOwAAADkAAAAVAAAAAAAAAAEAIAAAAA0BAABkcnMvZ3JvdXBz&#10;aGFwZXhtbC54bWxQSwUGAAAAAAYABgBgAQAAygMAAAAA&#10;">
                      <o:lock v:ext="edit" aspectratio="f"/>
                      <v:shape id="Quad Arrow 627" o:spid="_x0000_s1026" o:spt="202" type="#_x0000_t202" style="position:absolute;left:3004;top:3685;height:510;width:2174;" fillcolor="#C6D9F1" filled="t" stroked="t" coordsize="21600,21600" o:gfxdata="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JfC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42pt,1.27mm,1.42pt,1.27mm">
                          <w:txbxContent>
                            <w:p w14:paraId="14794455">
                              <w:pPr>
                                <w:pStyle w:val="117"/>
                              </w:pPr>
                              <w:r>
                                <w:rPr>
                                  <w:rFonts w:hint="eastAsia"/>
                                </w:rPr>
                                <w:t>各班组文明活动人员</w:t>
                              </w:r>
                            </w:p>
                          </w:txbxContent>
                        </v:textbox>
                      </v:shape>
                      <v:shape id="Quad Arrow 628" o:spid="_x0000_s1026" o:spt="202" type="#_x0000_t202" style="position:absolute;left:2983;top:4417;height:510;width:2197;" fillcolor="#C6D9F1" filled="t" stroked="t" coordsize="21600,21600" o:gfxdata="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wvYS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42pt,1.27mm,1.42pt,1.27mm">
                          <w:txbxContent>
                            <w:p w14:paraId="7194C3D0">
                              <w:pPr>
                                <w:pStyle w:val="117"/>
                              </w:pPr>
                              <w:r>
                                <w:rPr>
                                  <w:rFonts w:hint="eastAsia"/>
                                </w:rPr>
                                <w:t>义务文明活动队</w:t>
                              </w:r>
                            </w:p>
                          </w:txbxContent>
                        </v:textbox>
                      </v:shape>
                      <v:shape id="Quad Arrow 635" o:spid="_x0000_s1026" o:spt="202" type="#_x0000_t202" style="position:absolute;left:5472;top:2429;height:1820;width:374;" fillcolor="#C6D9F1" filled="t" stroked="t" coordsize="21600,21600" o:gfxdata="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fBgf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42pt,1.27mm,1.42pt,1.27mm">
                          <w:txbxContent>
                            <w:p w14:paraId="3ED6E6FF">
                              <w:pPr>
                                <w:pStyle w:val="117"/>
                              </w:pPr>
                              <w:r>
                                <w:rPr>
                                  <w:rFonts w:hint="eastAsia"/>
                                </w:rPr>
                                <w:t>岗</w:t>
                              </w:r>
                            </w:p>
                            <w:p w14:paraId="4A46BA53">
                              <w:pPr>
                                <w:pStyle w:val="117"/>
                              </w:pPr>
                              <w:r>
                                <w:rPr>
                                  <w:rFonts w:hint="eastAsia"/>
                                </w:rPr>
                                <w:t>位</w:t>
                              </w:r>
                            </w:p>
                            <w:p w14:paraId="0BEA0523">
                              <w:pPr>
                                <w:pStyle w:val="117"/>
                              </w:pPr>
                              <w:r>
                                <w:rPr>
                                  <w:rFonts w:hint="eastAsia"/>
                                </w:rPr>
                                <w:t>责</w:t>
                              </w:r>
                            </w:p>
                            <w:p w14:paraId="39DD8829">
                              <w:pPr>
                                <w:pStyle w:val="117"/>
                              </w:pPr>
                              <w:r>
                                <w:rPr>
                                  <w:rFonts w:hint="eastAsia"/>
                                </w:rPr>
                                <w:t>任</w:t>
                              </w:r>
                            </w:p>
                            <w:p w14:paraId="554BAF34">
                              <w:pPr>
                                <w:pStyle w:val="117"/>
                              </w:pPr>
                              <w:r>
                                <w:rPr>
                                  <w:rFonts w:hint="eastAsia"/>
                                </w:rPr>
                                <w:t>制</w:t>
                              </w:r>
                            </w:p>
                          </w:txbxContent>
                        </v:textbox>
                      </v:shape>
                      <v:shape id="Quad Arrow 636" o:spid="_x0000_s1026" o:spt="202" type="#_x0000_t202" style="position:absolute;left:6374;top:2430;height:1820;width:373;" fillcolor="#C6D9F1" filled="t" stroked="t" coordsize="21600,21600" o:gfxdata="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hmi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42pt,1.27mm,1.42pt,1.27mm">
                          <w:txbxContent>
                            <w:p w14:paraId="2C355431">
                              <w:pPr>
                                <w:pStyle w:val="117"/>
                              </w:pPr>
                              <w:r>
                                <w:rPr>
                                  <w:rFonts w:hint="eastAsia"/>
                                </w:rPr>
                                <w:t>落</w:t>
                              </w:r>
                            </w:p>
                            <w:p w14:paraId="583F36FE">
                              <w:pPr>
                                <w:pStyle w:val="117"/>
                              </w:pPr>
                              <w:r>
                                <w:rPr>
                                  <w:rFonts w:hint="eastAsia"/>
                                </w:rPr>
                                <w:t>实</w:t>
                              </w:r>
                            </w:p>
                            <w:p w14:paraId="6F10FDBA">
                              <w:pPr>
                                <w:pStyle w:val="117"/>
                              </w:pPr>
                              <w:r>
                                <w:rPr>
                                  <w:rFonts w:hint="eastAsia"/>
                                </w:rPr>
                                <w:t>活</w:t>
                              </w:r>
                            </w:p>
                            <w:p w14:paraId="561F7C72">
                              <w:pPr>
                                <w:pStyle w:val="117"/>
                              </w:pPr>
                              <w:r>
                                <w:rPr>
                                  <w:rFonts w:hint="eastAsia"/>
                                </w:rPr>
                                <w:t>动</w:t>
                              </w:r>
                            </w:p>
                          </w:txbxContent>
                        </v:textbox>
                      </v:shape>
                      <v:shape id="Quad Arrow 644" o:spid="_x0000_s1026" o:spt="202" type="#_x0000_t202" style="position:absolute;left:7317;top:2443;height:1820;width:374;" fillcolor="#C6D9F1" filled="t" stroked="t" coordsize="21600,21600" o:gfxdata="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4iPz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42pt,1.27mm,1.42pt,1.27mm">
                          <w:txbxContent>
                            <w:p w14:paraId="1DF9C308">
                              <w:pPr>
                                <w:pStyle w:val="117"/>
                              </w:pPr>
                              <w:r>
                                <w:rPr>
                                  <w:rFonts w:hint="eastAsia"/>
                                </w:rPr>
                                <w:t>岗</w:t>
                              </w:r>
                            </w:p>
                            <w:p w14:paraId="0E8F987C">
                              <w:pPr>
                                <w:pStyle w:val="117"/>
                              </w:pPr>
                              <w:r>
                                <w:rPr>
                                  <w:rFonts w:hint="eastAsia"/>
                                </w:rPr>
                                <w:t>位</w:t>
                              </w:r>
                            </w:p>
                            <w:p w14:paraId="5476AA08">
                              <w:pPr>
                                <w:pStyle w:val="117"/>
                              </w:pPr>
                              <w:r>
                                <w:rPr>
                                  <w:rFonts w:hint="eastAsia"/>
                                </w:rPr>
                                <w:t>责</w:t>
                              </w:r>
                            </w:p>
                            <w:p w14:paraId="6B6C764B">
                              <w:pPr>
                                <w:pStyle w:val="117"/>
                              </w:pPr>
                              <w:r>
                                <w:rPr>
                                  <w:rFonts w:hint="eastAsia"/>
                                </w:rPr>
                                <w:t>任</w:t>
                              </w:r>
                            </w:p>
                            <w:p w14:paraId="20E8A67A">
                              <w:pPr>
                                <w:pStyle w:val="117"/>
                              </w:pPr>
                              <w:r>
                                <w:rPr>
                                  <w:rFonts w:hint="eastAsia"/>
                                </w:rPr>
                                <w:t>制</w:t>
                              </w:r>
                            </w:p>
                          </w:txbxContent>
                        </v:textbox>
                      </v:shape>
                      <v:shape id="Quad Arrow 645" o:spid="_x0000_s1026" o:spt="202" type="#_x0000_t202" style="position:absolute;left:8184;top:2399;height:1819;width:373;" fillcolor="#C6D9F1" filled="t" stroked="t" coordsize="21600,21600" o:gfxdata="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9t4G/&#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1.42pt,1.27mm,1.42pt,1.27mm">
                          <w:txbxContent>
                            <w:p w14:paraId="2907CE5B">
                              <w:pPr>
                                <w:pStyle w:val="117"/>
                              </w:pPr>
                              <w:r>
                                <w:rPr>
                                  <w:rFonts w:hint="eastAsia"/>
                                </w:rPr>
                                <w:t>开</w:t>
                              </w:r>
                            </w:p>
                            <w:p w14:paraId="6F2BA7FC">
                              <w:pPr>
                                <w:pStyle w:val="117"/>
                              </w:pPr>
                              <w:r>
                                <w:rPr>
                                  <w:rFonts w:hint="eastAsia"/>
                                </w:rPr>
                                <w:t>展</w:t>
                              </w:r>
                            </w:p>
                            <w:p w14:paraId="5C739458">
                              <w:pPr>
                                <w:pStyle w:val="117"/>
                              </w:pPr>
                              <w:r>
                                <w:rPr>
                                  <w:rFonts w:hint="eastAsia"/>
                                </w:rPr>
                                <w:t>活</w:t>
                              </w:r>
                            </w:p>
                            <w:p w14:paraId="4197890A">
                              <w:pPr>
                                <w:pStyle w:val="117"/>
                              </w:pPr>
                              <w:r>
                                <w:rPr>
                                  <w:rFonts w:hint="eastAsia"/>
                                </w:rPr>
                                <w:t>动</w:t>
                              </w:r>
                            </w:p>
                          </w:txbxContent>
                        </v:textbox>
                      </v:shape>
                      <v:line id="直线 3507" o:spid="_x0000_s1026" o:spt="20" style="position:absolute;left:4069;top:4180;flip:x;height:271;width:0;" filled="f" stroked="t" coordsize="21600,21600" o:gfxdata="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xLkS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08" o:spid="_x0000_s1026" o:spt="20" style="position:absolute;left:4064;top:4925;flip:x;height:271;width:1;" filled="f" stroked="t" coordsize="21600,21600" o:gfxdata="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SEQS/&#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shape id="Quad Arrow 621" o:spid="_x0000_s1026" o:spt="202" type="#_x0000_t202" style="position:absolute;left:889;top:2424;height:1820;width:373;" fillcolor="#C6D9F1" filled="t" stroked="t" coordsize="21600,21600" o:gfxdata="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eiMG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42pt,1.27mm,1.42pt,1.27mm">
                          <w:txbxContent>
                            <w:p w14:paraId="3600335C">
                              <w:pPr>
                                <w:pStyle w:val="117"/>
                              </w:pPr>
                              <w:r>
                                <w:rPr>
                                  <w:rFonts w:hint="eastAsia"/>
                                </w:rPr>
                                <w:t>岗</w:t>
                              </w:r>
                            </w:p>
                            <w:p w14:paraId="0B415195">
                              <w:pPr>
                                <w:pStyle w:val="117"/>
                              </w:pPr>
                              <w:r>
                                <w:rPr>
                                  <w:rFonts w:hint="eastAsia"/>
                                </w:rPr>
                                <w:t>位</w:t>
                              </w:r>
                            </w:p>
                            <w:p w14:paraId="7227FC61">
                              <w:pPr>
                                <w:pStyle w:val="117"/>
                              </w:pPr>
                              <w:r>
                                <w:rPr>
                                  <w:rFonts w:hint="eastAsia"/>
                                </w:rPr>
                                <w:t>责</w:t>
                              </w:r>
                            </w:p>
                            <w:p w14:paraId="09C919C6">
                              <w:pPr>
                                <w:pStyle w:val="117"/>
                              </w:pPr>
                              <w:r>
                                <w:rPr>
                                  <w:rFonts w:hint="eastAsia"/>
                                </w:rPr>
                                <w:t>任</w:t>
                              </w:r>
                            </w:p>
                            <w:p w14:paraId="77636792">
                              <w:pPr>
                                <w:pStyle w:val="117"/>
                              </w:pPr>
                              <w:r>
                                <w:rPr>
                                  <w:rFonts w:hint="eastAsia"/>
                                </w:rPr>
                                <w:t>制</w:t>
                              </w:r>
                            </w:p>
                          </w:txbxContent>
                        </v:textbox>
                      </v:shape>
                      <v:shape id="Quad Arrow 622" o:spid="_x0000_s1026" o:spt="202" type="#_x0000_t202" style="position:absolute;left:1637;top:2426;height:1820;width:374;" fillcolor="#C6D9F1" filled="t" stroked="t" coordsize="21600,21600" o:gfxdata="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lFiC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42pt,0mm,1.42pt,0mm">
                          <w:txbxContent>
                            <w:p w14:paraId="00FFCEE1">
                              <w:pPr>
                                <w:pStyle w:val="117"/>
                              </w:pPr>
                              <w:r>
                                <w:rPr>
                                  <w:rFonts w:hint="eastAsia"/>
                                </w:rPr>
                                <w:t>落</w:t>
                              </w:r>
                            </w:p>
                            <w:p w14:paraId="5AFFDDF7">
                              <w:pPr>
                                <w:pStyle w:val="117"/>
                              </w:pPr>
                              <w:r>
                                <w:rPr>
                                  <w:rFonts w:hint="eastAsia"/>
                                </w:rPr>
                                <w:t>实</w:t>
                              </w:r>
                            </w:p>
                            <w:p w14:paraId="0151B606">
                              <w:pPr>
                                <w:pStyle w:val="117"/>
                              </w:pPr>
                              <w:r>
                                <w:rPr>
                                  <w:rFonts w:hint="eastAsia"/>
                                </w:rPr>
                                <w:t>活</w:t>
                              </w:r>
                            </w:p>
                            <w:p w14:paraId="7144DDA2">
                              <w:pPr>
                                <w:pStyle w:val="127"/>
                                <w:spacing w:line="300" w:lineRule="exact"/>
                              </w:pPr>
                              <w:r>
                                <w:rPr>
                                  <w:rFonts w:hint="eastAsia"/>
                                </w:rPr>
                                <w:t>动</w:t>
                              </w:r>
                            </w:p>
                          </w:txbxContent>
                        </v:textbox>
                      </v:shape>
                      <v:shape id="Quad Arrow 623" o:spid="_x0000_s1026" o:spt="202" type="#_x0000_t202" style="position:absolute;left:2415;top:2424;height:1820;width:373;" fillcolor="#C6D9F1" filled="t" stroked="t" coordsize="21600,21600" o:gfxdata="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ps7u8AAAA&#10;3Q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42pt,0mm,1.42pt,0mm">
                          <w:txbxContent>
                            <w:p w14:paraId="0AB32E3C">
                              <w:pPr>
                                <w:pStyle w:val="117"/>
                              </w:pPr>
                              <w:r>
                                <w:rPr>
                                  <w:rFonts w:hint="eastAsia"/>
                                </w:rPr>
                                <w:t>文</w:t>
                              </w:r>
                            </w:p>
                            <w:p w14:paraId="56A3D59B">
                              <w:pPr>
                                <w:pStyle w:val="117"/>
                              </w:pPr>
                              <w:r>
                                <w:rPr>
                                  <w:rFonts w:hint="eastAsia"/>
                                </w:rPr>
                                <w:t>明</w:t>
                              </w:r>
                            </w:p>
                            <w:p w14:paraId="2A326CF5">
                              <w:pPr>
                                <w:pStyle w:val="117"/>
                              </w:pPr>
                              <w:r>
                                <w:rPr>
                                  <w:rFonts w:hint="eastAsia"/>
                                </w:rPr>
                                <w:t>施</w:t>
                              </w:r>
                            </w:p>
                            <w:p w14:paraId="1E1D0CD7">
                              <w:pPr>
                                <w:pStyle w:val="117"/>
                              </w:pPr>
                              <w:r>
                                <w:rPr>
                                  <w:rFonts w:hint="eastAsia"/>
                                </w:rPr>
                                <w:t>工</w:t>
                              </w:r>
                            </w:p>
                            <w:p w14:paraId="458D3F7E">
                              <w:pPr>
                                <w:pStyle w:val="117"/>
                              </w:pPr>
                              <w:r>
                                <w:rPr>
                                  <w:rFonts w:hint="eastAsia"/>
                                </w:rPr>
                                <w:t>奖</w:t>
                              </w:r>
                            </w:p>
                            <w:p w14:paraId="0A82EDA1">
                              <w:pPr>
                                <w:pStyle w:val="117"/>
                                <w:spacing w:line="260" w:lineRule="exact"/>
                              </w:pPr>
                              <w:r>
                                <w:rPr>
                                  <w:rFonts w:hint="eastAsia"/>
                                </w:rPr>
                                <w:t>惩</w:t>
                              </w:r>
                            </w:p>
                          </w:txbxContent>
                        </v:textbox>
                      </v:shape>
                      <v:shape id="Quad Arrow 626" o:spid="_x0000_s1026" o:spt="202" type="#_x0000_t202" style="position:absolute;left:2959;top:2932;height:510;width:2175;" fillcolor="#C6D9F1" filled="t" stroked="t" coordsize="21600,21600" o:gfxdata="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ekrWb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1.42pt,1.27mm,1.42pt,1.27mm">
                          <w:txbxContent>
                            <w:p w14:paraId="4E6A8DEA">
                              <w:pPr>
                                <w:pStyle w:val="117"/>
                              </w:pPr>
                              <w:r>
                                <w:rPr>
                                  <w:rFonts w:hint="eastAsia"/>
                                </w:rPr>
                                <w:t>各级文明施工监察员</w:t>
                              </w:r>
                            </w:p>
                          </w:txbxContent>
                        </v:textbox>
                      </v:shape>
                      <v:group id="组合 637" o:spid="_x0000_s1026" o:spt="203" style="position:absolute;left:5628;top:2161;height:285;width:960;" coordorigin="5628,2161" coordsize="960,285" o:gfxdata="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YpEXK8AAAADdAAAADwAAAAAAAAABACAAAAAiAAAAZHJzL2Rvd25yZXYu&#10;eG1sUEsBAhQAFAAAAAgAh07iQDMvBZ47AAAAOQAAABUAAAAAAAAAAQAgAAAADwEAAGRycy9ncm91&#10;cHNoYXBleG1sLnhtbFBLBQYAAAAABgAGAGABAADMAwAAAAA=&#10;">
                        <o:lock v:ext="edit" aspectratio="f"/>
                        <v:line id="直线 3669" o:spid="_x0000_s1026" o:spt="20" style="position:absolute;left:5637;top:2174;flip:x;height:272;width:1;" filled="f" stroked="t" coordsize="21600,21600" o:gfxdata="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lspy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70" o:spid="_x0000_s1026" o:spt="20" style="position:absolute;left:6584;top:2161;flip:x;height:271;width:1;" filled="f" stroked="t" coordsize="21600,21600" o:gfxdata="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3LOu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71" o:spid="_x0000_s1026" o:spt="20" style="position:absolute;left:5628;top:2167;flip:y;height:2;width:960;" filled="f" stroked="t" coordsize="21600,21600" o:gfxdata="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bElxL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group>
                      <v:group id="组合 641" o:spid="_x0000_s1026" o:spt="203" style="position:absolute;left:842;top:108;height:2102;width:7917;" coordorigin="842,108" coordsize="7917,2102" o:gfxdata="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Mcl5NW7AAAA3QAAAA8AAAAAAAAAAQAgAAAAIgAAAGRycy9kb3ducmV2LnhtbFBL&#10;AQIUABQAAAAIAIdO4kAzLwWeOwAAADkAAAAVAAAAAAAAAAEAIAAAAAoBAABkcnMvZ3JvdXBzaGFw&#10;ZXhtbC54bWxQSwUGAAAAAAYABgBgAQAAxwMAAAAA&#10;">
                        <o:lock v:ext="edit" aspectratio="f"/>
                        <v:shape id="Quad Arrow 612" o:spid="_x0000_s1026" o:spt="202" type="#_x0000_t202" style="position:absolute;left:842;top:1358;height:510;width:2098;" fillcolor="#C6D9F1" filled="t" stroked="t" coordsize="21600,21600" o:gfxdata="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6ITH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42pt,1.27mm,1.42pt,1.27mm">
                            <w:txbxContent>
                              <w:p w14:paraId="242376E2">
                                <w:pPr>
                                  <w:pStyle w:val="117"/>
                                </w:pPr>
                                <w:r>
                                  <w:rPr>
                                    <w:rFonts w:hint="eastAsia"/>
                                  </w:rPr>
                                  <w:t>文明施工责任制</w:t>
                                </w:r>
                              </w:p>
                            </w:txbxContent>
                          </v:textbox>
                        </v:shape>
                        <v:shape id="Quad Arrow 613" o:spid="_x0000_s1026" o:spt="202" type="#_x0000_t202" style="position:absolute;left:3133;top:1380;height:510;width:1983;" fillcolor="#C6D9F1" filled="t" stroked="t" coordsize="21600,21600" o:gfxdata="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5+e/&#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1.42pt,1.27mm,1.42pt,1.27mm">
                            <w:txbxContent>
                              <w:p w14:paraId="2103AD96">
                                <w:pPr>
                                  <w:pStyle w:val="117"/>
                                </w:pPr>
                                <w:r>
                                  <w:rPr>
                                    <w:rFonts w:hint="eastAsia"/>
                                  </w:rPr>
                                  <w:t>文明施工管理制度</w:t>
                                </w:r>
                              </w:p>
                            </w:txbxContent>
                          </v:textbox>
                        </v:shape>
                        <v:shape id="Quad Arrow 614" o:spid="_x0000_s1026" o:spt="202" type="#_x0000_t202" style="position:absolute;left:5336;top:1374;height:521;width:1493;" fillcolor="#C6D9F1" filled="t" stroked="t" coordsize="21600,21600" o:gfxdata="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JCfL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1.42pt,1.27mm,1.42pt,1.27mm">
                            <w:txbxContent>
                              <w:p w14:paraId="443C03E9">
                                <w:pPr>
                                  <w:pStyle w:val="117"/>
                                </w:pPr>
                                <w:r>
                                  <w:rPr>
                                    <w:rFonts w:hint="eastAsia"/>
                                  </w:rPr>
                                  <w:t>文明施工教育</w:t>
                                </w:r>
                              </w:p>
                            </w:txbxContent>
                          </v:textbox>
                        </v:shape>
                        <v:shape id="Quad Arrow 615" o:spid="_x0000_s1026" o:spt="202" type="#_x0000_t202" style="position:absolute;left:7106;top:1373;height:510;width:1653;" fillcolor="#C6D9F1" filled="t" stroked="t" coordsize="21600,21600" o:gfxdata="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INwL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42pt,1.27mm,1.42pt,1.27mm">
                            <w:txbxContent>
                              <w:p w14:paraId="70752105">
                                <w:pPr>
                                  <w:pStyle w:val="117"/>
                                </w:pPr>
                                <w:r>
                                  <w:rPr>
                                    <w:rFonts w:hint="eastAsia"/>
                                  </w:rPr>
                                  <w:t>文明施工工作检查</w:t>
                                </w:r>
                              </w:p>
                            </w:txbxContent>
                          </v:textbox>
                        </v:shape>
                        <v:line id="直线 3652" o:spid="_x0000_s1026" o:spt="20" style="position:absolute;left:6114;top:1936;flip:x;height:274;width:1;" filled="f" stroked="t" coordsize="21600,21600" o:gfxdata="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sRc6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53" o:spid="_x0000_s1026" o:spt="20" style="position:absolute;left:8028;top:1894;flip:x;height:273;width:1;" filled="f" stroked="t" coordsize="21600,21600" o:gfxdata="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F3bq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54" o:spid="_x0000_s1026" o:spt="20" style="position:absolute;left:4060;top:1934;flip:x;height:271;width:1;" filled="f" stroked="t" coordsize="21600,21600" o:gfxdata="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JeCG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55" o:spid="_x0000_s1026" o:spt="20" style="position:absolute;left:1833;top:1888;flip:x;height:273;width:1;" filled="f" stroked="t" coordsize="21600,21600" o:gfxdata="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b5la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group id="组合 650" o:spid="_x0000_s1026" o:spt="203" style="position:absolute;left:1894;top:108;height:1282;width:6118;" coordorigin="1894,108" coordsize="6118,1282" o:gfxdata="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GlBTr0AAADdAAAADwAAAAAAAAABACAAAAAiAAAAZHJzL2Rvd25yZXYueG1s&#10;UEsBAhQAFAAAAAgAh07iQDMvBZ47AAAAOQAAABUAAAAAAAAAAQAgAAAADAEAAGRycy9ncm91cHNo&#10;YXBleG1sLnhtbFBLBQYAAAAABgAGAGABAADJAwAAAAA=&#10;">
                          <o:lock v:ext="edit" aspectratio="f"/>
                          <v:shape id="Quad Arrow 605" o:spid="_x0000_s1026" o:spt="202" type="#_x0000_t202" style="position:absolute;left:3990;top:108;height:510;width:2401;" fillcolor="#C6D9F1" filled="t" stroked="t" coordsize="21600,21600" o:gfxdata="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V3+T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42pt,1.27mm,1.42pt,1.27mm">
                              <w:txbxContent>
                                <w:p w14:paraId="35A18B3C">
                                  <w:pPr>
                                    <w:pStyle w:val="117"/>
                                  </w:pPr>
                                  <w:r>
                                    <w:rPr>
                                      <w:rFonts w:hint="eastAsia"/>
                                    </w:rPr>
                                    <w:t>项目部文明施工督查小组</w:t>
                                  </w:r>
                                </w:p>
                              </w:txbxContent>
                            </v:textbox>
                          </v:shape>
                          <v:line id="直线 3658" o:spid="_x0000_s1026" o:spt="20" style="position:absolute;left:1908;top:974;flip:y;height:1;width:6104;" filled="f" stroked="t" coordsize="21600,21600" o:gfxdata="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J7C74A&#10;AADd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f"/>
                          </v:line>
                          <v:line id="直线 3659" o:spid="_x0000_s1026" o:spt="20" style="position:absolute;left:5142;top:589;flip:x;height:409;width:1;" filled="f" stroked="t" coordsize="21600,21600" o:gfxdata="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EciS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60" o:spid="_x0000_s1026" o:spt="20" style="position:absolute;left:1894;top:956;flip:x;height:410;width:1;" filled="f" stroked="t" coordsize="21600,21600" o:gfxdata="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TWS/&#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661" o:spid="_x0000_s1026" o:spt="20" style="position:absolute;left:4049;top:958;flip:x;height:410;width:1;" filled="f" stroked="t" coordsize="21600,21600" o:gfxdata="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r6P+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62" o:spid="_x0000_s1026" o:spt="20" style="position:absolute;left:6168;top:962;flip:x;height:410;width:1;" filled="f" stroked="t" coordsize="21600,21600" o:gfxdata="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5doi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63" o:spid="_x0000_s1026" o:spt="20" style="position:absolute;left:8005;top:980;flip:x;height:410;width:1;" filled="f" stroked="t" coordsize="21600,21600" o:gfxdata="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810xO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group>
                      </v:group>
                      <v:line id="直线 3674" o:spid="_x0000_s1026" o:spt="20" style="position:absolute;left:1064;top:2140;flip:x;height:273;width:1;" filled="f" stroked="t" coordsize="21600,21600" o:gfxdata="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CcIu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79" o:spid="_x0000_s1026" o:spt="20" style="position:absolute;left:4049;top:3463;flip:x;height:271;width:1;" filled="f" stroked="t" coordsize="21600,21600" o:gfxdata="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O1RC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77" o:spid="_x0000_s1026" o:spt="20" style="position:absolute;left:1829;top:2173;flip:x;height:274;width:1;" filled="f" stroked="t" coordsize="21600,21600" o:gfxdata="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GRQWK/&#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group id="组合 661" o:spid="_x0000_s1026" o:spt="203" style="position:absolute;left:7442;top:2163;height:285;width:960;" coordorigin="7442,2163" coordsize="960,285" o:gfxdata="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MoP3L0AAADdAAAADwAAAAAAAAABACAAAAAiAAAAZHJzL2Rvd25yZXYueG1s&#10;UEsBAhQAFAAAAAgAh07iQDMvBZ47AAAAOQAAABUAAAAAAAAAAQAgAAAADAEAAGRycy9ncm91cHNo&#10;YXBleG1sLnhtbFBLBQYAAAAABgAGAGABAADJAwAAAAA=&#10;">
                        <o:lock v:ext="edit" aspectratio="f"/>
                        <v:line id="直线 3665" o:spid="_x0000_s1026" o:spt="20" style="position:absolute;left:7451;top:2177;flip:x;height:271;width:1;" filled="f" stroked="t" coordsize="21600,21600" o:gfxdata="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7d5Pm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66" o:spid="_x0000_s1026" o:spt="20" style="position:absolute;left:8398;top:2163;flip:x;height:271;width:1;" filled="f" stroked="t" coordsize="21600,21600" o:gfxdata="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hPhm/&#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667" o:spid="_x0000_s1026" o:spt="20" style="position:absolute;left:7442;top:2169;flip:y;height:2;width:960;" filled="f" stroked="t" coordsize="21600,21600" o:gfxdata="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qc3Nr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group>
                      <v:line id="直线 3673" o:spid="_x0000_s1026" o:spt="20" style="position:absolute;left:2655;top:2146;flip:x;height:273;width:1;" filled="f" stroked="t" coordsize="21600,21600" o:gfxdata="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zoG6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group>
                  </v:group>
                  <v:shape id="Quad Arrow 655" o:spid="_x0000_s1026" o:spt="202" type="#_x0000_t202" style="position:absolute;left:1033;top:5129;height:767;width:1706;" fillcolor="#C6D9F1" filled="t" stroked="t" coordsize="21600,21600" o:gfxdata="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xD+ovQAA&#10;AN0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42pt,1.27mm,1.42pt,1.27mm">
                      <w:txbxContent>
                        <w:p w14:paraId="31D24DC3">
                          <w:pPr>
                            <w:pStyle w:val="117"/>
                          </w:pPr>
                          <w:r>
                            <w:rPr>
                              <w:rFonts w:hint="eastAsia"/>
                            </w:rPr>
                            <w:t>奖惩兑现</w:t>
                          </w:r>
                        </w:p>
                      </w:txbxContent>
                    </v:textbox>
                  </v:shape>
                  <v:shape id="Quad Arrow 657" o:spid="_x0000_s1026" o:spt="202" type="#_x0000_t202" style="position:absolute;left:3152;top:5109;height:829;width:1867;" fillcolor="#C6D9F1" filled="t" stroked="t" coordsize="21600,21600" o:gfxdata="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iJozugAAAN0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1.42pt,1.27mm,1.42pt,1.27mm">
                      <w:txbxContent>
                        <w:p w14:paraId="26A13FEF">
                          <w:pPr>
                            <w:pStyle w:val="117"/>
                          </w:pPr>
                          <w:r>
                            <w:rPr>
                              <w:rFonts w:hint="eastAsia"/>
                            </w:rPr>
                            <w:t>提高文明施工</w:t>
                          </w:r>
                        </w:p>
                        <w:p w14:paraId="1A2A0AD5">
                          <w:pPr>
                            <w:pStyle w:val="117"/>
                          </w:pPr>
                          <w:r>
                            <w:rPr>
                              <w:rFonts w:hint="eastAsia"/>
                            </w:rPr>
                            <w:t>预控能力</w:t>
                          </w:r>
                        </w:p>
                      </w:txbxContent>
                    </v:textbox>
                  </v:shape>
                  <v:shape id="Quad Arrow 658" o:spid="_x0000_s1026" o:spt="202" type="#_x0000_t202" style="position:absolute;left:5256;top:5138;height:810;width:1440;" fillcolor="#C6D9F1" filled="t" stroked="t" coordsize="21600,21600" o:gfxdata="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cXDkG/&#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1.42pt,1.27mm,1.42pt,1.27mm">
                      <w:txbxContent>
                        <w:p w14:paraId="5A6CC986">
                          <w:pPr>
                            <w:pStyle w:val="117"/>
                          </w:pPr>
                          <w:r>
                            <w:rPr>
                              <w:rFonts w:hint="eastAsia"/>
                            </w:rPr>
                            <w:t>提高文明施工</w:t>
                          </w:r>
                        </w:p>
                        <w:p w14:paraId="0FAE8967">
                          <w:pPr>
                            <w:pStyle w:val="117"/>
                          </w:pPr>
                          <w:r>
                            <w:rPr>
                              <w:rFonts w:hint="eastAsia"/>
                            </w:rPr>
                            <w:t>意识与能力</w:t>
                          </w:r>
                        </w:p>
                      </w:txbxContent>
                    </v:textbox>
                  </v:shape>
                  <v:shape id="Quad Arrow 659" o:spid="_x0000_s1026" o:spt="202" type="#_x0000_t202" style="position:absolute;left:7108;top:5145;height:786;width:1547;" fillcolor="#C6D9F1" filled="t" stroked="t" coordsize="21600,21600" o:gfxdata="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ur2rsAAADd&#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1.42pt,1.27mm,1.42pt,1.27mm">
                      <w:txbxContent>
                        <w:p w14:paraId="4B4E02A8">
                          <w:pPr>
                            <w:pStyle w:val="117"/>
                          </w:pPr>
                          <w:r>
                            <w:rPr>
                              <w:rFonts w:hint="eastAsia"/>
                            </w:rPr>
                            <w:t>消除不文明施工</w:t>
                          </w:r>
                        </w:p>
                      </w:txbxContent>
                    </v:textbox>
                  </v:shape>
                  <v:shape id="Quad Arrow 667" o:spid="_x0000_s1026" o:spt="202" type="#_x0000_t202" style="position:absolute;left:4082;top:6476;height:533;width:2026;" fillcolor="#C6D9F1" filled="t" stroked="t" coordsize="21600,21600" o:gfxdata="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4lJq/&#10;AAAA3Q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inset="1.42pt,1.27mm,1.42pt,1.27mm">
                      <w:txbxContent>
                        <w:p w14:paraId="32525333">
                          <w:pPr>
                            <w:pStyle w:val="117"/>
                          </w:pPr>
                          <w:r>
                            <w:rPr>
                              <w:rFonts w:hint="eastAsia"/>
                            </w:rPr>
                            <w:t>实现文明施工目标</w:t>
                          </w:r>
                        </w:p>
                      </w:txbxContent>
                    </v:textbox>
                  </v:shape>
                  <v:line id="直线 3489" o:spid="_x0000_s1026" o:spt="20" style="position:absolute;left:1782;top:6164;flip:y;height:1;width:6081;" filled="f" stroked="t" coordsize="21600,21600" o:gfxdata="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d+oeu8AAAA&#10;3Q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线 3509" o:spid="_x0000_s1026" o:spt="20" style="position:absolute;left:7900;top:4493;flip:x;height:684;width:1;" filled="f" stroked="t" coordsize="21600,21600" o:gfxdata="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mkyi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10" o:spid="_x0000_s1026" o:spt="20" style="position:absolute;left:4071;top:5925;flip:x;height:271;width:1;" filled="f" stroked="t" coordsize="21600,21600" o:gfxdata="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qNrO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11" o:spid="_x0000_s1026" o:spt="20" style="position:absolute;left:6019;top:5929;flip:x;height:271;width:1;" filled="f" stroked="t" coordsize="21600,21600" o:gfxdata="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0Drse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17" o:spid="_x0000_s1026" o:spt="20" style="position:absolute;left:1853;top:4493;flip:x;height:684;width:1;" filled="f" stroked="t" coordsize="21600,21600" o:gfxdata="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JPC1y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21" o:spid="_x0000_s1026" o:spt="20" style="position:absolute;left:7880;top:5907;flip:x;height:271;width:1;" filled="f" stroked="t" coordsize="21600,21600" o:gfxdata="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KdlSu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22" o:spid="_x0000_s1026" o:spt="20" style="position:absolute;left:1830;top:5901;flip:x;height:271;width:1;" filled="f" stroked="t" coordsize="21600,21600" o:gfxdata="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RMLC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524" o:spid="_x0000_s1026" o:spt="20" style="position:absolute;left:6049;top:4533;flip:x;height:615;width:1;" filled="f" stroked="t" coordsize="21600,21600" o:gfxdata="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OpMK/&#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group id="组合 679" o:spid="_x0000_s1026" o:spt="203" style="position:absolute;left:1030;top:4202;height:312;width:1605;rotation:11796480f;" coordorigin="1030,4202" coordsize="1605,312" o:gfxdata="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JaEDG7AAAA3QAAAA8AAAAAAAAAAQAgAAAAIgAAAGRycy9kb3ducmV2LnhtbFBL&#10;AQIUABQAAAAIAIdO4kAzLwWeOwAAADkAAAAVAAAAAAAAAAEAIAAAAAoBAABkcnMvZ3JvdXBzaGFw&#10;ZXhtbC54bWxQSwUGAAAAAAYABgBgAQAAxwMAAAAA&#10;">
                    <o:lock v:ext="edit" aspectratio="f"/>
                    <v:line id="直线 3684" o:spid="_x0000_s1026" o:spt="20" style="position:absolute;left:1030;top:4202;flip:y;height:1;width:1600;" filled="f" stroked="t" coordsize="21600,21600" o:gfxdata="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Qit7b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线 3685" o:spid="_x0000_s1026" o:spt="20" style="position:absolute;left:1042;top:4206;flip:x;height:274;width:1;" filled="f" stroked="t" coordsize="21600,21600" o:gfxdata="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xUYnm/&#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686" o:spid="_x0000_s1026" o:spt="20" style="position:absolute;left:1808;top:4240;flip:x;height:274;width:1;" filled="f" stroked="t" coordsize="21600,21600" o:gfxdata="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Yx+K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87" o:spid="_x0000_s1026" o:spt="20" style="position:absolute;left:2634;top:4213;flip:x;height:273;width:1;" filled="f" stroked="t" coordsize="21600,21600" o:gfxdata="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KWZW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group>
                  <v:group id="组合 684" o:spid="_x0000_s1026" o:spt="203" style="position:absolute;left:7419;top:4214;height:284;width:959;rotation:11796480f;" coordorigin="7419,4214" coordsize="959,284" o:gfxdata="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1hFjK7AAAA3QAAAA8AAAAAAAAAAQAgAAAAIgAAAGRycy9kb3ducmV2LnhtbFBL&#10;AQIUABQAAAAIAIdO4kAzLwWeOwAAADkAAAAVAAAAAAAAAAEAIAAAAAoBAABkcnMvZ3JvdXBzaGFw&#10;ZXhtbC54bWxQSwUGAAAAAAYABgBgAQAAxwMAAAAA&#10;">
                    <o:lock v:ext="edit" aspectratio="f"/>
                    <v:line id="直线 3689" o:spid="_x0000_s1026" o:spt="20" style="position:absolute;left:7427;top:4227;flip:x;height:271;width:1;" filled="f" stroked="t" coordsize="21600,21600" o:gfxdata="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vZHq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90" o:spid="_x0000_s1026" o:spt="20" style="position:absolute;left:8375;top:4214;flip:x;height:270;width:1;" filled="f" stroked="t" coordsize="21600,21600" o:gfxdata="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jweG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91" o:spid="_x0000_s1026" o:spt="20" style="position:absolute;left:7419;top:4220;flip:y;height:1;width:959;" filled="f" stroked="t" coordsize="21600,21600" o:gfxdata="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vvzIr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group>
                  <v:group id="组合 688" o:spid="_x0000_s1026" o:spt="203" style="position:absolute;left:5621;top:4232;height:284;width:960;rotation:11796480f;" coordorigin="5621,4232" coordsize="960,284" o:gfxdata="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B29AL0AAADdAAAADwAAAAAAAAABACAAAAAiAAAAZHJzL2Rvd25yZXYueG1s&#10;UEsBAhQAFAAAAAgAh07iQDMvBZ47AAAAOQAAABUAAAAAAAAAAQAgAAAADAEAAGRycy9ncm91cHNo&#10;YXBleG1sLnhtbFBLBQYAAAAABgAGAGABAADJAwAAAAA=&#10;">
                    <o:lock v:ext="edit" aspectratio="f"/>
                    <v:line id="直线 3693" o:spid="_x0000_s1026" o:spt="20" style="position:absolute;left:5629;top:4245;flip:x;height:271;width:1;" filled="f" stroked="t" coordsize="21600,21600" o:gfxdata="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ibn+/&#10;AAAA3Q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3694" o:spid="_x0000_s1026" o:spt="20" style="position:absolute;left:6577;top:4232;flip:x;height:271;width:1;" filled="f" stroked="t" coordsize="21600,21600" o:gfxdata="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1uy+S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3695" o:spid="_x0000_s1026" o:spt="20" style="position:absolute;left:5621;top:4238;flip:y;height:1;width:960;" filled="f" stroked="t" coordsize="21600,21600" o:gfxdata="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OHWBC/&#10;AAAA3Q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group>
                  <v:line id="直线 3696" o:spid="_x0000_s1026" o:spt="20" style="position:absolute;left:5072;top:6140;flip:x;height:361;width:1;" filled="f" stroked="t" coordsize="21600,21600" o:gfxdata="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Tz0i8AAAA&#10;3Q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group>
                <v:line id="直线 3698" o:spid="_x0000_s1026" o:spt="20" style="position:absolute;left:1034;top:2095;flip:y;height:1;width:1642;" filled="f" stroked="t" coordsize="21600,21600" o:gfxdata="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LxeE7sAAADd&#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w10:wrap type="topAndBottom"/>
              </v:group>
            </w:pict>
          </mc:Fallback>
        </mc:AlternateContent>
      </w:r>
      <w:r>
        <w:rPr>
          <w:rFonts w:hint="eastAsia" w:ascii="宋体" w:hAnsi="宋体" w:eastAsia="宋体" w:cs="宋体"/>
          <w:lang w:val="en-US" w:eastAsia="zh-CN"/>
        </w:rPr>
        <w:t>本合同段工程施工中我公司将严格遵守国家和福建省、福清市的相关规章制度，并结合本工程实际情况，各工程队文明施工小组成员明确分工，落实现场文明施工责任区，制定相应管理办法和考核办法，确保现场文明施工管理有章可循。</w:t>
      </w:r>
      <w:bookmarkStart w:id="2712" w:name="_Toc392933581"/>
      <w:bookmarkStart w:id="2713" w:name="_Toc392165666"/>
      <w:bookmarkStart w:id="2714" w:name="_Toc10108"/>
    </w:p>
    <w:p w14:paraId="0450A9BD">
      <w:pPr>
        <w:pStyle w:val="46"/>
      </w:pPr>
    </w:p>
    <w:p w14:paraId="62DEECA4">
      <w:pPr>
        <w:pStyle w:val="46"/>
        <w:ind w:left="0" w:leftChars="0" w:firstLine="0" w:firstLineChars="0"/>
      </w:pPr>
    </w:p>
    <w:p w14:paraId="0A109AA8">
      <w:pPr>
        <w:ind w:firstLine="482"/>
        <w:rPr>
          <w:b/>
          <w:bCs/>
        </w:rPr>
      </w:pPr>
      <w:r>
        <w:rPr>
          <w:rFonts w:hint="eastAsia"/>
          <w:b/>
          <w:bCs/>
        </w:rPr>
        <w:t>文明施工管理领导小组</w:t>
      </w:r>
    </w:p>
    <w:p w14:paraId="08BC8CEA">
      <w:pPr>
        <w:ind w:firstLine="480"/>
        <w:rPr>
          <w:rFonts w:hint="default" w:ascii="宋体" w:hAnsi="宋体" w:eastAsia="宋体" w:cs="宋体"/>
          <w:lang w:val="en-US" w:eastAsia="zh-CN"/>
        </w:rPr>
      </w:pPr>
      <w:bookmarkStart w:id="2715" w:name="_Toc19502"/>
      <w:bookmarkStart w:id="2716" w:name="_Toc3778"/>
      <w:bookmarkStart w:id="2717" w:name="_Toc4533"/>
      <w:bookmarkStart w:id="2718" w:name="_Toc29778"/>
      <w:bookmarkStart w:id="2719" w:name="_Toc2514"/>
      <w:bookmarkStart w:id="2720" w:name="_Toc13578"/>
      <w:r>
        <w:rPr>
          <w:rFonts w:hint="eastAsia" w:ascii="宋体" w:hAnsi="宋体" w:eastAsia="宋体" w:cs="宋体"/>
          <w:lang w:val="en-US" w:eastAsia="zh-CN"/>
        </w:rPr>
        <w:t>组  长：</w:t>
      </w:r>
      <w:r>
        <w:rPr>
          <w:rFonts w:hint="eastAsia" w:ascii="宋体" w:hAnsi="宋体" w:cs="宋体"/>
          <w:lang w:val="en-US" w:eastAsia="zh-CN"/>
        </w:rPr>
        <w:t>李令举</w:t>
      </w:r>
    </w:p>
    <w:p w14:paraId="0AF8AF5E">
      <w:pPr>
        <w:ind w:firstLine="480"/>
        <w:rPr>
          <w:rFonts w:hint="eastAsia" w:ascii="宋体" w:hAnsi="宋体" w:eastAsia="宋体" w:cs="宋体"/>
          <w:lang w:val="en-US" w:eastAsia="zh-CN"/>
        </w:rPr>
      </w:pPr>
      <w:r>
        <w:rPr>
          <w:rFonts w:hint="eastAsia" w:ascii="宋体" w:hAnsi="宋体" w:eastAsia="宋体" w:cs="宋体"/>
          <w:lang w:val="en-US" w:eastAsia="zh-CN"/>
        </w:rPr>
        <w:t>副组长：</w:t>
      </w:r>
      <w:r>
        <w:rPr>
          <w:rFonts w:hint="eastAsia" w:ascii="宋体" w:hAnsi="宋体" w:cs="宋体"/>
          <w:lang w:val="en-US" w:eastAsia="zh-CN"/>
        </w:rPr>
        <w:t>王 磊</w:t>
      </w:r>
      <w:r>
        <w:rPr>
          <w:rFonts w:hint="eastAsia" w:ascii="宋体" w:hAnsi="宋体" w:eastAsia="宋体" w:cs="宋体"/>
          <w:lang w:val="en-US" w:eastAsia="zh-CN"/>
        </w:rPr>
        <w:t>、陈  天、刘重阳</w:t>
      </w:r>
    </w:p>
    <w:p w14:paraId="2C02D9EE">
      <w:pPr>
        <w:ind w:firstLine="480"/>
        <w:rPr>
          <w:rFonts w:hint="eastAsia" w:ascii="宋体" w:hAnsi="宋体" w:eastAsia="宋体" w:cs="宋体"/>
        </w:rPr>
      </w:pPr>
      <w:r>
        <w:rPr>
          <w:rFonts w:hint="eastAsia" w:ascii="宋体" w:hAnsi="宋体" w:eastAsia="宋体" w:cs="宋体"/>
          <w:lang w:val="en-US" w:eastAsia="zh-CN"/>
        </w:rPr>
        <w:t>组  员：</w:t>
      </w:r>
      <w:r>
        <w:rPr>
          <w:rFonts w:hint="eastAsia" w:ascii="宋体" w:hAnsi="宋体" w:cs="宋体"/>
          <w:lang w:val="en-US" w:eastAsia="zh-CN"/>
        </w:rPr>
        <w:t>费露、王帅军、叶卫卫、沈志伟、乔迈、陈建、孙阿伟、阙胜永</w:t>
      </w:r>
    </w:p>
    <w:p w14:paraId="21438C7E">
      <w:pPr>
        <w:ind w:firstLine="482"/>
        <w:rPr>
          <w:b/>
          <w:bCs/>
        </w:rPr>
      </w:pPr>
      <w:r>
        <w:rPr>
          <w:rFonts w:hint="eastAsia"/>
          <w:b/>
          <w:bCs/>
        </w:rPr>
        <w:t>（二）加强思想政治工作</w:t>
      </w:r>
      <w:bookmarkEnd w:id="2712"/>
      <w:bookmarkEnd w:id="2713"/>
      <w:bookmarkEnd w:id="2714"/>
      <w:bookmarkEnd w:id="2715"/>
      <w:bookmarkEnd w:id="2716"/>
      <w:bookmarkEnd w:id="2717"/>
      <w:bookmarkEnd w:id="2718"/>
      <w:bookmarkEnd w:id="2719"/>
      <w:bookmarkEnd w:id="2720"/>
    </w:p>
    <w:p w14:paraId="4C8CA79E">
      <w:pPr>
        <w:ind w:firstLine="480"/>
        <w:rPr>
          <w:rFonts w:hint="eastAsia" w:ascii="宋体" w:hAnsi="宋体" w:eastAsia="宋体" w:cs="宋体"/>
        </w:rPr>
      </w:pPr>
      <w:r>
        <w:rPr>
          <w:rFonts w:hint="eastAsia" w:ascii="宋体" w:hAnsi="宋体" w:eastAsia="宋体" w:cs="宋体"/>
        </w:rPr>
        <w:t>加强思想政治工作，针对福建省及</w:t>
      </w:r>
      <w:r>
        <w:rPr>
          <w:rFonts w:hint="eastAsia" w:ascii="宋体" w:hAnsi="宋体" w:eastAsia="宋体" w:cs="宋体"/>
          <w:lang w:val="en-US" w:eastAsia="zh-CN"/>
        </w:rPr>
        <w:t>福清</w:t>
      </w:r>
      <w:r>
        <w:rPr>
          <w:rFonts w:hint="eastAsia" w:ascii="宋体" w:hAnsi="宋体" w:eastAsia="宋体" w:cs="宋体"/>
        </w:rPr>
        <w:t>市对环境保护及文明施工要求开展文明施工宣传活动，使全员增强文明规范化施工意识。</w:t>
      </w:r>
    </w:p>
    <w:p w14:paraId="18CB7DCD">
      <w:pPr>
        <w:ind w:firstLine="480"/>
        <w:rPr>
          <w:rFonts w:hint="eastAsia" w:ascii="宋体" w:hAnsi="宋体" w:eastAsia="宋体" w:cs="宋体"/>
        </w:rPr>
      </w:pPr>
      <w:r>
        <w:rPr>
          <w:rFonts w:hint="eastAsia" w:ascii="宋体" w:hAnsi="宋体" w:eastAsia="宋体" w:cs="宋体"/>
        </w:rPr>
        <w:t>对施工人员进行文明规范化施工教育，建立健全岗位责任制，签订文明施工责任书，把文明规范化施工责任落到实处，提高全体施工人员文明规划化施工的自觉性。</w:t>
      </w:r>
    </w:p>
    <w:p w14:paraId="4705D387">
      <w:pPr>
        <w:pStyle w:val="4"/>
        <w:numPr>
          <w:ilvl w:val="1"/>
          <w:numId w:val="0"/>
        </w:numPr>
        <w:spacing w:line="360" w:lineRule="auto"/>
        <w:ind w:firstLine="0" w:firstLineChars="0"/>
        <w:rPr>
          <w:color w:val="auto"/>
        </w:rPr>
      </w:pPr>
      <w:bookmarkStart w:id="2721" w:name="_Toc15261"/>
      <w:bookmarkStart w:id="2722" w:name="_Toc11010"/>
      <w:bookmarkStart w:id="2723" w:name="_Toc392165667"/>
      <w:bookmarkStart w:id="2724" w:name="_Toc12227"/>
      <w:bookmarkStart w:id="2725" w:name="_Toc436"/>
      <w:bookmarkStart w:id="2726" w:name="_Toc25793"/>
      <w:bookmarkStart w:id="2727" w:name="_Toc13650"/>
      <w:bookmarkStart w:id="2728" w:name="_Toc13126"/>
      <w:bookmarkStart w:id="2729" w:name="_Toc5822"/>
      <w:bookmarkStart w:id="2730" w:name="_Toc11880"/>
      <w:bookmarkStart w:id="2731" w:name="_Toc2806"/>
      <w:bookmarkStart w:id="2732" w:name="_Toc23159"/>
      <w:bookmarkStart w:id="2733" w:name="_Toc392933582"/>
      <w:bookmarkStart w:id="2734" w:name="_Toc909"/>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6</w:t>
      </w:r>
      <w:r>
        <w:rPr>
          <w:rFonts w:hint="default" w:ascii="Arial" w:hAnsi="Arial" w:eastAsia="宋体" w:cs="Times New Roman"/>
          <w:b/>
          <w:bCs/>
          <w:color w:val="auto"/>
          <w:kern w:val="2"/>
          <w:sz w:val="32"/>
          <w:szCs w:val="32"/>
          <w:lang w:val="en-US" w:eastAsia="zh-CN" w:bidi="ar-SA"/>
        </w:rPr>
        <w:t>.3.</w:t>
      </w:r>
      <w:r>
        <w:rPr>
          <w:rFonts w:hint="eastAsia"/>
          <w:color w:val="auto"/>
        </w:rPr>
        <w:t>文明施工技术措施</w:t>
      </w:r>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p>
    <w:p w14:paraId="588BDA01">
      <w:pPr>
        <w:ind w:firstLine="482"/>
        <w:rPr>
          <w:b/>
          <w:bCs/>
        </w:rPr>
      </w:pPr>
      <w:r>
        <w:rPr>
          <w:rFonts w:hint="eastAsia"/>
          <w:b/>
          <w:bCs/>
        </w:rPr>
        <w:t>一、基本措施</w:t>
      </w:r>
    </w:p>
    <w:p w14:paraId="2C80B05F">
      <w:pPr>
        <w:ind w:firstLine="480"/>
        <w:rPr>
          <w:rFonts w:hint="eastAsia" w:ascii="宋体" w:hAnsi="宋体" w:eastAsia="宋体" w:cs="宋体"/>
        </w:rPr>
      </w:pPr>
      <w:r>
        <w:rPr>
          <w:rFonts w:hint="eastAsia" w:ascii="宋体" w:hAnsi="宋体" w:eastAsia="宋体" w:cs="宋体"/>
        </w:rPr>
        <w:t>1、认真按照</w:t>
      </w:r>
      <w:r>
        <w:rPr>
          <w:rFonts w:hint="eastAsia" w:ascii="宋体" w:hAnsi="宋体" w:eastAsia="宋体" w:cs="宋体"/>
          <w:lang w:val="en-US" w:eastAsia="zh-CN"/>
        </w:rPr>
        <w:t>福清</w:t>
      </w:r>
      <w:r>
        <w:rPr>
          <w:rFonts w:hint="eastAsia" w:ascii="宋体" w:hAnsi="宋体" w:eastAsia="宋体" w:cs="宋体"/>
        </w:rPr>
        <w:t>市政府建设文明城市的有关法规规定要求教育全体参加施工的干部和工人做文明人、行文明事。施工现场设立“一图五牌”，做好宣传教育工作。</w:t>
      </w:r>
    </w:p>
    <w:p w14:paraId="2E29A5A7">
      <w:pPr>
        <w:ind w:firstLine="480"/>
        <w:rPr>
          <w:rFonts w:hint="eastAsia" w:ascii="宋体" w:hAnsi="宋体" w:eastAsia="宋体" w:cs="宋体"/>
        </w:rPr>
      </w:pPr>
      <w:r>
        <w:rPr>
          <w:rFonts w:hint="eastAsia" w:ascii="宋体" w:hAnsi="宋体" w:eastAsia="宋体" w:cs="宋体"/>
        </w:rPr>
        <w:t>2、开工前按总体平面规划好场地认真搞好现场规划，做到布局合理，井然有序，尽量少占或不占农田、材料的堆放和机械设备的停放位置以及废弃物的堆放场地等，考虑周到、组织严密、布设得当，并按要求办理文明施工相关手续。</w:t>
      </w:r>
    </w:p>
    <w:p w14:paraId="3EEFBC52">
      <w:pPr>
        <w:ind w:firstLine="480"/>
        <w:rPr>
          <w:rFonts w:hint="eastAsia" w:ascii="宋体" w:hAnsi="宋体" w:eastAsia="宋体" w:cs="宋体"/>
        </w:rPr>
      </w:pPr>
      <w:r>
        <w:rPr>
          <w:rFonts w:hint="eastAsia" w:ascii="宋体" w:hAnsi="宋体" w:eastAsia="宋体" w:cs="宋体"/>
        </w:rPr>
        <w:t>3、施工现场材料堆放整齐，模板拆除后要及时整理，每道工序结束，随手进行场地清理，力求做到工完料清。</w:t>
      </w:r>
    </w:p>
    <w:p w14:paraId="2E0B5175">
      <w:pPr>
        <w:ind w:firstLine="480"/>
        <w:rPr>
          <w:rFonts w:hint="eastAsia" w:ascii="宋体" w:hAnsi="宋体" w:eastAsia="宋体" w:cs="宋体"/>
        </w:rPr>
      </w:pPr>
      <w:r>
        <w:rPr>
          <w:rFonts w:hint="eastAsia" w:ascii="宋体" w:hAnsi="宋体" w:eastAsia="宋体" w:cs="宋体"/>
        </w:rPr>
        <w:t>4、控制生产噪音，遵守当地民情风俗，不干扰周边厂区和当地村民的正常生活，搞好友邻单位及群众关系。</w:t>
      </w:r>
    </w:p>
    <w:p w14:paraId="54E5A847">
      <w:pPr>
        <w:ind w:firstLine="480"/>
        <w:rPr>
          <w:rFonts w:hint="eastAsia" w:ascii="宋体" w:hAnsi="宋体" w:eastAsia="宋体" w:cs="宋体"/>
        </w:rPr>
      </w:pPr>
      <w:r>
        <w:rPr>
          <w:rFonts w:hint="eastAsia" w:ascii="宋体" w:hAnsi="宋体" w:eastAsia="宋体" w:cs="宋体"/>
        </w:rPr>
        <w:t>5、按照环境保护的要求，对施工中的废弃物不乱倒、乱放，应集中后进行处理。施工污水根据情况经沉淀后集中排放，尤其是所区清除表层土、淤泥、垃圾等运输车辆，一定要采取有力措施，有效控制尘土飞扬，尽量减少施工期对周边农作物和村民生活的不利影响</w:t>
      </w:r>
    </w:p>
    <w:p w14:paraId="59AC0BDC">
      <w:pPr>
        <w:ind w:firstLine="480"/>
        <w:rPr>
          <w:rFonts w:hint="eastAsia" w:ascii="宋体" w:hAnsi="宋体" w:eastAsia="宋体" w:cs="宋体"/>
        </w:rPr>
      </w:pPr>
      <w:r>
        <w:rPr>
          <w:rFonts w:hint="eastAsia" w:ascii="宋体" w:hAnsi="宋体" w:eastAsia="宋体" w:cs="宋体"/>
        </w:rPr>
        <w:t>6、项目经理部施工人员与管理人员应统一着装，佩证上岗。</w:t>
      </w:r>
    </w:p>
    <w:p w14:paraId="3F19BD3D">
      <w:pPr>
        <w:ind w:firstLine="480"/>
        <w:rPr>
          <w:rFonts w:hint="eastAsia" w:ascii="宋体" w:hAnsi="宋体" w:eastAsia="宋体" w:cs="宋体"/>
        </w:rPr>
      </w:pPr>
      <w:r>
        <w:rPr>
          <w:rFonts w:hint="eastAsia" w:ascii="宋体" w:hAnsi="宋体" w:eastAsia="宋体" w:cs="宋体"/>
        </w:rPr>
        <w:t>7、现场设置醒目的安全警示标志、安全标语，施工用电设施安装规范、可靠。</w:t>
      </w:r>
    </w:p>
    <w:p w14:paraId="2FCB4E2C">
      <w:pPr>
        <w:ind w:firstLine="480"/>
        <w:rPr>
          <w:rFonts w:hint="eastAsia" w:ascii="宋体" w:hAnsi="宋体" w:eastAsia="宋体" w:cs="宋体"/>
        </w:rPr>
      </w:pPr>
      <w:r>
        <w:rPr>
          <w:rFonts w:hint="eastAsia" w:ascii="宋体" w:hAnsi="宋体" w:eastAsia="宋体" w:cs="宋体"/>
        </w:rPr>
        <w:t>8、驻地生产区及生活区分片规划，房屋布局合理，符合消防环保和卫生要求。各种设施符合安全规定，场地平整，排水畅通。</w:t>
      </w:r>
    </w:p>
    <w:p w14:paraId="65FFC590">
      <w:pPr>
        <w:ind w:firstLine="480"/>
        <w:rPr>
          <w:rFonts w:hint="eastAsia" w:ascii="宋体" w:hAnsi="宋体" w:eastAsia="宋体" w:cs="宋体"/>
        </w:rPr>
      </w:pPr>
      <w:r>
        <w:rPr>
          <w:rFonts w:hint="eastAsia" w:ascii="宋体" w:hAnsi="宋体" w:eastAsia="宋体" w:cs="宋体"/>
        </w:rPr>
        <w:t>9、机械设备、材料存放避免侵入公路限界，如需占用公路路面，应征得同意、办好有关手续后再占用，占用路面地点前后按规定设置警示牌及夜间警示灯。</w:t>
      </w:r>
    </w:p>
    <w:p w14:paraId="3FC713CD">
      <w:pPr>
        <w:ind w:firstLine="480"/>
        <w:rPr>
          <w:rFonts w:hint="eastAsia" w:ascii="宋体" w:hAnsi="宋体" w:eastAsia="宋体" w:cs="宋体"/>
        </w:rPr>
      </w:pPr>
      <w:r>
        <w:rPr>
          <w:rFonts w:hint="eastAsia" w:ascii="宋体" w:hAnsi="宋体" w:eastAsia="宋体" w:cs="宋体"/>
        </w:rPr>
        <w:t>10、机动车辆始终处于完好状态，自觉遵守交通秩序，文明驾驶。</w:t>
      </w:r>
    </w:p>
    <w:p w14:paraId="16256296">
      <w:pPr>
        <w:ind w:firstLine="480"/>
        <w:rPr>
          <w:rFonts w:hint="eastAsia" w:ascii="宋体" w:hAnsi="宋体" w:eastAsia="宋体" w:cs="宋体"/>
        </w:rPr>
      </w:pPr>
      <w:r>
        <w:rPr>
          <w:rFonts w:hint="eastAsia" w:ascii="宋体" w:hAnsi="宋体" w:eastAsia="宋体" w:cs="宋体"/>
        </w:rPr>
        <w:t>11、大型机械施工、空压机等噪音较大的施工场所，限定作业时间，保证居民有良好的休息环境。</w:t>
      </w:r>
    </w:p>
    <w:p w14:paraId="08E88C6E">
      <w:pPr>
        <w:ind w:firstLine="480"/>
        <w:rPr>
          <w:rFonts w:hint="eastAsia" w:ascii="宋体" w:hAnsi="宋体" w:eastAsia="宋体" w:cs="宋体"/>
        </w:rPr>
      </w:pPr>
      <w:r>
        <w:rPr>
          <w:rFonts w:hint="eastAsia" w:ascii="宋体" w:hAnsi="宋体" w:eastAsia="宋体" w:cs="宋体"/>
        </w:rPr>
        <w:t>12、施工场地内各种材料分类堆放整齐，挂设标牌。各级负责人及施工人员一律挂胸卡上岗。每项作业完工后，及时清理施工场地，周转材料及时返库，做到工完料净、场地清洁。</w:t>
      </w:r>
    </w:p>
    <w:p w14:paraId="649CD454">
      <w:pPr>
        <w:ind w:firstLine="482"/>
        <w:rPr>
          <w:b/>
          <w:bCs/>
        </w:rPr>
      </w:pPr>
      <w:r>
        <w:rPr>
          <w:rFonts w:hint="eastAsia"/>
          <w:b/>
          <w:bCs/>
        </w:rPr>
        <w:t>二、施工扬尘防治措施</w:t>
      </w:r>
    </w:p>
    <w:p w14:paraId="07C24989">
      <w:pPr>
        <w:ind w:firstLine="482"/>
        <w:rPr>
          <w:b/>
          <w:bCs/>
        </w:rPr>
      </w:pPr>
      <w:r>
        <w:rPr>
          <w:rFonts w:hint="eastAsia"/>
          <w:b/>
          <w:bCs/>
        </w:rPr>
        <w:t>（一）施工现场扬尘污染的来源</w:t>
      </w:r>
    </w:p>
    <w:p w14:paraId="0B0CEE68">
      <w:pPr>
        <w:ind w:firstLine="480"/>
        <w:rPr>
          <w:rFonts w:hint="eastAsia" w:ascii="宋体" w:hAnsi="宋体" w:eastAsia="宋体" w:cs="宋体"/>
        </w:rPr>
      </w:pPr>
      <w:r>
        <w:rPr>
          <w:rFonts w:hint="eastAsia" w:ascii="宋体" w:hAnsi="宋体" w:eastAsia="宋体" w:cs="宋体"/>
        </w:rPr>
        <w:t>建设工程施工的扬尘污染，是指在道路与管线施工、物料运输、物料堆放、道路保洁、泥地裸露等活动中产生粉尘颗粒物，对大气造成的污染。</w:t>
      </w:r>
    </w:p>
    <w:p w14:paraId="33DB77A0">
      <w:pPr>
        <w:ind w:firstLine="480"/>
        <w:rPr>
          <w:rFonts w:hint="eastAsia" w:ascii="宋体" w:hAnsi="宋体" w:eastAsia="宋体" w:cs="宋体"/>
        </w:rPr>
      </w:pPr>
      <w:r>
        <w:rPr>
          <w:rFonts w:hint="eastAsia" w:ascii="宋体" w:hAnsi="宋体" w:eastAsia="宋体" w:cs="宋体"/>
        </w:rPr>
        <w:t>施工现场易产生扬尘污染的物料主要有：水泥、砂石、灰土、建筑垃圾、工程渣土等。</w:t>
      </w:r>
    </w:p>
    <w:p w14:paraId="253F978C">
      <w:pPr>
        <w:ind w:firstLine="480"/>
        <w:rPr>
          <w:rFonts w:hint="eastAsia" w:ascii="宋体" w:hAnsi="宋体" w:eastAsia="宋体" w:cs="宋体"/>
        </w:rPr>
      </w:pPr>
      <w:r>
        <w:rPr>
          <w:rFonts w:hint="eastAsia" w:ascii="宋体" w:hAnsi="宋体" w:eastAsia="宋体" w:cs="宋体"/>
        </w:rPr>
        <w:t>施工现场扬尘治理措施：建设工地施工过程中，要做到“六必须、六不准”，即必须打围作业、必须硬化道路、必须设置冲洗设施、必须湿法作业、必须配齐保洁人员、必须定时清扫施工现场；不准车辆带泥出门、不准高空抛洒建渣、不准现场搅拌混凝土、不准场地积水、不准现场焚烧废弃物、不准现场堆放未覆盖的裸土。确保施工现场扬尘污染总体受控。</w:t>
      </w:r>
    </w:p>
    <w:p w14:paraId="37D71209">
      <w:pPr>
        <w:ind w:firstLine="480"/>
        <w:rPr>
          <w:rFonts w:hint="eastAsia" w:ascii="宋体" w:hAnsi="宋体" w:eastAsia="宋体" w:cs="宋体"/>
        </w:rPr>
      </w:pPr>
      <w:r>
        <w:rPr>
          <w:rFonts w:hint="eastAsia" w:ascii="宋体" w:hAnsi="宋体" w:eastAsia="宋体" w:cs="宋体"/>
        </w:rPr>
        <w:t>积极开展社会舆论监督，发动群众参与监管，设立施工扬尘举报投诉电话，接受公众对建设工程施工现场扬尘污染的举报和投诉；邀请社会热心人士担任施工扬尘整治义务监管员，对施工工地进行监督和举报。对违规制尘的工地项目名称、相关责任单位、处罚情况，各监督管理单位可以通过网站、报纸、媒体等向社会曝光公示。</w:t>
      </w:r>
    </w:p>
    <w:p w14:paraId="51CF2008">
      <w:pPr>
        <w:ind w:firstLine="480"/>
        <w:rPr>
          <w:rFonts w:hint="eastAsia" w:ascii="宋体" w:hAnsi="宋体" w:eastAsia="宋体" w:cs="宋体"/>
        </w:rPr>
      </w:pPr>
      <w:r>
        <w:rPr>
          <w:rFonts w:hint="eastAsia" w:ascii="宋体" w:hAnsi="宋体" w:eastAsia="宋体" w:cs="宋体"/>
        </w:rPr>
        <w:t>对涉及扬尘问题的作业班组进行专项防止扬尘交底，将扬尘防止工作具体落实到操作层，并建立奖罚制度以推动施工扬尘污染控制过程。项目部与作业班组签订扬尘治理目标责任书，对扬尘治理工作进行目标化管理。</w:t>
      </w:r>
    </w:p>
    <w:p w14:paraId="63C879BA">
      <w:pPr>
        <w:ind w:firstLine="482"/>
        <w:rPr>
          <w:b/>
          <w:bCs/>
        </w:rPr>
      </w:pPr>
      <w:r>
        <w:rPr>
          <w:rFonts w:hint="eastAsia"/>
          <w:b/>
          <w:bCs/>
        </w:rPr>
        <w:t>（</w:t>
      </w:r>
      <w:r>
        <w:rPr>
          <w:rFonts w:hint="eastAsia"/>
          <w:b/>
          <w:bCs/>
          <w:lang w:val="en-US" w:eastAsia="zh-CN"/>
        </w:rPr>
        <w:t>二</w:t>
      </w:r>
      <w:r>
        <w:rPr>
          <w:rFonts w:hint="eastAsia"/>
          <w:b/>
          <w:bCs/>
        </w:rPr>
        <w:t>）作业场地、施工便道硬化处理</w:t>
      </w:r>
    </w:p>
    <w:p w14:paraId="2A36B384">
      <w:pPr>
        <w:ind w:firstLine="480"/>
        <w:rPr>
          <w:rFonts w:hint="eastAsia" w:ascii="宋体" w:hAnsi="宋体" w:eastAsia="宋体" w:cs="宋体"/>
        </w:rPr>
      </w:pPr>
      <w:r>
        <w:rPr>
          <w:rFonts w:hint="eastAsia" w:ascii="宋体" w:hAnsi="宋体" w:eastAsia="宋体" w:cs="宋体"/>
        </w:rPr>
        <w:t>1、施工现场应平面布置要求做好主要道路、材料堆场、生活办公区域铺设混凝土路面工作，实行场地的硬化或绿化处理，确保无一处露土现象，以达到防尘控制要求。</w:t>
      </w:r>
    </w:p>
    <w:p w14:paraId="4F649AC6">
      <w:pPr>
        <w:ind w:firstLine="480"/>
        <w:rPr>
          <w:rFonts w:hint="eastAsia" w:ascii="宋体" w:hAnsi="宋体" w:eastAsia="宋体" w:cs="宋体"/>
        </w:rPr>
      </w:pPr>
      <w:r>
        <w:rPr>
          <w:rFonts w:hint="eastAsia" w:ascii="宋体" w:hAnsi="宋体" w:eastAsia="宋体" w:cs="宋体"/>
        </w:rPr>
        <w:t>2、工程每个区的进出口、场内施工便道和建筑材料堆放地进行硬化处理，浇筑混凝土。安排专人经常清洁、洒水降尘。</w:t>
      </w:r>
    </w:p>
    <w:p w14:paraId="6C7D4942">
      <w:pPr>
        <w:ind w:firstLine="480"/>
        <w:rPr>
          <w:rFonts w:hint="eastAsia" w:ascii="宋体" w:hAnsi="宋体" w:eastAsia="宋体" w:cs="宋体"/>
        </w:rPr>
      </w:pPr>
      <w:r>
        <w:rPr>
          <w:rFonts w:hint="eastAsia" w:ascii="宋体" w:hAnsi="宋体" w:eastAsia="宋体" w:cs="宋体"/>
        </w:rPr>
        <w:t>3、在施工场地内，设置车辆清洗设施以及配套的排水、泥浆沉淀设施；工地出入口配置冲洗用水和设备，其门内侧铺设宽度不少于3米的麻袋并加湿。运输车辆带泥轮胎进行冲洗干净后，方可驶出工地。</w:t>
      </w:r>
    </w:p>
    <w:p w14:paraId="28309C90">
      <w:pPr>
        <w:ind w:firstLine="482"/>
        <w:rPr>
          <w:b/>
          <w:bCs/>
        </w:rPr>
      </w:pPr>
      <w:r>
        <w:rPr>
          <w:rFonts w:hint="eastAsia"/>
          <w:b/>
          <w:bCs/>
        </w:rPr>
        <w:t>（</w:t>
      </w:r>
      <w:r>
        <w:rPr>
          <w:rFonts w:hint="eastAsia"/>
          <w:b/>
          <w:bCs/>
          <w:lang w:val="en-US" w:eastAsia="zh-CN"/>
        </w:rPr>
        <w:t>三</w:t>
      </w:r>
      <w:r>
        <w:rPr>
          <w:rFonts w:hint="eastAsia"/>
          <w:b/>
          <w:bCs/>
        </w:rPr>
        <w:t>）土方施工、堆放扬尘污染的控制</w:t>
      </w:r>
    </w:p>
    <w:p w14:paraId="5F3C6236">
      <w:pPr>
        <w:ind w:firstLine="480"/>
        <w:rPr>
          <w:rFonts w:hint="eastAsia" w:ascii="宋体" w:hAnsi="宋体" w:eastAsia="宋体" w:cs="宋体"/>
        </w:rPr>
      </w:pPr>
      <w:r>
        <w:rPr>
          <w:rFonts w:hint="eastAsia" w:ascii="宋体" w:hAnsi="宋体" w:eastAsia="宋体" w:cs="宋体"/>
        </w:rPr>
        <w:t>在基础土方开挖、回填施工中，主要采取移动式雾炮降尘和防止车辆泥土外泄等措施。严格按挖土施工方案中所规定的挖土流程，堆土位置及车辆出入口线路进行指挥。加强对渣土运输车辆的车况检查，指派专人随机跟车监督，保证按规定线路行运，严禁偷倒、乱倒。</w:t>
      </w:r>
    </w:p>
    <w:p w14:paraId="5FEA7DF5">
      <w:pPr>
        <w:ind w:firstLine="480"/>
        <w:rPr>
          <w:rFonts w:hint="eastAsia" w:ascii="宋体" w:hAnsi="宋体" w:eastAsia="宋体" w:cs="宋体"/>
        </w:rPr>
      </w:pPr>
      <w:r>
        <w:rPr>
          <w:rFonts w:hint="eastAsia" w:ascii="宋体" w:hAnsi="宋体" w:eastAsia="宋体" w:cs="宋体"/>
        </w:rPr>
        <w:t>在场地内堆放作回填使用土方应集中堆放。同时，在土方未干化之前，经表面整平压实后，用密目网进行覆盖。定时洒水维持湿润，以有效地控制扬尘。</w:t>
      </w:r>
    </w:p>
    <w:p w14:paraId="7BED9F54">
      <w:pPr>
        <w:ind w:firstLine="482"/>
        <w:rPr>
          <w:b/>
          <w:bCs/>
        </w:rPr>
      </w:pPr>
      <w:r>
        <w:rPr>
          <w:rFonts w:hint="eastAsia"/>
          <w:b/>
          <w:bCs/>
        </w:rPr>
        <w:t>（</w:t>
      </w:r>
      <w:r>
        <w:rPr>
          <w:rFonts w:hint="eastAsia"/>
          <w:b/>
          <w:bCs/>
          <w:lang w:val="en-US" w:eastAsia="zh-CN"/>
        </w:rPr>
        <w:t>四</w:t>
      </w:r>
      <w:r>
        <w:rPr>
          <w:rFonts w:hint="eastAsia"/>
          <w:b/>
          <w:bCs/>
        </w:rPr>
        <w:t>）道路清扫扬尘污染的控制</w:t>
      </w:r>
    </w:p>
    <w:p w14:paraId="31970220">
      <w:pPr>
        <w:ind w:firstLine="480"/>
        <w:rPr>
          <w:rFonts w:hint="eastAsia" w:ascii="宋体" w:hAnsi="宋体" w:eastAsia="宋体" w:cs="宋体"/>
        </w:rPr>
      </w:pPr>
      <w:r>
        <w:rPr>
          <w:rFonts w:hint="eastAsia" w:ascii="宋体" w:hAnsi="宋体" w:eastAsia="宋体" w:cs="宋体"/>
        </w:rPr>
        <w:t>在施工现场主要道路边、生活区域内场地适当位置安装一些水龙头，使洒水皮管、洒水车能就近使用，便于操作。道路安排专人每日对施工现场的道路进行1～2次的清扫，清扫前需进行洒水湿润，天气干燥或风力较大时，增加洒水频次，以保持路面的湿润。所产生的生活垃圾和粉尘经分类袋装后及时地投放到指定的地点。</w:t>
      </w:r>
    </w:p>
    <w:p w14:paraId="7C7EDB5A">
      <w:pPr>
        <w:ind w:firstLine="482"/>
        <w:rPr>
          <w:b/>
          <w:bCs/>
        </w:rPr>
      </w:pPr>
      <w:r>
        <w:rPr>
          <w:rFonts w:hint="eastAsia"/>
          <w:b/>
          <w:bCs/>
        </w:rPr>
        <w:t>（</w:t>
      </w:r>
      <w:r>
        <w:rPr>
          <w:rFonts w:hint="eastAsia"/>
          <w:b/>
          <w:bCs/>
          <w:lang w:val="en-US" w:eastAsia="zh-CN"/>
        </w:rPr>
        <w:t>五</w:t>
      </w:r>
      <w:r>
        <w:rPr>
          <w:rFonts w:hint="eastAsia"/>
          <w:b/>
          <w:bCs/>
        </w:rPr>
        <w:t>）运输车辆扬尘污染的控制</w:t>
      </w:r>
    </w:p>
    <w:p w14:paraId="07036C84">
      <w:pPr>
        <w:adjustRightInd w:val="0"/>
        <w:snapToGrid w:val="0"/>
        <w:ind w:firstLine="480"/>
        <w:rPr>
          <w:rFonts w:hint="eastAsia" w:ascii="宋体" w:hAnsi="宋体" w:eastAsia="宋体" w:cs="宋体"/>
          <w:lang w:val="zh-CN"/>
        </w:rPr>
      </w:pPr>
      <w:r>
        <w:rPr>
          <w:rFonts w:hint="eastAsia" w:ascii="宋体" w:hAnsi="宋体" w:eastAsia="宋体" w:cs="宋体"/>
          <w:lang w:val="zh-CN"/>
        </w:rPr>
        <w:t>运输建筑材料、垃圾和泥土等的车辆，在驶出建设施工现场之前，要加强防尘冲洗、遮蔽、清洁等工作，防止建筑垃圾、泥土的散落，污染道路和周边环境。</w:t>
      </w:r>
    </w:p>
    <w:p w14:paraId="21046902">
      <w:pPr>
        <w:adjustRightInd w:val="0"/>
        <w:snapToGrid w:val="0"/>
        <w:ind w:firstLine="480"/>
        <w:rPr>
          <w:rFonts w:hint="eastAsia" w:ascii="宋体" w:hAnsi="宋体" w:eastAsia="宋体" w:cs="宋体"/>
          <w:lang w:val="zh-CN"/>
        </w:rPr>
      </w:pPr>
      <w:r>
        <w:rPr>
          <w:rFonts w:hint="eastAsia" w:ascii="宋体" w:hAnsi="宋体" w:eastAsia="宋体" w:cs="宋体"/>
          <w:lang w:val="zh-CN"/>
        </w:rPr>
        <w:t>冲洗车辆产生的泥浆水应通过三级沉淀达到排放标准后，方可排入城市公共管网。沉淀池派专人定期进行清理，一般为2～3天清理一次。</w:t>
      </w:r>
    </w:p>
    <w:p w14:paraId="75857714">
      <w:pPr>
        <w:ind w:firstLine="482"/>
        <w:rPr>
          <w:b/>
          <w:bCs/>
        </w:rPr>
      </w:pPr>
      <w:r>
        <w:rPr>
          <w:rFonts w:hint="eastAsia"/>
          <w:b/>
          <w:bCs/>
        </w:rPr>
        <w:t>（</w:t>
      </w:r>
      <w:r>
        <w:rPr>
          <w:rFonts w:hint="eastAsia"/>
          <w:b/>
          <w:bCs/>
          <w:lang w:val="en-US" w:eastAsia="zh-CN"/>
        </w:rPr>
        <w:t>六</w:t>
      </w:r>
      <w:r>
        <w:rPr>
          <w:rFonts w:hint="eastAsia"/>
          <w:b/>
          <w:bCs/>
        </w:rPr>
        <w:t>）建筑垃圾扬尘污染的控制</w:t>
      </w:r>
    </w:p>
    <w:p w14:paraId="519E075A">
      <w:pPr>
        <w:adjustRightInd w:val="0"/>
        <w:snapToGrid w:val="0"/>
        <w:ind w:firstLine="480"/>
        <w:rPr>
          <w:rFonts w:hint="eastAsia"/>
          <w:lang w:val="zh-CN"/>
        </w:rPr>
      </w:pPr>
      <w:r>
        <w:rPr>
          <w:rFonts w:hint="eastAsia"/>
          <w:lang w:val="zh-CN"/>
        </w:rPr>
        <w:t>1、建筑施工垃圾（暴露垃圾）清扫前先洒水湿润，运输可采用密封容器、装袋清运，并派专人进行检查、监督。所清扫集中的垃圾，在现场规划场地内堆放，并适量洒水或覆盖密目网，定时清运搬离现场，以减少粉尘污染。</w:t>
      </w:r>
    </w:p>
    <w:p w14:paraId="138DA4D5">
      <w:pPr>
        <w:adjustRightInd w:val="0"/>
        <w:snapToGrid w:val="0"/>
        <w:ind w:firstLine="480"/>
        <w:rPr>
          <w:rFonts w:hint="eastAsia"/>
          <w:lang w:val="zh-CN"/>
        </w:rPr>
      </w:pPr>
      <w:r>
        <w:rPr>
          <w:rFonts w:hint="eastAsia"/>
          <w:lang w:val="zh-CN"/>
        </w:rPr>
        <w:t>2、建筑垃圾、工程渣土在48小时内不能完成清运的，在施工工地内设置临时堆放场，临时堆放场采取围挡、遮盖等防尘措施。</w:t>
      </w:r>
    </w:p>
    <w:p w14:paraId="1E8799FE">
      <w:pPr>
        <w:adjustRightInd w:val="0"/>
        <w:snapToGrid w:val="0"/>
        <w:ind w:firstLine="480"/>
        <w:rPr>
          <w:rFonts w:hint="eastAsia"/>
          <w:lang w:val="zh-CN"/>
        </w:rPr>
      </w:pPr>
      <w:r>
        <w:rPr>
          <w:rFonts w:hint="eastAsia"/>
          <w:lang w:val="zh-CN"/>
        </w:rPr>
        <w:t>3、在施工现场处置工程渣土时进行洒水或者喷淋降尘。</w:t>
      </w:r>
    </w:p>
    <w:p w14:paraId="41659041">
      <w:pPr>
        <w:adjustRightInd w:val="0"/>
        <w:snapToGrid w:val="0"/>
        <w:ind w:firstLine="480"/>
      </w:pPr>
      <w:r>
        <w:rPr>
          <w:rFonts w:hint="eastAsia"/>
          <w:lang w:val="zh-CN"/>
        </w:rPr>
        <w:t>4、施工现场堆放的渣土，堆放高度不得高于围挡高度，并采取遮盖措施。</w:t>
      </w:r>
    </w:p>
    <w:p w14:paraId="069BCAF6">
      <w:pPr>
        <w:ind w:firstLine="482"/>
        <w:rPr>
          <w:b/>
          <w:bCs/>
          <w:lang w:val="zh-CN"/>
        </w:rPr>
      </w:pPr>
      <w:r>
        <w:rPr>
          <w:rFonts w:hint="eastAsia"/>
          <w:b/>
          <w:bCs/>
        </w:rPr>
        <w:t>（</w:t>
      </w:r>
      <w:r>
        <w:rPr>
          <w:rFonts w:hint="eastAsia"/>
          <w:b/>
          <w:bCs/>
          <w:lang w:val="en-US" w:eastAsia="zh-CN"/>
        </w:rPr>
        <w:t>七</w:t>
      </w:r>
      <w:r>
        <w:rPr>
          <w:rFonts w:hint="eastAsia"/>
          <w:b/>
          <w:bCs/>
        </w:rPr>
        <w:t>）</w:t>
      </w:r>
      <w:r>
        <w:rPr>
          <w:rFonts w:hint="eastAsia"/>
          <w:b/>
          <w:bCs/>
          <w:lang w:val="zh-CN"/>
        </w:rPr>
        <w:t>施工垃圾和生活垃圾的处理措施</w:t>
      </w:r>
    </w:p>
    <w:p w14:paraId="1E835EF1">
      <w:pPr>
        <w:adjustRightInd w:val="0"/>
        <w:snapToGrid w:val="0"/>
        <w:ind w:firstLine="480"/>
        <w:rPr>
          <w:rFonts w:hint="eastAsia"/>
          <w:lang w:val="zh-CN"/>
        </w:rPr>
      </w:pPr>
      <w:r>
        <w:rPr>
          <w:rFonts w:hint="eastAsia"/>
          <w:lang w:val="zh-CN"/>
        </w:rPr>
        <w:t>（1）、对施工产生的废物料，尽量进行回收利用和处理，不会产生明显污染的废砖头、废砼、废墙体、废柱块等建筑固废，可作为填充材料，充垫场地、便道、路堤等不得随意堆存或丢弃；不能回收的一般废物送垃圾场统一处置。</w:t>
      </w:r>
    </w:p>
    <w:p w14:paraId="617B530B">
      <w:pPr>
        <w:adjustRightInd w:val="0"/>
        <w:snapToGrid w:val="0"/>
        <w:ind w:firstLine="480"/>
        <w:rPr>
          <w:rFonts w:hint="eastAsia"/>
          <w:lang w:val="zh-CN"/>
        </w:rPr>
      </w:pPr>
      <w:r>
        <w:rPr>
          <w:rFonts w:hint="eastAsia"/>
          <w:lang w:val="zh-CN"/>
        </w:rPr>
        <w:t>（2）、对运输车要加强防止洒漏的管理，要求所有运输车必须装设防止洒漏的活动挡板。为严防车辆携泥上路，应在施工场站大门口设置洗车池，对出场车辆清洗后方可上路。</w:t>
      </w:r>
    </w:p>
    <w:p w14:paraId="63DE8A01">
      <w:pPr>
        <w:adjustRightInd w:val="0"/>
        <w:snapToGrid w:val="0"/>
        <w:ind w:firstLine="480"/>
        <w:rPr>
          <w:rFonts w:hint="eastAsia"/>
          <w:lang w:val="zh-CN"/>
        </w:rPr>
      </w:pPr>
      <w:r>
        <w:rPr>
          <w:rFonts w:hint="eastAsia"/>
          <w:lang w:val="zh-CN"/>
        </w:rPr>
        <w:t>（3）、生活区垃圾应注意分类回收，分为回收垃圾、不可回收垃圾、餐厨剩余垃圾；设专人定期进行清理，并做好清运记录。</w:t>
      </w:r>
    </w:p>
    <w:p w14:paraId="45014369">
      <w:pPr>
        <w:adjustRightInd w:val="0"/>
        <w:snapToGrid w:val="0"/>
        <w:ind w:firstLine="480"/>
        <w:rPr>
          <w:rFonts w:hint="eastAsia"/>
          <w:lang w:val="zh-CN"/>
        </w:rPr>
      </w:pPr>
      <w:r>
        <w:rPr>
          <w:rFonts w:hint="eastAsia"/>
          <w:lang w:val="zh-CN"/>
        </w:rPr>
        <w:t>（4）、施工产生的垃圾和废弃物，如清理场地的表层腐植土砍伐的荆棘丛林、工程剩余的废料，应根据各自不同情况，分别处理，不得任意裸露弃置。</w:t>
      </w:r>
    </w:p>
    <w:p w14:paraId="6E106B3F">
      <w:pPr>
        <w:pStyle w:val="4"/>
        <w:numPr>
          <w:ilvl w:val="1"/>
          <w:numId w:val="0"/>
        </w:numPr>
        <w:spacing w:line="360" w:lineRule="auto"/>
        <w:ind w:firstLine="0" w:firstLineChars="0"/>
        <w:rPr>
          <w:color w:val="auto"/>
          <w:lang w:val="zh-CN"/>
        </w:rPr>
      </w:pPr>
      <w:bookmarkStart w:id="2735" w:name="_Toc6530"/>
      <w:bookmarkStart w:id="2736" w:name="_Toc27430"/>
      <w:bookmarkStart w:id="2737" w:name="_Toc26121"/>
      <w:bookmarkStart w:id="2738" w:name="_Toc7401"/>
      <w:bookmarkStart w:id="2739" w:name="_Toc7266"/>
      <w:r>
        <w:rPr>
          <w:rFonts w:hint="default" w:ascii="Arial" w:hAnsi="Arial" w:eastAsia="宋体" w:cs="Times New Roman"/>
          <w:b/>
          <w:bCs/>
          <w:color w:val="auto"/>
          <w:kern w:val="2"/>
          <w:sz w:val="32"/>
          <w:szCs w:val="32"/>
          <w:lang w:val="zh-CN" w:eastAsia="zh-CN" w:bidi="ar-SA"/>
        </w:rPr>
        <w:t>1</w:t>
      </w:r>
      <w:r>
        <w:rPr>
          <w:rFonts w:hint="eastAsia" w:cs="Times New Roman"/>
          <w:b/>
          <w:bCs/>
          <w:color w:val="auto"/>
          <w:kern w:val="2"/>
          <w:sz w:val="32"/>
          <w:szCs w:val="32"/>
          <w:lang w:val="en-US" w:eastAsia="zh-CN" w:bidi="ar-SA"/>
        </w:rPr>
        <w:t>6</w:t>
      </w:r>
      <w:r>
        <w:rPr>
          <w:rFonts w:hint="default" w:ascii="Arial" w:hAnsi="Arial" w:eastAsia="宋体" w:cs="Times New Roman"/>
          <w:b/>
          <w:bCs/>
          <w:color w:val="auto"/>
          <w:kern w:val="2"/>
          <w:sz w:val="32"/>
          <w:szCs w:val="32"/>
          <w:lang w:val="zh-CN" w:eastAsia="zh-CN" w:bidi="ar-SA"/>
        </w:rPr>
        <w:t>.4.</w:t>
      </w:r>
      <w:r>
        <w:rPr>
          <w:rFonts w:hint="eastAsia"/>
          <w:color w:val="auto"/>
        </w:rPr>
        <w:t>文物、</w:t>
      </w:r>
      <w:r>
        <w:rPr>
          <w:rFonts w:hint="eastAsia"/>
          <w:color w:val="auto"/>
          <w:lang w:val="zh-CN"/>
        </w:rPr>
        <w:t>既有结构物保护措施</w:t>
      </w:r>
      <w:bookmarkEnd w:id="2735"/>
      <w:bookmarkEnd w:id="2736"/>
      <w:bookmarkEnd w:id="2737"/>
      <w:bookmarkEnd w:id="2738"/>
      <w:bookmarkEnd w:id="2739"/>
    </w:p>
    <w:p w14:paraId="7EE4D434">
      <w:pPr>
        <w:adjustRightInd w:val="0"/>
        <w:snapToGrid w:val="0"/>
        <w:ind w:firstLine="480"/>
        <w:rPr>
          <w:rFonts w:hint="eastAsia"/>
          <w:lang w:val="zh-CN"/>
        </w:rPr>
      </w:pPr>
      <w:r>
        <w:rPr>
          <w:rFonts w:hint="eastAsia"/>
          <w:lang w:val="zh-CN"/>
        </w:rPr>
        <w:t>（一）文物保护</w:t>
      </w:r>
    </w:p>
    <w:p w14:paraId="66DDC573">
      <w:pPr>
        <w:adjustRightInd w:val="0"/>
        <w:snapToGrid w:val="0"/>
        <w:ind w:firstLine="480"/>
        <w:rPr>
          <w:rFonts w:hint="eastAsia"/>
          <w:lang w:val="zh-CN"/>
        </w:rPr>
      </w:pPr>
      <w:r>
        <w:rPr>
          <w:rFonts w:hint="eastAsia"/>
          <w:lang w:val="zh-CN"/>
        </w:rPr>
        <w:t>1、在施工中，若发现未勘探到的地下文物，则立即停止施工，保护现场，并派人通知文物部门前来检测、保护、鉴别和评估。</w:t>
      </w:r>
    </w:p>
    <w:p w14:paraId="2FC2EBA8">
      <w:pPr>
        <w:adjustRightInd w:val="0"/>
        <w:snapToGrid w:val="0"/>
        <w:ind w:firstLine="480"/>
        <w:rPr>
          <w:rFonts w:hint="eastAsia"/>
          <w:lang w:val="zh-CN"/>
        </w:rPr>
      </w:pPr>
      <w:r>
        <w:rPr>
          <w:rFonts w:hint="eastAsia"/>
          <w:lang w:val="zh-CN"/>
        </w:rPr>
        <w:t>2、应对全体施工人员进行实地培训，内容包括文物识别的基础知识、紧急保护措施、保护和报告程序等。</w:t>
      </w:r>
    </w:p>
    <w:p w14:paraId="6222775F">
      <w:pPr>
        <w:adjustRightInd w:val="0"/>
        <w:snapToGrid w:val="0"/>
        <w:ind w:firstLine="480"/>
        <w:rPr>
          <w:rFonts w:hint="eastAsia"/>
          <w:lang w:val="zh-CN"/>
        </w:rPr>
      </w:pPr>
      <w:r>
        <w:rPr>
          <w:rFonts w:hint="eastAsia"/>
          <w:lang w:val="zh-CN"/>
        </w:rPr>
        <w:t>（二）既有结构物</w:t>
      </w:r>
    </w:p>
    <w:p w14:paraId="3CB14C35">
      <w:pPr>
        <w:adjustRightInd w:val="0"/>
        <w:snapToGrid w:val="0"/>
        <w:ind w:firstLine="480"/>
        <w:rPr>
          <w:rFonts w:hint="eastAsia"/>
          <w:lang w:val="zh-CN"/>
        </w:rPr>
      </w:pPr>
      <w:r>
        <w:rPr>
          <w:rFonts w:hint="eastAsia"/>
          <w:lang w:val="zh-CN"/>
        </w:rPr>
        <w:t>对于受工程施工影响或正在受影响的一切设施与结构物，在施工期间应采取一切适当措施加以保护；对设施与结构物有不利影响的施工作业，施工前应通知相关方，并邀请相关方在施工时到场。并将上述通知与邀请的副本提交监理工程师备查。</w:t>
      </w:r>
    </w:p>
    <w:p w14:paraId="049FE352">
      <w:pPr>
        <w:adjustRightInd w:val="0"/>
        <w:snapToGrid w:val="0"/>
        <w:ind w:firstLine="480"/>
        <w:rPr>
          <w:rFonts w:hint="eastAsia"/>
          <w:lang w:val="zh-CN"/>
        </w:rPr>
      </w:pPr>
      <w:bookmarkStart w:id="2740" w:name="_Toc8464"/>
      <w:bookmarkStart w:id="2741" w:name="_Toc27066"/>
      <w:bookmarkStart w:id="2742" w:name="_Toc21035"/>
      <w:bookmarkStart w:id="2743" w:name="_Toc18389"/>
      <w:r>
        <w:rPr>
          <w:rFonts w:hint="eastAsia"/>
          <w:lang w:val="zh-CN"/>
        </w:rPr>
        <w:t>施工期噪声污染防治措施</w:t>
      </w:r>
      <w:bookmarkEnd w:id="2740"/>
      <w:bookmarkEnd w:id="2741"/>
      <w:bookmarkEnd w:id="2742"/>
      <w:bookmarkEnd w:id="2743"/>
      <w:r>
        <w:rPr>
          <w:rFonts w:hint="eastAsia"/>
          <w:lang w:val="zh-CN"/>
        </w:rPr>
        <w:t>：根据国家和地方有关环保法规，严格控制施工期噪声排放量，对使用的工程机械和运输车辆安装消声器并加强维修保养，降低噪音。由机械设备和工艺操作所产生的噪声，不得超过当地政府规定的标准，否则应采取消声措施。</w:t>
      </w:r>
    </w:p>
    <w:p w14:paraId="7F162D68">
      <w:pPr>
        <w:adjustRightInd w:val="0"/>
        <w:snapToGrid w:val="0"/>
        <w:ind w:firstLine="480"/>
        <w:rPr>
          <w:rFonts w:hint="eastAsia"/>
          <w:lang w:val="zh-CN"/>
        </w:rPr>
      </w:pPr>
      <w:r>
        <w:rPr>
          <w:rFonts w:hint="eastAsia"/>
          <w:lang w:val="zh-CN"/>
        </w:rPr>
        <w:t>施工噪声敏感区段的施工作业应采取时间控制措施。夜间禁止在靠近居民区的场地进行高噪声或震动作业。对居民敏感区，夜间时段（22：00~06：00）和午间（12：00~14：00），应限制高噪声机械设备的使用，减少对居民正常生活的影响。高考期间应按照政府和环保局的要求，做好施工噪声控制。</w:t>
      </w:r>
    </w:p>
    <w:p w14:paraId="72F626E9">
      <w:pPr>
        <w:adjustRightInd w:val="0"/>
        <w:snapToGrid w:val="0"/>
        <w:ind w:firstLine="480"/>
        <w:rPr>
          <w:rFonts w:hint="eastAsia"/>
          <w:lang w:val="zh-CN"/>
        </w:rPr>
      </w:pPr>
      <w:r>
        <w:rPr>
          <w:rFonts w:hint="eastAsia"/>
          <w:lang w:val="zh-CN"/>
        </w:rPr>
        <w:t>对施工作业人员，在噪声较大的现场作业时，应采取有效防护措施。</w:t>
      </w:r>
    </w:p>
    <w:p w14:paraId="7746B396">
      <w:pPr>
        <w:adjustRightInd w:val="0"/>
        <w:snapToGrid w:val="0"/>
        <w:ind w:firstLine="480"/>
        <w:rPr>
          <w:rFonts w:hint="eastAsia"/>
          <w:lang w:val="zh-CN"/>
        </w:rPr>
      </w:pPr>
      <w:r>
        <w:rPr>
          <w:rFonts w:hint="eastAsia"/>
          <w:lang w:val="zh-CN"/>
        </w:rPr>
        <w:t>施工期间，注意控制施工车鸣笛，经过居民区的重型运输车或施工机械，应注意限速。优先使用高效低噪声的施工机械，并加强机械设备的日常维护，保证施工机械设备在良好的状态下运行。结合施工图设计，在比较固定的机械设备附近，因地制宣设置声屏障、隔音墙的设施进行降噪。控制机械布置密度，避免机械过于集中形成噪音叠加。</w:t>
      </w:r>
      <w:bookmarkStart w:id="2744" w:name="_Toc26566"/>
      <w:bookmarkStart w:id="2745" w:name="_Toc22719"/>
      <w:bookmarkStart w:id="2746" w:name="_Toc21771"/>
      <w:bookmarkStart w:id="2747" w:name="_Toc25219"/>
      <w:bookmarkStart w:id="2748" w:name="_Toc21687"/>
      <w:bookmarkStart w:id="2749" w:name="_Toc17809"/>
    </w:p>
    <w:bookmarkEnd w:id="2744"/>
    <w:bookmarkEnd w:id="2745"/>
    <w:bookmarkEnd w:id="2746"/>
    <w:bookmarkEnd w:id="2747"/>
    <w:bookmarkEnd w:id="2748"/>
    <w:bookmarkEnd w:id="2749"/>
    <w:p w14:paraId="7F3537DC">
      <w:pPr>
        <w:pStyle w:val="2"/>
        <w:numPr>
          <w:ilvl w:val="0"/>
          <w:numId w:val="0"/>
        </w:numPr>
        <w:spacing w:line="360" w:lineRule="auto"/>
        <w:ind w:left="432" w:leftChars="0" w:hanging="432" w:firstLineChars="0"/>
        <w:jc w:val="left"/>
        <w:rPr>
          <w:color w:val="auto"/>
        </w:rPr>
      </w:pPr>
      <w:bookmarkStart w:id="2750" w:name="_Toc25009"/>
      <w:bookmarkStart w:id="2751" w:name="_Toc22915"/>
      <w:bookmarkStart w:id="2752" w:name="_Toc30514"/>
      <w:bookmarkStart w:id="2753" w:name="_Toc30613"/>
      <w:bookmarkStart w:id="2754" w:name="_Toc26484"/>
      <w:bookmarkStart w:id="2755" w:name="_Toc27622"/>
      <w:bookmarkStart w:id="2756" w:name="_Toc14437"/>
      <w:bookmarkStart w:id="2757" w:name="_Toc232929416"/>
      <w:bookmarkStart w:id="2758" w:name="_Toc7063"/>
      <w:bookmarkStart w:id="2759" w:name="_Toc10191"/>
      <w:bookmarkStart w:id="2760" w:name="_Toc260037230"/>
      <w:bookmarkStart w:id="2761" w:name="_Toc6758"/>
      <w:bookmarkStart w:id="2762" w:name="_Toc13545"/>
      <w:bookmarkStart w:id="2763" w:name="_Toc22540"/>
      <w:bookmarkStart w:id="2764" w:name="_Toc8065"/>
      <w:bookmarkStart w:id="2765" w:name="_Toc392933588"/>
      <w:bookmarkStart w:id="2766" w:name="_Toc392165671"/>
      <w:bookmarkStart w:id="2767" w:name="_Toc5709"/>
      <w:bookmarkStart w:id="2768" w:name="_Toc260036600"/>
      <w:bookmarkStart w:id="2769" w:name="_Toc392165672"/>
      <w:bookmarkStart w:id="2770" w:name="_Toc3796"/>
      <w:bookmarkStart w:id="2771" w:name="_Toc7221"/>
      <w:bookmarkStart w:id="2772" w:name="_Toc21727"/>
      <w:bookmarkStart w:id="2773" w:name="_Toc3132"/>
      <w:bookmarkStart w:id="2774" w:name="_Toc260036607"/>
      <w:bookmarkStart w:id="2775" w:name="_Toc392933595"/>
      <w:bookmarkStart w:id="2776" w:name="_Toc260037237"/>
      <w:bookmarkStart w:id="2777" w:name="_Toc11899"/>
      <w:bookmarkStart w:id="2778" w:name="_Toc31171"/>
      <w:bookmarkStart w:id="2779" w:name="_Toc2495"/>
      <w:r>
        <w:rPr>
          <w:rFonts w:hint="eastAsia" w:cs="Times New Roman"/>
          <w:b/>
          <w:bCs/>
          <w:color w:val="auto"/>
          <w:kern w:val="36"/>
          <w:sz w:val="36"/>
          <w:szCs w:val="48"/>
          <w:lang w:val="en-US" w:eastAsia="zh-CN" w:bidi="ar-SA"/>
        </w:rPr>
        <w:t>第十七章</w:t>
      </w:r>
      <w:r>
        <w:rPr>
          <w:rFonts w:hint="default" w:ascii="宋体" w:hAnsi="宋体" w:eastAsia="宋体" w:cs="Times New Roman"/>
          <w:b/>
          <w:bCs/>
          <w:color w:val="auto"/>
          <w:kern w:val="36"/>
          <w:sz w:val="36"/>
          <w:szCs w:val="48"/>
          <w:lang w:val="en-US" w:eastAsia="zh-CN" w:bidi="ar-SA"/>
        </w:rPr>
        <w:t>.</w:t>
      </w:r>
      <w:r>
        <w:rPr>
          <w:rFonts w:hint="eastAsia"/>
          <w:color w:val="auto"/>
        </w:rPr>
        <w:t>项目风险预测与防范、事故应急预案</w:t>
      </w:r>
      <w:bookmarkEnd w:id="2750"/>
      <w:bookmarkEnd w:id="2751"/>
      <w:bookmarkEnd w:id="2752"/>
      <w:bookmarkEnd w:id="2753"/>
      <w:bookmarkEnd w:id="2754"/>
      <w:bookmarkEnd w:id="2755"/>
      <w:bookmarkEnd w:id="2756"/>
    </w:p>
    <w:p w14:paraId="056F10F0">
      <w:pPr>
        <w:pStyle w:val="4"/>
        <w:numPr>
          <w:ilvl w:val="1"/>
          <w:numId w:val="0"/>
        </w:numPr>
        <w:spacing w:line="360" w:lineRule="auto"/>
        <w:ind w:firstLine="0" w:firstLineChars="0"/>
        <w:rPr>
          <w:color w:val="auto"/>
        </w:rPr>
      </w:pPr>
      <w:bookmarkStart w:id="2780" w:name="_Toc25948"/>
      <w:bookmarkStart w:id="2781" w:name="_Toc260037227"/>
      <w:bookmarkStart w:id="2782" w:name="_Toc13056"/>
      <w:bookmarkStart w:id="2783" w:name="_Toc260036597"/>
      <w:bookmarkStart w:id="2784" w:name="_Toc19385"/>
      <w:bookmarkStart w:id="2785" w:name="_Toc392165670"/>
      <w:bookmarkStart w:id="2786" w:name="_Toc392933585"/>
      <w:bookmarkStart w:id="2787" w:name="_Toc1912"/>
      <w:bookmarkStart w:id="2788" w:name="_Toc9558"/>
      <w:bookmarkStart w:id="2789" w:name="_Toc22802"/>
      <w:bookmarkStart w:id="2790" w:name="_Toc17571"/>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7</w:t>
      </w:r>
      <w:r>
        <w:rPr>
          <w:rFonts w:hint="default" w:ascii="Arial" w:hAnsi="Arial" w:eastAsia="宋体" w:cs="Times New Roman"/>
          <w:b/>
          <w:bCs/>
          <w:color w:val="auto"/>
          <w:kern w:val="2"/>
          <w:sz w:val="32"/>
          <w:szCs w:val="32"/>
          <w:lang w:val="en-US" w:eastAsia="zh-CN" w:bidi="ar-SA"/>
        </w:rPr>
        <w:t>.1.</w:t>
      </w:r>
      <w:r>
        <w:rPr>
          <w:rFonts w:hint="eastAsia"/>
          <w:color w:val="auto"/>
        </w:rPr>
        <w:t>项目风险预测与防范</w:t>
      </w:r>
      <w:bookmarkEnd w:id="2780"/>
      <w:bookmarkEnd w:id="2781"/>
      <w:bookmarkEnd w:id="2782"/>
      <w:bookmarkEnd w:id="2783"/>
      <w:bookmarkEnd w:id="2784"/>
      <w:bookmarkEnd w:id="2785"/>
      <w:bookmarkEnd w:id="2786"/>
      <w:bookmarkEnd w:id="2787"/>
      <w:bookmarkEnd w:id="2788"/>
      <w:bookmarkEnd w:id="2789"/>
      <w:bookmarkEnd w:id="2790"/>
    </w:p>
    <w:p w14:paraId="6D8C1FCC">
      <w:pPr>
        <w:adjustRightInd w:val="0"/>
        <w:snapToGrid w:val="0"/>
        <w:ind w:firstLine="480"/>
        <w:rPr>
          <w:rFonts w:hint="eastAsia"/>
        </w:rPr>
      </w:pPr>
      <w:r>
        <w:rPr>
          <w:rFonts w:hint="eastAsia"/>
        </w:rPr>
        <w:t>为保证本项目顺利完成，项目部应全面落实风险管理责任，对工程实施全过程进行风险预测，并制定防范措施，加强风险控制。</w:t>
      </w:r>
    </w:p>
    <w:p w14:paraId="5EF8A95C">
      <w:pPr>
        <w:pStyle w:val="5"/>
        <w:numPr>
          <w:ilvl w:val="2"/>
          <w:numId w:val="0"/>
        </w:numPr>
        <w:spacing w:line="360" w:lineRule="auto"/>
        <w:ind w:left="720" w:leftChars="0" w:hanging="720" w:firstLineChars="0"/>
        <w:rPr>
          <w:color w:val="auto"/>
        </w:rPr>
      </w:pPr>
      <w:bookmarkStart w:id="2791" w:name="_Toc6303"/>
      <w:bookmarkStart w:id="2792" w:name="_Toc21149"/>
      <w:bookmarkStart w:id="2793" w:name="_Toc16410"/>
      <w:bookmarkStart w:id="2794" w:name="_Toc30618"/>
      <w:bookmarkStart w:id="2795" w:name="_Toc260037228"/>
      <w:bookmarkStart w:id="2796" w:name="_Toc1161"/>
      <w:bookmarkStart w:id="2797" w:name="_Toc392933586"/>
      <w:bookmarkStart w:id="2798" w:name="_Toc260036598"/>
      <w:bookmarkStart w:id="2799" w:name="_Toc1433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7</w:t>
      </w:r>
      <w:r>
        <w:rPr>
          <w:rFonts w:hint="default" w:ascii="Times New Roman" w:hAnsi="Times New Roman" w:eastAsia="宋体" w:cs="Times New Roman"/>
          <w:b/>
          <w:bCs/>
          <w:color w:val="auto"/>
          <w:kern w:val="2"/>
          <w:sz w:val="30"/>
          <w:szCs w:val="32"/>
          <w:lang w:val="en-US" w:eastAsia="zh-CN" w:bidi="ar-SA"/>
        </w:rPr>
        <w:t>.1.1.</w:t>
      </w:r>
      <w:r>
        <w:rPr>
          <w:rFonts w:hint="eastAsia"/>
          <w:color w:val="auto"/>
        </w:rPr>
        <w:t>风险评估的主要内容</w:t>
      </w:r>
      <w:bookmarkEnd w:id="2791"/>
      <w:bookmarkEnd w:id="2792"/>
      <w:bookmarkEnd w:id="2793"/>
      <w:bookmarkEnd w:id="2794"/>
      <w:bookmarkEnd w:id="2795"/>
      <w:bookmarkEnd w:id="2796"/>
      <w:bookmarkEnd w:id="2797"/>
      <w:bookmarkEnd w:id="2798"/>
      <w:bookmarkEnd w:id="2799"/>
    </w:p>
    <w:p w14:paraId="0509F6C8">
      <w:pPr>
        <w:adjustRightInd w:val="0"/>
        <w:snapToGrid w:val="0"/>
        <w:ind w:firstLine="480"/>
        <w:rPr>
          <w:rFonts w:hint="eastAsia"/>
        </w:rPr>
      </w:pPr>
      <w:r>
        <w:rPr>
          <w:rFonts w:hint="eastAsia"/>
        </w:rPr>
        <w:t>⑴本项目可能发生的风险事件有：变更设计、材料涨价、自然灾害、工期延迟等，施工前和施工中应通过风险评估，采取可靠的预防措施，减少损失。</w:t>
      </w:r>
    </w:p>
    <w:p w14:paraId="4A70ED26">
      <w:pPr>
        <w:adjustRightInd w:val="0"/>
        <w:snapToGrid w:val="0"/>
        <w:ind w:firstLine="480"/>
        <w:rPr>
          <w:rFonts w:hint="eastAsia"/>
        </w:rPr>
      </w:pPr>
      <w:r>
        <w:rPr>
          <w:rFonts w:hint="eastAsia"/>
        </w:rPr>
        <w:t>⑵风险发生的概率，并根据概率大小确定采用的预防措施等级。</w:t>
      </w:r>
    </w:p>
    <w:p w14:paraId="483151FC">
      <w:pPr>
        <w:adjustRightInd w:val="0"/>
        <w:snapToGrid w:val="0"/>
        <w:ind w:firstLine="480"/>
        <w:rPr>
          <w:rFonts w:hint="eastAsia"/>
        </w:rPr>
      </w:pPr>
      <w:r>
        <w:rPr>
          <w:rFonts w:hint="eastAsia"/>
        </w:rPr>
        <w:t>⑶风险事件对项目的影响评价：包括工期损失的估计、费用损失的估计、对工程的质量、功能、环境、企业信誉等方面有影响的风险。</w:t>
      </w:r>
    </w:p>
    <w:p w14:paraId="176D38F4">
      <w:pPr>
        <w:pStyle w:val="5"/>
        <w:numPr>
          <w:ilvl w:val="2"/>
          <w:numId w:val="0"/>
        </w:numPr>
        <w:spacing w:line="360" w:lineRule="auto"/>
        <w:ind w:left="720" w:leftChars="0" w:hanging="720" w:firstLineChars="0"/>
        <w:rPr>
          <w:color w:val="auto"/>
        </w:rPr>
      </w:pPr>
      <w:bookmarkStart w:id="2800" w:name="_Toc1157"/>
      <w:bookmarkStart w:id="2801" w:name="_Toc392933587"/>
      <w:bookmarkStart w:id="2802" w:name="_Toc12279"/>
      <w:bookmarkStart w:id="2803" w:name="_Toc1644"/>
      <w:bookmarkStart w:id="2804" w:name="_Toc260037229"/>
      <w:bookmarkStart w:id="2805" w:name="_Toc2732"/>
      <w:bookmarkStart w:id="2806" w:name="_Toc260036599"/>
      <w:bookmarkStart w:id="2807" w:name="_Toc29584"/>
      <w:bookmarkStart w:id="2808" w:name="_Toc798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7</w:t>
      </w:r>
      <w:r>
        <w:rPr>
          <w:rFonts w:hint="default" w:ascii="Times New Roman" w:hAnsi="Times New Roman" w:eastAsia="宋体" w:cs="Times New Roman"/>
          <w:b/>
          <w:bCs/>
          <w:color w:val="auto"/>
          <w:kern w:val="2"/>
          <w:sz w:val="30"/>
          <w:szCs w:val="32"/>
          <w:lang w:val="en-US" w:eastAsia="zh-CN" w:bidi="ar-SA"/>
        </w:rPr>
        <w:t>.1.2.</w:t>
      </w:r>
      <w:r>
        <w:rPr>
          <w:rFonts w:hint="eastAsia"/>
          <w:color w:val="auto"/>
        </w:rPr>
        <w:t>项目风险防范措施</w:t>
      </w:r>
      <w:bookmarkEnd w:id="2800"/>
      <w:bookmarkEnd w:id="2801"/>
      <w:bookmarkEnd w:id="2802"/>
      <w:bookmarkEnd w:id="2803"/>
      <w:bookmarkEnd w:id="2804"/>
      <w:bookmarkEnd w:id="2805"/>
      <w:bookmarkEnd w:id="2806"/>
      <w:bookmarkEnd w:id="2807"/>
      <w:bookmarkEnd w:id="2808"/>
    </w:p>
    <w:p w14:paraId="63B498D6">
      <w:pPr>
        <w:adjustRightInd w:val="0"/>
        <w:snapToGrid w:val="0"/>
        <w:ind w:firstLine="480"/>
        <w:rPr>
          <w:rFonts w:hint="eastAsia"/>
        </w:rPr>
      </w:pPr>
      <w:r>
        <w:rPr>
          <w:rFonts w:hint="eastAsia"/>
        </w:rPr>
        <w:t>⑴技术措施</w:t>
      </w:r>
    </w:p>
    <w:p w14:paraId="27FFE101">
      <w:pPr>
        <w:adjustRightInd w:val="0"/>
        <w:snapToGrid w:val="0"/>
        <w:ind w:firstLine="480"/>
        <w:rPr>
          <w:rFonts w:hint="eastAsia"/>
        </w:rPr>
      </w:pPr>
      <w:r>
        <w:rPr>
          <w:rFonts w:hint="eastAsia"/>
        </w:rPr>
        <w:t>施工中不断地收集和分析与项目环境相关的各种信息，捕捉风险前奏的信号，预测、确定未来的风险并提出预先警告。</w:t>
      </w:r>
    </w:p>
    <w:p w14:paraId="45B5412A">
      <w:pPr>
        <w:adjustRightInd w:val="0"/>
        <w:snapToGrid w:val="0"/>
        <w:ind w:firstLine="480"/>
        <w:rPr>
          <w:rFonts w:hint="eastAsia"/>
        </w:rPr>
      </w:pPr>
      <w:r>
        <w:rPr>
          <w:rFonts w:hint="eastAsia"/>
        </w:rPr>
        <w:t>对可能出现新的风险因素和新的风险事件进行预测和监控，防止风险发生，控制风险的影响，降低损失，保证工程的顺利实施。</w:t>
      </w:r>
    </w:p>
    <w:p w14:paraId="0F07C357">
      <w:pPr>
        <w:adjustRightInd w:val="0"/>
        <w:snapToGrid w:val="0"/>
        <w:ind w:firstLine="480"/>
        <w:rPr>
          <w:rFonts w:hint="eastAsia"/>
        </w:rPr>
      </w:pPr>
      <w:r>
        <w:rPr>
          <w:rFonts w:hint="eastAsia"/>
        </w:rPr>
        <w:t>对本项目的重难点工程，采用科学方法对施工组织方案进行充分比选和论证，经综合考虑后选择风险最小的施工方案。</w:t>
      </w:r>
    </w:p>
    <w:p w14:paraId="2C436EE6">
      <w:pPr>
        <w:adjustRightInd w:val="0"/>
        <w:snapToGrid w:val="0"/>
        <w:ind w:firstLine="480"/>
        <w:rPr>
          <w:rFonts w:hint="eastAsia"/>
        </w:rPr>
      </w:pPr>
      <w:r>
        <w:rPr>
          <w:rFonts w:hint="eastAsia"/>
        </w:rPr>
        <w:t>⑵组织措施</w:t>
      </w:r>
    </w:p>
    <w:p w14:paraId="1905E27B">
      <w:pPr>
        <w:adjustRightInd w:val="0"/>
        <w:snapToGrid w:val="0"/>
        <w:ind w:firstLine="480"/>
        <w:rPr>
          <w:rFonts w:hint="eastAsia"/>
        </w:rPr>
      </w:pPr>
      <w:r>
        <w:rPr>
          <w:rFonts w:hint="eastAsia"/>
        </w:rPr>
        <w:t>为保证本项目的顺利实施，派遣得力的项目经理、技术人员和工人等组成精干的领导班子，各职能部门加强对工程的管理，在技术力量、机械装备、材料供应、劳动力安排等方面予以特别对待，并通过项目任务书、责任证书、合同等分配风险。风险分配应从工程整体效益的角度出发，最大限度地发挥各方的积极性；同时应体现公平合理，责权利平衡。</w:t>
      </w:r>
    </w:p>
    <w:p w14:paraId="7BD02CCA">
      <w:pPr>
        <w:adjustRightInd w:val="0"/>
        <w:snapToGrid w:val="0"/>
        <w:ind w:firstLine="480"/>
        <w:rPr>
          <w:rFonts w:hint="eastAsia"/>
        </w:rPr>
      </w:pPr>
      <w:r>
        <w:rPr>
          <w:rFonts w:hint="eastAsia"/>
        </w:rPr>
        <w:t>对已被确认的有重要影响的风险应制定专人负责风险管理，并赋予相应的职责、权限和资源，施工中一旦出现风险逐渐加大情况时，立即采取风险控制措施，防止造成更大的损失。</w:t>
      </w:r>
    </w:p>
    <w:p w14:paraId="06DA564B">
      <w:pPr>
        <w:adjustRightInd w:val="0"/>
        <w:snapToGrid w:val="0"/>
        <w:ind w:firstLine="480"/>
        <w:rPr>
          <w:rFonts w:hint="eastAsia"/>
        </w:rPr>
      </w:pPr>
      <w:r>
        <w:rPr>
          <w:rFonts w:hint="eastAsia"/>
        </w:rPr>
        <w:t>⑶保险</w:t>
      </w:r>
    </w:p>
    <w:p w14:paraId="77DD037A">
      <w:pPr>
        <w:adjustRightInd w:val="0"/>
        <w:snapToGrid w:val="0"/>
        <w:ind w:firstLine="480"/>
        <w:rPr>
          <w:rFonts w:hint="eastAsia"/>
        </w:rPr>
      </w:pPr>
      <w:r>
        <w:rPr>
          <w:rFonts w:hint="eastAsia"/>
        </w:rPr>
        <w:t>工程保险是应对项目风险的一种重要措施，施工通过加入相应的工程保险适当减少突发事件造成的损失，有效降低工程风险。</w:t>
      </w:r>
    </w:p>
    <w:p w14:paraId="66BD3C4D">
      <w:pPr>
        <w:adjustRightInd w:val="0"/>
        <w:snapToGrid w:val="0"/>
        <w:ind w:firstLine="480"/>
        <w:rPr>
          <w:rFonts w:hint="eastAsia"/>
        </w:rPr>
      </w:pPr>
      <w:r>
        <w:rPr>
          <w:rFonts w:hint="eastAsia"/>
        </w:rPr>
        <w:t>⑷要求对方提供担保</w:t>
      </w:r>
    </w:p>
    <w:p w14:paraId="51E80410">
      <w:pPr>
        <w:adjustRightInd w:val="0"/>
        <w:snapToGrid w:val="0"/>
        <w:ind w:firstLine="480"/>
        <w:rPr>
          <w:rFonts w:hint="eastAsia"/>
        </w:rPr>
      </w:pPr>
      <w:r>
        <w:rPr>
          <w:rFonts w:hint="eastAsia"/>
        </w:rPr>
        <w:t>谨慎考察供货单位、劳务分包队伍等，选择规模较大、信誉的公司，签订合同，并要求对方提供担保。</w:t>
      </w:r>
    </w:p>
    <w:p w14:paraId="736A38AA">
      <w:pPr>
        <w:adjustRightInd w:val="0"/>
        <w:snapToGrid w:val="0"/>
        <w:ind w:firstLine="480"/>
        <w:rPr>
          <w:rFonts w:hint="eastAsia"/>
        </w:rPr>
      </w:pPr>
      <w:r>
        <w:rPr>
          <w:rFonts w:hint="eastAsia"/>
        </w:rPr>
        <w:t>⑸风险准备金</w:t>
      </w:r>
    </w:p>
    <w:p w14:paraId="2DE30AC4">
      <w:pPr>
        <w:adjustRightInd w:val="0"/>
        <w:snapToGrid w:val="0"/>
        <w:ind w:firstLine="480"/>
        <w:rPr>
          <w:rFonts w:hint="eastAsia"/>
        </w:rPr>
      </w:pPr>
      <w:r>
        <w:rPr>
          <w:rFonts w:hint="eastAsia"/>
        </w:rPr>
        <w:t>从工程款中提取一定比例的风险准备金，施工中不能挪用，主要用于采取合理的措施处理风险事件。</w:t>
      </w:r>
    </w:p>
    <w:p w14:paraId="7DF0C6DA">
      <w:pPr>
        <w:pStyle w:val="4"/>
        <w:numPr>
          <w:ilvl w:val="1"/>
          <w:numId w:val="0"/>
        </w:numPr>
        <w:spacing w:line="360" w:lineRule="auto"/>
        <w:ind w:firstLine="0" w:firstLineChars="0"/>
        <w:rPr>
          <w:color w:val="auto"/>
        </w:rPr>
      </w:pPr>
      <w:bookmarkStart w:id="2809" w:name="_Toc906"/>
      <w:bookmarkStart w:id="2810" w:name="_Toc2125"/>
      <w:bookmarkStart w:id="2811" w:name="_Toc14370"/>
      <w:bookmarkStart w:id="2812" w:name="_Toc2763"/>
      <w:bookmarkStart w:id="2813" w:name="_Toc10384"/>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7</w:t>
      </w:r>
      <w:r>
        <w:rPr>
          <w:rFonts w:hint="default" w:ascii="Arial" w:hAnsi="Arial" w:eastAsia="宋体" w:cs="Times New Roman"/>
          <w:b/>
          <w:bCs/>
          <w:color w:val="auto"/>
          <w:kern w:val="2"/>
          <w:sz w:val="32"/>
          <w:szCs w:val="32"/>
          <w:lang w:val="en-US" w:eastAsia="zh-CN" w:bidi="ar-SA"/>
        </w:rPr>
        <w:t>.2.</w:t>
      </w:r>
      <w:r>
        <w:rPr>
          <w:rFonts w:hint="eastAsia"/>
          <w:color w:val="auto"/>
        </w:rPr>
        <w:t>事故应急预案</w:t>
      </w:r>
      <w:bookmarkEnd w:id="2809"/>
      <w:bookmarkEnd w:id="2810"/>
      <w:bookmarkEnd w:id="2811"/>
      <w:bookmarkEnd w:id="2812"/>
      <w:bookmarkEnd w:id="2813"/>
    </w:p>
    <w:p w14:paraId="2302A31D">
      <w:pPr>
        <w:pStyle w:val="5"/>
        <w:numPr>
          <w:ilvl w:val="2"/>
          <w:numId w:val="0"/>
        </w:numPr>
        <w:spacing w:line="360" w:lineRule="auto"/>
        <w:ind w:left="720" w:leftChars="0" w:hanging="720" w:firstLineChars="0"/>
        <w:rPr>
          <w:color w:val="auto"/>
        </w:rPr>
      </w:pPr>
      <w:bookmarkStart w:id="2814" w:name="_Toc21072"/>
      <w:bookmarkStart w:id="2815" w:name="_Toc16602"/>
      <w:bookmarkStart w:id="2816" w:name="_Toc2136"/>
      <w:bookmarkStart w:id="2817" w:name="_Toc3625"/>
      <w:bookmarkStart w:id="2818" w:name="_Toc1935"/>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7</w:t>
      </w:r>
      <w:r>
        <w:rPr>
          <w:rFonts w:hint="default" w:ascii="Times New Roman" w:hAnsi="Times New Roman" w:eastAsia="宋体" w:cs="Times New Roman"/>
          <w:b/>
          <w:bCs/>
          <w:color w:val="auto"/>
          <w:kern w:val="2"/>
          <w:sz w:val="30"/>
          <w:szCs w:val="32"/>
          <w:lang w:val="en-US" w:eastAsia="zh-CN" w:bidi="ar-SA"/>
        </w:rPr>
        <w:t>.2.1.</w:t>
      </w:r>
      <w:r>
        <w:rPr>
          <w:rFonts w:hint="eastAsia"/>
          <w:color w:val="auto"/>
        </w:rPr>
        <w:t>编制目的</w:t>
      </w:r>
      <w:bookmarkEnd w:id="2814"/>
      <w:bookmarkEnd w:id="2815"/>
      <w:bookmarkEnd w:id="2816"/>
      <w:bookmarkEnd w:id="2817"/>
      <w:bookmarkEnd w:id="2818"/>
    </w:p>
    <w:p w14:paraId="07E28594">
      <w:pPr>
        <w:adjustRightInd w:val="0"/>
        <w:snapToGrid w:val="0"/>
        <w:ind w:firstLine="480"/>
        <w:rPr>
          <w:rFonts w:hint="eastAsia"/>
        </w:rPr>
      </w:pPr>
      <w:r>
        <w:rPr>
          <w:rFonts w:hint="eastAsia"/>
        </w:rPr>
        <w:t>为积极应对可能发生的工程项目施工现场生产安全事故，维护正常的社会秩序和工作秩序，提高本项目生产安全事故应急的快速反应和处置能力，确保科学、及时、有效地采取救援措施，应对施工过程中生产安全事故，最大限度减少人员伤亡和财产损失，确保工程建设顺利进行。</w:t>
      </w:r>
    </w:p>
    <w:p w14:paraId="42C6FE58">
      <w:pPr>
        <w:pStyle w:val="5"/>
        <w:numPr>
          <w:ilvl w:val="2"/>
          <w:numId w:val="0"/>
        </w:numPr>
        <w:spacing w:line="360" w:lineRule="auto"/>
        <w:ind w:left="720" w:leftChars="0" w:hanging="720" w:firstLineChars="0"/>
        <w:rPr>
          <w:color w:val="auto"/>
        </w:rPr>
      </w:pPr>
      <w:bookmarkStart w:id="2819" w:name="_Toc12285"/>
      <w:bookmarkStart w:id="2820" w:name="_Toc24095"/>
      <w:bookmarkStart w:id="2821" w:name="_Toc22155"/>
      <w:bookmarkStart w:id="2822" w:name="_Toc23367"/>
      <w:bookmarkStart w:id="2823" w:name="_Toc442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7</w:t>
      </w:r>
      <w:r>
        <w:rPr>
          <w:rFonts w:hint="default" w:ascii="Times New Roman" w:hAnsi="Times New Roman" w:eastAsia="宋体" w:cs="Times New Roman"/>
          <w:b/>
          <w:bCs/>
          <w:color w:val="auto"/>
          <w:kern w:val="2"/>
          <w:sz w:val="30"/>
          <w:szCs w:val="32"/>
          <w:lang w:val="en-US" w:eastAsia="zh-CN" w:bidi="ar-SA"/>
        </w:rPr>
        <w:t>.2.2.</w:t>
      </w:r>
      <w:r>
        <w:rPr>
          <w:rFonts w:hint="eastAsia"/>
          <w:color w:val="auto"/>
        </w:rPr>
        <w:t>应急</w:t>
      </w:r>
      <w:bookmarkEnd w:id="2757"/>
      <w:r>
        <w:rPr>
          <w:rFonts w:hint="eastAsia"/>
          <w:color w:val="auto"/>
        </w:rPr>
        <w:t>预案</w:t>
      </w:r>
      <w:bookmarkEnd w:id="2758"/>
      <w:bookmarkEnd w:id="2759"/>
      <w:bookmarkEnd w:id="2760"/>
      <w:bookmarkEnd w:id="2761"/>
      <w:bookmarkEnd w:id="2762"/>
      <w:bookmarkEnd w:id="2763"/>
      <w:bookmarkEnd w:id="2764"/>
      <w:bookmarkEnd w:id="2765"/>
      <w:bookmarkEnd w:id="2766"/>
      <w:bookmarkEnd w:id="2767"/>
      <w:bookmarkEnd w:id="2768"/>
      <w:bookmarkEnd w:id="2819"/>
      <w:bookmarkEnd w:id="2820"/>
      <w:bookmarkEnd w:id="2821"/>
      <w:bookmarkEnd w:id="2822"/>
      <w:bookmarkEnd w:id="2823"/>
    </w:p>
    <w:p w14:paraId="773CEDB8">
      <w:pPr>
        <w:adjustRightInd w:val="0"/>
        <w:snapToGrid w:val="0"/>
        <w:ind w:firstLine="480"/>
        <w:rPr>
          <w:rFonts w:hint="eastAsia"/>
        </w:rPr>
      </w:pPr>
      <w:bookmarkStart w:id="2824" w:name="_Toc1965"/>
      <w:bookmarkStart w:id="2825" w:name="_Toc20776"/>
      <w:bookmarkStart w:id="2826" w:name="_Toc19230"/>
      <w:bookmarkStart w:id="2827" w:name="_Toc24815"/>
      <w:bookmarkStart w:id="2828" w:name="_Toc30000"/>
      <w:bookmarkStart w:id="2829" w:name="_Toc17312"/>
      <w:r>
        <w:rPr>
          <w:rFonts w:hint="eastAsia"/>
        </w:rPr>
        <w:t>我部组织成立评估小组对项目工程建设危险性较大的分部分项工程进行风险评估，在相关法规及行业标准的基础上，按照《公路工程施工安全技术规范》要求，通过现场调研和参考国内已建的或在建的类似桥梁及改建项目经验，结合项目施工组织设计及工程设计图纸有关资料，评估小组采用了安全系统工程的原理和潜在危险源进行事故类型与影响（FMEA）分析法、作业危险性分析法（D=LEC）、安全指标体系法等多种不同的安全评价方法，先后对本项目进行了总体及专项风险评估，全面普查、辨识了桥梁工程及改建工程施工过程中可能存在的各类风险源，并通过定性定量分析，分别确定了上述工程重大风险源的风险等级，并进行了风险评估，编制成风险评估报告。评估方法选用得当，分析有理有据，评估结果较为科学，与现场实际相吻合。施工现场生产安全事故应急救援组织机构及职责</w:t>
      </w:r>
    </w:p>
    <w:tbl>
      <w:tblPr>
        <w:tblStyle w:val="47"/>
        <w:tblW w:w="0" w:type="auto"/>
        <w:jc w:val="center"/>
        <w:tblLayout w:type="fixed"/>
        <w:tblCellMar>
          <w:top w:w="0" w:type="dxa"/>
          <w:left w:w="108" w:type="dxa"/>
          <w:bottom w:w="0" w:type="dxa"/>
          <w:right w:w="108" w:type="dxa"/>
        </w:tblCellMar>
      </w:tblPr>
      <w:tblGrid>
        <w:gridCol w:w="1326"/>
        <w:gridCol w:w="2213"/>
        <w:gridCol w:w="5860"/>
      </w:tblGrid>
      <w:tr w14:paraId="714C7C39">
        <w:tblPrEx>
          <w:tblCellMar>
            <w:top w:w="0" w:type="dxa"/>
            <w:left w:w="108" w:type="dxa"/>
            <w:bottom w:w="0" w:type="dxa"/>
            <w:right w:w="108" w:type="dxa"/>
          </w:tblCellMar>
        </w:tblPrEx>
        <w:trPr>
          <w:trHeight w:val="472" w:hRule="atLeast"/>
          <w:jc w:val="center"/>
        </w:trPr>
        <w:tc>
          <w:tcPr>
            <w:tcW w:w="1326" w:type="dxa"/>
            <w:tcBorders>
              <w:top w:val="dotted" w:color="auto" w:sz="6" w:space="0"/>
              <w:left w:val="dotted" w:color="auto" w:sz="6" w:space="0"/>
              <w:bottom w:val="dotted" w:color="auto" w:sz="4" w:space="0"/>
              <w:right w:val="dotted" w:color="auto" w:sz="8" w:space="0"/>
            </w:tcBorders>
            <w:shd w:val="clear" w:color="auto" w:fill="FFFFFF"/>
            <w:vAlign w:val="center"/>
          </w:tcPr>
          <w:p w14:paraId="750E9BDF">
            <w:pPr>
              <w:widowControl/>
              <w:ind w:firstLine="0" w:firstLineChars="0"/>
              <w:jc w:val="center"/>
              <w:rPr>
                <w:rFonts w:ascii="宋体" w:cs="宋体"/>
                <w:kern w:val="0"/>
                <w:sz w:val="21"/>
                <w:szCs w:val="21"/>
              </w:rPr>
            </w:pPr>
            <w:bookmarkStart w:id="2830" w:name="RANGE!A1"/>
            <w:bookmarkEnd w:id="2830"/>
            <w:r>
              <w:rPr>
                <w:rFonts w:hint="eastAsia" w:ascii="宋体" w:hAnsi="宋体" w:cs="宋体"/>
                <w:kern w:val="0"/>
                <w:sz w:val="21"/>
                <w:szCs w:val="21"/>
              </w:rPr>
              <w:t>小组</w:t>
            </w:r>
            <w:bookmarkStart w:id="2831" w:name="RANGE!A2"/>
            <w:bookmarkEnd w:id="2831"/>
            <w:r>
              <w:rPr>
                <w:rFonts w:hint="eastAsia" w:ascii="宋体" w:hAnsi="宋体" w:cs="宋体"/>
                <w:kern w:val="0"/>
                <w:sz w:val="21"/>
                <w:szCs w:val="21"/>
              </w:rPr>
              <w:t>成员</w:t>
            </w:r>
          </w:p>
        </w:tc>
        <w:tc>
          <w:tcPr>
            <w:tcW w:w="2213" w:type="dxa"/>
            <w:tcBorders>
              <w:top w:val="dotted" w:color="auto" w:sz="6" w:space="0"/>
              <w:left w:val="dotted" w:color="auto" w:sz="6" w:space="0"/>
              <w:bottom w:val="dotted" w:color="auto" w:sz="4" w:space="0"/>
              <w:right w:val="dotted" w:color="auto" w:sz="8" w:space="0"/>
            </w:tcBorders>
            <w:shd w:val="clear" w:color="auto" w:fill="FFFFFF"/>
            <w:vAlign w:val="center"/>
          </w:tcPr>
          <w:p w14:paraId="5B080EA7">
            <w:pPr>
              <w:widowControl/>
              <w:ind w:firstLine="0" w:firstLineChars="0"/>
              <w:jc w:val="center"/>
              <w:rPr>
                <w:rFonts w:ascii="宋体" w:cs="宋体"/>
                <w:kern w:val="0"/>
                <w:sz w:val="21"/>
                <w:szCs w:val="21"/>
              </w:rPr>
            </w:pPr>
            <w:bookmarkStart w:id="2832" w:name="RANGE!B1"/>
            <w:bookmarkEnd w:id="2832"/>
            <w:r>
              <w:rPr>
                <w:rFonts w:hint="eastAsia" w:ascii="宋体" w:hAnsi="宋体" w:cs="宋体"/>
                <w:kern w:val="0"/>
                <w:sz w:val="21"/>
                <w:szCs w:val="21"/>
              </w:rPr>
              <w:t>在本工程</w:t>
            </w:r>
            <w:bookmarkStart w:id="2833" w:name="RANGE!B2"/>
            <w:bookmarkEnd w:id="2833"/>
            <w:r>
              <w:rPr>
                <w:rFonts w:hint="eastAsia" w:ascii="宋体" w:hAnsi="宋体" w:cs="宋体"/>
                <w:kern w:val="0"/>
                <w:sz w:val="21"/>
                <w:szCs w:val="21"/>
              </w:rPr>
              <w:t>中的职位</w:t>
            </w:r>
          </w:p>
        </w:tc>
        <w:tc>
          <w:tcPr>
            <w:tcW w:w="5860" w:type="dxa"/>
            <w:tcBorders>
              <w:top w:val="dotted" w:color="auto" w:sz="6" w:space="0"/>
              <w:left w:val="dotted" w:color="auto" w:sz="8" w:space="0"/>
              <w:bottom w:val="dotted" w:color="auto" w:sz="8" w:space="0"/>
              <w:right w:val="dotted" w:color="auto" w:sz="6" w:space="0"/>
            </w:tcBorders>
            <w:shd w:val="clear" w:color="auto" w:fill="FFFFFF"/>
            <w:vAlign w:val="center"/>
          </w:tcPr>
          <w:p w14:paraId="376EE957">
            <w:pPr>
              <w:widowControl/>
              <w:ind w:firstLine="0" w:firstLineChars="0"/>
              <w:jc w:val="center"/>
              <w:rPr>
                <w:rFonts w:ascii="宋体" w:cs="宋体"/>
                <w:kern w:val="0"/>
                <w:sz w:val="21"/>
                <w:szCs w:val="21"/>
              </w:rPr>
            </w:pPr>
            <w:bookmarkStart w:id="2834" w:name="RANGE!C1"/>
            <w:bookmarkEnd w:id="2834"/>
            <w:r>
              <w:rPr>
                <w:rFonts w:hint="eastAsia" w:ascii="宋体" w:hAnsi="宋体" w:cs="宋体"/>
                <w:kern w:val="0"/>
                <w:sz w:val="21"/>
                <w:szCs w:val="21"/>
              </w:rPr>
              <w:t>职责</w:t>
            </w:r>
          </w:p>
        </w:tc>
      </w:tr>
      <w:tr w14:paraId="2774A776">
        <w:tblPrEx>
          <w:tblCellMar>
            <w:top w:w="0" w:type="dxa"/>
            <w:left w:w="108" w:type="dxa"/>
            <w:bottom w:w="0" w:type="dxa"/>
            <w:right w:w="108" w:type="dxa"/>
          </w:tblCellMar>
        </w:tblPrEx>
        <w:trPr>
          <w:trHeight w:val="476" w:hRule="atLeast"/>
          <w:jc w:val="center"/>
        </w:trPr>
        <w:tc>
          <w:tcPr>
            <w:tcW w:w="1326" w:type="dxa"/>
            <w:tcBorders>
              <w:top w:val="dotted" w:color="auto" w:sz="4" w:space="0"/>
              <w:left w:val="dotted" w:color="auto" w:sz="6" w:space="0"/>
              <w:bottom w:val="dotted" w:color="auto" w:sz="8" w:space="0"/>
              <w:right w:val="dotted" w:color="auto" w:sz="8" w:space="0"/>
            </w:tcBorders>
            <w:shd w:val="clear" w:color="auto" w:fill="FFFFFF"/>
            <w:vAlign w:val="center"/>
          </w:tcPr>
          <w:p w14:paraId="3C44EEE6">
            <w:pPr>
              <w:widowControl/>
              <w:ind w:firstLine="0" w:firstLineChars="0"/>
              <w:jc w:val="center"/>
              <w:rPr>
                <w:rFonts w:ascii="宋体" w:cs="宋体"/>
                <w:kern w:val="0"/>
                <w:sz w:val="21"/>
                <w:szCs w:val="21"/>
              </w:rPr>
            </w:pPr>
            <w:bookmarkStart w:id="2835" w:name="RANGE!A3"/>
            <w:bookmarkEnd w:id="2835"/>
            <w:r>
              <w:rPr>
                <w:rFonts w:hint="eastAsia" w:ascii="宋体" w:hAnsi="宋体" w:cs="宋体"/>
                <w:kern w:val="0"/>
                <w:sz w:val="21"/>
                <w:szCs w:val="21"/>
              </w:rPr>
              <w:t>组长</w:t>
            </w:r>
          </w:p>
        </w:tc>
        <w:tc>
          <w:tcPr>
            <w:tcW w:w="2213" w:type="dxa"/>
            <w:tcBorders>
              <w:top w:val="dotted" w:color="auto" w:sz="4" w:space="0"/>
              <w:left w:val="dotted" w:color="auto" w:sz="6" w:space="0"/>
              <w:bottom w:val="dotted" w:color="auto" w:sz="8" w:space="0"/>
              <w:right w:val="dotted" w:color="auto" w:sz="8" w:space="0"/>
            </w:tcBorders>
            <w:shd w:val="clear" w:color="auto" w:fill="FFFFFF"/>
            <w:vAlign w:val="center"/>
          </w:tcPr>
          <w:p w14:paraId="50EB8308">
            <w:pPr>
              <w:widowControl/>
              <w:ind w:firstLine="0" w:firstLineChars="0"/>
              <w:jc w:val="center"/>
              <w:rPr>
                <w:rFonts w:ascii="宋体" w:cs="宋体"/>
                <w:kern w:val="0"/>
                <w:sz w:val="21"/>
                <w:szCs w:val="21"/>
              </w:rPr>
            </w:pPr>
            <w:r>
              <w:rPr>
                <w:rFonts w:hint="eastAsia" w:ascii="宋体" w:hAnsi="宋体" w:cs="宋体"/>
                <w:kern w:val="0"/>
                <w:sz w:val="21"/>
                <w:szCs w:val="21"/>
              </w:rPr>
              <w:t>项目经理</w:t>
            </w:r>
          </w:p>
        </w:tc>
        <w:tc>
          <w:tcPr>
            <w:tcW w:w="5860" w:type="dxa"/>
            <w:tcBorders>
              <w:top w:val="dotted" w:color="auto" w:sz="6" w:space="0"/>
              <w:left w:val="dotted" w:color="auto" w:sz="6" w:space="0"/>
              <w:bottom w:val="dotted" w:color="auto" w:sz="8" w:space="0"/>
              <w:right w:val="dotted" w:color="auto" w:sz="6" w:space="0"/>
            </w:tcBorders>
            <w:shd w:val="clear" w:color="auto" w:fill="FFFFFF"/>
            <w:vAlign w:val="center"/>
          </w:tcPr>
          <w:p w14:paraId="3CAB172D">
            <w:pPr>
              <w:widowControl/>
              <w:ind w:firstLine="0" w:firstLineChars="0"/>
              <w:jc w:val="center"/>
              <w:rPr>
                <w:rFonts w:ascii="宋体" w:cs="宋体"/>
                <w:kern w:val="0"/>
                <w:sz w:val="21"/>
                <w:szCs w:val="21"/>
              </w:rPr>
            </w:pPr>
            <w:bookmarkStart w:id="2836" w:name="RANGE!C3"/>
            <w:bookmarkEnd w:id="2836"/>
            <w:r>
              <w:rPr>
                <w:rFonts w:hint="eastAsia" w:ascii="宋体" w:hAnsi="宋体" w:cs="宋体"/>
                <w:kern w:val="0"/>
                <w:sz w:val="21"/>
                <w:szCs w:val="21"/>
              </w:rPr>
              <w:t>全面负责本工程的救灾工作，负责将灾情向上级、业主、当地政府汇报，负责执行当地政府、业主、上级的指示。</w:t>
            </w:r>
          </w:p>
        </w:tc>
      </w:tr>
      <w:tr w14:paraId="75FECFC1">
        <w:tblPrEx>
          <w:tblCellMar>
            <w:top w:w="0" w:type="dxa"/>
            <w:left w:w="108" w:type="dxa"/>
            <w:bottom w:w="0" w:type="dxa"/>
            <w:right w:w="108" w:type="dxa"/>
          </w:tblCellMar>
        </w:tblPrEx>
        <w:trPr>
          <w:trHeight w:val="476" w:hRule="atLeast"/>
          <w:jc w:val="center"/>
        </w:trPr>
        <w:tc>
          <w:tcPr>
            <w:tcW w:w="1326" w:type="dxa"/>
            <w:tcBorders>
              <w:top w:val="dotted" w:color="auto" w:sz="6" w:space="0"/>
              <w:left w:val="dotted" w:color="auto" w:sz="6" w:space="0"/>
              <w:bottom w:val="dotted" w:color="auto" w:sz="8" w:space="0"/>
              <w:right w:val="dotted" w:color="auto" w:sz="8" w:space="0"/>
            </w:tcBorders>
            <w:shd w:val="clear" w:color="auto" w:fill="FFFFFF"/>
            <w:vAlign w:val="center"/>
          </w:tcPr>
          <w:p w14:paraId="23650CD1">
            <w:pPr>
              <w:widowControl/>
              <w:ind w:firstLine="0" w:firstLineChars="0"/>
              <w:jc w:val="center"/>
              <w:rPr>
                <w:rFonts w:ascii="宋体" w:cs="宋体"/>
                <w:kern w:val="0"/>
                <w:sz w:val="21"/>
                <w:szCs w:val="21"/>
              </w:rPr>
            </w:pPr>
            <w:bookmarkStart w:id="2837" w:name="RANGE!A4"/>
            <w:bookmarkEnd w:id="2837"/>
            <w:r>
              <w:rPr>
                <w:rFonts w:hint="eastAsia" w:ascii="宋体" w:hAnsi="宋体" w:cs="宋体"/>
                <w:kern w:val="0"/>
                <w:sz w:val="21"/>
                <w:szCs w:val="21"/>
              </w:rPr>
              <w:t>副组长</w:t>
            </w:r>
          </w:p>
        </w:tc>
        <w:tc>
          <w:tcPr>
            <w:tcW w:w="2213" w:type="dxa"/>
            <w:tcBorders>
              <w:top w:val="dotted" w:color="auto" w:sz="6" w:space="0"/>
              <w:left w:val="dotted" w:color="auto" w:sz="6" w:space="0"/>
              <w:bottom w:val="dotted" w:color="auto" w:sz="8" w:space="0"/>
              <w:right w:val="dotted" w:color="auto" w:sz="8" w:space="0"/>
            </w:tcBorders>
            <w:shd w:val="clear" w:color="auto" w:fill="FFFFFF"/>
            <w:vAlign w:val="center"/>
          </w:tcPr>
          <w:p w14:paraId="3EDD41BF">
            <w:pPr>
              <w:widowControl/>
              <w:ind w:firstLine="0" w:firstLineChars="0"/>
              <w:jc w:val="center"/>
              <w:rPr>
                <w:rFonts w:ascii="宋体" w:cs="宋体"/>
                <w:kern w:val="0"/>
                <w:sz w:val="21"/>
                <w:szCs w:val="21"/>
              </w:rPr>
            </w:pPr>
            <w:r>
              <w:rPr>
                <w:rFonts w:hint="eastAsia" w:ascii="宋体" w:hAnsi="宋体" w:cs="宋体"/>
                <w:kern w:val="0"/>
                <w:sz w:val="21"/>
                <w:szCs w:val="21"/>
              </w:rPr>
              <w:t>项目总工</w:t>
            </w:r>
          </w:p>
        </w:tc>
        <w:tc>
          <w:tcPr>
            <w:tcW w:w="5860" w:type="dxa"/>
            <w:tcBorders>
              <w:top w:val="dotted" w:color="auto" w:sz="6" w:space="0"/>
              <w:left w:val="dotted" w:color="auto" w:sz="6" w:space="0"/>
              <w:bottom w:val="dotted" w:color="auto" w:sz="8" w:space="0"/>
              <w:right w:val="dotted" w:color="auto" w:sz="6" w:space="0"/>
            </w:tcBorders>
            <w:shd w:val="clear" w:color="auto" w:fill="FFFFFF"/>
            <w:vAlign w:val="center"/>
          </w:tcPr>
          <w:p w14:paraId="16B6B607">
            <w:pPr>
              <w:widowControl/>
              <w:ind w:firstLine="0" w:firstLineChars="0"/>
              <w:jc w:val="center"/>
              <w:rPr>
                <w:rFonts w:ascii="宋体" w:cs="宋体"/>
                <w:kern w:val="0"/>
                <w:sz w:val="21"/>
                <w:szCs w:val="21"/>
              </w:rPr>
            </w:pPr>
            <w:bookmarkStart w:id="2838" w:name="RANGE!C4"/>
            <w:bookmarkEnd w:id="2838"/>
            <w:r>
              <w:rPr>
                <w:rFonts w:hint="eastAsia" w:ascii="宋体" w:hAnsi="宋体" w:cs="宋体"/>
                <w:kern w:val="0"/>
                <w:sz w:val="21"/>
                <w:szCs w:val="21"/>
              </w:rPr>
              <w:t>负责救灾时的技术工作。</w:t>
            </w:r>
          </w:p>
        </w:tc>
      </w:tr>
      <w:tr w14:paraId="5EAAB68F">
        <w:tblPrEx>
          <w:tblCellMar>
            <w:top w:w="0" w:type="dxa"/>
            <w:left w:w="108" w:type="dxa"/>
            <w:bottom w:w="0" w:type="dxa"/>
            <w:right w:w="108" w:type="dxa"/>
          </w:tblCellMar>
        </w:tblPrEx>
        <w:trPr>
          <w:trHeight w:val="679" w:hRule="atLeast"/>
          <w:jc w:val="center"/>
        </w:trPr>
        <w:tc>
          <w:tcPr>
            <w:tcW w:w="1326" w:type="dxa"/>
            <w:tcBorders>
              <w:top w:val="dotted" w:color="auto" w:sz="6" w:space="0"/>
              <w:left w:val="dotted" w:color="auto" w:sz="6" w:space="0"/>
              <w:bottom w:val="dotted" w:color="auto" w:sz="8" w:space="0"/>
              <w:right w:val="dotted" w:color="auto" w:sz="8" w:space="0"/>
            </w:tcBorders>
            <w:shd w:val="clear" w:color="auto" w:fill="FFFFFF"/>
            <w:vAlign w:val="center"/>
          </w:tcPr>
          <w:p w14:paraId="3D3BF427">
            <w:pPr>
              <w:widowControl/>
              <w:ind w:firstLine="0" w:firstLineChars="0"/>
              <w:jc w:val="center"/>
              <w:rPr>
                <w:rFonts w:ascii="宋体" w:cs="宋体"/>
                <w:kern w:val="0"/>
                <w:sz w:val="21"/>
                <w:szCs w:val="21"/>
              </w:rPr>
            </w:pPr>
            <w:r>
              <w:rPr>
                <w:rFonts w:hint="eastAsia" w:ascii="宋体" w:hAnsi="宋体" w:cs="宋体"/>
                <w:kern w:val="0"/>
                <w:sz w:val="21"/>
                <w:szCs w:val="21"/>
              </w:rPr>
              <w:t>组员</w:t>
            </w:r>
          </w:p>
        </w:tc>
        <w:tc>
          <w:tcPr>
            <w:tcW w:w="2213" w:type="dxa"/>
            <w:tcBorders>
              <w:top w:val="dotted" w:color="auto" w:sz="6" w:space="0"/>
              <w:left w:val="dotted" w:color="auto" w:sz="6" w:space="0"/>
              <w:bottom w:val="dotted" w:color="auto" w:sz="8" w:space="0"/>
              <w:right w:val="dotted" w:color="auto" w:sz="8" w:space="0"/>
            </w:tcBorders>
            <w:shd w:val="clear" w:color="auto" w:fill="FFFFFF"/>
            <w:vAlign w:val="center"/>
          </w:tcPr>
          <w:p w14:paraId="591F41B0">
            <w:pPr>
              <w:widowControl/>
              <w:ind w:firstLine="0" w:firstLineChars="0"/>
              <w:jc w:val="center"/>
              <w:rPr>
                <w:rFonts w:ascii="宋体" w:cs="宋体"/>
                <w:kern w:val="0"/>
                <w:sz w:val="21"/>
                <w:szCs w:val="21"/>
              </w:rPr>
            </w:pPr>
            <w:r>
              <w:rPr>
                <w:rFonts w:hint="eastAsia" w:ascii="宋体" w:hAnsi="宋体" w:cs="宋体"/>
                <w:kern w:val="0"/>
                <w:sz w:val="21"/>
                <w:szCs w:val="21"/>
              </w:rPr>
              <w:t>安全工程师</w:t>
            </w:r>
          </w:p>
        </w:tc>
        <w:tc>
          <w:tcPr>
            <w:tcW w:w="5860" w:type="dxa"/>
            <w:tcBorders>
              <w:top w:val="dotted" w:color="auto" w:sz="6" w:space="0"/>
              <w:left w:val="dotted" w:color="auto" w:sz="6" w:space="0"/>
              <w:bottom w:val="dotted" w:color="auto" w:sz="8" w:space="0"/>
              <w:right w:val="dotted" w:color="auto" w:sz="6" w:space="0"/>
            </w:tcBorders>
            <w:shd w:val="clear" w:color="auto" w:fill="FFFFFF"/>
            <w:vAlign w:val="center"/>
          </w:tcPr>
          <w:p w14:paraId="6E82DF70">
            <w:pPr>
              <w:widowControl/>
              <w:ind w:firstLine="0" w:firstLineChars="0"/>
              <w:jc w:val="center"/>
              <w:rPr>
                <w:rFonts w:ascii="宋体" w:cs="宋体"/>
                <w:kern w:val="0"/>
                <w:sz w:val="21"/>
                <w:szCs w:val="21"/>
              </w:rPr>
            </w:pPr>
            <w:bookmarkStart w:id="2839" w:name="RANGE!C5"/>
            <w:bookmarkEnd w:id="2839"/>
            <w:r>
              <w:rPr>
                <w:rFonts w:hint="eastAsia" w:ascii="宋体" w:hAnsi="宋体" w:cs="宋体"/>
                <w:kern w:val="0"/>
                <w:sz w:val="21"/>
                <w:szCs w:val="21"/>
              </w:rPr>
              <w:t>灾害发生时负责防灾自救的动员工作，救灾指挥车辆的管理工作，救灾通讯设备的管理工作；平时负责防灾自救宣传教育工作。</w:t>
            </w:r>
          </w:p>
        </w:tc>
      </w:tr>
      <w:tr w14:paraId="4CBE6197">
        <w:tblPrEx>
          <w:tblCellMar>
            <w:top w:w="0" w:type="dxa"/>
            <w:left w:w="108" w:type="dxa"/>
            <w:bottom w:w="0" w:type="dxa"/>
            <w:right w:w="108" w:type="dxa"/>
          </w:tblCellMar>
        </w:tblPrEx>
        <w:trPr>
          <w:trHeight w:val="679" w:hRule="atLeast"/>
          <w:jc w:val="center"/>
        </w:trPr>
        <w:tc>
          <w:tcPr>
            <w:tcW w:w="1326" w:type="dxa"/>
            <w:tcBorders>
              <w:top w:val="dotted" w:color="auto" w:sz="6" w:space="0"/>
              <w:left w:val="dotted" w:color="auto" w:sz="6" w:space="0"/>
              <w:bottom w:val="dotted" w:color="auto" w:sz="8" w:space="0"/>
              <w:right w:val="dotted" w:color="auto" w:sz="8" w:space="0"/>
            </w:tcBorders>
            <w:shd w:val="clear" w:color="auto" w:fill="FFFFFF"/>
            <w:vAlign w:val="center"/>
          </w:tcPr>
          <w:p w14:paraId="7819E14D">
            <w:pPr>
              <w:widowControl/>
              <w:ind w:firstLine="0" w:firstLineChars="0"/>
              <w:jc w:val="center"/>
              <w:rPr>
                <w:rFonts w:ascii="宋体" w:cs="宋体"/>
                <w:kern w:val="0"/>
                <w:sz w:val="21"/>
                <w:szCs w:val="21"/>
              </w:rPr>
            </w:pPr>
            <w:bookmarkStart w:id="2840" w:name="RANGE!A6"/>
            <w:bookmarkEnd w:id="2840"/>
            <w:r>
              <w:rPr>
                <w:rFonts w:hint="eastAsia" w:ascii="宋体" w:hAnsi="宋体" w:cs="宋体"/>
                <w:kern w:val="0"/>
                <w:sz w:val="21"/>
                <w:szCs w:val="21"/>
              </w:rPr>
              <w:t>组员</w:t>
            </w:r>
          </w:p>
        </w:tc>
        <w:tc>
          <w:tcPr>
            <w:tcW w:w="2213" w:type="dxa"/>
            <w:tcBorders>
              <w:top w:val="dotted" w:color="auto" w:sz="6" w:space="0"/>
              <w:left w:val="dotted" w:color="auto" w:sz="6" w:space="0"/>
              <w:bottom w:val="dotted" w:color="auto" w:sz="8" w:space="0"/>
              <w:right w:val="dotted" w:color="auto" w:sz="8" w:space="0"/>
            </w:tcBorders>
            <w:shd w:val="clear" w:color="auto" w:fill="FFFFFF"/>
            <w:vAlign w:val="center"/>
          </w:tcPr>
          <w:p w14:paraId="565BBC6B">
            <w:pPr>
              <w:widowControl/>
              <w:ind w:firstLine="0" w:firstLineChars="0"/>
              <w:jc w:val="center"/>
              <w:rPr>
                <w:rFonts w:ascii="宋体" w:cs="宋体"/>
                <w:kern w:val="0"/>
                <w:sz w:val="21"/>
                <w:szCs w:val="21"/>
              </w:rPr>
            </w:pPr>
            <w:bookmarkStart w:id="2841" w:name="RANGE!B6"/>
            <w:bookmarkEnd w:id="2841"/>
            <w:r>
              <w:rPr>
                <w:rFonts w:hint="eastAsia" w:ascii="宋体" w:hAnsi="宋体" w:cs="宋体"/>
                <w:kern w:val="0"/>
                <w:sz w:val="21"/>
                <w:szCs w:val="21"/>
              </w:rPr>
              <w:t>专职安全员</w:t>
            </w:r>
          </w:p>
        </w:tc>
        <w:tc>
          <w:tcPr>
            <w:tcW w:w="5860" w:type="dxa"/>
            <w:tcBorders>
              <w:top w:val="dotted" w:color="auto" w:sz="6" w:space="0"/>
              <w:left w:val="dotted" w:color="auto" w:sz="6" w:space="0"/>
              <w:bottom w:val="dotted" w:color="auto" w:sz="8" w:space="0"/>
              <w:right w:val="dotted" w:color="auto" w:sz="6" w:space="0"/>
            </w:tcBorders>
            <w:shd w:val="clear" w:color="auto" w:fill="FFFFFF"/>
            <w:vAlign w:val="center"/>
          </w:tcPr>
          <w:p w14:paraId="1629E981">
            <w:pPr>
              <w:widowControl/>
              <w:ind w:firstLine="0" w:firstLineChars="0"/>
              <w:jc w:val="center"/>
              <w:rPr>
                <w:rFonts w:ascii="宋体" w:cs="宋体"/>
                <w:kern w:val="0"/>
                <w:sz w:val="21"/>
                <w:szCs w:val="21"/>
              </w:rPr>
            </w:pPr>
            <w:bookmarkStart w:id="2842" w:name="RANGE!C6"/>
            <w:bookmarkEnd w:id="2842"/>
            <w:r>
              <w:rPr>
                <w:rFonts w:hint="eastAsia" w:ascii="宋体" w:hAnsi="宋体" w:cs="宋体"/>
                <w:kern w:val="0"/>
                <w:sz w:val="21"/>
                <w:szCs w:val="21"/>
              </w:rPr>
              <w:t>灾害发生时负责救灾人员、物资、设备的调动工作。</w:t>
            </w:r>
          </w:p>
        </w:tc>
      </w:tr>
      <w:tr w14:paraId="5A0D5DFD">
        <w:tblPrEx>
          <w:tblCellMar>
            <w:top w:w="0" w:type="dxa"/>
            <w:left w:w="108" w:type="dxa"/>
            <w:bottom w:w="0" w:type="dxa"/>
            <w:right w:w="108" w:type="dxa"/>
          </w:tblCellMar>
        </w:tblPrEx>
        <w:trPr>
          <w:trHeight w:val="476" w:hRule="atLeast"/>
          <w:jc w:val="center"/>
        </w:trPr>
        <w:tc>
          <w:tcPr>
            <w:tcW w:w="1326" w:type="dxa"/>
            <w:tcBorders>
              <w:top w:val="dotted" w:color="auto" w:sz="6" w:space="0"/>
              <w:left w:val="dotted" w:color="auto" w:sz="6" w:space="0"/>
              <w:bottom w:val="dotted" w:color="auto" w:sz="8" w:space="0"/>
              <w:right w:val="dotted" w:color="auto" w:sz="8" w:space="0"/>
            </w:tcBorders>
            <w:shd w:val="clear" w:color="auto" w:fill="FFFFFF"/>
            <w:vAlign w:val="center"/>
          </w:tcPr>
          <w:p w14:paraId="73E2B219">
            <w:pPr>
              <w:widowControl/>
              <w:ind w:firstLine="0" w:firstLineChars="0"/>
              <w:jc w:val="center"/>
              <w:rPr>
                <w:rFonts w:ascii="宋体" w:cs="宋体"/>
                <w:kern w:val="0"/>
                <w:sz w:val="21"/>
                <w:szCs w:val="21"/>
              </w:rPr>
            </w:pPr>
            <w:bookmarkStart w:id="2843" w:name="RANGE!A7"/>
            <w:bookmarkEnd w:id="2843"/>
            <w:r>
              <w:rPr>
                <w:rFonts w:hint="eastAsia" w:ascii="宋体" w:hAnsi="宋体" w:cs="宋体"/>
                <w:kern w:val="0"/>
                <w:sz w:val="21"/>
                <w:szCs w:val="21"/>
              </w:rPr>
              <w:t>组员</w:t>
            </w:r>
          </w:p>
        </w:tc>
        <w:tc>
          <w:tcPr>
            <w:tcW w:w="2213" w:type="dxa"/>
            <w:tcBorders>
              <w:top w:val="dotted" w:color="auto" w:sz="6" w:space="0"/>
              <w:left w:val="dotted" w:color="auto" w:sz="6" w:space="0"/>
              <w:bottom w:val="dotted" w:color="auto" w:sz="8" w:space="0"/>
              <w:right w:val="dotted" w:color="auto" w:sz="8" w:space="0"/>
            </w:tcBorders>
            <w:shd w:val="clear" w:color="auto" w:fill="FFFFFF"/>
            <w:vAlign w:val="center"/>
          </w:tcPr>
          <w:p w14:paraId="39EE6B4F">
            <w:pPr>
              <w:widowControl/>
              <w:ind w:firstLine="0" w:firstLineChars="0"/>
              <w:jc w:val="center"/>
              <w:rPr>
                <w:rFonts w:ascii="宋体" w:cs="宋体"/>
                <w:kern w:val="0"/>
                <w:sz w:val="21"/>
                <w:szCs w:val="21"/>
              </w:rPr>
            </w:pPr>
            <w:bookmarkStart w:id="2844" w:name="RANGE!B7"/>
            <w:bookmarkEnd w:id="2844"/>
            <w:r>
              <w:rPr>
                <w:rFonts w:hint="eastAsia" w:ascii="宋体" w:hAnsi="宋体" w:cs="宋体"/>
                <w:kern w:val="0"/>
                <w:sz w:val="21"/>
                <w:szCs w:val="21"/>
              </w:rPr>
              <w:t>综合办主任</w:t>
            </w:r>
          </w:p>
        </w:tc>
        <w:tc>
          <w:tcPr>
            <w:tcW w:w="5860" w:type="dxa"/>
            <w:tcBorders>
              <w:top w:val="dotted" w:color="auto" w:sz="6" w:space="0"/>
              <w:left w:val="dotted" w:color="auto" w:sz="6" w:space="0"/>
              <w:bottom w:val="dotted" w:color="auto" w:sz="8" w:space="0"/>
              <w:right w:val="dotted" w:color="auto" w:sz="6" w:space="0"/>
            </w:tcBorders>
            <w:shd w:val="clear" w:color="auto" w:fill="FFFFFF"/>
            <w:vAlign w:val="center"/>
          </w:tcPr>
          <w:p w14:paraId="18E221A2">
            <w:pPr>
              <w:widowControl/>
              <w:ind w:firstLine="0" w:firstLineChars="0"/>
              <w:jc w:val="center"/>
              <w:rPr>
                <w:rFonts w:ascii="宋体" w:cs="宋体"/>
                <w:kern w:val="0"/>
                <w:sz w:val="21"/>
                <w:szCs w:val="21"/>
              </w:rPr>
            </w:pPr>
            <w:bookmarkStart w:id="2845" w:name="RANGE!C7"/>
            <w:bookmarkEnd w:id="2845"/>
            <w:r>
              <w:rPr>
                <w:rFonts w:hint="eastAsia" w:ascii="宋体" w:hAnsi="宋体" w:cs="宋体"/>
                <w:kern w:val="0"/>
                <w:sz w:val="21"/>
                <w:szCs w:val="21"/>
              </w:rPr>
              <w:t>灾害发生时负责伤员救护工作，联系伤员转院治疗事宜；平时负责施工人员防灾自救常识的培训。</w:t>
            </w:r>
          </w:p>
        </w:tc>
      </w:tr>
      <w:tr w14:paraId="1EC45FE4">
        <w:tblPrEx>
          <w:tblCellMar>
            <w:top w:w="0" w:type="dxa"/>
            <w:left w:w="108" w:type="dxa"/>
            <w:bottom w:w="0" w:type="dxa"/>
            <w:right w:w="108" w:type="dxa"/>
          </w:tblCellMar>
        </w:tblPrEx>
        <w:trPr>
          <w:trHeight w:val="476" w:hRule="atLeast"/>
          <w:jc w:val="center"/>
        </w:trPr>
        <w:tc>
          <w:tcPr>
            <w:tcW w:w="1326" w:type="dxa"/>
            <w:tcBorders>
              <w:top w:val="dotted" w:color="auto" w:sz="6" w:space="0"/>
              <w:left w:val="dotted" w:color="auto" w:sz="6" w:space="0"/>
              <w:bottom w:val="dotted" w:color="auto" w:sz="8" w:space="0"/>
              <w:right w:val="dotted" w:color="auto" w:sz="8" w:space="0"/>
            </w:tcBorders>
            <w:shd w:val="clear" w:color="auto" w:fill="FFFFFF"/>
            <w:vAlign w:val="center"/>
          </w:tcPr>
          <w:p w14:paraId="4B434AA8">
            <w:pPr>
              <w:widowControl/>
              <w:ind w:firstLine="0" w:firstLineChars="0"/>
              <w:jc w:val="center"/>
              <w:rPr>
                <w:rFonts w:ascii="宋体" w:cs="宋体"/>
                <w:kern w:val="0"/>
                <w:sz w:val="21"/>
                <w:szCs w:val="21"/>
              </w:rPr>
            </w:pPr>
            <w:bookmarkStart w:id="2846" w:name="RANGE!A8"/>
            <w:bookmarkEnd w:id="2846"/>
            <w:r>
              <w:rPr>
                <w:rFonts w:hint="eastAsia" w:ascii="宋体" w:hAnsi="宋体" w:cs="宋体"/>
                <w:kern w:val="0"/>
                <w:sz w:val="21"/>
                <w:szCs w:val="21"/>
              </w:rPr>
              <w:t>组员</w:t>
            </w:r>
          </w:p>
        </w:tc>
        <w:tc>
          <w:tcPr>
            <w:tcW w:w="2213" w:type="dxa"/>
            <w:tcBorders>
              <w:top w:val="dotted" w:color="auto" w:sz="6" w:space="0"/>
              <w:left w:val="dotted" w:color="auto" w:sz="6" w:space="0"/>
              <w:bottom w:val="dotted" w:color="auto" w:sz="8" w:space="0"/>
              <w:right w:val="dotted" w:color="auto" w:sz="8" w:space="0"/>
            </w:tcBorders>
            <w:shd w:val="clear" w:color="auto" w:fill="FFFFFF"/>
            <w:vAlign w:val="center"/>
          </w:tcPr>
          <w:p w14:paraId="1D06076A">
            <w:pPr>
              <w:widowControl/>
              <w:ind w:firstLine="0" w:firstLineChars="0"/>
              <w:jc w:val="center"/>
              <w:rPr>
                <w:rFonts w:ascii="宋体" w:cs="宋体"/>
                <w:kern w:val="0"/>
                <w:sz w:val="21"/>
                <w:szCs w:val="21"/>
              </w:rPr>
            </w:pPr>
            <w:bookmarkStart w:id="2847" w:name="RANGE!B8"/>
            <w:bookmarkEnd w:id="2847"/>
            <w:r>
              <w:rPr>
                <w:rFonts w:hint="eastAsia" w:ascii="宋体" w:hAnsi="宋体" w:cs="宋体"/>
                <w:kern w:val="0"/>
                <w:sz w:val="21"/>
                <w:szCs w:val="21"/>
              </w:rPr>
              <w:t>物资部部长</w:t>
            </w:r>
          </w:p>
        </w:tc>
        <w:tc>
          <w:tcPr>
            <w:tcW w:w="5860" w:type="dxa"/>
            <w:tcBorders>
              <w:top w:val="dotted" w:color="auto" w:sz="6" w:space="0"/>
              <w:left w:val="dotted" w:color="auto" w:sz="6" w:space="0"/>
              <w:bottom w:val="dotted" w:color="auto" w:sz="8" w:space="0"/>
              <w:right w:val="dotted" w:color="auto" w:sz="6" w:space="0"/>
            </w:tcBorders>
            <w:shd w:val="clear" w:color="auto" w:fill="FFFFFF"/>
            <w:vAlign w:val="center"/>
          </w:tcPr>
          <w:p w14:paraId="4F71E344">
            <w:pPr>
              <w:widowControl/>
              <w:ind w:firstLine="0" w:firstLineChars="0"/>
              <w:jc w:val="center"/>
              <w:rPr>
                <w:rFonts w:ascii="宋体" w:cs="宋体"/>
                <w:kern w:val="0"/>
                <w:sz w:val="21"/>
                <w:szCs w:val="21"/>
              </w:rPr>
            </w:pPr>
            <w:bookmarkStart w:id="2848" w:name="RANGE!C8"/>
            <w:bookmarkEnd w:id="2848"/>
            <w:r>
              <w:rPr>
                <w:rFonts w:hint="eastAsia" w:ascii="宋体" w:hAnsi="宋体" w:cs="宋体"/>
                <w:kern w:val="0"/>
                <w:sz w:val="21"/>
                <w:szCs w:val="21"/>
              </w:rPr>
              <w:t>灾害发生时负责救灾物资、设备的供应；平时负责对救灾物资的储备情况进行检查。</w:t>
            </w:r>
          </w:p>
        </w:tc>
      </w:tr>
      <w:tr w14:paraId="280B5631">
        <w:tblPrEx>
          <w:tblCellMar>
            <w:top w:w="0" w:type="dxa"/>
            <w:left w:w="108" w:type="dxa"/>
            <w:bottom w:w="0" w:type="dxa"/>
            <w:right w:w="108" w:type="dxa"/>
          </w:tblCellMar>
        </w:tblPrEx>
        <w:trPr>
          <w:trHeight w:val="489" w:hRule="atLeast"/>
          <w:jc w:val="center"/>
        </w:trPr>
        <w:tc>
          <w:tcPr>
            <w:tcW w:w="1326" w:type="dxa"/>
            <w:tcBorders>
              <w:top w:val="dotted" w:color="auto" w:sz="6" w:space="0"/>
              <w:left w:val="dotted" w:color="auto" w:sz="6" w:space="0"/>
              <w:bottom w:val="dotted" w:color="auto" w:sz="6" w:space="0"/>
              <w:right w:val="dotted" w:color="auto" w:sz="8" w:space="0"/>
            </w:tcBorders>
            <w:shd w:val="clear" w:color="auto" w:fill="FFFFFF"/>
            <w:vAlign w:val="center"/>
          </w:tcPr>
          <w:p w14:paraId="440E239F">
            <w:pPr>
              <w:widowControl/>
              <w:ind w:firstLine="0" w:firstLineChars="0"/>
              <w:jc w:val="center"/>
              <w:rPr>
                <w:rFonts w:ascii="宋体" w:cs="宋体"/>
                <w:kern w:val="0"/>
                <w:sz w:val="21"/>
                <w:szCs w:val="21"/>
              </w:rPr>
            </w:pPr>
            <w:bookmarkStart w:id="2849" w:name="RANGE!A9"/>
            <w:bookmarkEnd w:id="2849"/>
            <w:r>
              <w:rPr>
                <w:rFonts w:hint="eastAsia" w:ascii="宋体" w:hAnsi="宋体" w:cs="宋体"/>
                <w:kern w:val="0"/>
                <w:sz w:val="21"/>
                <w:szCs w:val="21"/>
              </w:rPr>
              <w:t>组员</w:t>
            </w:r>
          </w:p>
        </w:tc>
        <w:tc>
          <w:tcPr>
            <w:tcW w:w="2213" w:type="dxa"/>
            <w:tcBorders>
              <w:top w:val="dotted" w:color="auto" w:sz="6" w:space="0"/>
              <w:left w:val="dotted" w:color="auto" w:sz="6" w:space="0"/>
              <w:bottom w:val="dotted" w:color="auto" w:sz="6" w:space="0"/>
              <w:right w:val="dotted" w:color="auto" w:sz="8" w:space="0"/>
            </w:tcBorders>
            <w:shd w:val="clear" w:color="auto" w:fill="FFFFFF"/>
            <w:vAlign w:val="center"/>
          </w:tcPr>
          <w:p w14:paraId="4FA9B215">
            <w:pPr>
              <w:widowControl/>
              <w:ind w:firstLine="0" w:firstLineChars="0"/>
              <w:jc w:val="center"/>
              <w:rPr>
                <w:rFonts w:ascii="宋体" w:cs="宋体"/>
                <w:kern w:val="0"/>
                <w:sz w:val="21"/>
                <w:szCs w:val="21"/>
              </w:rPr>
            </w:pPr>
            <w:r>
              <w:rPr>
                <w:rFonts w:hint="eastAsia" w:ascii="宋体" w:hAnsi="宋体" w:cs="宋体"/>
                <w:kern w:val="0"/>
                <w:sz w:val="21"/>
                <w:szCs w:val="21"/>
              </w:rPr>
              <w:t>各班组负责人</w:t>
            </w:r>
          </w:p>
        </w:tc>
        <w:tc>
          <w:tcPr>
            <w:tcW w:w="5860" w:type="dxa"/>
            <w:tcBorders>
              <w:top w:val="dotted" w:color="auto" w:sz="6" w:space="0"/>
              <w:left w:val="dotted" w:color="auto" w:sz="6" w:space="0"/>
              <w:bottom w:val="dotted" w:color="auto" w:sz="6" w:space="0"/>
              <w:right w:val="dotted" w:color="auto" w:sz="6" w:space="0"/>
            </w:tcBorders>
            <w:shd w:val="clear" w:color="auto" w:fill="FFFFFF"/>
            <w:vAlign w:val="center"/>
          </w:tcPr>
          <w:p w14:paraId="626CC5C8">
            <w:pPr>
              <w:widowControl/>
              <w:ind w:firstLine="0" w:firstLineChars="0"/>
              <w:jc w:val="center"/>
              <w:rPr>
                <w:rFonts w:ascii="宋体" w:cs="宋体"/>
                <w:kern w:val="0"/>
                <w:sz w:val="21"/>
                <w:szCs w:val="21"/>
              </w:rPr>
            </w:pPr>
            <w:bookmarkStart w:id="2850" w:name="RANGE!C9"/>
            <w:bookmarkEnd w:id="2850"/>
            <w:r>
              <w:rPr>
                <w:rFonts w:hint="eastAsia" w:ascii="宋体" w:hAnsi="宋体" w:cs="宋体"/>
                <w:kern w:val="0"/>
                <w:sz w:val="21"/>
                <w:szCs w:val="21"/>
              </w:rPr>
              <w:t>全面负责本队的救灾工作，灾害发生时负责下情上达，上情下达，坚决执行指挥部的救灾命令。</w:t>
            </w:r>
          </w:p>
        </w:tc>
      </w:tr>
    </w:tbl>
    <w:p w14:paraId="769F1049">
      <w:pPr>
        <w:adjustRightInd w:val="0"/>
        <w:snapToGrid w:val="0"/>
        <w:ind w:firstLine="480"/>
        <w:rPr>
          <w:rFonts w:hint="eastAsia"/>
        </w:rPr>
      </w:pPr>
      <w:r>
        <w:rPr>
          <w:rFonts w:hint="eastAsia"/>
        </w:rPr>
        <w:t>在灾害发生时，第一时间向自然灾害的应急处理领导小组组长汇报，组长根据灾害情况一面向有关方面汇报，一面决定启动应急预案，指挥救灾工作的实施。</w:t>
      </w:r>
    </w:p>
    <w:p w14:paraId="134D8BFC">
      <w:pPr>
        <w:adjustRightInd w:val="0"/>
        <w:snapToGrid w:val="0"/>
        <w:ind w:firstLine="480"/>
        <w:rPr>
          <w:rFonts w:hint="eastAsia"/>
        </w:rPr>
      </w:pPr>
      <w:r>
        <w:rPr>
          <w:rFonts w:hint="eastAsia"/>
        </w:rPr>
        <w:t>处理程序见下图：</w:t>
      </w:r>
    </w:p>
    <w:p w14:paraId="2AB81B07">
      <w:pPr>
        <w:pStyle w:val="5"/>
        <w:numPr>
          <w:ilvl w:val="2"/>
          <w:numId w:val="0"/>
        </w:numPr>
        <w:spacing w:line="360" w:lineRule="auto"/>
        <w:ind w:left="720" w:leftChars="0" w:hanging="720" w:firstLineChars="0"/>
        <w:rPr>
          <w:color w:val="auto"/>
        </w:rPr>
      </w:pPr>
      <w:bookmarkStart w:id="2851" w:name="_Toc15606"/>
      <w:bookmarkStart w:id="2852" w:name="_Toc16334"/>
      <w:bookmarkStart w:id="2853" w:name="_Toc27207"/>
      <w:bookmarkStart w:id="2854" w:name="_Toc22220"/>
      <w:bookmarkStart w:id="2855" w:name="_Toc5351"/>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7</w:t>
      </w:r>
      <w:r>
        <w:rPr>
          <w:rFonts w:hint="default" w:ascii="Times New Roman" w:hAnsi="Times New Roman" w:eastAsia="宋体" w:cs="Times New Roman"/>
          <w:b/>
          <w:bCs/>
          <w:color w:val="auto"/>
          <w:kern w:val="2"/>
          <w:sz w:val="30"/>
          <w:szCs w:val="32"/>
          <w:lang w:val="en-US" w:eastAsia="zh-CN" w:bidi="ar-SA"/>
        </w:rPr>
        <w:t>.2.3.</w:t>
      </w:r>
      <w:r>
        <w:rPr>
          <w:rFonts w:hint="eastAsia"/>
          <w:color w:val="auto"/>
        </w:rPr>
        <w:t>预案的启动和实施</w:t>
      </w:r>
      <w:bookmarkEnd w:id="2851"/>
      <w:bookmarkEnd w:id="2852"/>
      <w:bookmarkEnd w:id="2853"/>
      <w:bookmarkEnd w:id="2854"/>
      <w:bookmarkEnd w:id="2855"/>
    </w:p>
    <w:p w14:paraId="5AF912EC">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7</w:t>
      </w:r>
      <w:r>
        <w:rPr>
          <w:rFonts w:hint="default" w:ascii="Cambria" w:hAnsi="Cambria" w:eastAsia="宋体" w:cs="Times New Roman"/>
          <w:b/>
          <w:bCs/>
          <w:kern w:val="2"/>
          <w:sz w:val="24"/>
          <w:szCs w:val="28"/>
          <w:lang w:val="en-US" w:eastAsia="zh-CN" w:bidi="ar-SA"/>
        </w:rPr>
        <w:t>.2.3.1.</w:t>
      </w:r>
      <w:r>
        <w:rPr>
          <w:rFonts w:hint="eastAsia"/>
        </w:rPr>
        <w:t>应急响应</w:t>
      </w:r>
    </w:p>
    <w:p w14:paraId="47C4A101">
      <w:pPr>
        <w:adjustRightInd w:val="0"/>
        <w:snapToGrid w:val="0"/>
        <w:ind w:firstLine="480"/>
        <w:rPr>
          <w:rFonts w:hint="eastAsia"/>
        </w:rPr>
      </w:pPr>
      <w:r>
        <w:rPr>
          <w:rFonts w:hint="eastAsia"/>
        </w:rPr>
        <w:t>公路水运工程生产安全事故应急响应分为Ⅰ、Ⅱ、Ⅲ、IV四级，具体等级划分情况见下表：</w:t>
      </w:r>
    </w:p>
    <w:tbl>
      <w:tblPr>
        <w:tblStyle w:val="47"/>
        <w:tblW w:w="0" w:type="auto"/>
        <w:tblInd w:w="0" w:type="dxa"/>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763"/>
        <w:gridCol w:w="35"/>
        <w:gridCol w:w="1676"/>
        <w:gridCol w:w="6690"/>
      </w:tblGrid>
      <w:tr w14:paraId="4CEDCD9F">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PrEx>
        <w:trPr>
          <w:trHeight w:val="737" w:hRule="atLeast"/>
        </w:trPr>
        <w:tc>
          <w:tcPr>
            <w:tcW w:w="763" w:type="dxa"/>
            <w:tcBorders>
              <w:top w:val="dotted" w:color="auto" w:sz="4" w:space="0"/>
              <w:left w:val="dotted" w:color="auto" w:sz="4" w:space="0"/>
              <w:bottom w:val="dotted" w:color="auto" w:sz="4" w:space="0"/>
              <w:right w:val="dotted" w:color="auto" w:sz="4" w:space="0"/>
            </w:tcBorders>
            <w:shd w:val="clear" w:color="auto" w:fill="FFFFFF"/>
            <w:vAlign w:val="center"/>
          </w:tcPr>
          <w:p w14:paraId="40310987">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响应级别</w:t>
            </w:r>
          </w:p>
        </w:tc>
        <w:tc>
          <w:tcPr>
            <w:tcW w:w="33" w:type="dxa"/>
            <w:tcBorders>
              <w:top w:val="dotted" w:color="auto" w:sz="4" w:space="0"/>
              <w:left w:val="dotted" w:color="auto" w:sz="4" w:space="0"/>
              <w:bottom w:val="dotted" w:color="auto" w:sz="4" w:space="0"/>
              <w:right w:val="dotted" w:color="auto" w:sz="8" w:space="0"/>
            </w:tcBorders>
            <w:shd w:val="clear" w:color="auto" w:fill="FFFFFF"/>
            <w:vAlign w:val="center"/>
          </w:tcPr>
          <w:p w14:paraId="2CEF5A7A">
            <w:pPr>
              <w:widowControl/>
              <w:shd w:val="clear" w:color="auto" w:fill="FFFFFF"/>
              <w:adjustRightInd w:val="0"/>
              <w:snapToGrid w:val="0"/>
              <w:ind w:firstLine="0" w:firstLineChars="0"/>
              <w:jc w:val="center"/>
              <w:rPr>
                <w:rFonts w:ascii="宋体"/>
                <w:sz w:val="21"/>
                <w:szCs w:val="21"/>
              </w:rPr>
            </w:pPr>
          </w:p>
        </w:tc>
        <w:tc>
          <w:tcPr>
            <w:tcW w:w="1676" w:type="dxa"/>
            <w:tcBorders>
              <w:top w:val="dotted" w:color="auto" w:sz="4" w:space="0"/>
              <w:left w:val="dotted" w:color="auto" w:sz="6" w:space="0"/>
              <w:bottom w:val="dotted" w:color="auto" w:sz="4" w:space="0"/>
              <w:right w:val="dotted" w:color="auto" w:sz="4" w:space="0"/>
            </w:tcBorders>
            <w:shd w:val="clear" w:color="auto" w:fill="FFFFFF"/>
            <w:tcMar>
              <w:top w:w="0" w:type="dxa"/>
              <w:left w:w="108" w:type="dxa"/>
              <w:bottom w:w="0" w:type="dxa"/>
              <w:right w:w="108" w:type="dxa"/>
            </w:tcMar>
            <w:vAlign w:val="center"/>
          </w:tcPr>
          <w:p w14:paraId="56C542CA">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对应的自然灾害类预警级别</w:t>
            </w:r>
          </w:p>
        </w:tc>
        <w:tc>
          <w:tcPr>
            <w:tcW w:w="6690" w:type="dxa"/>
            <w:tcBorders>
              <w:top w:val="dotted" w:color="auto" w:sz="4" w:space="0"/>
              <w:left w:val="dotted" w:color="auto" w:sz="4" w:space="0"/>
              <w:bottom w:val="dotted" w:color="auto" w:sz="4" w:space="0"/>
              <w:right w:val="dotted" w:color="auto" w:sz="4" w:space="0"/>
            </w:tcBorders>
            <w:shd w:val="clear" w:color="auto" w:fill="FFFFFF"/>
            <w:tcMar>
              <w:top w:w="0" w:type="dxa"/>
              <w:left w:w="108" w:type="dxa"/>
              <w:bottom w:w="0" w:type="dxa"/>
              <w:right w:w="108" w:type="dxa"/>
            </w:tcMar>
            <w:vAlign w:val="center"/>
          </w:tcPr>
          <w:p w14:paraId="766BB07B">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事故发生后可能后果</w:t>
            </w:r>
          </w:p>
        </w:tc>
      </w:tr>
      <w:tr w14:paraId="569D351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737" w:hRule="atLeast"/>
        </w:trPr>
        <w:tc>
          <w:tcPr>
            <w:tcW w:w="763" w:type="dxa"/>
            <w:tcBorders>
              <w:top w:val="dotted" w:color="auto" w:sz="4" w:space="0"/>
              <w:left w:val="dotted" w:color="auto" w:sz="4" w:space="0"/>
              <w:bottom w:val="dotted" w:color="auto" w:sz="4" w:space="0"/>
              <w:right w:val="dotted" w:color="auto" w:sz="4" w:space="0"/>
            </w:tcBorders>
            <w:shd w:val="clear" w:color="auto" w:fill="FFFFFF"/>
            <w:vAlign w:val="center"/>
          </w:tcPr>
          <w:p w14:paraId="76D83822">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Ⅰ级</w:t>
            </w:r>
          </w:p>
        </w:tc>
        <w:tc>
          <w:tcPr>
            <w:tcW w:w="33" w:type="dxa"/>
            <w:tcBorders>
              <w:top w:val="dotted" w:color="auto" w:sz="4" w:space="0"/>
              <w:left w:val="dotted" w:color="auto" w:sz="4" w:space="0"/>
              <w:bottom w:val="dotted" w:color="auto" w:sz="4" w:space="0"/>
              <w:right w:val="dotted" w:color="auto" w:sz="8" w:space="0"/>
            </w:tcBorders>
            <w:shd w:val="clear" w:color="auto" w:fill="FFFFFF"/>
            <w:vAlign w:val="center"/>
          </w:tcPr>
          <w:p w14:paraId="15356C19">
            <w:pPr>
              <w:widowControl/>
              <w:shd w:val="clear" w:color="auto" w:fill="FFFFFF"/>
              <w:adjustRightInd w:val="0"/>
              <w:snapToGrid w:val="0"/>
              <w:ind w:firstLine="0" w:firstLineChars="0"/>
              <w:jc w:val="center"/>
              <w:rPr>
                <w:rFonts w:ascii="宋体"/>
                <w:sz w:val="21"/>
                <w:szCs w:val="21"/>
              </w:rPr>
            </w:pPr>
          </w:p>
        </w:tc>
        <w:tc>
          <w:tcPr>
            <w:tcW w:w="1676" w:type="dxa"/>
            <w:tcBorders>
              <w:top w:val="dotted" w:color="auto" w:sz="4" w:space="0"/>
              <w:left w:val="dotted" w:color="auto" w:sz="6" w:space="0"/>
              <w:bottom w:val="dotted" w:color="auto" w:sz="4" w:space="0"/>
              <w:right w:val="dotted" w:color="auto" w:sz="4" w:space="0"/>
            </w:tcBorders>
            <w:shd w:val="clear" w:color="auto" w:fill="FFFFFF"/>
            <w:tcMar>
              <w:top w:w="0" w:type="dxa"/>
              <w:left w:w="108" w:type="dxa"/>
              <w:bottom w:w="0" w:type="dxa"/>
              <w:right w:w="108" w:type="dxa"/>
            </w:tcMar>
            <w:vAlign w:val="center"/>
          </w:tcPr>
          <w:p w14:paraId="08324ED9">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Ⅰ级</w:t>
            </w:r>
          </w:p>
        </w:tc>
        <w:tc>
          <w:tcPr>
            <w:tcW w:w="6690" w:type="dxa"/>
            <w:tcBorders>
              <w:top w:val="dotted" w:color="auto" w:sz="4" w:space="0"/>
              <w:left w:val="dotted" w:color="auto" w:sz="4" w:space="0"/>
              <w:bottom w:val="dotted" w:color="auto" w:sz="4" w:space="0"/>
              <w:right w:val="dotted" w:color="auto" w:sz="4" w:space="0"/>
            </w:tcBorders>
            <w:shd w:val="clear" w:color="auto" w:fill="FFFFFF"/>
            <w:tcMar>
              <w:top w:w="0" w:type="dxa"/>
              <w:left w:w="108" w:type="dxa"/>
              <w:bottom w:w="0" w:type="dxa"/>
              <w:right w:w="108" w:type="dxa"/>
            </w:tcMar>
            <w:vAlign w:val="center"/>
          </w:tcPr>
          <w:p w14:paraId="5485B1FC">
            <w:pPr>
              <w:widowControl/>
              <w:shd w:val="clear" w:color="auto" w:fill="FFFFFF"/>
              <w:adjustRightInd w:val="0"/>
              <w:snapToGrid w:val="0"/>
              <w:ind w:firstLine="0" w:firstLineChars="0"/>
              <w:rPr>
                <w:rFonts w:ascii="宋体"/>
                <w:sz w:val="21"/>
                <w:szCs w:val="21"/>
              </w:rPr>
            </w:pPr>
            <w:r>
              <w:rPr>
                <w:rFonts w:hint="eastAsia" w:ascii="宋体" w:hAnsi="宋体"/>
                <w:sz w:val="21"/>
                <w:szCs w:val="21"/>
              </w:rPr>
              <w:t>死亡（失踪）</w:t>
            </w:r>
            <w:r>
              <w:rPr>
                <w:rFonts w:ascii="宋体" w:hAnsi="宋体"/>
                <w:sz w:val="21"/>
                <w:szCs w:val="21"/>
              </w:rPr>
              <w:t>30</w:t>
            </w:r>
            <w:r>
              <w:rPr>
                <w:rFonts w:hint="eastAsia" w:ascii="宋体" w:hAnsi="宋体"/>
                <w:sz w:val="21"/>
                <w:szCs w:val="21"/>
              </w:rPr>
              <w:t>人及以上；涉险</w:t>
            </w:r>
            <w:r>
              <w:rPr>
                <w:rFonts w:ascii="宋体" w:hAnsi="宋体"/>
                <w:sz w:val="21"/>
                <w:szCs w:val="21"/>
              </w:rPr>
              <w:t>30</w:t>
            </w:r>
            <w:r>
              <w:rPr>
                <w:rFonts w:hint="eastAsia" w:ascii="宋体" w:hAnsi="宋体"/>
                <w:sz w:val="21"/>
                <w:szCs w:val="21"/>
              </w:rPr>
              <w:t>人及以上；可能造成</w:t>
            </w:r>
            <w:r>
              <w:rPr>
                <w:rFonts w:ascii="宋体" w:hAnsi="宋体"/>
                <w:sz w:val="21"/>
                <w:szCs w:val="21"/>
              </w:rPr>
              <w:t>100</w:t>
            </w:r>
            <w:r>
              <w:rPr>
                <w:rFonts w:hint="eastAsia" w:ascii="宋体" w:hAnsi="宋体"/>
                <w:sz w:val="21"/>
                <w:szCs w:val="21"/>
              </w:rPr>
              <w:t>人及以上重伤（或急性中毒）；经济损失达</w:t>
            </w:r>
            <w:r>
              <w:rPr>
                <w:rFonts w:ascii="宋体" w:hAnsi="宋体"/>
                <w:sz w:val="21"/>
                <w:szCs w:val="21"/>
              </w:rPr>
              <w:t>10000</w:t>
            </w:r>
            <w:r>
              <w:rPr>
                <w:rFonts w:hint="eastAsia" w:ascii="宋体" w:hAnsi="宋体"/>
                <w:sz w:val="21"/>
                <w:szCs w:val="21"/>
              </w:rPr>
              <w:t>万元及以上。</w:t>
            </w:r>
          </w:p>
        </w:tc>
      </w:tr>
      <w:tr w14:paraId="1ADAE609">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737" w:hRule="atLeast"/>
        </w:trPr>
        <w:tc>
          <w:tcPr>
            <w:tcW w:w="763" w:type="dxa"/>
            <w:tcBorders>
              <w:top w:val="dotted" w:color="auto" w:sz="4" w:space="0"/>
              <w:left w:val="dotted" w:color="auto" w:sz="4" w:space="0"/>
              <w:bottom w:val="dotted" w:color="auto" w:sz="4" w:space="0"/>
              <w:right w:val="dotted" w:color="auto" w:sz="4" w:space="0"/>
            </w:tcBorders>
            <w:shd w:val="clear" w:color="auto" w:fill="FFFFFF"/>
            <w:vAlign w:val="center"/>
          </w:tcPr>
          <w:p w14:paraId="7E180303">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Ⅱ级</w:t>
            </w:r>
          </w:p>
        </w:tc>
        <w:tc>
          <w:tcPr>
            <w:tcW w:w="33" w:type="dxa"/>
            <w:tcBorders>
              <w:top w:val="dotted" w:color="auto" w:sz="4" w:space="0"/>
              <w:left w:val="dotted" w:color="auto" w:sz="4" w:space="0"/>
              <w:bottom w:val="dotted" w:color="auto" w:sz="4" w:space="0"/>
              <w:right w:val="dotted" w:color="auto" w:sz="8" w:space="0"/>
            </w:tcBorders>
            <w:shd w:val="clear" w:color="auto" w:fill="FFFFFF"/>
            <w:vAlign w:val="center"/>
          </w:tcPr>
          <w:p w14:paraId="4BD49E74">
            <w:pPr>
              <w:widowControl/>
              <w:shd w:val="clear" w:color="auto" w:fill="FFFFFF"/>
              <w:adjustRightInd w:val="0"/>
              <w:snapToGrid w:val="0"/>
              <w:ind w:firstLine="0" w:firstLineChars="0"/>
              <w:jc w:val="center"/>
              <w:rPr>
                <w:rFonts w:ascii="宋体"/>
                <w:sz w:val="21"/>
                <w:szCs w:val="21"/>
              </w:rPr>
            </w:pPr>
          </w:p>
        </w:tc>
        <w:tc>
          <w:tcPr>
            <w:tcW w:w="1676" w:type="dxa"/>
            <w:tcBorders>
              <w:top w:val="dotted" w:color="auto" w:sz="4" w:space="0"/>
              <w:left w:val="dotted" w:color="auto" w:sz="6" w:space="0"/>
              <w:bottom w:val="dotted" w:color="auto" w:sz="4" w:space="0"/>
              <w:right w:val="dotted" w:color="auto" w:sz="4" w:space="0"/>
            </w:tcBorders>
            <w:shd w:val="clear" w:color="auto" w:fill="FFFFFF"/>
            <w:tcMar>
              <w:top w:w="0" w:type="dxa"/>
              <w:left w:w="108" w:type="dxa"/>
              <w:bottom w:w="0" w:type="dxa"/>
              <w:right w:w="108" w:type="dxa"/>
            </w:tcMar>
            <w:vAlign w:val="center"/>
          </w:tcPr>
          <w:p w14:paraId="21E11CDE">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Ⅱ级</w:t>
            </w:r>
          </w:p>
        </w:tc>
        <w:tc>
          <w:tcPr>
            <w:tcW w:w="6690" w:type="dxa"/>
            <w:tcBorders>
              <w:top w:val="dotted" w:color="auto" w:sz="4" w:space="0"/>
              <w:left w:val="dotted" w:color="auto" w:sz="4" w:space="0"/>
              <w:bottom w:val="dotted" w:color="auto" w:sz="4" w:space="0"/>
              <w:right w:val="dotted" w:color="auto" w:sz="4" w:space="0"/>
            </w:tcBorders>
            <w:shd w:val="clear" w:color="auto" w:fill="FFFFFF"/>
            <w:tcMar>
              <w:top w:w="0" w:type="dxa"/>
              <w:left w:w="108" w:type="dxa"/>
              <w:bottom w:w="0" w:type="dxa"/>
              <w:right w:w="108" w:type="dxa"/>
            </w:tcMar>
            <w:vAlign w:val="center"/>
          </w:tcPr>
          <w:p w14:paraId="1841C29E">
            <w:pPr>
              <w:widowControl/>
              <w:shd w:val="clear" w:color="auto" w:fill="FFFFFF"/>
              <w:adjustRightInd w:val="0"/>
              <w:snapToGrid w:val="0"/>
              <w:ind w:firstLine="0" w:firstLineChars="0"/>
              <w:rPr>
                <w:rFonts w:ascii="宋体"/>
                <w:sz w:val="21"/>
                <w:szCs w:val="21"/>
              </w:rPr>
            </w:pPr>
            <w:r>
              <w:rPr>
                <w:rFonts w:hint="eastAsia" w:ascii="宋体" w:hAnsi="宋体"/>
                <w:sz w:val="21"/>
                <w:szCs w:val="21"/>
              </w:rPr>
              <w:t>死亡（失踪）</w:t>
            </w:r>
            <w:r>
              <w:rPr>
                <w:rFonts w:ascii="宋体" w:hAnsi="宋体"/>
                <w:sz w:val="21"/>
                <w:szCs w:val="21"/>
              </w:rPr>
              <w:t>10-29</w:t>
            </w:r>
            <w:r>
              <w:rPr>
                <w:rFonts w:hint="eastAsia" w:ascii="宋体" w:hAnsi="宋体"/>
                <w:sz w:val="21"/>
                <w:szCs w:val="21"/>
              </w:rPr>
              <w:t>人；涉险</w:t>
            </w:r>
            <w:r>
              <w:rPr>
                <w:rFonts w:ascii="宋体" w:hAnsi="宋体"/>
                <w:sz w:val="21"/>
                <w:szCs w:val="21"/>
              </w:rPr>
              <w:t>10-29</w:t>
            </w:r>
            <w:r>
              <w:rPr>
                <w:rFonts w:hint="eastAsia" w:ascii="宋体" w:hAnsi="宋体"/>
                <w:sz w:val="21"/>
                <w:szCs w:val="21"/>
              </w:rPr>
              <w:t>人；可能造成</w:t>
            </w:r>
            <w:r>
              <w:rPr>
                <w:rFonts w:ascii="宋体" w:hAnsi="宋体"/>
                <w:sz w:val="21"/>
                <w:szCs w:val="21"/>
              </w:rPr>
              <w:t>50-99</w:t>
            </w:r>
            <w:r>
              <w:rPr>
                <w:rFonts w:hint="eastAsia" w:ascii="宋体" w:hAnsi="宋体"/>
                <w:sz w:val="21"/>
                <w:szCs w:val="21"/>
              </w:rPr>
              <w:t>人重伤（或急性中毒）；经济损失达</w:t>
            </w:r>
            <w:r>
              <w:rPr>
                <w:rFonts w:ascii="宋体" w:hAnsi="宋体"/>
                <w:sz w:val="21"/>
                <w:szCs w:val="21"/>
              </w:rPr>
              <w:t>5000</w:t>
            </w:r>
            <w:r>
              <w:rPr>
                <w:rFonts w:hint="eastAsia" w:ascii="宋体" w:hAnsi="宋体"/>
                <w:sz w:val="21"/>
                <w:szCs w:val="21"/>
              </w:rPr>
              <w:t>万元</w:t>
            </w:r>
            <w:r>
              <w:rPr>
                <w:rFonts w:ascii="宋体" w:hAnsi="宋体"/>
                <w:sz w:val="21"/>
                <w:szCs w:val="21"/>
              </w:rPr>
              <w:t>-10000</w:t>
            </w:r>
            <w:r>
              <w:rPr>
                <w:rFonts w:hint="eastAsia" w:ascii="宋体" w:hAnsi="宋体"/>
                <w:sz w:val="21"/>
                <w:szCs w:val="21"/>
              </w:rPr>
              <w:t>万元之间。</w:t>
            </w:r>
          </w:p>
        </w:tc>
      </w:tr>
      <w:tr w14:paraId="5CBA20FC">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737" w:hRule="atLeast"/>
        </w:trPr>
        <w:tc>
          <w:tcPr>
            <w:tcW w:w="763" w:type="dxa"/>
            <w:tcBorders>
              <w:top w:val="dotted" w:color="auto" w:sz="4" w:space="0"/>
              <w:left w:val="dotted" w:color="auto" w:sz="4" w:space="0"/>
              <w:bottom w:val="dotted" w:color="auto" w:sz="4" w:space="0"/>
              <w:right w:val="dotted" w:color="auto" w:sz="4" w:space="0"/>
            </w:tcBorders>
            <w:shd w:val="clear" w:color="auto" w:fill="FFFFFF"/>
            <w:vAlign w:val="center"/>
          </w:tcPr>
          <w:p w14:paraId="0D73EC1E">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Ⅲ级</w:t>
            </w:r>
          </w:p>
        </w:tc>
        <w:tc>
          <w:tcPr>
            <w:tcW w:w="33" w:type="dxa"/>
            <w:tcBorders>
              <w:top w:val="dotted" w:color="auto" w:sz="4" w:space="0"/>
              <w:left w:val="dotted" w:color="auto" w:sz="4" w:space="0"/>
              <w:bottom w:val="dotted" w:color="auto" w:sz="4" w:space="0"/>
              <w:right w:val="dotted" w:color="auto" w:sz="8" w:space="0"/>
            </w:tcBorders>
            <w:shd w:val="clear" w:color="auto" w:fill="FFFFFF"/>
            <w:vAlign w:val="center"/>
          </w:tcPr>
          <w:p w14:paraId="0ABB2CF9">
            <w:pPr>
              <w:widowControl/>
              <w:shd w:val="clear" w:color="auto" w:fill="FFFFFF"/>
              <w:adjustRightInd w:val="0"/>
              <w:snapToGrid w:val="0"/>
              <w:ind w:firstLine="0" w:firstLineChars="0"/>
              <w:jc w:val="center"/>
              <w:rPr>
                <w:rFonts w:ascii="宋体"/>
                <w:sz w:val="21"/>
                <w:szCs w:val="21"/>
              </w:rPr>
            </w:pPr>
          </w:p>
        </w:tc>
        <w:tc>
          <w:tcPr>
            <w:tcW w:w="1676" w:type="dxa"/>
            <w:tcBorders>
              <w:top w:val="dotted" w:color="auto" w:sz="4" w:space="0"/>
              <w:left w:val="dotted" w:color="auto" w:sz="6" w:space="0"/>
              <w:bottom w:val="dotted" w:color="auto" w:sz="4" w:space="0"/>
              <w:right w:val="dotted" w:color="auto" w:sz="4" w:space="0"/>
            </w:tcBorders>
            <w:shd w:val="clear" w:color="auto" w:fill="FFFFFF"/>
            <w:tcMar>
              <w:top w:w="0" w:type="dxa"/>
              <w:left w:w="108" w:type="dxa"/>
              <w:bottom w:w="0" w:type="dxa"/>
              <w:right w:w="108" w:type="dxa"/>
            </w:tcMar>
            <w:vAlign w:val="center"/>
          </w:tcPr>
          <w:p w14:paraId="71EA78B4">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Ⅲ级</w:t>
            </w:r>
          </w:p>
        </w:tc>
        <w:tc>
          <w:tcPr>
            <w:tcW w:w="6690" w:type="dxa"/>
            <w:tcBorders>
              <w:top w:val="dotted" w:color="auto" w:sz="4" w:space="0"/>
              <w:left w:val="dotted" w:color="auto" w:sz="4" w:space="0"/>
              <w:bottom w:val="dotted" w:color="auto" w:sz="4" w:space="0"/>
              <w:right w:val="dotted" w:color="auto" w:sz="4" w:space="0"/>
            </w:tcBorders>
            <w:shd w:val="clear" w:color="auto" w:fill="FFFFFF"/>
            <w:tcMar>
              <w:top w:w="0" w:type="dxa"/>
              <w:left w:w="108" w:type="dxa"/>
              <w:bottom w:w="0" w:type="dxa"/>
              <w:right w:w="108" w:type="dxa"/>
            </w:tcMar>
            <w:vAlign w:val="center"/>
          </w:tcPr>
          <w:p w14:paraId="4734D93C">
            <w:pPr>
              <w:widowControl/>
              <w:shd w:val="clear" w:color="auto" w:fill="FFFFFF"/>
              <w:adjustRightInd w:val="0"/>
              <w:snapToGrid w:val="0"/>
              <w:ind w:firstLine="0" w:firstLineChars="0"/>
              <w:rPr>
                <w:rFonts w:ascii="宋体"/>
                <w:sz w:val="21"/>
                <w:szCs w:val="21"/>
              </w:rPr>
            </w:pPr>
            <w:r>
              <w:rPr>
                <w:rFonts w:hint="eastAsia" w:ascii="宋体" w:hAnsi="宋体"/>
                <w:sz w:val="21"/>
                <w:szCs w:val="21"/>
              </w:rPr>
              <w:t>死亡（失踪）</w:t>
            </w:r>
            <w:r>
              <w:rPr>
                <w:rFonts w:ascii="宋体" w:hAnsi="宋体"/>
                <w:sz w:val="21"/>
                <w:szCs w:val="21"/>
              </w:rPr>
              <w:t>3-9</w:t>
            </w:r>
            <w:r>
              <w:rPr>
                <w:rFonts w:hint="eastAsia" w:ascii="宋体" w:hAnsi="宋体"/>
                <w:sz w:val="21"/>
                <w:szCs w:val="21"/>
              </w:rPr>
              <w:t>人；涉险</w:t>
            </w:r>
            <w:r>
              <w:rPr>
                <w:rFonts w:ascii="宋体" w:hAnsi="宋体"/>
                <w:sz w:val="21"/>
                <w:szCs w:val="21"/>
              </w:rPr>
              <w:t>3-9</w:t>
            </w:r>
            <w:r>
              <w:rPr>
                <w:rFonts w:hint="eastAsia" w:ascii="宋体" w:hAnsi="宋体"/>
                <w:sz w:val="21"/>
                <w:szCs w:val="21"/>
              </w:rPr>
              <w:t>人；可能造成</w:t>
            </w:r>
            <w:r>
              <w:rPr>
                <w:rFonts w:ascii="宋体" w:hAnsi="宋体"/>
                <w:sz w:val="21"/>
                <w:szCs w:val="21"/>
              </w:rPr>
              <w:t>10-49</w:t>
            </w:r>
            <w:r>
              <w:rPr>
                <w:rFonts w:hint="eastAsia" w:ascii="宋体" w:hAnsi="宋体"/>
                <w:sz w:val="21"/>
                <w:szCs w:val="21"/>
              </w:rPr>
              <w:t>人重伤（或急性中毒）；经济损失达</w:t>
            </w:r>
            <w:r>
              <w:rPr>
                <w:rFonts w:ascii="宋体" w:hAnsi="宋体"/>
                <w:sz w:val="21"/>
                <w:szCs w:val="21"/>
              </w:rPr>
              <w:t>1000</w:t>
            </w:r>
            <w:r>
              <w:rPr>
                <w:rFonts w:hint="eastAsia" w:ascii="宋体" w:hAnsi="宋体"/>
                <w:sz w:val="21"/>
                <w:szCs w:val="21"/>
              </w:rPr>
              <w:t>万元</w:t>
            </w:r>
            <w:r>
              <w:rPr>
                <w:rFonts w:ascii="宋体" w:hAnsi="宋体"/>
                <w:sz w:val="21"/>
                <w:szCs w:val="21"/>
              </w:rPr>
              <w:t>-5000</w:t>
            </w:r>
            <w:r>
              <w:rPr>
                <w:rFonts w:hint="eastAsia" w:ascii="宋体" w:hAnsi="宋体"/>
                <w:sz w:val="21"/>
                <w:szCs w:val="21"/>
              </w:rPr>
              <w:t>万元之间。</w:t>
            </w:r>
          </w:p>
        </w:tc>
      </w:tr>
      <w:tr w14:paraId="2F625ECD">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737" w:hRule="atLeast"/>
        </w:trPr>
        <w:tc>
          <w:tcPr>
            <w:tcW w:w="763" w:type="dxa"/>
            <w:tcBorders>
              <w:top w:val="dotted" w:color="auto" w:sz="4" w:space="0"/>
              <w:left w:val="dotted" w:color="auto" w:sz="4" w:space="0"/>
              <w:bottom w:val="dotted" w:color="auto" w:sz="4" w:space="0"/>
              <w:right w:val="dotted" w:color="auto" w:sz="4" w:space="0"/>
            </w:tcBorders>
            <w:shd w:val="clear" w:color="auto" w:fill="FFFFFF"/>
            <w:vAlign w:val="center"/>
          </w:tcPr>
          <w:p w14:paraId="4BA77F3B">
            <w:pPr>
              <w:widowControl/>
              <w:shd w:val="clear" w:color="auto" w:fill="FFFFFF"/>
              <w:adjustRightInd w:val="0"/>
              <w:snapToGrid w:val="0"/>
              <w:ind w:firstLine="0" w:firstLineChars="0"/>
              <w:jc w:val="center"/>
              <w:rPr>
                <w:rFonts w:ascii="宋体"/>
                <w:sz w:val="21"/>
                <w:szCs w:val="21"/>
              </w:rPr>
            </w:pPr>
            <w:r>
              <w:rPr>
                <w:rFonts w:ascii="宋体" w:hAnsi="宋体"/>
                <w:sz w:val="21"/>
                <w:szCs w:val="21"/>
              </w:rPr>
              <w:t>IV</w:t>
            </w:r>
            <w:r>
              <w:rPr>
                <w:rFonts w:hint="eastAsia" w:ascii="宋体" w:hAnsi="宋体"/>
                <w:sz w:val="21"/>
                <w:szCs w:val="21"/>
              </w:rPr>
              <w:t>级</w:t>
            </w:r>
          </w:p>
        </w:tc>
        <w:tc>
          <w:tcPr>
            <w:tcW w:w="33" w:type="dxa"/>
            <w:tcBorders>
              <w:top w:val="dotted" w:color="auto" w:sz="4" w:space="0"/>
              <w:left w:val="dotted" w:color="auto" w:sz="4" w:space="0"/>
              <w:bottom w:val="dotted" w:color="auto" w:sz="4" w:space="0"/>
              <w:right w:val="dotted" w:color="auto" w:sz="8" w:space="0"/>
            </w:tcBorders>
            <w:shd w:val="clear" w:color="auto" w:fill="FFFFFF"/>
            <w:vAlign w:val="center"/>
          </w:tcPr>
          <w:p w14:paraId="688EDA66">
            <w:pPr>
              <w:widowControl/>
              <w:shd w:val="clear" w:color="auto" w:fill="FFFFFF"/>
              <w:adjustRightInd w:val="0"/>
              <w:snapToGrid w:val="0"/>
              <w:ind w:firstLine="0" w:firstLineChars="0"/>
              <w:jc w:val="center"/>
              <w:rPr>
                <w:rFonts w:ascii="宋体"/>
                <w:sz w:val="21"/>
                <w:szCs w:val="21"/>
              </w:rPr>
            </w:pPr>
          </w:p>
        </w:tc>
        <w:tc>
          <w:tcPr>
            <w:tcW w:w="1676" w:type="dxa"/>
            <w:tcBorders>
              <w:top w:val="dotted" w:color="auto" w:sz="4" w:space="0"/>
              <w:left w:val="dotted" w:color="auto" w:sz="6" w:space="0"/>
              <w:bottom w:val="dotted" w:color="auto" w:sz="4" w:space="0"/>
              <w:right w:val="dotted" w:color="auto" w:sz="4" w:space="0"/>
            </w:tcBorders>
            <w:shd w:val="clear" w:color="auto" w:fill="FFFFFF"/>
            <w:tcMar>
              <w:top w:w="0" w:type="dxa"/>
              <w:left w:w="108" w:type="dxa"/>
              <w:bottom w:w="0" w:type="dxa"/>
              <w:right w:w="108" w:type="dxa"/>
            </w:tcMar>
            <w:vAlign w:val="center"/>
          </w:tcPr>
          <w:p w14:paraId="47E39A41">
            <w:pPr>
              <w:widowControl/>
              <w:shd w:val="clear" w:color="auto" w:fill="FFFFFF"/>
              <w:adjustRightInd w:val="0"/>
              <w:snapToGrid w:val="0"/>
              <w:ind w:firstLine="0" w:firstLineChars="0"/>
              <w:jc w:val="center"/>
              <w:rPr>
                <w:rFonts w:ascii="宋体"/>
                <w:sz w:val="21"/>
                <w:szCs w:val="21"/>
              </w:rPr>
            </w:pPr>
            <w:r>
              <w:rPr>
                <w:rFonts w:hint="eastAsia" w:ascii="宋体" w:hAnsi="宋体"/>
                <w:sz w:val="21"/>
                <w:szCs w:val="21"/>
              </w:rPr>
              <w:t>Ⅳ级</w:t>
            </w:r>
          </w:p>
        </w:tc>
        <w:tc>
          <w:tcPr>
            <w:tcW w:w="6690" w:type="dxa"/>
            <w:tcBorders>
              <w:top w:val="dotted" w:color="auto" w:sz="4" w:space="0"/>
              <w:left w:val="dotted" w:color="auto" w:sz="4" w:space="0"/>
              <w:bottom w:val="dotted" w:color="auto" w:sz="4" w:space="0"/>
              <w:right w:val="dotted" w:color="auto" w:sz="4" w:space="0"/>
            </w:tcBorders>
            <w:shd w:val="clear" w:color="auto" w:fill="FFFFFF"/>
            <w:tcMar>
              <w:top w:w="0" w:type="dxa"/>
              <w:left w:w="108" w:type="dxa"/>
              <w:bottom w:w="0" w:type="dxa"/>
              <w:right w:w="108" w:type="dxa"/>
            </w:tcMar>
            <w:vAlign w:val="center"/>
          </w:tcPr>
          <w:p w14:paraId="5F19960C">
            <w:pPr>
              <w:widowControl/>
              <w:shd w:val="clear" w:color="auto" w:fill="FFFFFF"/>
              <w:adjustRightInd w:val="0"/>
              <w:snapToGrid w:val="0"/>
              <w:ind w:firstLine="0" w:firstLineChars="0"/>
              <w:rPr>
                <w:rFonts w:ascii="宋体"/>
                <w:sz w:val="21"/>
                <w:szCs w:val="21"/>
              </w:rPr>
            </w:pPr>
            <w:r>
              <w:rPr>
                <w:rFonts w:hint="eastAsia" w:ascii="宋体" w:hAnsi="宋体"/>
                <w:sz w:val="21"/>
                <w:szCs w:val="21"/>
              </w:rPr>
              <w:t>死亡（失踪）</w:t>
            </w:r>
            <w:r>
              <w:rPr>
                <w:rFonts w:ascii="宋体" w:hAnsi="宋体"/>
                <w:sz w:val="21"/>
                <w:szCs w:val="21"/>
              </w:rPr>
              <w:t>1-2</w:t>
            </w:r>
            <w:r>
              <w:rPr>
                <w:rFonts w:hint="eastAsia" w:ascii="宋体" w:hAnsi="宋体"/>
                <w:sz w:val="21"/>
                <w:szCs w:val="21"/>
              </w:rPr>
              <w:t>人；涉险</w:t>
            </w:r>
            <w:r>
              <w:rPr>
                <w:rFonts w:ascii="宋体" w:hAnsi="宋体"/>
                <w:sz w:val="21"/>
                <w:szCs w:val="21"/>
              </w:rPr>
              <w:t>1-2</w:t>
            </w:r>
            <w:r>
              <w:rPr>
                <w:rFonts w:hint="eastAsia" w:ascii="宋体" w:hAnsi="宋体"/>
                <w:sz w:val="21"/>
                <w:szCs w:val="21"/>
              </w:rPr>
              <w:t>人；可能造成</w:t>
            </w:r>
            <w:r>
              <w:rPr>
                <w:rFonts w:ascii="宋体" w:hAnsi="宋体"/>
                <w:sz w:val="21"/>
                <w:szCs w:val="21"/>
              </w:rPr>
              <w:t>1-9</w:t>
            </w:r>
            <w:r>
              <w:rPr>
                <w:rFonts w:hint="eastAsia" w:ascii="宋体" w:hAnsi="宋体"/>
                <w:sz w:val="21"/>
                <w:szCs w:val="21"/>
              </w:rPr>
              <w:t>人重伤（或急性中毒）；经济损失达</w:t>
            </w:r>
            <w:r>
              <w:rPr>
                <w:rFonts w:ascii="宋体" w:hAnsi="宋体"/>
                <w:sz w:val="21"/>
                <w:szCs w:val="21"/>
              </w:rPr>
              <w:t>1000</w:t>
            </w:r>
            <w:r>
              <w:rPr>
                <w:rFonts w:hint="eastAsia" w:ascii="宋体" w:hAnsi="宋体"/>
                <w:sz w:val="21"/>
                <w:szCs w:val="21"/>
              </w:rPr>
              <w:t>万元以下。</w:t>
            </w:r>
          </w:p>
        </w:tc>
      </w:tr>
    </w:tbl>
    <w:p w14:paraId="577BC3BB">
      <w:pPr>
        <w:adjustRightInd w:val="0"/>
        <w:snapToGrid w:val="0"/>
        <w:ind w:firstLine="480"/>
        <w:rPr>
          <w:rFonts w:hint="eastAsia"/>
        </w:rPr>
      </w:pPr>
      <w:r>
        <w:rPr>
          <w:rFonts w:hint="eastAsia"/>
        </w:rPr>
        <w:t>（1）项目部事故信息报送程序</w:t>
      </w:r>
    </w:p>
    <w:p w14:paraId="4B3C9148">
      <w:pPr>
        <w:adjustRightInd w:val="0"/>
        <w:snapToGrid w:val="0"/>
        <w:ind w:firstLine="480"/>
        <w:rPr>
          <w:rFonts w:hint="eastAsia"/>
        </w:rPr>
      </w:pPr>
      <w:r>
        <w:rPr>
          <w:rFonts w:hint="eastAsia"/>
        </w:rPr>
        <w:t>事故报告应当及时、准确、完整，任何单位和个人对事故不得迟报、漏报、谎报或者瞒报。发生安全事故后应及时启动应急预案，事故发生后，事故现场有关人员应当立即向项目经理报告；项目经理接到报告后，应当于1小时内向</w:t>
      </w:r>
      <w:r>
        <w:rPr>
          <w:rFonts w:hint="eastAsia"/>
          <w:lang w:val="en-US" w:eastAsia="zh-CN"/>
        </w:rPr>
        <w:t>福清市</w:t>
      </w:r>
      <w:r>
        <w:rPr>
          <w:rFonts w:hint="eastAsia"/>
        </w:rPr>
        <w:t>人民政府安全生产应急管理部门和负有安全生产监督管理职责的有关部门报告。情况紧急时，事故现场有关人员可以直接向</w:t>
      </w:r>
      <w:r>
        <w:rPr>
          <w:rFonts w:hint="eastAsia"/>
          <w:lang w:val="en-US" w:eastAsia="zh-CN"/>
        </w:rPr>
        <w:t>福清市</w:t>
      </w:r>
      <w:r>
        <w:rPr>
          <w:rFonts w:hint="eastAsia"/>
        </w:rPr>
        <w:t>人民政府安全生产应急管理部门和负有安全生产监督管理职责的有关部门报告。安全生产应急管理部门和负有安全生产监督管理职责的有关部门接到事故报告后，应当依照下列规定上报事故情况，并通知公安机关、劳动保障行政部门、工会和人民检察院：</w:t>
      </w:r>
    </w:p>
    <w:p w14:paraId="60903CB3">
      <w:pPr>
        <w:adjustRightInd w:val="0"/>
        <w:snapToGrid w:val="0"/>
        <w:ind w:firstLine="480"/>
        <w:rPr>
          <w:rFonts w:hint="eastAsia"/>
        </w:rPr>
      </w:pPr>
      <w:r>
        <w:rPr>
          <w:rFonts w:hint="eastAsia"/>
        </w:rPr>
        <w:t>1、特别重大事故、重大事故逐级上报至国务院安全生产应急管理部门和负有安全生产监督管理职责的有关部门；</w:t>
      </w:r>
    </w:p>
    <w:p w14:paraId="38CBE8E7">
      <w:pPr>
        <w:adjustRightInd w:val="0"/>
        <w:snapToGrid w:val="0"/>
        <w:ind w:firstLine="480"/>
        <w:rPr>
          <w:rFonts w:hint="eastAsia"/>
        </w:rPr>
      </w:pPr>
      <w:r>
        <w:rPr>
          <w:rFonts w:hint="eastAsia"/>
        </w:rPr>
        <w:t>2、较大事故逐级上报至省、自治区、直辖市人民政府安全生产应急管理部门和负有安全生产监督管理职责的有关部门；</w:t>
      </w:r>
    </w:p>
    <w:p w14:paraId="71064FEC">
      <w:pPr>
        <w:adjustRightInd w:val="0"/>
        <w:snapToGrid w:val="0"/>
        <w:ind w:firstLine="480"/>
        <w:rPr>
          <w:rFonts w:hint="eastAsia"/>
        </w:rPr>
      </w:pPr>
      <w:r>
        <w:rPr>
          <w:rFonts w:hint="eastAsia"/>
        </w:rPr>
        <w:t>3、一般事故上报至设区的市级人民政府安全生产应急管理部门和负有安全生产监督管理职责的有关部门。</w:t>
      </w:r>
    </w:p>
    <w:p w14:paraId="7196C296">
      <w:pPr>
        <w:adjustRightInd w:val="0"/>
        <w:snapToGrid w:val="0"/>
        <w:ind w:firstLine="480"/>
        <w:rPr>
          <w:rFonts w:hint="eastAsia"/>
        </w:rPr>
      </w:pPr>
      <w:r>
        <w:rPr>
          <w:rFonts w:hint="eastAsia"/>
        </w:rPr>
        <w:t>安全生产应急管理部门和负有安全生产监督管理职责的有关部门依照前款规定上报事故情况，应当同时报告本级人民政府。国务院安全生产应急管理部门和负有安全生产监督管理职责的有关部门以及福建省人民政府接到发生特别重大事故、重大事故的报告后，应当立即报告国务院。必要时，安全生产应急管理部门和负有安全生产监督管理职责的有关部门可以越级上报事故情况。</w:t>
      </w:r>
    </w:p>
    <w:p w14:paraId="4D9C765C">
      <w:pPr>
        <w:adjustRightInd w:val="0"/>
        <w:snapToGrid w:val="0"/>
        <w:ind w:firstLine="480"/>
        <w:rPr>
          <w:rFonts w:hint="eastAsia"/>
        </w:rPr>
      </w:pPr>
      <w:r>
        <w:rPr>
          <w:rFonts w:hint="eastAsia"/>
        </w:rPr>
        <w:t>安全生产应急管理部门和负有安全生产监督管理职责的有关部门逐级上报事故情况，每级上报的时间不得超过2小时。</w:t>
      </w:r>
    </w:p>
    <w:p w14:paraId="0F9AB50F">
      <w:pPr>
        <w:adjustRightInd w:val="0"/>
        <w:snapToGrid w:val="0"/>
        <w:ind w:firstLine="480"/>
        <w:rPr>
          <w:rFonts w:hint="eastAsia"/>
        </w:rPr>
      </w:pPr>
      <w:r>
        <w:rPr>
          <w:rFonts w:hint="eastAsia"/>
        </w:rPr>
        <w:t>（2）事故信息报送时限及程序</w:t>
      </w:r>
      <w:r>
        <w:rPr>
          <w:rFonts w:hint="eastAsia"/>
        </w:rPr>
        <w:tab/>
      </w:r>
    </w:p>
    <w:p w14:paraId="256FF3B9">
      <w:pPr>
        <w:adjustRightInd w:val="0"/>
        <w:snapToGrid w:val="0"/>
        <w:ind w:firstLine="480"/>
        <w:rPr>
          <w:rFonts w:hint="eastAsia"/>
        </w:rPr>
      </w:pPr>
      <w:r>
        <w:rPr>
          <w:rFonts w:hint="eastAsia"/>
        </w:rPr>
        <w:t>事故报告应当及时、准确、完整，任何单位和个人对事故不得迟报、漏报、谎报或者瞒报。发生安全事故后应及时启动应急预案，事故发生后，事故现场有关人员应当立即向项目经理报告；项目经理接到报告后，应当于20分钟内上报监理、业主，并每隔2小时向业主续报后续情况。并酌情向110联动（公安110、消防119、医疗120）、安监及</w:t>
      </w:r>
      <w:r>
        <w:rPr>
          <w:rFonts w:hint="eastAsia"/>
          <w:lang w:val="en-US" w:eastAsia="zh-CN"/>
        </w:rPr>
        <w:t>福清</w:t>
      </w:r>
      <w:r>
        <w:rPr>
          <w:rFonts w:hint="eastAsia"/>
        </w:rPr>
        <w:t>市政府相关主管部门及单位报告。情况紧急时，事故现场有关人员可以直接向110联动、</w:t>
      </w:r>
      <w:r>
        <w:rPr>
          <w:rFonts w:hint="eastAsia"/>
          <w:lang w:val="en-US" w:eastAsia="zh-CN"/>
        </w:rPr>
        <w:t>福清</w:t>
      </w:r>
      <w:r>
        <w:rPr>
          <w:rFonts w:hint="eastAsia"/>
        </w:rPr>
        <w:t>市安监及</w:t>
      </w:r>
      <w:r>
        <w:rPr>
          <w:rFonts w:hint="eastAsia"/>
          <w:lang w:val="en-US" w:eastAsia="zh-CN"/>
        </w:rPr>
        <w:t>福清</w:t>
      </w:r>
      <w:r>
        <w:rPr>
          <w:rFonts w:hint="eastAsia"/>
        </w:rPr>
        <w:t>市政府相关主管部门及单位报告，在事故处理后3天内进行终报。</w:t>
      </w:r>
    </w:p>
    <w:p w14:paraId="42E20875">
      <w:pPr>
        <w:adjustRightInd w:val="0"/>
        <w:snapToGrid w:val="0"/>
        <w:ind w:firstLine="480"/>
        <w:rPr>
          <w:rFonts w:hint="eastAsia"/>
        </w:rPr>
      </w:pPr>
      <w:r>
        <w:rPr>
          <w:rFonts w:hint="eastAsia"/>
        </w:rPr>
        <w:t>（3）事故报告内容及信息发布</w:t>
      </w:r>
    </w:p>
    <w:p w14:paraId="1E465C4F">
      <w:pPr>
        <w:adjustRightInd w:val="0"/>
        <w:snapToGrid w:val="0"/>
        <w:ind w:firstLine="480"/>
        <w:rPr>
          <w:rFonts w:hint="eastAsia"/>
        </w:rPr>
      </w:pPr>
      <w:r>
        <w:rPr>
          <w:rFonts w:hint="eastAsia"/>
        </w:rPr>
        <w:t>建设工程突发事故报告内容，应主题鲜明，言简意赅，用词规范，逻辑严密，条理清楚。报告事故应当包括下列内容：事故发生单位概况；事故发生的时间、地点以及事故现场情况；事故的简要经过；事故已经造成或者可能造成的伤亡人数（包括下落不明的人数）和初步估计的直接经济损失；已经采取的措施；其他应当报告的情况。</w:t>
      </w:r>
    </w:p>
    <w:p w14:paraId="76DD57D1">
      <w:pPr>
        <w:adjustRightInd w:val="0"/>
        <w:snapToGrid w:val="0"/>
        <w:ind w:firstLine="480"/>
        <w:rPr>
          <w:rFonts w:hint="eastAsia"/>
        </w:rPr>
      </w:pPr>
      <w:r>
        <w:rPr>
          <w:rFonts w:hint="eastAsia"/>
        </w:rPr>
        <w:t>事故报告后出现新情况的，应当及时补报。</w:t>
      </w:r>
    </w:p>
    <w:p w14:paraId="68DEA1BB">
      <w:pPr>
        <w:adjustRightInd w:val="0"/>
        <w:snapToGrid w:val="0"/>
        <w:ind w:firstLine="480"/>
        <w:rPr>
          <w:rFonts w:hint="eastAsia"/>
        </w:rPr>
      </w:pPr>
      <w:r>
        <w:rPr>
          <w:rFonts w:hint="eastAsia"/>
        </w:rPr>
        <w:t>自事故发生之日起30日内，事故造成的伤亡人数发生变化的，应当及时补报。道路交通事故、火灾事故自发生之日起7日内，事故造成的伤亡人数发生变化的，应当及时补报。</w:t>
      </w:r>
    </w:p>
    <w:p w14:paraId="2335C299">
      <w:pPr>
        <w:adjustRightInd w:val="0"/>
        <w:snapToGrid w:val="0"/>
        <w:ind w:firstLine="480"/>
        <w:rPr>
          <w:rFonts w:hint="eastAsia"/>
        </w:rPr>
      </w:pPr>
      <w:r>
        <w:rPr>
          <w:rFonts w:hint="eastAsia"/>
        </w:rPr>
        <w:t>（4）信息监测与报告</w:t>
      </w:r>
    </w:p>
    <w:p w14:paraId="67AD7BC3">
      <w:pPr>
        <w:adjustRightInd w:val="0"/>
        <w:snapToGrid w:val="0"/>
        <w:ind w:firstLine="480"/>
        <w:rPr>
          <w:rFonts w:hint="eastAsia" w:eastAsia="宋体"/>
          <w:lang w:eastAsia="zh-CN"/>
        </w:rPr>
      </w:pPr>
      <w:r>
        <w:rPr>
          <w:rFonts w:hint="eastAsia"/>
        </w:rPr>
        <w:t>项目部根据工程实际情况，制定相应的数据监测制度，对突发事故和事故隐患进行监测并建立数据库，每月按时上报事故隐患排查处理整改、挂牌督办销号落实情况</w:t>
      </w:r>
      <w:r>
        <w:rPr>
          <w:rFonts w:hint="eastAsia"/>
          <w:lang w:eastAsia="zh-CN"/>
        </w:rPr>
        <w:t>。</w:t>
      </w:r>
    </w:p>
    <w:p w14:paraId="57B49A47">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7</w:t>
      </w:r>
      <w:r>
        <w:rPr>
          <w:rFonts w:hint="default" w:ascii="Cambria" w:hAnsi="Cambria" w:eastAsia="宋体" w:cs="Times New Roman"/>
          <w:b/>
          <w:bCs/>
          <w:kern w:val="2"/>
          <w:sz w:val="24"/>
          <w:szCs w:val="28"/>
          <w:lang w:val="en-US" w:eastAsia="zh-CN" w:bidi="ar-SA"/>
        </w:rPr>
        <w:t>.2.3.2.</w:t>
      </w:r>
      <w:r>
        <w:rPr>
          <w:rFonts w:hint="eastAsia"/>
        </w:rPr>
        <w:t>应急处置</w:t>
      </w:r>
    </w:p>
    <w:p w14:paraId="7BF1E0BF">
      <w:pPr>
        <w:adjustRightInd w:val="0"/>
        <w:snapToGrid w:val="0"/>
        <w:ind w:firstLine="480"/>
        <w:rPr>
          <w:rFonts w:hint="eastAsia"/>
        </w:rPr>
      </w:pPr>
      <w:r>
        <w:rPr>
          <w:rFonts w:hint="eastAsia"/>
        </w:rPr>
        <w:t>根据事故应急救援系统的应急响应程序要求，应急响应程序按过程分为：事故报告、响应级别确定、应急启动、救援行动、应急恢复和应急终止等六个过程。</w:t>
      </w:r>
    </w:p>
    <w:p w14:paraId="25E0E75D">
      <w:pPr>
        <w:adjustRightInd w:val="0"/>
        <w:snapToGrid w:val="0"/>
        <w:ind w:firstLine="480"/>
        <w:rPr>
          <w:rFonts w:hint="eastAsia"/>
        </w:rPr>
      </w:pPr>
      <w:r>
        <w:rPr>
          <w:rFonts w:hint="eastAsia"/>
        </w:rPr>
        <w:t>（1）一般建设工程突发事故的处置：</w:t>
      </w:r>
    </w:p>
    <w:p w14:paraId="0DDF64DD">
      <w:pPr>
        <w:adjustRightInd w:val="0"/>
        <w:snapToGrid w:val="0"/>
        <w:ind w:firstLine="480"/>
        <w:rPr>
          <w:rFonts w:hint="eastAsia"/>
        </w:rPr>
      </w:pPr>
      <w:r>
        <w:rPr>
          <w:rFonts w:hint="eastAsia"/>
        </w:rPr>
        <w:t>立即报告上级领导，迅速通知相关部门；密切关注事故动态，随时掌握事故处置进展情况；根据事故严重程度，启动应急预案，必要时指派人员赶赴事故现场，指导应急救援工作。</w:t>
      </w:r>
    </w:p>
    <w:p w14:paraId="091E5DBB">
      <w:pPr>
        <w:adjustRightInd w:val="0"/>
        <w:snapToGrid w:val="0"/>
        <w:ind w:firstLine="480"/>
        <w:rPr>
          <w:rFonts w:hint="eastAsia"/>
        </w:rPr>
      </w:pPr>
      <w:r>
        <w:rPr>
          <w:rFonts w:hint="eastAsia"/>
        </w:rPr>
        <w:t>（2）较大以上建设工程施工突发事故的处置：</w:t>
      </w:r>
    </w:p>
    <w:p w14:paraId="5F55AA8D">
      <w:pPr>
        <w:adjustRightInd w:val="0"/>
        <w:snapToGrid w:val="0"/>
        <w:ind w:firstLine="480"/>
        <w:rPr>
          <w:rFonts w:hint="eastAsia"/>
        </w:rPr>
      </w:pPr>
      <w:r>
        <w:rPr>
          <w:rFonts w:hint="eastAsia"/>
        </w:rPr>
        <w:t>一旦发生较大以上工程突发事故，与省、市、地方政府预案相互联动，省、市及地方政府安监、公安、消防、医疗、项目公司等单位都将启动预案，进入施工现场，并成立相应的抢险救援机构，进行抢险救援，按照应急救援体系响应程序，组织实施。较大及以上事故应急救援体系响应程序见下图：</w:t>
      </w:r>
    </w:p>
    <w:p w14:paraId="5AE52533">
      <w:pPr>
        <w:adjustRightInd w:val="0"/>
        <w:snapToGrid w:val="0"/>
        <w:ind w:firstLine="480"/>
        <w:rPr>
          <w:rFonts w:hint="eastAsia"/>
        </w:rPr>
      </w:pPr>
      <w:r>
        <w:rPr>
          <w:rFonts w:hint="eastAsia"/>
        </w:rPr>
        <w:t>项目部接到突发事故报告信息后, 立即报告上级领导，启动应急预案，项目部领导、专家及有关人员迅速赶赴现场指挥，以最快速度、在最短的时间内指挥抢险救援。</w:t>
      </w:r>
    </w:p>
    <w:p w14:paraId="40FF8215">
      <w:pPr>
        <w:adjustRightInd w:val="0"/>
        <w:snapToGrid w:val="0"/>
        <w:ind w:firstLine="480"/>
        <w:rPr>
          <w:rFonts w:hint="eastAsia"/>
        </w:rPr>
      </w:pPr>
      <w:r>
        <w:rPr>
          <w:rFonts w:hint="eastAsia"/>
        </w:rPr>
        <w:t>项目部迅速组织抢险救援组，负责突发事故的抢险救援工作，查明事故现场基本情况，抢险、抢救受伤人员和财产。做好先期处置,立即启动现场处置应急预案，在确保安全的前提下组织抢救遇险人员，控制风险源，封锁危险场所，杜绝盲目施救，防止事态扩大;明确并落实生产现场带班人员、标段负责人和调度人员直接处置权和指挥权，在遇到险情或事故征兆时立即下达停产撤人命令，组织现场人员及时、有序撤离到安全地点，减少人员伤亡。</w:t>
      </w:r>
    </w:p>
    <w:p w14:paraId="5D086F24">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7</w:t>
      </w:r>
      <w:r>
        <w:rPr>
          <w:rFonts w:hint="default" w:ascii="Cambria" w:hAnsi="Cambria" w:eastAsia="宋体" w:cs="Times New Roman"/>
          <w:b/>
          <w:bCs/>
          <w:kern w:val="2"/>
          <w:sz w:val="24"/>
          <w:szCs w:val="28"/>
          <w:lang w:val="en-US" w:eastAsia="zh-CN" w:bidi="ar-SA"/>
        </w:rPr>
        <w:t>.2.3.3.</w:t>
      </w:r>
      <w:r>
        <w:rPr>
          <w:rFonts w:hint="eastAsia"/>
        </w:rPr>
        <w:t>应急恢复</w:t>
      </w:r>
    </w:p>
    <w:p w14:paraId="7F50479B">
      <w:pPr>
        <w:adjustRightInd w:val="0"/>
        <w:snapToGrid w:val="0"/>
        <w:ind w:firstLine="480"/>
        <w:rPr>
          <w:rFonts w:hint="eastAsia"/>
        </w:rPr>
      </w:pPr>
      <w:r>
        <w:rPr>
          <w:rFonts w:hint="eastAsia"/>
        </w:rPr>
        <w:t>项目部积极开展事故善后处置工作，对因参加事故应急处理而致病、致残、死亡的人员，及时进行医疗救助；依据相关规定，对因事故造成生活困难、需要社会救助的人员，配合项目公司、当地人民政府做好相关救助工作；对紧急调集、征用的有关单位及个人的物资在使用完毕或者应急工作结束后，应当及时返还。在调集、征用后被毁损、灭失的，应当按照规定给予补偿或补助。妥善安置和慰问受害及受影响人员，维护社会稳定，尽快恢复正常施工。</w:t>
      </w:r>
    </w:p>
    <w:p w14:paraId="4E283CE5">
      <w:pPr>
        <w:pStyle w:val="6"/>
        <w:numPr>
          <w:ilvl w:val="3"/>
          <w:numId w:val="0"/>
        </w:numPr>
        <w:ind w:left="720" w:leftChars="0" w:firstLine="0" w:firstLineChars="0"/>
      </w:pPr>
      <w:r>
        <w:rPr>
          <w:rFonts w:hint="default" w:ascii="Cambria" w:hAnsi="Cambria" w:eastAsia="宋体" w:cs="Times New Roman"/>
          <w:b/>
          <w:bCs/>
          <w:kern w:val="2"/>
          <w:sz w:val="24"/>
          <w:szCs w:val="28"/>
          <w:lang w:val="en-US" w:eastAsia="zh-CN" w:bidi="ar-SA"/>
        </w:rPr>
        <w:t>1</w:t>
      </w:r>
      <w:r>
        <w:rPr>
          <w:rFonts w:hint="eastAsia" w:cs="Times New Roman"/>
          <w:b/>
          <w:bCs/>
          <w:kern w:val="2"/>
          <w:sz w:val="24"/>
          <w:szCs w:val="28"/>
          <w:lang w:val="en-US" w:eastAsia="zh-CN" w:bidi="ar-SA"/>
        </w:rPr>
        <w:t>7</w:t>
      </w:r>
      <w:r>
        <w:rPr>
          <w:rFonts w:hint="default" w:ascii="Cambria" w:hAnsi="Cambria" w:eastAsia="宋体" w:cs="Times New Roman"/>
          <w:b/>
          <w:bCs/>
          <w:kern w:val="2"/>
          <w:sz w:val="24"/>
          <w:szCs w:val="28"/>
          <w:lang w:val="en-US" w:eastAsia="zh-CN" w:bidi="ar-SA"/>
        </w:rPr>
        <w:t>.2.3.4.</w:t>
      </w:r>
      <w:r>
        <w:rPr>
          <w:rFonts w:hint="eastAsia"/>
        </w:rPr>
        <w:t>应急终止</w:t>
      </w:r>
    </w:p>
    <w:p w14:paraId="6D6F5086">
      <w:pPr>
        <w:ind w:firstLine="480"/>
        <w:rPr>
          <w:rFonts w:hint="eastAsia"/>
        </w:rPr>
      </w:pPr>
      <w:r>
        <w:rPr>
          <w:rFonts w:hint="eastAsia"/>
        </w:rPr>
        <w:t>应急终止符合下列条件之一的，即满足应急终止条件：</w:t>
      </w:r>
    </w:p>
    <w:p w14:paraId="4FB55FB8">
      <w:pPr>
        <w:ind w:firstLine="480"/>
        <w:rPr>
          <w:rFonts w:hint="eastAsia"/>
        </w:rPr>
      </w:pPr>
      <w:r>
        <w:rPr>
          <w:rFonts w:hint="eastAsia"/>
        </w:rPr>
        <w:t>①险情排除；</w:t>
      </w:r>
    </w:p>
    <w:p w14:paraId="5545DF3E">
      <w:pPr>
        <w:ind w:firstLine="480"/>
        <w:rPr>
          <w:rFonts w:hint="eastAsia"/>
        </w:rPr>
      </w:pPr>
      <w:r>
        <w:rPr>
          <w:rFonts w:hint="eastAsia"/>
        </w:rPr>
        <w:t>②现场抢救活动（包括人员搜救、处置、危险隐患排除等）已结束；</w:t>
      </w:r>
    </w:p>
    <w:p w14:paraId="7BCE890D">
      <w:pPr>
        <w:ind w:firstLine="480"/>
        <w:rPr>
          <w:rFonts w:hint="eastAsia"/>
        </w:rPr>
      </w:pPr>
      <w:r>
        <w:rPr>
          <w:rFonts w:hint="eastAsia"/>
        </w:rPr>
        <w:t>③被困人员安全离开突发事故危险区并得到良好安置。</w:t>
      </w:r>
    </w:p>
    <w:p w14:paraId="2E29141E">
      <w:pPr>
        <w:widowControl/>
        <w:tabs>
          <w:tab w:val="left" w:pos="840"/>
        </w:tabs>
        <w:adjustRightInd w:val="0"/>
        <w:snapToGrid w:val="0"/>
        <w:ind w:firstLine="480"/>
      </w:pPr>
    </w:p>
    <w:p w14:paraId="34DBF24F">
      <w:pPr>
        <w:pStyle w:val="6"/>
        <w:numPr>
          <w:ilvl w:val="3"/>
          <w:numId w:val="0"/>
        </w:numPr>
        <w:ind w:left="720" w:leftChars="0" w:firstLine="0" w:firstLineChars="0"/>
      </w:pPr>
      <w:r>
        <w:rPr>
          <w:rFonts w:hint="eastAsia" w:cs="Times New Roman"/>
          <w:b/>
          <w:bCs/>
          <w:kern w:val="2"/>
          <w:sz w:val="24"/>
          <w:szCs w:val="28"/>
          <w:lang w:val="en-US" w:eastAsia="zh-CN" w:bidi="ar-SA"/>
        </w:rPr>
        <w:t>17</w:t>
      </w:r>
      <w:r>
        <w:rPr>
          <w:rFonts w:hint="default" w:ascii="Cambria" w:hAnsi="Cambria" w:eastAsia="宋体" w:cs="Times New Roman"/>
          <w:b/>
          <w:bCs/>
          <w:kern w:val="2"/>
          <w:sz w:val="24"/>
          <w:szCs w:val="28"/>
          <w:lang w:val="en-US" w:eastAsia="zh-CN" w:bidi="ar-SA"/>
        </w:rPr>
        <w:t>.2.3.5.</w:t>
      </w:r>
      <w:r>
        <w:rPr>
          <w:rFonts w:hint="eastAsia"/>
        </w:rPr>
        <w:t>项目应急救援措施</w:t>
      </w:r>
      <w:bookmarkEnd w:id="2824"/>
      <w:bookmarkEnd w:id="2825"/>
      <w:bookmarkEnd w:id="2826"/>
      <w:bookmarkEnd w:id="2827"/>
      <w:bookmarkEnd w:id="2828"/>
      <w:bookmarkEnd w:id="2829"/>
    </w:p>
    <w:p w14:paraId="402288B8">
      <w:pPr>
        <w:ind w:firstLine="480"/>
      </w:pPr>
      <w:r>
        <w:rPr>
          <w:rFonts w:hint="eastAsia"/>
        </w:rPr>
        <w:t>应急预案工作流程：根据本工程的特点及施工工艺的实际情况，认真对危险源和环境因素的识别和评价，特制定本项目的发生紧急情况或事故的应急事故措施，开展应急知识教育和应急演练，提高现场操作人员的应急能力，熟悉应急处理的组织流程，减少突发事故造成的损害和不良环境影响。其应急准备和响应工作程序见下图：</w:t>
      </w:r>
      <w:r>
        <mc:AlternateContent>
          <mc:Choice Requires="wpg">
            <w:drawing>
              <wp:inline distT="0" distB="0" distL="114300" distR="114300">
                <wp:extent cx="5607050" cy="6096000"/>
                <wp:effectExtent l="4445" t="11430" r="12065" b="3810"/>
                <wp:docPr id="148" name="组合 268"/>
                <wp:cNvGraphicFramePr/>
                <a:graphic xmlns:a="http://schemas.openxmlformats.org/drawingml/2006/main">
                  <a:graphicData uri="http://schemas.microsoft.com/office/word/2010/wordprocessingGroup">
                    <wpg:wgp>
                      <wpg:cNvGrpSpPr/>
                      <wpg:grpSpPr>
                        <a:xfrm>
                          <a:off x="0" y="0"/>
                          <a:ext cx="5607050" cy="6096000"/>
                          <a:chOff x="0" y="0"/>
                          <a:chExt cx="6425" cy="9480"/>
                        </a:xfrm>
                      </wpg:grpSpPr>
                      <wps:wsp>
                        <wps:cNvPr id="75" name="直线 269"/>
                        <wps:cNvCnPr>
                          <a:cxnSpLocks noChangeAspect="1"/>
                        </wps:cNvCnPr>
                        <wps:spPr>
                          <a:xfrm>
                            <a:off x="2672" y="597"/>
                            <a:ext cx="0" cy="700"/>
                          </a:xfrm>
                          <a:prstGeom prst="line">
                            <a:avLst/>
                          </a:prstGeom>
                          <a:ln w="3175" cap="flat" cmpd="sng">
                            <a:solidFill>
                              <a:srgbClr val="000000"/>
                            </a:solidFill>
                            <a:prstDash val="solid"/>
                            <a:headEnd type="none" w="med" len="med"/>
                            <a:tailEnd type="triangle" w="sm" len="med"/>
                          </a:ln>
                        </wps:spPr>
                        <wps:bodyPr upright="1"/>
                      </wps:wsp>
                      <wps:wsp>
                        <wps:cNvPr id="76" name="文本框 270"/>
                        <wps:cNvSpPr txBox="1">
                          <a:spLocks noChangeAspect="1"/>
                        </wps:cNvSpPr>
                        <wps:spPr>
                          <a:xfrm>
                            <a:off x="3909" y="2081"/>
                            <a:ext cx="682" cy="40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71AF8EFF">
                              <w:pPr>
                                <w:pStyle w:val="138"/>
                                <w:rPr>
                                  <w:rFonts w:hint="eastAsia" w:eastAsia="仿宋_GB2312"/>
                                  <w:lang w:val="en-US" w:eastAsia="zh-CN"/>
                                </w:rPr>
                              </w:pPr>
                              <w:r>
                                <w:rPr>
                                  <w:rFonts w:hint="eastAsia"/>
                                  <w:lang w:val="en-US" w:eastAsia="zh-CN"/>
                                </w:rPr>
                                <w:t>否</w:t>
                              </w:r>
                            </w:p>
                          </w:txbxContent>
                        </wps:txbx>
                        <wps:bodyPr upright="1"/>
                      </wps:wsp>
                      <wps:wsp>
                        <wps:cNvPr id="77" name="自选图形 271"/>
                        <wps:cNvSpPr>
                          <a:spLocks noChangeAspect="1"/>
                        </wps:cNvSpPr>
                        <wps:spPr>
                          <a:xfrm>
                            <a:off x="1859" y="0"/>
                            <a:ext cx="1535" cy="1079"/>
                          </a:xfrm>
                          <a:prstGeom prst="irregularSeal1">
                            <a:avLst/>
                          </a:prstGeom>
                          <a:solidFill>
                            <a:srgbClr val="FFFFFF"/>
                          </a:solidFill>
                          <a:ln w="3175" cap="flat" cmpd="sng">
                            <a:solidFill>
                              <a:srgbClr val="000000"/>
                            </a:solidFill>
                            <a:prstDash val="solid"/>
                            <a:miter/>
                            <a:headEnd type="none" w="med" len="med"/>
                            <a:tailEnd type="none" w="med" len="med"/>
                          </a:ln>
                        </wps:spPr>
                        <wps:txbx>
                          <w:txbxContent>
                            <w:p w14:paraId="12330E40">
                              <w:pPr>
                                <w:pStyle w:val="138"/>
                              </w:pPr>
                              <w:r>
                                <w:rPr>
                                  <w:rFonts w:hint="eastAsia" w:ascii="宋体" w:eastAsia="宋体"/>
                                  <w:sz w:val="20"/>
                                  <w:szCs w:val="20"/>
                                </w:rPr>
                                <w:t>事故发生</w:t>
                              </w:r>
                            </w:p>
                          </w:txbxContent>
                        </wps:txbx>
                        <wps:bodyPr lIns="0" tIns="45720" rIns="0" bIns="45720" upright="1"/>
                      </wps:wsp>
                      <wps:wsp>
                        <wps:cNvPr id="78" name="文本框 272"/>
                        <wps:cNvSpPr txBox="1">
                          <a:spLocks noChangeAspect="1"/>
                        </wps:cNvSpPr>
                        <wps:spPr>
                          <a:xfrm>
                            <a:off x="2117" y="1282"/>
                            <a:ext cx="119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5FEF1AE0">
                              <w:pPr>
                                <w:pStyle w:val="138"/>
                                <w:rPr>
                                  <w:rFonts w:ascii="宋体" w:eastAsia="宋体"/>
                                  <w:sz w:val="20"/>
                                  <w:szCs w:val="20"/>
                                </w:rPr>
                              </w:pPr>
                              <w:r>
                                <w:rPr>
                                  <w:rFonts w:hint="eastAsia" w:ascii="宋体" w:eastAsia="宋体"/>
                                  <w:sz w:val="20"/>
                                  <w:szCs w:val="20"/>
                                </w:rPr>
                                <w:t>事故报告</w:t>
                              </w:r>
                            </w:p>
                          </w:txbxContent>
                        </wps:txbx>
                        <wps:bodyPr upright="1"/>
                      </wps:wsp>
                      <wps:wsp>
                        <wps:cNvPr id="79" name="自选图形 273"/>
                        <wps:cNvSpPr>
                          <a:spLocks noChangeAspect="1"/>
                        </wps:cNvSpPr>
                        <wps:spPr>
                          <a:xfrm>
                            <a:off x="1663" y="2136"/>
                            <a:ext cx="2089" cy="1100"/>
                          </a:xfrm>
                          <a:prstGeom prst="flowChartDecision">
                            <a:avLst/>
                          </a:prstGeom>
                          <a:solidFill>
                            <a:srgbClr val="FFFFFF"/>
                          </a:solidFill>
                          <a:ln w="3175" cap="flat" cmpd="sng">
                            <a:solidFill>
                              <a:srgbClr val="000000"/>
                            </a:solidFill>
                            <a:prstDash val="solid"/>
                            <a:miter/>
                            <a:headEnd type="none" w="med" len="med"/>
                            <a:tailEnd type="none" w="med" len="med"/>
                          </a:ln>
                        </wps:spPr>
                        <wps:txbx>
                          <w:txbxContent>
                            <w:p w14:paraId="137581CE">
                              <w:pPr>
                                <w:pStyle w:val="138"/>
                              </w:pPr>
                              <w:r>
                                <w:rPr>
                                  <w:rFonts w:hint="eastAsia" w:ascii="宋体" w:eastAsia="宋体"/>
                                  <w:sz w:val="20"/>
                                  <w:szCs w:val="20"/>
                                </w:rPr>
                                <w:t>事故判断响应级别</w:t>
                              </w:r>
                            </w:p>
                          </w:txbxContent>
                        </wps:txbx>
                        <wps:bodyPr lIns="91440" tIns="0" rIns="91440" bIns="0" upright="1"/>
                      </wps:wsp>
                      <wps:wsp>
                        <wps:cNvPr id="80" name="文本框 274"/>
                        <wps:cNvSpPr txBox="1">
                          <a:spLocks noChangeAspect="1"/>
                        </wps:cNvSpPr>
                        <wps:spPr>
                          <a:xfrm>
                            <a:off x="2103" y="3799"/>
                            <a:ext cx="1194" cy="40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3145FEC2">
                              <w:pPr>
                                <w:pStyle w:val="138"/>
                              </w:pPr>
                              <w:r>
                                <w:rPr>
                                  <w:rFonts w:hint="eastAsia" w:ascii="宋体" w:eastAsia="宋体"/>
                                  <w:sz w:val="20"/>
                                  <w:szCs w:val="20"/>
                                </w:rPr>
                                <w:t>应急启动</w:t>
                              </w:r>
                            </w:p>
                          </w:txbxContent>
                        </wps:txbx>
                        <wps:bodyPr upright="1"/>
                      </wps:wsp>
                      <wps:wsp>
                        <wps:cNvPr id="81" name="文本框 275"/>
                        <wps:cNvSpPr txBox="1">
                          <a:spLocks noChangeAspect="1"/>
                        </wps:cNvSpPr>
                        <wps:spPr>
                          <a:xfrm>
                            <a:off x="2089" y="4759"/>
                            <a:ext cx="1194" cy="40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164A4112">
                              <w:pPr>
                                <w:pStyle w:val="138"/>
                              </w:pPr>
                              <w:r>
                                <w:rPr>
                                  <w:rFonts w:hint="eastAsia" w:ascii="宋体" w:eastAsia="宋体"/>
                                  <w:sz w:val="20"/>
                                  <w:szCs w:val="20"/>
                                </w:rPr>
                                <w:t>救援行动</w:t>
                              </w:r>
                            </w:p>
                          </w:txbxContent>
                        </wps:txbx>
                        <wps:bodyPr upright="1"/>
                      </wps:wsp>
                      <wps:wsp>
                        <wps:cNvPr id="82" name="自选图形 276"/>
                        <wps:cNvSpPr>
                          <a:spLocks noChangeAspect="1"/>
                        </wps:cNvSpPr>
                        <wps:spPr>
                          <a:xfrm>
                            <a:off x="1620" y="5657"/>
                            <a:ext cx="2218" cy="945"/>
                          </a:xfrm>
                          <a:prstGeom prst="flowChartDecision">
                            <a:avLst/>
                          </a:prstGeom>
                          <a:solidFill>
                            <a:srgbClr val="FFFFFF"/>
                          </a:solidFill>
                          <a:ln w="3175" cap="flat" cmpd="sng">
                            <a:solidFill>
                              <a:srgbClr val="000000"/>
                            </a:solidFill>
                            <a:prstDash val="solid"/>
                            <a:miter/>
                            <a:headEnd type="none" w="med" len="med"/>
                            <a:tailEnd type="none" w="med" len="med"/>
                          </a:ln>
                        </wps:spPr>
                        <wps:txbx>
                          <w:txbxContent>
                            <w:p w14:paraId="6D692D8F">
                              <w:pPr>
                                <w:pStyle w:val="138"/>
                              </w:pPr>
                              <w:r>
                                <w:rPr>
                                  <w:rFonts w:hint="eastAsia" w:ascii="宋体" w:eastAsia="宋体"/>
                                  <w:sz w:val="20"/>
                                  <w:szCs w:val="20"/>
                                </w:rPr>
                                <w:t>事态控制</w:t>
                              </w:r>
                            </w:p>
                          </w:txbxContent>
                        </wps:txbx>
                        <wps:bodyPr upright="1"/>
                      </wps:wsp>
                      <wps:wsp>
                        <wps:cNvPr id="83" name="文本框 277"/>
                        <wps:cNvSpPr txBox="1">
                          <a:spLocks noChangeAspect="1"/>
                        </wps:cNvSpPr>
                        <wps:spPr>
                          <a:xfrm>
                            <a:off x="2146" y="7250"/>
                            <a:ext cx="1194" cy="40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0A02501E">
                              <w:pPr>
                                <w:pStyle w:val="138"/>
                              </w:pPr>
                              <w:r>
                                <w:rPr>
                                  <w:rFonts w:hint="eastAsia" w:ascii="宋体" w:eastAsia="宋体"/>
                                  <w:sz w:val="20"/>
                                  <w:szCs w:val="20"/>
                                </w:rPr>
                                <w:t>应急恢复</w:t>
                              </w:r>
                            </w:p>
                          </w:txbxContent>
                        </wps:txbx>
                        <wps:bodyPr upright="1"/>
                      </wps:wsp>
                      <wps:wsp>
                        <wps:cNvPr id="84" name="文本框 278"/>
                        <wps:cNvSpPr txBox="1">
                          <a:spLocks noChangeAspect="1"/>
                        </wps:cNvSpPr>
                        <wps:spPr>
                          <a:xfrm>
                            <a:off x="4392" y="8270"/>
                            <a:ext cx="1194" cy="40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3F31DC87">
                              <w:pPr>
                                <w:pStyle w:val="138"/>
                              </w:pPr>
                              <w:r>
                                <w:rPr>
                                  <w:rFonts w:hint="eastAsia" w:ascii="宋体" w:eastAsia="宋体"/>
                                  <w:sz w:val="20"/>
                                  <w:szCs w:val="20"/>
                                </w:rPr>
                                <w:t>总结评估</w:t>
                              </w:r>
                            </w:p>
                          </w:txbxContent>
                        </wps:txbx>
                        <wps:bodyPr upright="1"/>
                      </wps:wsp>
                      <wps:wsp>
                        <wps:cNvPr id="85" name="文本框 279"/>
                        <wps:cNvSpPr txBox="1">
                          <a:spLocks noChangeAspect="1"/>
                        </wps:cNvSpPr>
                        <wps:spPr>
                          <a:xfrm>
                            <a:off x="14" y="6617"/>
                            <a:ext cx="109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6E9BDE2C">
                              <w:pPr>
                                <w:pStyle w:val="138"/>
                                <w:rPr>
                                  <w:sz w:val="18"/>
                                  <w:szCs w:val="18"/>
                                </w:rPr>
                              </w:pPr>
                              <w:r>
                                <w:rPr>
                                  <w:rFonts w:hint="eastAsia" w:ascii="宋体" w:eastAsia="宋体"/>
                                  <w:sz w:val="20"/>
                                  <w:szCs w:val="20"/>
                                </w:rPr>
                                <w:t>现场清理</w:t>
                              </w:r>
                            </w:p>
                          </w:txbxContent>
                        </wps:txbx>
                        <wps:bodyPr upright="1"/>
                      </wps:wsp>
                      <wps:wsp>
                        <wps:cNvPr id="86" name="文本框 280"/>
                        <wps:cNvSpPr txBox="1">
                          <a:spLocks noChangeAspect="1"/>
                        </wps:cNvSpPr>
                        <wps:spPr>
                          <a:xfrm>
                            <a:off x="14" y="7188"/>
                            <a:ext cx="109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10922552">
                              <w:pPr>
                                <w:pStyle w:val="138"/>
                                <w:rPr>
                                  <w:rFonts w:ascii="宋体" w:eastAsia="宋体"/>
                                  <w:sz w:val="20"/>
                                  <w:szCs w:val="20"/>
                                </w:rPr>
                              </w:pPr>
                              <w:r>
                                <w:rPr>
                                  <w:rFonts w:hint="eastAsia" w:ascii="宋体" w:eastAsia="宋体"/>
                                  <w:sz w:val="20"/>
                                  <w:szCs w:val="20"/>
                                </w:rPr>
                                <w:t>解除警戒</w:t>
                              </w:r>
                            </w:p>
                            <w:p w14:paraId="5A289609">
                              <w:pPr>
                                <w:pStyle w:val="14"/>
                                <w:tabs>
                                  <w:tab w:val="left" w:pos="360"/>
                                </w:tabs>
                                <w:ind w:left="360" w:firstLine="31680"/>
                              </w:pPr>
                              <w:r>
                                <w:rPr>
                                  <w:rFonts w:hint="eastAsia"/>
                                </w:rPr>
                                <w:t>施</w:t>
                              </w:r>
                            </w:p>
                            <w:p w14:paraId="4DD6D136">
                              <w:pPr>
                                <w:pStyle w:val="14"/>
                                <w:tabs>
                                  <w:tab w:val="left" w:pos="360"/>
                                </w:tabs>
                                <w:ind w:left="360" w:firstLine="31680"/>
                              </w:pPr>
                              <w:r>
                                <w:rPr>
                                  <w:rFonts w:hint="eastAsia"/>
                                </w:rPr>
                                <w:t>工</w:t>
                              </w:r>
                            </w:p>
                            <w:p w14:paraId="06377D98">
                              <w:pPr>
                                <w:pStyle w:val="14"/>
                                <w:tabs>
                                  <w:tab w:val="left" w:pos="360"/>
                                </w:tabs>
                                <w:spacing w:line="260" w:lineRule="exact"/>
                                <w:ind w:left="360" w:firstLine="31680"/>
                                <w:rPr>
                                  <w:spacing w:val="20"/>
                                </w:rPr>
                              </w:pPr>
                            </w:p>
                            <w:p w14:paraId="006068E8">
                              <w:pPr>
                                <w:pStyle w:val="14"/>
                                <w:tabs>
                                  <w:tab w:val="left" w:pos="360"/>
                                </w:tabs>
                                <w:ind w:left="360" w:firstLine="31680"/>
                              </w:pPr>
                              <w:r>
                                <w:rPr>
                                  <w:rFonts w:hint="eastAsia"/>
                                  <w:spacing w:val="20"/>
                                </w:rPr>
                                <w:t>明</w:t>
                              </w:r>
                            </w:p>
                            <w:p w14:paraId="5048D46E">
                              <w:pPr>
                                <w:pStyle w:val="14"/>
                                <w:tabs>
                                  <w:tab w:val="left" w:pos="360"/>
                                </w:tabs>
                                <w:ind w:left="360" w:firstLine="31680"/>
                              </w:pPr>
                              <w:r>
                                <w:rPr>
                                  <w:rFonts w:hint="eastAsia"/>
                                </w:rPr>
                                <w:t>明</w:t>
                              </w:r>
                            </w:p>
                            <w:p w14:paraId="3451FB87">
                              <w:pPr>
                                <w:pStyle w:val="14"/>
                                <w:tabs>
                                  <w:tab w:val="left" w:pos="360"/>
                                </w:tabs>
                                <w:ind w:left="360" w:firstLine="31680"/>
                              </w:pPr>
                              <w:r>
                                <w:rPr>
                                  <w:rFonts w:hint="eastAsia"/>
                                </w:rPr>
                                <w:t>施</w:t>
                              </w:r>
                            </w:p>
                            <w:p w14:paraId="0739DB3A">
                              <w:pPr>
                                <w:pStyle w:val="14"/>
                                <w:tabs>
                                  <w:tab w:val="left" w:pos="360"/>
                                </w:tabs>
                                <w:ind w:left="360" w:firstLine="31680"/>
                              </w:pPr>
                              <w:r>
                                <w:rPr>
                                  <w:rFonts w:hint="eastAsia"/>
                                </w:rPr>
                                <w:t>工</w:t>
                              </w:r>
                            </w:p>
                            <w:p w14:paraId="02D15037">
                              <w:pPr>
                                <w:pStyle w:val="14"/>
                                <w:tabs>
                                  <w:tab w:val="left" w:pos="360"/>
                                </w:tabs>
                                <w:ind w:left="360" w:firstLine="31680"/>
                              </w:pPr>
                            </w:p>
                            <w:p w14:paraId="21C905DE">
                              <w:pPr>
                                <w:pStyle w:val="14"/>
                                <w:tabs>
                                  <w:tab w:val="left" w:pos="360"/>
                                </w:tabs>
                                <w:ind w:left="360" w:firstLine="31680"/>
                              </w:pPr>
                            </w:p>
                            <w:p w14:paraId="0B3030E6">
                              <w:pPr>
                                <w:pStyle w:val="14"/>
                                <w:tabs>
                                  <w:tab w:val="left" w:pos="360"/>
                                </w:tabs>
                                <w:ind w:left="360" w:firstLine="31680"/>
                              </w:pPr>
                              <w:r>
                                <w:rPr>
                                  <w:rFonts w:hint="eastAsia"/>
                                </w:rPr>
                                <w:t>位</w:t>
                              </w:r>
                            </w:p>
                            <w:p w14:paraId="63602AA0">
                              <w:pPr>
                                <w:pStyle w:val="14"/>
                                <w:tabs>
                                  <w:tab w:val="left" w:pos="360"/>
                                </w:tabs>
                                <w:ind w:left="360" w:firstLine="31680"/>
                              </w:pPr>
                              <w:r>
                                <w:rPr>
                                  <w:rFonts w:hint="eastAsia"/>
                                </w:rPr>
                                <w:t>责</w:t>
                              </w:r>
                            </w:p>
                            <w:p w14:paraId="30274F6B">
                              <w:pPr>
                                <w:pStyle w:val="14"/>
                                <w:tabs>
                                  <w:tab w:val="left" w:pos="360"/>
                                </w:tabs>
                                <w:ind w:left="360" w:firstLine="31680"/>
                                <w:rPr>
                                  <w:rFonts w:ascii="楷体_GB2312" w:hAnsi="宋体" w:eastAsia="楷体_GB2312"/>
                                </w:rPr>
                              </w:pPr>
                            </w:p>
                            <w:p w14:paraId="37C722D8">
                              <w:pPr>
                                <w:pStyle w:val="14"/>
                                <w:tabs>
                                  <w:tab w:val="left" w:pos="360"/>
                                </w:tabs>
                                <w:ind w:left="360" w:firstLine="31680"/>
                              </w:pPr>
                            </w:p>
                            <w:p w14:paraId="35FB36B0">
                              <w:pPr>
                                <w:pStyle w:val="14"/>
                                <w:tabs>
                                  <w:tab w:val="left" w:pos="360"/>
                                </w:tabs>
                                <w:ind w:left="360" w:firstLine="31680"/>
                                <w:rPr>
                                  <w:rFonts w:ascii="楷体_GB2312" w:hAnsi="宋体" w:eastAsia="楷体_GB2312"/>
                                </w:rPr>
                              </w:pPr>
                            </w:p>
                            <w:p w14:paraId="05D53C8E">
                              <w:pPr>
                                <w:pStyle w:val="14"/>
                                <w:tabs>
                                  <w:tab w:val="left" w:pos="360"/>
                                </w:tabs>
                                <w:ind w:left="360" w:firstLine="31680"/>
                              </w:pPr>
                            </w:p>
                            <w:p w14:paraId="5303D4B7">
                              <w:pPr>
                                <w:pStyle w:val="14"/>
                                <w:tabs>
                                  <w:tab w:val="left" w:pos="360"/>
                                </w:tabs>
                                <w:ind w:left="360" w:firstLine="31680"/>
                                <w:rPr>
                                  <w:rFonts w:ascii="楷体_GB2312" w:hAnsi="宋体" w:eastAsia="楷体_GB2312"/>
                                </w:rPr>
                              </w:pPr>
                            </w:p>
                            <w:p w14:paraId="06A70348">
                              <w:pPr>
                                <w:pStyle w:val="14"/>
                                <w:tabs>
                                  <w:tab w:val="left" w:pos="360"/>
                                </w:tabs>
                                <w:ind w:left="360" w:firstLine="31680"/>
                              </w:pPr>
                              <w:r>
                                <w:rPr>
                                  <w:rFonts w:hint="eastAsia"/>
                                </w:rPr>
                                <w:t>奖</w:t>
                              </w:r>
                            </w:p>
                            <w:p w14:paraId="3E775C74">
                              <w:pPr>
                                <w:pStyle w:val="14"/>
                                <w:tabs>
                                  <w:tab w:val="left" w:pos="360"/>
                                </w:tabs>
                                <w:ind w:left="360" w:firstLine="31680"/>
                                <w:rPr>
                                  <w:rFonts w:ascii="楷体_GB2312" w:eastAsia="楷体_GB2312"/>
                                </w:rPr>
                              </w:pPr>
                              <w:r>
                                <w:rPr>
                                  <w:rFonts w:hint="eastAsia"/>
                                </w:rPr>
                                <w:t>惩</w:t>
                              </w:r>
                            </w:p>
                            <w:p w14:paraId="754AA61F">
                              <w:pPr>
                                <w:pStyle w:val="138"/>
                                <w:ind w:firstLine="360"/>
                                <w:jc w:val="both"/>
                                <w:rPr>
                                  <w:sz w:val="18"/>
                                  <w:szCs w:val="18"/>
                                </w:rPr>
                              </w:pPr>
                              <w:r>
                                <w:rPr>
                                  <w:rFonts w:hint="eastAsia"/>
                                  <w:sz w:val="18"/>
                                  <w:szCs w:val="18"/>
                                </w:rPr>
                                <w:t>戒</w:t>
                              </w:r>
                            </w:p>
                          </w:txbxContent>
                        </wps:txbx>
                        <wps:bodyPr upright="1"/>
                      </wps:wsp>
                      <wps:wsp>
                        <wps:cNvPr id="87" name="文本框 281"/>
                        <wps:cNvSpPr txBox="1">
                          <a:spLocks noChangeAspect="1"/>
                        </wps:cNvSpPr>
                        <wps:spPr>
                          <a:xfrm>
                            <a:off x="14" y="7707"/>
                            <a:ext cx="109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1526F435">
                              <w:pPr>
                                <w:pStyle w:val="138"/>
                                <w:rPr>
                                  <w:sz w:val="18"/>
                                  <w:szCs w:val="18"/>
                                </w:rPr>
                              </w:pPr>
                              <w:r>
                                <w:rPr>
                                  <w:rFonts w:hint="eastAsia" w:ascii="宋体" w:eastAsia="宋体"/>
                                  <w:sz w:val="20"/>
                                  <w:szCs w:val="20"/>
                                </w:rPr>
                                <w:t>善后处理</w:t>
                              </w:r>
                            </w:p>
                          </w:txbxContent>
                        </wps:txbx>
                        <wps:bodyPr upright="1"/>
                      </wps:wsp>
                      <wps:wsp>
                        <wps:cNvPr id="88" name="文本框 282"/>
                        <wps:cNvSpPr txBox="1">
                          <a:spLocks noChangeAspect="1"/>
                        </wps:cNvSpPr>
                        <wps:spPr>
                          <a:xfrm>
                            <a:off x="0" y="8299"/>
                            <a:ext cx="109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42A7DDF5">
                              <w:pPr>
                                <w:pStyle w:val="138"/>
                                <w:rPr>
                                  <w:sz w:val="18"/>
                                  <w:szCs w:val="18"/>
                                </w:rPr>
                              </w:pPr>
                              <w:r>
                                <w:rPr>
                                  <w:rFonts w:hint="eastAsia" w:ascii="宋体" w:eastAsia="宋体"/>
                                  <w:sz w:val="20"/>
                                  <w:szCs w:val="20"/>
                                </w:rPr>
                                <w:t>事故调查</w:t>
                              </w:r>
                            </w:p>
                          </w:txbxContent>
                        </wps:txbx>
                        <wps:bodyPr upright="1"/>
                      </wps:wsp>
                      <wps:wsp>
                        <wps:cNvPr id="89" name="直线 283"/>
                        <wps:cNvCnPr>
                          <a:cxnSpLocks noChangeAspect="1"/>
                        </wps:cNvCnPr>
                        <wps:spPr>
                          <a:xfrm>
                            <a:off x="1308" y="6776"/>
                            <a:ext cx="0" cy="1754"/>
                          </a:xfrm>
                          <a:prstGeom prst="line">
                            <a:avLst/>
                          </a:prstGeom>
                          <a:ln w="3175" cap="flat" cmpd="sng">
                            <a:solidFill>
                              <a:srgbClr val="000000"/>
                            </a:solidFill>
                            <a:prstDash val="solid"/>
                            <a:headEnd type="none" w="med" len="med"/>
                            <a:tailEnd type="none" w="med" len="med"/>
                          </a:ln>
                        </wps:spPr>
                        <wps:bodyPr upright="1"/>
                      </wps:wsp>
                      <wps:wsp>
                        <wps:cNvPr id="90" name="直线 284"/>
                        <wps:cNvCnPr>
                          <a:cxnSpLocks noChangeAspect="1"/>
                        </wps:cNvCnPr>
                        <wps:spPr>
                          <a:xfrm flipH="1">
                            <a:off x="1109" y="6771"/>
                            <a:ext cx="204" cy="0"/>
                          </a:xfrm>
                          <a:prstGeom prst="line">
                            <a:avLst/>
                          </a:prstGeom>
                          <a:ln w="3175" cap="flat" cmpd="sng">
                            <a:solidFill>
                              <a:srgbClr val="000000"/>
                            </a:solidFill>
                            <a:prstDash val="solid"/>
                            <a:headEnd type="none" w="med" len="med"/>
                            <a:tailEnd type="none" w="med" len="med"/>
                          </a:ln>
                        </wps:spPr>
                        <wps:bodyPr upright="1"/>
                      </wps:wsp>
                      <wps:wsp>
                        <wps:cNvPr id="91" name="直线 285"/>
                        <wps:cNvCnPr>
                          <a:cxnSpLocks noChangeAspect="1"/>
                        </wps:cNvCnPr>
                        <wps:spPr>
                          <a:xfrm flipH="1">
                            <a:off x="1109" y="8540"/>
                            <a:ext cx="204" cy="0"/>
                          </a:xfrm>
                          <a:prstGeom prst="line">
                            <a:avLst/>
                          </a:prstGeom>
                          <a:ln w="3175" cap="flat" cmpd="sng">
                            <a:solidFill>
                              <a:srgbClr val="000000"/>
                            </a:solidFill>
                            <a:prstDash val="solid"/>
                            <a:headEnd type="none" w="med" len="med"/>
                            <a:tailEnd type="none" w="med" len="med"/>
                          </a:ln>
                        </wps:spPr>
                        <wps:bodyPr upright="1"/>
                      </wps:wsp>
                      <wps:wsp>
                        <wps:cNvPr id="92" name="直线 286"/>
                        <wps:cNvCnPr>
                          <a:cxnSpLocks noChangeAspect="1"/>
                        </wps:cNvCnPr>
                        <wps:spPr>
                          <a:xfrm flipH="1">
                            <a:off x="1109" y="7892"/>
                            <a:ext cx="204" cy="0"/>
                          </a:xfrm>
                          <a:prstGeom prst="line">
                            <a:avLst/>
                          </a:prstGeom>
                          <a:ln w="3175" cap="flat" cmpd="sng">
                            <a:solidFill>
                              <a:srgbClr val="000000"/>
                            </a:solidFill>
                            <a:prstDash val="solid"/>
                            <a:headEnd type="none" w="med" len="med"/>
                            <a:tailEnd type="none" w="med" len="med"/>
                          </a:ln>
                        </wps:spPr>
                        <wps:bodyPr upright="1"/>
                      </wps:wsp>
                      <wps:wsp>
                        <wps:cNvPr id="93" name="直线 287"/>
                        <wps:cNvCnPr>
                          <a:cxnSpLocks noChangeAspect="1"/>
                        </wps:cNvCnPr>
                        <wps:spPr>
                          <a:xfrm flipH="1">
                            <a:off x="1109" y="7425"/>
                            <a:ext cx="204" cy="0"/>
                          </a:xfrm>
                          <a:prstGeom prst="line">
                            <a:avLst/>
                          </a:prstGeom>
                          <a:ln w="3175" cap="flat" cmpd="sng">
                            <a:solidFill>
                              <a:srgbClr val="000000"/>
                            </a:solidFill>
                            <a:prstDash val="solid"/>
                            <a:headEnd type="none" w="med" len="med"/>
                            <a:tailEnd type="none" w="med" len="med"/>
                          </a:ln>
                        </wps:spPr>
                        <wps:bodyPr upright="1"/>
                      </wps:wsp>
                      <wps:wsp>
                        <wps:cNvPr id="94" name="未知"/>
                        <wps:cNvSpPr>
                          <a:spLocks noChangeAspect="1"/>
                        </wps:cNvSpPr>
                        <wps:spPr>
                          <a:xfrm>
                            <a:off x="1335" y="7421"/>
                            <a:ext cx="778" cy="1"/>
                          </a:xfrm>
                          <a:custGeom>
                            <a:avLst/>
                            <a:gdLst/>
                            <a:ahLst/>
                            <a:cxnLst/>
                            <a:pathLst>
                              <a:path w="821" h="15">
                                <a:moveTo>
                                  <a:pt x="821" y="15"/>
                                </a:moveTo>
                                <a:lnTo>
                                  <a:pt x="371" y="0"/>
                                </a:lnTo>
                                <a:lnTo>
                                  <a:pt x="0" y="2"/>
                                </a:lnTo>
                              </a:path>
                            </a:pathLst>
                          </a:custGeom>
                          <a:solidFill>
                            <a:srgbClr val="FFFFFF"/>
                          </a:solidFill>
                          <a:ln w="3175" cap="flat" cmpd="sng">
                            <a:solidFill>
                              <a:srgbClr val="000000"/>
                            </a:solidFill>
                            <a:prstDash val="solid"/>
                            <a:headEnd type="none" w="med" len="med"/>
                            <a:tailEnd type="none" w="med" len="med"/>
                          </a:ln>
                        </wps:spPr>
                        <wps:bodyPr upright="1"/>
                      </wps:wsp>
                      <wps:wsp>
                        <wps:cNvPr id="95" name="直线 289"/>
                        <wps:cNvCnPr>
                          <a:cxnSpLocks noChangeAspect="1"/>
                        </wps:cNvCnPr>
                        <wps:spPr>
                          <a:xfrm>
                            <a:off x="2715" y="6599"/>
                            <a:ext cx="0" cy="674"/>
                          </a:xfrm>
                          <a:prstGeom prst="line">
                            <a:avLst/>
                          </a:prstGeom>
                          <a:ln w="3175" cap="flat" cmpd="sng">
                            <a:solidFill>
                              <a:srgbClr val="000000"/>
                            </a:solidFill>
                            <a:prstDash val="solid"/>
                            <a:headEnd type="none" w="med" len="med"/>
                            <a:tailEnd type="triangle" w="sm" len="med"/>
                          </a:ln>
                        </wps:spPr>
                        <wps:bodyPr upright="1"/>
                      </wps:wsp>
                      <wps:wsp>
                        <wps:cNvPr id="96" name="直线 290"/>
                        <wps:cNvCnPr>
                          <a:cxnSpLocks noChangeAspect="1"/>
                        </wps:cNvCnPr>
                        <wps:spPr>
                          <a:xfrm>
                            <a:off x="2729" y="7668"/>
                            <a:ext cx="0" cy="675"/>
                          </a:xfrm>
                          <a:prstGeom prst="line">
                            <a:avLst/>
                          </a:prstGeom>
                          <a:ln w="3175" cap="flat" cmpd="sng">
                            <a:solidFill>
                              <a:srgbClr val="000000"/>
                            </a:solidFill>
                            <a:prstDash val="solid"/>
                            <a:headEnd type="none" w="med" len="med"/>
                            <a:tailEnd type="triangle" w="sm" len="med"/>
                          </a:ln>
                        </wps:spPr>
                        <wps:bodyPr upright="1"/>
                      </wps:wsp>
                      <wps:wsp>
                        <wps:cNvPr id="97" name="直线 291"/>
                        <wps:cNvCnPr>
                          <a:cxnSpLocks noChangeAspect="1"/>
                        </wps:cNvCnPr>
                        <wps:spPr>
                          <a:xfrm>
                            <a:off x="3354" y="8478"/>
                            <a:ext cx="1024" cy="0"/>
                          </a:xfrm>
                          <a:prstGeom prst="line">
                            <a:avLst/>
                          </a:prstGeom>
                          <a:ln w="3175" cap="flat" cmpd="sng">
                            <a:solidFill>
                              <a:srgbClr val="000000"/>
                            </a:solidFill>
                            <a:prstDash val="solid"/>
                            <a:headEnd type="none" w="med" len="med"/>
                            <a:tailEnd type="none" w="med" len="med"/>
                          </a:ln>
                        </wps:spPr>
                        <wps:bodyPr upright="1"/>
                      </wps:wsp>
                      <wps:wsp>
                        <wps:cNvPr id="98" name="直线 292"/>
                        <wps:cNvCnPr>
                          <a:cxnSpLocks noChangeAspect="1"/>
                        </wps:cNvCnPr>
                        <wps:spPr>
                          <a:xfrm>
                            <a:off x="2715" y="5185"/>
                            <a:ext cx="0" cy="472"/>
                          </a:xfrm>
                          <a:prstGeom prst="line">
                            <a:avLst/>
                          </a:prstGeom>
                          <a:ln w="3175" cap="flat" cmpd="sng">
                            <a:solidFill>
                              <a:srgbClr val="000000"/>
                            </a:solidFill>
                            <a:prstDash val="solid"/>
                            <a:headEnd type="none" w="med" len="med"/>
                            <a:tailEnd type="triangle" w="sm" len="med"/>
                          </a:ln>
                        </wps:spPr>
                        <wps:bodyPr upright="1"/>
                      </wps:wsp>
                      <wps:wsp>
                        <wps:cNvPr id="99" name="未知"/>
                        <wps:cNvSpPr>
                          <a:spLocks noChangeAspect="1"/>
                        </wps:cNvSpPr>
                        <wps:spPr>
                          <a:xfrm>
                            <a:off x="2711" y="3227"/>
                            <a:ext cx="1" cy="587"/>
                          </a:xfrm>
                          <a:custGeom>
                            <a:avLst/>
                            <a:gdLst/>
                            <a:ahLst/>
                            <a:cxnLst/>
                            <a:pathLst>
                              <a:path w="5" h="679">
                                <a:moveTo>
                                  <a:pt x="0" y="0"/>
                                </a:moveTo>
                                <a:lnTo>
                                  <a:pt x="5" y="679"/>
                                </a:lnTo>
                              </a:path>
                            </a:pathLst>
                          </a:custGeom>
                          <a:solidFill>
                            <a:srgbClr val="FFFFFF"/>
                          </a:solidFill>
                          <a:ln w="3175" cap="flat" cmpd="sng">
                            <a:solidFill>
                              <a:srgbClr val="000000"/>
                            </a:solidFill>
                            <a:prstDash val="solid"/>
                            <a:headEnd type="none" w="med" len="med"/>
                            <a:tailEnd type="triangle" w="sm" len="med"/>
                          </a:ln>
                        </wps:spPr>
                        <wps:bodyPr upright="1"/>
                      </wps:wsp>
                      <wps:wsp>
                        <wps:cNvPr id="100" name="直线 294"/>
                        <wps:cNvCnPr>
                          <a:cxnSpLocks noChangeAspect="1"/>
                        </wps:cNvCnPr>
                        <wps:spPr>
                          <a:xfrm>
                            <a:off x="2702" y="1706"/>
                            <a:ext cx="0" cy="452"/>
                          </a:xfrm>
                          <a:prstGeom prst="line">
                            <a:avLst/>
                          </a:prstGeom>
                          <a:ln w="3175" cap="flat" cmpd="sng">
                            <a:solidFill>
                              <a:srgbClr val="000000"/>
                            </a:solidFill>
                            <a:prstDash val="solid"/>
                            <a:headEnd type="none" w="med" len="med"/>
                            <a:tailEnd type="triangle" w="sm" len="med"/>
                          </a:ln>
                        </wps:spPr>
                        <wps:bodyPr upright="1"/>
                      </wps:wsp>
                      <wps:wsp>
                        <wps:cNvPr id="101" name="文本框 295"/>
                        <wps:cNvSpPr txBox="1">
                          <a:spLocks noChangeAspect="1"/>
                        </wps:cNvSpPr>
                        <wps:spPr>
                          <a:xfrm>
                            <a:off x="28" y="2714"/>
                            <a:ext cx="143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484F0BE2">
                              <w:pPr>
                                <w:pStyle w:val="138"/>
                                <w:spacing w:line="240" w:lineRule="auto"/>
                              </w:pPr>
                              <w:r>
                                <w:rPr>
                                  <w:rFonts w:hint="eastAsia" w:ascii="宋体" w:eastAsia="宋体"/>
                                  <w:sz w:val="20"/>
                                  <w:szCs w:val="20"/>
                                </w:rPr>
                                <w:t>指挥人员到位</w:t>
                              </w:r>
                            </w:p>
                          </w:txbxContent>
                        </wps:txbx>
                        <wps:bodyPr lIns="0" tIns="45720" rIns="0" bIns="45720" upright="1"/>
                      </wps:wsp>
                      <wps:wsp>
                        <wps:cNvPr id="102" name="文本框 296"/>
                        <wps:cNvSpPr txBox="1">
                          <a:spLocks noChangeAspect="1"/>
                        </wps:cNvSpPr>
                        <wps:spPr>
                          <a:xfrm>
                            <a:off x="28" y="3257"/>
                            <a:ext cx="1450" cy="407"/>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1FBDBB60">
                              <w:pPr>
                                <w:pStyle w:val="138"/>
                              </w:pPr>
                              <w:r>
                                <w:rPr>
                                  <w:rFonts w:hint="eastAsia" w:ascii="宋体" w:eastAsia="宋体"/>
                                  <w:sz w:val="20"/>
                                  <w:szCs w:val="20"/>
                                </w:rPr>
                                <w:t>信息网络开通</w:t>
                              </w:r>
                            </w:p>
                          </w:txbxContent>
                        </wps:txbx>
                        <wps:bodyPr lIns="0" tIns="45720" rIns="0" bIns="45720" upright="1"/>
                      </wps:wsp>
                      <wps:wsp>
                        <wps:cNvPr id="103" name="文本框 297"/>
                        <wps:cNvSpPr txBox="1">
                          <a:spLocks noChangeAspect="1"/>
                        </wps:cNvSpPr>
                        <wps:spPr>
                          <a:xfrm>
                            <a:off x="13" y="3802"/>
                            <a:ext cx="1450" cy="407"/>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4ED5C5A9">
                              <w:pPr>
                                <w:pStyle w:val="138"/>
                              </w:pPr>
                              <w:r>
                                <w:rPr>
                                  <w:rFonts w:hint="eastAsia" w:ascii="宋体" w:eastAsia="宋体"/>
                                  <w:sz w:val="20"/>
                                  <w:szCs w:val="20"/>
                                </w:rPr>
                                <w:t>应急资源调配</w:t>
                              </w:r>
                            </w:p>
                          </w:txbxContent>
                        </wps:txbx>
                        <wps:bodyPr lIns="0" tIns="45720" rIns="0" bIns="45720" upright="1"/>
                      </wps:wsp>
                      <wps:wsp>
                        <wps:cNvPr id="104" name="文本框 298"/>
                        <wps:cNvSpPr txBox="1">
                          <a:spLocks noChangeAspect="1"/>
                        </wps:cNvSpPr>
                        <wps:spPr>
                          <a:xfrm>
                            <a:off x="28" y="4338"/>
                            <a:ext cx="1450"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40732CE8">
                              <w:pPr>
                                <w:pStyle w:val="138"/>
                              </w:pPr>
                              <w:r>
                                <w:rPr>
                                  <w:rFonts w:hint="eastAsia" w:ascii="宋体" w:eastAsia="宋体"/>
                                  <w:sz w:val="20"/>
                                  <w:szCs w:val="20"/>
                                </w:rPr>
                                <w:t>现场指挥到位</w:t>
                              </w:r>
                            </w:p>
                          </w:txbxContent>
                        </wps:txbx>
                        <wps:bodyPr lIns="0" tIns="45720" rIns="0" bIns="45720" upright="1"/>
                      </wps:wsp>
                      <wps:wsp>
                        <wps:cNvPr id="105" name="直线 299"/>
                        <wps:cNvCnPr>
                          <a:cxnSpLocks noChangeAspect="1"/>
                        </wps:cNvCnPr>
                        <wps:spPr>
                          <a:xfrm>
                            <a:off x="1677" y="2854"/>
                            <a:ext cx="0" cy="1754"/>
                          </a:xfrm>
                          <a:prstGeom prst="line">
                            <a:avLst/>
                          </a:prstGeom>
                          <a:ln w="3175" cap="flat" cmpd="sng">
                            <a:solidFill>
                              <a:srgbClr val="000000"/>
                            </a:solidFill>
                            <a:prstDash val="solid"/>
                            <a:headEnd type="none" w="med" len="med"/>
                            <a:tailEnd type="none" w="med" len="med"/>
                          </a:ln>
                        </wps:spPr>
                        <wps:bodyPr upright="1"/>
                      </wps:wsp>
                      <wps:wsp>
                        <wps:cNvPr id="106" name="未知"/>
                        <wps:cNvSpPr>
                          <a:spLocks noChangeAspect="1"/>
                        </wps:cNvSpPr>
                        <wps:spPr>
                          <a:xfrm>
                            <a:off x="1474" y="2854"/>
                            <a:ext cx="203" cy="1"/>
                          </a:xfrm>
                          <a:custGeom>
                            <a:avLst/>
                            <a:gdLst/>
                            <a:ahLst/>
                            <a:cxnLst/>
                            <a:pathLst>
                              <a:path w="214" h="11">
                                <a:moveTo>
                                  <a:pt x="214" y="0"/>
                                </a:moveTo>
                                <a:lnTo>
                                  <a:pt x="0" y="11"/>
                                </a:lnTo>
                              </a:path>
                            </a:pathLst>
                          </a:custGeom>
                          <a:solidFill>
                            <a:srgbClr val="FFFFFF"/>
                          </a:solidFill>
                          <a:ln w="3175" cap="flat" cmpd="sng">
                            <a:solidFill>
                              <a:srgbClr val="000000"/>
                            </a:solidFill>
                            <a:prstDash val="solid"/>
                            <a:headEnd type="none" w="med" len="med"/>
                            <a:tailEnd type="none" w="med" len="med"/>
                          </a:ln>
                        </wps:spPr>
                        <wps:bodyPr upright="1"/>
                      </wps:wsp>
                      <wps:wsp>
                        <wps:cNvPr id="107" name="直线 301"/>
                        <wps:cNvCnPr>
                          <a:cxnSpLocks noChangeAspect="1"/>
                        </wps:cNvCnPr>
                        <wps:spPr>
                          <a:xfrm flipH="1">
                            <a:off x="1478" y="4608"/>
                            <a:ext cx="203" cy="0"/>
                          </a:xfrm>
                          <a:prstGeom prst="line">
                            <a:avLst/>
                          </a:prstGeom>
                          <a:ln w="3175" cap="flat" cmpd="sng">
                            <a:solidFill>
                              <a:srgbClr val="000000"/>
                            </a:solidFill>
                            <a:prstDash val="solid"/>
                            <a:headEnd type="none" w="med" len="med"/>
                            <a:tailEnd type="none" w="med" len="med"/>
                          </a:ln>
                        </wps:spPr>
                        <wps:bodyPr upright="1"/>
                      </wps:wsp>
                      <wps:wsp>
                        <wps:cNvPr id="108" name="直线 302"/>
                        <wps:cNvCnPr>
                          <a:cxnSpLocks noChangeAspect="1"/>
                        </wps:cNvCnPr>
                        <wps:spPr>
                          <a:xfrm flipH="1">
                            <a:off x="1463" y="4040"/>
                            <a:ext cx="204" cy="0"/>
                          </a:xfrm>
                          <a:prstGeom prst="line">
                            <a:avLst/>
                          </a:prstGeom>
                          <a:ln w="3175" cap="flat" cmpd="sng">
                            <a:solidFill>
                              <a:srgbClr val="000000"/>
                            </a:solidFill>
                            <a:prstDash val="solid"/>
                            <a:headEnd type="none" w="med" len="med"/>
                            <a:tailEnd type="none" w="med" len="med"/>
                          </a:ln>
                        </wps:spPr>
                        <wps:bodyPr upright="1"/>
                      </wps:wsp>
                      <wps:wsp>
                        <wps:cNvPr id="109" name="直线 303"/>
                        <wps:cNvCnPr>
                          <a:cxnSpLocks noChangeAspect="1"/>
                        </wps:cNvCnPr>
                        <wps:spPr>
                          <a:xfrm flipH="1">
                            <a:off x="1478" y="3451"/>
                            <a:ext cx="203" cy="0"/>
                          </a:xfrm>
                          <a:prstGeom prst="line">
                            <a:avLst/>
                          </a:prstGeom>
                          <a:ln w="3175" cap="flat" cmpd="sng">
                            <a:solidFill>
                              <a:srgbClr val="000000"/>
                            </a:solidFill>
                            <a:prstDash val="solid"/>
                            <a:headEnd type="none" w="med" len="med"/>
                            <a:tailEnd type="none" w="med" len="med"/>
                          </a:ln>
                        </wps:spPr>
                        <wps:bodyPr upright="1"/>
                      </wps:wsp>
                      <wps:wsp>
                        <wps:cNvPr id="110" name="文本框 304"/>
                        <wps:cNvSpPr txBox="1">
                          <a:spLocks noChangeAspect="1"/>
                        </wps:cNvSpPr>
                        <wps:spPr>
                          <a:xfrm>
                            <a:off x="45" y="4871"/>
                            <a:ext cx="1451" cy="407"/>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00C02392">
                              <w:pPr>
                                <w:pStyle w:val="138"/>
                              </w:pPr>
                              <w:r>
                                <w:rPr>
                                  <w:rFonts w:hint="eastAsia" w:ascii="宋体" w:eastAsia="宋体"/>
                                  <w:sz w:val="20"/>
                                  <w:szCs w:val="20"/>
                                </w:rPr>
                                <w:t>应急增援</w:t>
                              </w:r>
                            </w:p>
                          </w:txbxContent>
                        </wps:txbx>
                        <wps:bodyPr upright="1"/>
                      </wps:wsp>
                      <wps:wsp>
                        <wps:cNvPr id="111" name="未知"/>
                        <wps:cNvSpPr>
                          <a:spLocks noChangeAspect="1"/>
                        </wps:cNvSpPr>
                        <wps:spPr>
                          <a:xfrm>
                            <a:off x="1488" y="5018"/>
                            <a:ext cx="597" cy="1"/>
                          </a:xfrm>
                          <a:custGeom>
                            <a:avLst/>
                            <a:gdLst/>
                            <a:ahLst/>
                            <a:cxnLst/>
                            <a:pathLst>
                              <a:path w="630" h="15">
                                <a:moveTo>
                                  <a:pt x="0" y="15"/>
                                </a:moveTo>
                                <a:lnTo>
                                  <a:pt x="630" y="0"/>
                                </a:lnTo>
                              </a:path>
                            </a:pathLst>
                          </a:custGeom>
                          <a:solidFill>
                            <a:srgbClr val="FFFFFF"/>
                          </a:solidFill>
                          <a:ln w="3175" cap="flat" cmpd="sng">
                            <a:solidFill>
                              <a:srgbClr val="000000"/>
                            </a:solidFill>
                            <a:prstDash val="solid"/>
                            <a:headEnd type="none" w="med" len="med"/>
                            <a:tailEnd type="none" w="med" len="med"/>
                          </a:ln>
                        </wps:spPr>
                        <wps:bodyPr upright="1"/>
                      </wps:wsp>
                      <wps:wsp>
                        <wps:cNvPr id="112" name="直线 306"/>
                        <wps:cNvCnPr>
                          <a:cxnSpLocks noChangeAspect="1"/>
                        </wps:cNvCnPr>
                        <wps:spPr>
                          <a:xfrm>
                            <a:off x="1691" y="3970"/>
                            <a:ext cx="398" cy="0"/>
                          </a:xfrm>
                          <a:prstGeom prst="line">
                            <a:avLst/>
                          </a:prstGeom>
                          <a:ln w="3175" cap="flat" cmpd="sng">
                            <a:solidFill>
                              <a:srgbClr val="000000"/>
                            </a:solidFill>
                            <a:prstDash val="solid"/>
                            <a:headEnd type="none" w="med" len="med"/>
                            <a:tailEnd type="none" w="med" len="med"/>
                          </a:ln>
                        </wps:spPr>
                        <wps:bodyPr upright="1"/>
                      </wps:wsp>
                      <wps:wsp>
                        <wps:cNvPr id="113" name="文本框 307"/>
                        <wps:cNvSpPr txBox="1">
                          <a:spLocks noChangeAspect="1"/>
                        </wps:cNvSpPr>
                        <wps:spPr>
                          <a:xfrm>
                            <a:off x="4747" y="3155"/>
                            <a:ext cx="1295" cy="423"/>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6DDD8EFE">
                              <w:pPr>
                                <w:pStyle w:val="138"/>
                              </w:pPr>
                              <w:r>
                                <w:rPr>
                                  <w:rFonts w:hint="eastAsia" w:ascii="宋体" w:eastAsia="宋体"/>
                                  <w:sz w:val="20"/>
                                  <w:szCs w:val="20"/>
                                </w:rPr>
                                <w:t>人员救助</w:t>
                              </w:r>
                            </w:p>
                          </w:txbxContent>
                        </wps:txbx>
                        <wps:bodyPr upright="1"/>
                      </wps:wsp>
                      <wps:wsp>
                        <wps:cNvPr id="114" name="文本框 308"/>
                        <wps:cNvSpPr txBox="1">
                          <a:spLocks noChangeAspect="1"/>
                        </wps:cNvSpPr>
                        <wps:spPr>
                          <a:xfrm>
                            <a:off x="4762" y="3700"/>
                            <a:ext cx="1274" cy="420"/>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44DEAE77">
                              <w:pPr>
                                <w:pStyle w:val="138"/>
                              </w:pPr>
                              <w:r>
                                <w:rPr>
                                  <w:rFonts w:hint="eastAsia" w:ascii="宋体" w:eastAsia="宋体"/>
                                  <w:sz w:val="20"/>
                                  <w:szCs w:val="20"/>
                                </w:rPr>
                                <w:t>工程抢险</w:t>
                              </w:r>
                            </w:p>
                          </w:txbxContent>
                        </wps:txbx>
                        <wps:bodyPr upright="1"/>
                      </wps:wsp>
                      <wps:wsp>
                        <wps:cNvPr id="115" name="文本框 309"/>
                        <wps:cNvSpPr txBox="1">
                          <a:spLocks noChangeAspect="1"/>
                        </wps:cNvSpPr>
                        <wps:spPr>
                          <a:xfrm>
                            <a:off x="4762" y="4240"/>
                            <a:ext cx="1254" cy="391"/>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54E94899">
                              <w:pPr>
                                <w:pStyle w:val="138"/>
                              </w:pPr>
                              <w:r>
                                <w:rPr>
                                  <w:rFonts w:hint="eastAsia" w:ascii="宋体" w:eastAsia="宋体"/>
                                  <w:sz w:val="20"/>
                                  <w:szCs w:val="20"/>
                                </w:rPr>
                                <w:t>现场警戒</w:t>
                              </w:r>
                            </w:p>
                          </w:txbxContent>
                        </wps:txbx>
                        <wps:bodyPr upright="1"/>
                      </wps:wsp>
                      <wps:wsp>
                        <wps:cNvPr id="116" name="文本框 310"/>
                        <wps:cNvSpPr txBox="1">
                          <a:spLocks noChangeAspect="1"/>
                        </wps:cNvSpPr>
                        <wps:spPr>
                          <a:xfrm>
                            <a:off x="4762" y="4779"/>
                            <a:ext cx="1274" cy="42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5A4337DF">
                              <w:pPr>
                                <w:pStyle w:val="138"/>
                              </w:pPr>
                              <w:r>
                                <w:rPr>
                                  <w:rFonts w:hint="eastAsia" w:ascii="宋体" w:eastAsia="宋体"/>
                                  <w:sz w:val="20"/>
                                  <w:szCs w:val="20"/>
                                </w:rPr>
                                <w:t>医疗救护</w:t>
                              </w:r>
                            </w:p>
                          </w:txbxContent>
                        </wps:txbx>
                        <wps:bodyPr upright="1"/>
                      </wps:wsp>
                      <wps:wsp>
                        <wps:cNvPr id="117" name="直线 311"/>
                        <wps:cNvCnPr>
                          <a:cxnSpLocks noChangeAspect="1"/>
                        </wps:cNvCnPr>
                        <wps:spPr>
                          <a:xfrm>
                            <a:off x="4548" y="3296"/>
                            <a:ext cx="0" cy="4048"/>
                          </a:xfrm>
                          <a:prstGeom prst="line">
                            <a:avLst/>
                          </a:prstGeom>
                          <a:ln w="3175" cap="flat" cmpd="sng">
                            <a:solidFill>
                              <a:srgbClr val="000000"/>
                            </a:solidFill>
                            <a:prstDash val="solid"/>
                            <a:headEnd type="none" w="med" len="med"/>
                            <a:tailEnd type="none" w="med" len="med"/>
                          </a:ln>
                        </wps:spPr>
                        <wps:bodyPr upright="1"/>
                      </wps:wsp>
                      <wps:wsp>
                        <wps:cNvPr id="118" name="文本框 312"/>
                        <wps:cNvSpPr txBox="1">
                          <a:spLocks noChangeAspect="1"/>
                        </wps:cNvSpPr>
                        <wps:spPr>
                          <a:xfrm>
                            <a:off x="4747" y="5449"/>
                            <a:ext cx="1295"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06AA04AE">
                              <w:pPr>
                                <w:pStyle w:val="138"/>
                              </w:pPr>
                              <w:r>
                                <w:rPr>
                                  <w:rFonts w:hint="eastAsia" w:ascii="宋体" w:eastAsia="宋体"/>
                                  <w:sz w:val="20"/>
                                  <w:szCs w:val="20"/>
                                </w:rPr>
                                <w:t>人群疏散</w:t>
                              </w:r>
                            </w:p>
                          </w:txbxContent>
                        </wps:txbx>
                        <wps:bodyPr upright="1"/>
                      </wps:wsp>
                      <wps:wsp>
                        <wps:cNvPr id="119" name="文本框 313"/>
                        <wps:cNvSpPr txBox="1">
                          <a:spLocks noChangeAspect="1"/>
                        </wps:cNvSpPr>
                        <wps:spPr>
                          <a:xfrm>
                            <a:off x="4762" y="5994"/>
                            <a:ext cx="1254" cy="371"/>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243071E0">
                              <w:pPr>
                                <w:pStyle w:val="138"/>
                              </w:pPr>
                              <w:r>
                                <w:rPr>
                                  <w:rFonts w:hint="eastAsia" w:ascii="宋体" w:eastAsia="宋体"/>
                                  <w:sz w:val="20"/>
                                  <w:szCs w:val="20"/>
                                </w:rPr>
                                <w:t>环境保护</w:t>
                              </w:r>
                            </w:p>
                          </w:txbxContent>
                        </wps:txbx>
                        <wps:bodyPr upright="1"/>
                      </wps:wsp>
                      <wps:wsp>
                        <wps:cNvPr id="120" name="文本框 314"/>
                        <wps:cNvSpPr txBox="1">
                          <a:spLocks noChangeAspect="1"/>
                        </wps:cNvSpPr>
                        <wps:spPr>
                          <a:xfrm>
                            <a:off x="4762" y="6534"/>
                            <a:ext cx="1274" cy="394"/>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6053C65B">
                              <w:pPr>
                                <w:pStyle w:val="138"/>
                              </w:pPr>
                              <w:r>
                                <w:rPr>
                                  <w:rFonts w:hint="eastAsia" w:ascii="宋体" w:eastAsia="宋体"/>
                                  <w:sz w:val="20"/>
                                  <w:szCs w:val="20"/>
                                </w:rPr>
                                <w:t>现场监测</w:t>
                              </w:r>
                            </w:p>
                          </w:txbxContent>
                        </wps:txbx>
                        <wps:bodyPr upright="1"/>
                      </wps:wsp>
                      <wps:wsp>
                        <wps:cNvPr id="121" name="文本框 315"/>
                        <wps:cNvSpPr txBox="1">
                          <a:spLocks noChangeAspect="1"/>
                        </wps:cNvSpPr>
                        <wps:spPr>
                          <a:xfrm>
                            <a:off x="4762" y="7073"/>
                            <a:ext cx="1294" cy="446"/>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78DD6B9E">
                              <w:pPr>
                                <w:pStyle w:val="138"/>
                              </w:pPr>
                              <w:r>
                                <w:rPr>
                                  <w:rFonts w:hint="eastAsia" w:ascii="宋体" w:eastAsia="宋体"/>
                                  <w:sz w:val="20"/>
                                  <w:szCs w:val="20"/>
                                </w:rPr>
                                <w:t>专家支持</w:t>
                              </w:r>
                            </w:p>
                          </w:txbxContent>
                        </wps:txbx>
                        <wps:bodyPr upright="1"/>
                      </wps:wsp>
                      <wps:wsp>
                        <wps:cNvPr id="122" name="直线 316"/>
                        <wps:cNvCnPr>
                          <a:cxnSpLocks noChangeAspect="1"/>
                        </wps:cNvCnPr>
                        <wps:spPr>
                          <a:xfrm flipH="1">
                            <a:off x="4561" y="3298"/>
                            <a:ext cx="188" cy="0"/>
                          </a:xfrm>
                          <a:prstGeom prst="line">
                            <a:avLst/>
                          </a:prstGeom>
                          <a:ln w="3175" cap="flat" cmpd="sng">
                            <a:solidFill>
                              <a:srgbClr val="000000"/>
                            </a:solidFill>
                            <a:prstDash val="solid"/>
                            <a:headEnd type="none" w="med" len="med"/>
                            <a:tailEnd type="none" w="med" len="med"/>
                          </a:ln>
                        </wps:spPr>
                        <wps:bodyPr upright="1"/>
                      </wps:wsp>
                      <wps:wsp>
                        <wps:cNvPr id="123" name="直线 317"/>
                        <wps:cNvCnPr>
                          <a:cxnSpLocks noChangeAspect="1"/>
                        </wps:cNvCnPr>
                        <wps:spPr>
                          <a:xfrm flipH="1">
                            <a:off x="4563" y="5039"/>
                            <a:ext cx="203" cy="0"/>
                          </a:xfrm>
                          <a:prstGeom prst="line">
                            <a:avLst/>
                          </a:prstGeom>
                          <a:ln w="3175" cap="flat" cmpd="sng">
                            <a:solidFill>
                              <a:srgbClr val="000000"/>
                            </a:solidFill>
                            <a:prstDash val="solid"/>
                            <a:headEnd type="none" w="med" len="med"/>
                            <a:tailEnd type="none" w="med" len="med"/>
                          </a:ln>
                        </wps:spPr>
                        <wps:bodyPr upright="1"/>
                      </wps:wsp>
                      <wps:wsp>
                        <wps:cNvPr id="124" name="直线 318"/>
                        <wps:cNvCnPr>
                          <a:cxnSpLocks noChangeAspect="1"/>
                        </wps:cNvCnPr>
                        <wps:spPr>
                          <a:xfrm flipH="1">
                            <a:off x="4548" y="4523"/>
                            <a:ext cx="204" cy="0"/>
                          </a:xfrm>
                          <a:prstGeom prst="line">
                            <a:avLst/>
                          </a:prstGeom>
                          <a:ln w="3175" cap="flat" cmpd="sng">
                            <a:solidFill>
                              <a:srgbClr val="000000"/>
                            </a:solidFill>
                            <a:prstDash val="solid"/>
                            <a:headEnd type="none" w="med" len="med"/>
                            <a:tailEnd type="none" w="med" len="med"/>
                          </a:ln>
                        </wps:spPr>
                        <wps:bodyPr upright="1"/>
                      </wps:wsp>
                      <wps:wsp>
                        <wps:cNvPr id="125" name="直线 319"/>
                        <wps:cNvCnPr>
                          <a:cxnSpLocks noChangeAspect="1"/>
                        </wps:cNvCnPr>
                        <wps:spPr>
                          <a:xfrm flipH="1">
                            <a:off x="4548" y="3973"/>
                            <a:ext cx="204" cy="0"/>
                          </a:xfrm>
                          <a:prstGeom prst="line">
                            <a:avLst/>
                          </a:prstGeom>
                          <a:ln w="3175" cap="flat" cmpd="sng">
                            <a:solidFill>
                              <a:srgbClr val="000000"/>
                            </a:solidFill>
                            <a:prstDash val="solid"/>
                            <a:headEnd type="none" w="med" len="med"/>
                            <a:tailEnd type="none" w="med" len="med"/>
                          </a:ln>
                        </wps:spPr>
                        <wps:bodyPr upright="1"/>
                      </wps:wsp>
                      <wps:wsp>
                        <wps:cNvPr id="126" name="直线 320"/>
                        <wps:cNvCnPr>
                          <a:cxnSpLocks noChangeAspect="1"/>
                        </wps:cNvCnPr>
                        <wps:spPr>
                          <a:xfrm flipH="1">
                            <a:off x="4548" y="5605"/>
                            <a:ext cx="204" cy="0"/>
                          </a:xfrm>
                          <a:prstGeom prst="line">
                            <a:avLst/>
                          </a:prstGeom>
                          <a:ln w="3175" cap="flat" cmpd="sng">
                            <a:solidFill>
                              <a:srgbClr val="000000"/>
                            </a:solidFill>
                            <a:prstDash val="solid"/>
                            <a:headEnd type="none" w="med" len="med"/>
                            <a:tailEnd type="none" w="med" len="med"/>
                          </a:ln>
                        </wps:spPr>
                        <wps:bodyPr upright="1"/>
                      </wps:wsp>
                      <wps:wsp>
                        <wps:cNvPr id="127" name="直线 321"/>
                        <wps:cNvCnPr>
                          <a:cxnSpLocks noChangeAspect="1"/>
                        </wps:cNvCnPr>
                        <wps:spPr>
                          <a:xfrm flipH="1">
                            <a:off x="4563" y="7346"/>
                            <a:ext cx="203" cy="0"/>
                          </a:xfrm>
                          <a:prstGeom prst="line">
                            <a:avLst/>
                          </a:prstGeom>
                          <a:ln w="3175" cap="flat" cmpd="sng">
                            <a:solidFill>
                              <a:srgbClr val="000000"/>
                            </a:solidFill>
                            <a:prstDash val="solid"/>
                            <a:headEnd type="none" w="med" len="med"/>
                            <a:tailEnd type="none" w="med" len="med"/>
                          </a:ln>
                        </wps:spPr>
                        <wps:bodyPr upright="1"/>
                      </wps:wsp>
                      <wps:wsp>
                        <wps:cNvPr id="128" name="直线 322"/>
                        <wps:cNvCnPr>
                          <a:cxnSpLocks noChangeAspect="1"/>
                        </wps:cNvCnPr>
                        <wps:spPr>
                          <a:xfrm flipH="1">
                            <a:off x="4548" y="6817"/>
                            <a:ext cx="204" cy="0"/>
                          </a:xfrm>
                          <a:prstGeom prst="line">
                            <a:avLst/>
                          </a:prstGeom>
                          <a:ln w="3175" cap="flat" cmpd="sng">
                            <a:solidFill>
                              <a:srgbClr val="000000"/>
                            </a:solidFill>
                            <a:prstDash val="solid"/>
                            <a:headEnd type="none" w="med" len="med"/>
                            <a:tailEnd type="none" w="med" len="med"/>
                          </a:ln>
                        </wps:spPr>
                        <wps:bodyPr upright="1"/>
                      </wps:wsp>
                      <wps:wsp>
                        <wps:cNvPr id="129" name="直线 323"/>
                        <wps:cNvCnPr>
                          <a:cxnSpLocks noChangeAspect="1"/>
                        </wps:cNvCnPr>
                        <wps:spPr>
                          <a:xfrm flipH="1">
                            <a:off x="4548" y="6280"/>
                            <a:ext cx="204" cy="0"/>
                          </a:xfrm>
                          <a:prstGeom prst="line">
                            <a:avLst/>
                          </a:prstGeom>
                          <a:ln w="3175" cap="flat" cmpd="sng">
                            <a:solidFill>
                              <a:srgbClr val="000000"/>
                            </a:solidFill>
                            <a:prstDash val="solid"/>
                            <a:headEnd type="none" w="med" len="med"/>
                            <a:tailEnd type="none" w="med" len="med"/>
                          </a:ln>
                        </wps:spPr>
                        <wps:bodyPr upright="1"/>
                      </wps:wsp>
                      <wps:wsp>
                        <wps:cNvPr id="130" name="直线 324"/>
                        <wps:cNvCnPr>
                          <a:cxnSpLocks noChangeAspect="1"/>
                        </wps:cNvCnPr>
                        <wps:spPr>
                          <a:xfrm>
                            <a:off x="3312" y="5034"/>
                            <a:ext cx="1194" cy="0"/>
                          </a:xfrm>
                          <a:prstGeom prst="line">
                            <a:avLst/>
                          </a:prstGeom>
                          <a:ln w="3175" cap="flat" cmpd="sng">
                            <a:solidFill>
                              <a:srgbClr val="000000"/>
                            </a:solidFill>
                            <a:prstDash val="solid"/>
                            <a:headEnd type="none" w="med" len="med"/>
                            <a:tailEnd type="none" w="med" len="med"/>
                          </a:ln>
                        </wps:spPr>
                        <wps:bodyPr upright="1"/>
                      </wps:wsp>
                      <wps:wsp>
                        <wps:cNvPr id="131" name="文本框 325"/>
                        <wps:cNvSpPr txBox="1">
                          <a:spLocks noChangeAspect="1"/>
                        </wps:cNvSpPr>
                        <wps:spPr>
                          <a:xfrm>
                            <a:off x="4719" y="1946"/>
                            <a:ext cx="1194" cy="40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2F9765A9">
                              <w:pPr>
                                <w:pStyle w:val="138"/>
                              </w:pPr>
                              <w:r>
                                <w:rPr>
                                  <w:rFonts w:hint="eastAsia" w:ascii="宋体" w:eastAsia="宋体"/>
                                  <w:sz w:val="20"/>
                                  <w:szCs w:val="20"/>
                                </w:rPr>
                                <w:t>信息反馈</w:t>
                              </w:r>
                            </w:p>
                          </w:txbxContent>
                        </wps:txbx>
                        <wps:bodyPr upright="1"/>
                      </wps:wsp>
                      <wps:wsp>
                        <wps:cNvPr id="132" name="直线 326"/>
                        <wps:cNvCnPr>
                          <a:cxnSpLocks noChangeAspect="1"/>
                        </wps:cNvCnPr>
                        <wps:spPr>
                          <a:xfrm>
                            <a:off x="3752" y="2686"/>
                            <a:ext cx="1536" cy="0"/>
                          </a:xfrm>
                          <a:prstGeom prst="line">
                            <a:avLst/>
                          </a:prstGeom>
                          <a:ln w="3175" cap="flat" cmpd="sng">
                            <a:solidFill>
                              <a:srgbClr val="000000"/>
                            </a:solidFill>
                            <a:prstDash val="solid"/>
                            <a:headEnd type="none" w="med" len="med"/>
                            <a:tailEnd type="none" w="med" len="med"/>
                          </a:ln>
                        </wps:spPr>
                        <wps:bodyPr upright="1"/>
                      </wps:wsp>
                      <wps:wsp>
                        <wps:cNvPr id="133" name="未知"/>
                        <wps:cNvSpPr>
                          <a:spLocks noChangeAspect="1"/>
                        </wps:cNvSpPr>
                        <wps:spPr>
                          <a:xfrm>
                            <a:off x="5284" y="2345"/>
                            <a:ext cx="4" cy="341"/>
                          </a:xfrm>
                          <a:custGeom>
                            <a:avLst/>
                            <a:gdLst/>
                            <a:ahLst/>
                            <a:cxnLst/>
                            <a:pathLst>
                              <a:path w="4" h="394">
                                <a:moveTo>
                                  <a:pt x="4" y="394"/>
                                </a:moveTo>
                                <a:lnTo>
                                  <a:pt x="0" y="0"/>
                                </a:lnTo>
                              </a:path>
                            </a:pathLst>
                          </a:custGeom>
                          <a:solidFill>
                            <a:srgbClr val="FFFFFF"/>
                          </a:solidFill>
                          <a:ln w="3175" cap="flat" cmpd="sng">
                            <a:solidFill>
                              <a:srgbClr val="000000"/>
                            </a:solidFill>
                            <a:prstDash val="solid"/>
                            <a:headEnd type="none" w="med" len="med"/>
                            <a:tailEnd type="none" w="med" len="med"/>
                          </a:ln>
                        </wps:spPr>
                        <wps:bodyPr upright="1"/>
                      </wps:wsp>
                      <wps:wsp>
                        <wps:cNvPr id="134" name="文本框 328"/>
                        <wps:cNvSpPr txBox="1">
                          <a:spLocks noChangeAspect="1"/>
                        </wps:cNvSpPr>
                        <wps:spPr>
                          <a:xfrm>
                            <a:off x="5401" y="2486"/>
                            <a:ext cx="1024" cy="405"/>
                          </a:xfrm>
                          <a:prstGeom prst="rect">
                            <a:avLst/>
                          </a:prstGeom>
                          <a:solidFill>
                            <a:srgbClr val="FFFFFF"/>
                          </a:solidFill>
                          <a:ln w="3175">
                            <a:noFill/>
                          </a:ln>
                        </wps:spPr>
                        <wps:txbx>
                          <w:txbxContent>
                            <w:p w14:paraId="1108EF89">
                              <w:pPr>
                                <w:pStyle w:val="19"/>
                              </w:pPr>
                            </w:p>
                          </w:txbxContent>
                        </wps:txbx>
                        <wps:bodyPr upright="1"/>
                      </wps:wsp>
                      <wps:wsp>
                        <wps:cNvPr id="135" name="直线 329"/>
                        <wps:cNvCnPr>
                          <a:cxnSpLocks noChangeAspect="1"/>
                        </wps:cNvCnPr>
                        <wps:spPr>
                          <a:xfrm flipV="1">
                            <a:off x="5217" y="1542"/>
                            <a:ext cx="0" cy="404"/>
                          </a:xfrm>
                          <a:prstGeom prst="line">
                            <a:avLst/>
                          </a:prstGeom>
                          <a:ln w="3175" cap="flat" cmpd="sng">
                            <a:solidFill>
                              <a:srgbClr val="000000"/>
                            </a:solidFill>
                            <a:prstDash val="solid"/>
                            <a:headEnd type="none" w="med" len="med"/>
                            <a:tailEnd type="none" w="med" len="med"/>
                          </a:ln>
                        </wps:spPr>
                        <wps:bodyPr upright="1"/>
                      </wps:wsp>
                      <wps:wsp>
                        <wps:cNvPr id="136" name="未知"/>
                        <wps:cNvSpPr>
                          <a:spLocks noChangeAspect="1"/>
                        </wps:cNvSpPr>
                        <wps:spPr>
                          <a:xfrm>
                            <a:off x="3294" y="1527"/>
                            <a:ext cx="1923" cy="1"/>
                          </a:xfrm>
                          <a:custGeom>
                            <a:avLst/>
                            <a:gdLst/>
                            <a:ahLst/>
                            <a:cxnLst/>
                            <a:pathLst>
                              <a:path w="2029" h="16">
                                <a:moveTo>
                                  <a:pt x="2029" y="16"/>
                                </a:moveTo>
                                <a:lnTo>
                                  <a:pt x="0" y="0"/>
                                </a:lnTo>
                              </a:path>
                            </a:pathLst>
                          </a:custGeom>
                          <a:solidFill>
                            <a:srgbClr val="FFFFFF"/>
                          </a:solidFill>
                          <a:ln w="3175" cap="flat" cmpd="sng">
                            <a:solidFill>
                              <a:srgbClr val="000000"/>
                            </a:solidFill>
                            <a:prstDash val="solid"/>
                            <a:headEnd type="none" w="med" len="med"/>
                            <a:tailEnd type="triangle" w="sm" len="med"/>
                          </a:ln>
                        </wps:spPr>
                        <wps:bodyPr upright="1"/>
                      </wps:wsp>
                      <wps:wsp>
                        <wps:cNvPr id="137" name="文本框 331"/>
                        <wps:cNvSpPr txBox="1">
                          <a:spLocks noChangeAspect="1"/>
                        </wps:cNvSpPr>
                        <wps:spPr>
                          <a:xfrm>
                            <a:off x="2032" y="4240"/>
                            <a:ext cx="683" cy="405"/>
                          </a:xfrm>
                          <a:prstGeom prst="rect">
                            <a:avLst/>
                          </a:prstGeom>
                          <a:solidFill>
                            <a:srgbClr val="FFFFFF"/>
                          </a:solidFill>
                          <a:ln w="3175">
                            <a:noFill/>
                          </a:ln>
                        </wps:spPr>
                        <wps:txbx>
                          <w:txbxContent>
                            <w:p w14:paraId="13D710CD">
                              <w:pPr>
                                <w:ind w:firstLine="31680"/>
                              </w:pPr>
                            </w:p>
                          </w:txbxContent>
                        </wps:txbx>
                        <wps:bodyPr upright="1"/>
                      </wps:wsp>
                      <wps:wsp>
                        <wps:cNvPr id="138" name="文本框 332"/>
                        <wps:cNvSpPr txBox="1">
                          <a:spLocks noChangeAspect="1"/>
                        </wps:cNvSpPr>
                        <wps:spPr>
                          <a:xfrm>
                            <a:off x="1975" y="4279"/>
                            <a:ext cx="469" cy="405"/>
                          </a:xfrm>
                          <a:prstGeom prst="rect">
                            <a:avLst/>
                          </a:prstGeom>
                          <a:solidFill>
                            <a:srgbClr val="FFFFFF"/>
                          </a:solidFill>
                          <a:ln w="3175">
                            <a:noFill/>
                          </a:ln>
                        </wps:spPr>
                        <wps:txbx>
                          <w:txbxContent>
                            <w:p w14:paraId="1F52B87C">
                              <w:pPr>
                                <w:pStyle w:val="138"/>
                                <w:ind w:firstLine="480"/>
                                <w:jc w:val="both"/>
                              </w:pPr>
                              <w:r>
                                <w:t>Y</w:t>
                              </w:r>
                            </w:p>
                          </w:txbxContent>
                        </wps:txbx>
                        <wps:bodyPr upright="1"/>
                      </wps:wsp>
                      <wps:wsp>
                        <wps:cNvPr id="139" name="文本框 333"/>
                        <wps:cNvSpPr txBox="1">
                          <a:spLocks noChangeAspect="1"/>
                        </wps:cNvSpPr>
                        <wps:spPr>
                          <a:xfrm>
                            <a:off x="1862" y="3296"/>
                            <a:ext cx="682" cy="404"/>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326629A3">
                              <w:pPr>
                                <w:pStyle w:val="138"/>
                                <w:rPr>
                                  <w:rStyle w:val="101"/>
                                  <w:rFonts w:hint="eastAsia" w:eastAsia="仿宋_GB2312"/>
                                  <w:lang w:val="en-US" w:eastAsia="zh-CN"/>
                                </w:rPr>
                              </w:pPr>
                              <w:r>
                                <w:rPr>
                                  <w:rFonts w:hint="eastAsia"/>
                                  <w:lang w:val="en-US" w:eastAsia="zh-CN"/>
                                </w:rPr>
                                <w:t>是</w:t>
                              </w:r>
                            </w:p>
                          </w:txbxContent>
                        </wps:txbx>
                        <wps:bodyPr upright="1"/>
                      </wps:wsp>
                      <wps:wsp>
                        <wps:cNvPr id="140" name="文本框 334"/>
                        <wps:cNvSpPr txBox="1">
                          <a:spLocks noChangeAspect="1"/>
                        </wps:cNvSpPr>
                        <wps:spPr>
                          <a:xfrm>
                            <a:off x="1193" y="5680"/>
                            <a:ext cx="498" cy="314"/>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3885E7D8">
                              <w:pPr>
                                <w:pStyle w:val="19"/>
                                <w:rPr>
                                  <w:rFonts w:hint="eastAsia" w:eastAsia="宋体"/>
                                  <w:lang w:val="en-US" w:eastAsia="zh-CN"/>
                                </w:rPr>
                              </w:pPr>
                              <w:r>
                                <w:rPr>
                                  <w:rFonts w:hint="eastAsia"/>
                                  <w:lang w:val="en-US" w:eastAsia="zh-CN"/>
                                </w:rPr>
                                <w:t>否</w:t>
                              </w:r>
                            </w:p>
                          </w:txbxContent>
                        </wps:txbx>
                        <wps:bodyPr lIns="91440" tIns="0" rIns="91440" bIns="0" upright="1"/>
                      </wps:wsp>
                      <wps:wsp>
                        <wps:cNvPr id="141" name="文本框 335"/>
                        <wps:cNvSpPr txBox="1">
                          <a:spLocks noChangeAspect="1"/>
                        </wps:cNvSpPr>
                        <wps:spPr>
                          <a:xfrm>
                            <a:off x="28" y="5880"/>
                            <a:ext cx="1194" cy="378"/>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250793BF">
                              <w:pPr>
                                <w:pStyle w:val="138"/>
                              </w:pPr>
                              <w:r>
                                <w:rPr>
                                  <w:rFonts w:hint="eastAsia" w:ascii="宋体" w:eastAsia="宋体"/>
                                  <w:sz w:val="20"/>
                                  <w:szCs w:val="20"/>
                                </w:rPr>
                                <w:t>响应升级</w:t>
                              </w:r>
                            </w:p>
                          </w:txbxContent>
                        </wps:txbx>
                        <wps:bodyPr upright="1"/>
                      </wps:wsp>
                      <wps:wsp>
                        <wps:cNvPr id="142" name="未知"/>
                        <wps:cNvSpPr>
                          <a:spLocks noChangeAspect="1"/>
                        </wps:cNvSpPr>
                        <wps:spPr>
                          <a:xfrm>
                            <a:off x="1246" y="6120"/>
                            <a:ext cx="374" cy="1"/>
                          </a:xfrm>
                          <a:custGeom>
                            <a:avLst/>
                            <a:gdLst/>
                            <a:ahLst/>
                            <a:cxnLst/>
                            <a:pathLst>
                              <a:path w="394" h="16">
                                <a:moveTo>
                                  <a:pt x="394" y="16"/>
                                </a:moveTo>
                                <a:lnTo>
                                  <a:pt x="0" y="0"/>
                                </a:lnTo>
                              </a:path>
                            </a:pathLst>
                          </a:custGeom>
                          <a:solidFill>
                            <a:srgbClr val="FFFFFF"/>
                          </a:solidFill>
                          <a:ln w="3175" cap="flat" cmpd="sng">
                            <a:solidFill>
                              <a:srgbClr val="000000"/>
                            </a:solidFill>
                            <a:prstDash val="solid"/>
                            <a:headEnd type="none" w="med" len="med"/>
                            <a:tailEnd type="triangle" w="sm" len="med"/>
                          </a:ln>
                        </wps:spPr>
                        <wps:bodyPr upright="1"/>
                      </wps:wsp>
                      <wps:wsp>
                        <wps:cNvPr id="143" name="文本框 337"/>
                        <wps:cNvSpPr txBox="1">
                          <a:spLocks noChangeAspect="1"/>
                        </wps:cNvSpPr>
                        <wps:spPr>
                          <a:xfrm>
                            <a:off x="1734" y="6614"/>
                            <a:ext cx="682" cy="406"/>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2156AC51">
                              <w:pPr>
                                <w:pStyle w:val="138"/>
                                <w:rPr>
                                  <w:rFonts w:hint="eastAsia" w:eastAsia="仿宋_GB2312"/>
                                  <w:lang w:val="en-US" w:eastAsia="zh-CN"/>
                                </w:rPr>
                              </w:pPr>
                              <w:r>
                                <w:rPr>
                                  <w:rFonts w:hint="eastAsia"/>
                                  <w:lang w:val="en-US" w:eastAsia="zh-CN"/>
                                </w:rPr>
                                <w:t>是</w:t>
                              </w:r>
                            </w:p>
                          </w:txbxContent>
                        </wps:txbx>
                        <wps:bodyPr upright="1"/>
                      </wps:wsp>
                      <wps:wsp>
                        <wps:cNvPr id="144" name="未知"/>
                        <wps:cNvSpPr>
                          <a:spLocks noChangeAspect="1"/>
                        </wps:cNvSpPr>
                        <wps:spPr>
                          <a:xfrm>
                            <a:off x="2697" y="4214"/>
                            <a:ext cx="3" cy="557"/>
                          </a:xfrm>
                          <a:custGeom>
                            <a:avLst/>
                            <a:gdLst/>
                            <a:ahLst/>
                            <a:cxnLst/>
                            <a:pathLst>
                              <a:path w="4" h="644">
                                <a:moveTo>
                                  <a:pt x="4" y="0"/>
                                </a:moveTo>
                                <a:lnTo>
                                  <a:pt x="0" y="644"/>
                                </a:lnTo>
                              </a:path>
                            </a:pathLst>
                          </a:custGeom>
                          <a:solidFill>
                            <a:srgbClr val="FFFFFF"/>
                          </a:solidFill>
                          <a:ln w="3175" cap="flat" cmpd="sng">
                            <a:solidFill>
                              <a:srgbClr val="000000"/>
                            </a:solidFill>
                            <a:prstDash val="solid"/>
                            <a:headEnd type="none" w="med" len="med"/>
                            <a:tailEnd type="triangle" w="sm" len="med"/>
                          </a:ln>
                        </wps:spPr>
                        <wps:bodyPr upright="1"/>
                      </wps:wsp>
                      <wps:wsp>
                        <wps:cNvPr id="145" name="文本框 339"/>
                        <wps:cNvSpPr txBox="1">
                          <a:spLocks noChangeAspect="1"/>
                        </wps:cNvSpPr>
                        <wps:spPr>
                          <a:xfrm>
                            <a:off x="290" y="8985"/>
                            <a:ext cx="5946" cy="495"/>
                          </a:xfrm>
                          <a:prstGeom prst="rect">
                            <a:avLst/>
                          </a:prstGeom>
                          <a:solidFill>
                            <a:srgbClr val="FFFFFF"/>
                          </a:solidFill>
                          <a:ln w="3175">
                            <a:noFill/>
                          </a:ln>
                        </wps:spPr>
                        <wps:txbx>
                          <w:txbxContent>
                            <w:p w14:paraId="67787B28">
                              <w:pPr>
                                <w:pStyle w:val="103"/>
                              </w:pPr>
                              <w:r>
                                <w:rPr>
                                  <w:rFonts w:hint="eastAsia"/>
                                </w:rPr>
                                <w:t>事故报告及处理流程图</w:t>
                              </w:r>
                            </w:p>
                            <w:p w14:paraId="1392DD97">
                              <w:pPr>
                                <w:ind w:firstLine="31680"/>
                              </w:pPr>
                            </w:p>
                          </w:txbxContent>
                        </wps:txbx>
                        <wps:bodyPr upright="1"/>
                      </wps:wsp>
                      <wps:wsp>
                        <wps:cNvPr id="146" name="直线 340"/>
                        <wps:cNvCnPr/>
                        <wps:spPr>
                          <a:xfrm flipV="1">
                            <a:off x="632" y="5287"/>
                            <a:ext cx="0" cy="585"/>
                          </a:xfrm>
                          <a:prstGeom prst="line">
                            <a:avLst/>
                          </a:prstGeom>
                          <a:ln w="3175" cap="flat" cmpd="sng">
                            <a:solidFill>
                              <a:srgbClr val="000000"/>
                            </a:solidFill>
                            <a:prstDash val="solid"/>
                            <a:headEnd type="none" w="med" len="med"/>
                            <a:tailEnd type="triangle" w="sm" len="med"/>
                          </a:ln>
                        </wps:spPr>
                        <wps:bodyPr upright="1"/>
                      </wps:wsp>
                      <wps:wsp>
                        <wps:cNvPr id="147" name="文本框 341"/>
                        <wps:cNvSpPr txBox="1">
                          <a:spLocks noChangeAspect="1"/>
                        </wps:cNvSpPr>
                        <wps:spPr>
                          <a:xfrm>
                            <a:off x="2142" y="8330"/>
                            <a:ext cx="1194" cy="405"/>
                          </a:xfrm>
                          <a:prstGeom prst="rect">
                            <a:avLst/>
                          </a:prstGeom>
                          <a:solidFill>
                            <a:srgbClr val="FFFFFF"/>
                          </a:solidFill>
                          <a:ln w="3175" cap="flat" cmpd="sng">
                            <a:solidFill>
                              <a:srgbClr val="000000"/>
                            </a:solidFill>
                            <a:prstDash val="solid"/>
                            <a:miter/>
                            <a:headEnd type="none" w="med" len="med"/>
                            <a:tailEnd type="none" w="med" len="med"/>
                          </a:ln>
                        </wps:spPr>
                        <wps:txbx>
                          <w:txbxContent>
                            <w:p w14:paraId="100C35F6">
                              <w:pPr>
                                <w:pStyle w:val="138"/>
                              </w:pPr>
                              <w:r>
                                <w:rPr>
                                  <w:rFonts w:hint="eastAsia" w:ascii="宋体" w:eastAsia="宋体"/>
                                  <w:sz w:val="20"/>
                                  <w:szCs w:val="20"/>
                                </w:rPr>
                                <w:t>应急终止</w:t>
                              </w:r>
                            </w:p>
                            <w:p w14:paraId="773EF76F">
                              <w:pPr>
                                <w:ind w:firstLine="31680"/>
                              </w:pPr>
                            </w:p>
                          </w:txbxContent>
                        </wps:txbx>
                        <wps:bodyPr upright="1"/>
                      </wps:wsp>
                    </wpg:wgp>
                  </a:graphicData>
                </a:graphic>
              </wp:inline>
            </w:drawing>
          </mc:Choice>
          <mc:Fallback>
            <w:pict>
              <v:group id="组合 268" o:spid="_x0000_s1026" o:spt="203" style="height:480pt;width:441.5pt;" coordsize="6425,9480" o:gfxdata="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">
                <o:lock v:ext="edit" aspectratio="f"/>
                <v:line id="直线 269" o:spid="_x0000_s1026" o:spt="20" style="position:absolute;left:2672;top:597;height:700;width:0;" filled="f" stroked="t" coordsize="21600,21600" o:gfxdata="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Rtkrr4A&#10;AADbAAAADwAAAAAAAAABACAAAAAiAAAAZHJzL2Rvd25yZXYueG1sUEsBAhQAFAAAAAgAh07iQDMv&#10;BZ47AAAAOQAAABAAAAAAAAAAAQAgAAAADQEAAGRycy9zaGFwZXhtbC54bWxQSwUGAAAAAAYABgBb&#10;AQAAtwMAAAAA&#10;">
                  <v:fill on="f" focussize="0,0"/>
                  <v:stroke weight="0.25pt" color="#000000" joinstyle="round" endarrow="block" endarrowwidth="narrow"/>
                  <v:imagedata o:title=""/>
                  <o:lock v:ext="edit" aspectratio="t"/>
                </v:line>
                <v:shape id="文本框 270" o:spid="_x0000_s1026" o:spt="202" type="#_x0000_t202" style="position:absolute;left:3909;top:2081;height:405;width:682;" fillcolor="#FFFFFF" filled="t" stroked="t" coordsize="21600,21600" o:gfxdata="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5vXVugAAANs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w:txbxContent>
                      <w:p w14:paraId="71AF8EFF">
                        <w:pPr>
                          <w:pStyle w:val="138"/>
                          <w:rPr>
                            <w:rFonts w:hint="eastAsia" w:eastAsia="仿宋_GB2312"/>
                            <w:lang w:val="en-US" w:eastAsia="zh-CN"/>
                          </w:rPr>
                        </w:pPr>
                        <w:r>
                          <w:rPr>
                            <w:rFonts w:hint="eastAsia"/>
                            <w:lang w:val="en-US" w:eastAsia="zh-CN"/>
                          </w:rPr>
                          <w:t>否</w:t>
                        </w:r>
                      </w:p>
                    </w:txbxContent>
                  </v:textbox>
                </v:shape>
                <v:shape id="自选图形 271" o:spid="_x0000_s1026" o:spt="71" type="#_x0000_t71" style="position:absolute;left:1859;top:0;height:1079;width:1535;" fillcolor="#FFFFFF" filled="t" stroked="t" coordsize="21600,21600" o:gfxdata="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bRHLvQAA&#10;ANs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t"/>
                  <v:textbox inset="0mm,1.27mm,0mm,1.27mm">
                    <w:txbxContent>
                      <w:p w14:paraId="12330E40">
                        <w:pPr>
                          <w:pStyle w:val="138"/>
                        </w:pPr>
                        <w:r>
                          <w:rPr>
                            <w:rFonts w:hint="eastAsia" w:ascii="宋体" w:eastAsia="宋体"/>
                            <w:sz w:val="20"/>
                            <w:szCs w:val="20"/>
                          </w:rPr>
                          <w:t>事故发生</w:t>
                        </w:r>
                      </w:p>
                    </w:txbxContent>
                  </v:textbox>
                </v:shape>
                <v:shape id="文本框 272" o:spid="_x0000_s1026" o:spt="202" type="#_x0000_t202" style="position:absolute;left:2117;top:1282;height:408;width:1195;" fillcolor="#FFFFFF" filled="t" stroked="t" coordsize="21600,21600" o:gfxdata="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NcQ8twAAANsAAAAP&#10;AAAAAAAAAAEAIAAAACIAAABkcnMvZG93bnJldi54bWxQSwECFAAUAAAACACHTuJAMy8FnjsAAAA5&#10;AAAAEAAAAAAAAAABACAAAAAGAQAAZHJzL3NoYXBleG1sLnhtbFBLBQYAAAAABgAGAFsBAACwAwAA&#10;AAA=&#10;">
                  <v:fill on="t" focussize="0,0"/>
                  <v:stroke weight="0.25pt" color="#000000" joinstyle="miter"/>
                  <v:imagedata o:title=""/>
                  <o:lock v:ext="edit" aspectratio="t"/>
                  <v:textbox>
                    <w:txbxContent>
                      <w:p w14:paraId="5FEF1AE0">
                        <w:pPr>
                          <w:pStyle w:val="138"/>
                          <w:rPr>
                            <w:rFonts w:ascii="宋体" w:eastAsia="宋体"/>
                            <w:sz w:val="20"/>
                            <w:szCs w:val="20"/>
                          </w:rPr>
                        </w:pPr>
                        <w:r>
                          <w:rPr>
                            <w:rFonts w:hint="eastAsia" w:ascii="宋体" w:eastAsia="宋体"/>
                            <w:sz w:val="20"/>
                            <w:szCs w:val="20"/>
                          </w:rPr>
                          <w:t>事故报告</w:t>
                        </w:r>
                      </w:p>
                    </w:txbxContent>
                  </v:textbox>
                </v:shape>
                <v:shape id="自选图形 273" o:spid="_x0000_s1026" o:spt="110" type="#_x0000_t110" style="position:absolute;left:1663;top:2136;height:1100;width:2089;" fillcolor="#FFFFFF" filled="t" stroked="t" coordsize="21600,21600" o:gfxdata="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B5Gt74A&#10;AADb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t"/>
                  <v:textbox inset="2.54mm,0mm,2.54mm,0mm">
                    <w:txbxContent>
                      <w:p w14:paraId="137581CE">
                        <w:pPr>
                          <w:pStyle w:val="138"/>
                        </w:pPr>
                        <w:r>
                          <w:rPr>
                            <w:rFonts w:hint="eastAsia" w:ascii="宋体" w:eastAsia="宋体"/>
                            <w:sz w:val="20"/>
                            <w:szCs w:val="20"/>
                          </w:rPr>
                          <w:t>事故判断响应级别</w:t>
                        </w:r>
                      </w:p>
                    </w:txbxContent>
                  </v:textbox>
                </v:shape>
                <v:shape id="文本框 274" o:spid="_x0000_s1026" o:spt="202" type="#_x0000_t202" style="position:absolute;left:2103;top:3799;height:405;width:1194;" fillcolor="#FFFFFF" filled="t" stroked="t" coordsize="21600,21600" o:gfxdata="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ulrgdtwAAANsAAAAP&#10;AAAAAAAAAAEAIAAAACIAAABkcnMvZG93bnJldi54bWxQSwECFAAUAAAACACHTuJAMy8FnjsAAAA5&#10;AAAAEAAAAAAAAAABACAAAAAGAQAAZHJzL3NoYXBleG1sLnhtbFBLBQYAAAAABgAGAFsBAACwAwAA&#10;AAA=&#10;">
                  <v:fill on="t" focussize="0,0"/>
                  <v:stroke weight="0.25pt" color="#000000" joinstyle="miter"/>
                  <v:imagedata o:title=""/>
                  <o:lock v:ext="edit" aspectratio="t"/>
                  <v:textbox>
                    <w:txbxContent>
                      <w:p w14:paraId="3145FEC2">
                        <w:pPr>
                          <w:pStyle w:val="138"/>
                        </w:pPr>
                        <w:r>
                          <w:rPr>
                            <w:rFonts w:hint="eastAsia" w:ascii="宋体" w:eastAsia="宋体"/>
                            <w:sz w:val="20"/>
                            <w:szCs w:val="20"/>
                          </w:rPr>
                          <w:t>应急启动</w:t>
                        </w:r>
                      </w:p>
                    </w:txbxContent>
                  </v:textbox>
                </v:shape>
                <v:shape id="文本框 275" o:spid="_x0000_s1026" o:spt="202" type="#_x0000_t202" style="position:absolute;left:2089;top:4759;height:405;width:1194;" fillcolor="#FFFFFF" filled="t" stroked="t" coordsize="21600,21600" o:gfxdata="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2h2GugAAANs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w:txbxContent>
                      <w:p w14:paraId="164A4112">
                        <w:pPr>
                          <w:pStyle w:val="138"/>
                        </w:pPr>
                        <w:r>
                          <w:rPr>
                            <w:rFonts w:hint="eastAsia" w:ascii="宋体" w:eastAsia="宋体"/>
                            <w:sz w:val="20"/>
                            <w:szCs w:val="20"/>
                          </w:rPr>
                          <w:t>救援行动</w:t>
                        </w:r>
                      </w:p>
                    </w:txbxContent>
                  </v:textbox>
                </v:shape>
                <v:shape id="自选图形 276" o:spid="_x0000_s1026" o:spt="110" type="#_x0000_t110" style="position:absolute;left:1620;top:5657;height:945;width:2218;" fillcolor="#FFFFFF" filled="t" stroked="t" coordsize="21600,21600" o:gfxdata="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ZHW28AAAA&#10;2w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t"/>
                  <v:textbox>
                    <w:txbxContent>
                      <w:p w14:paraId="6D692D8F">
                        <w:pPr>
                          <w:pStyle w:val="138"/>
                        </w:pPr>
                        <w:r>
                          <w:rPr>
                            <w:rFonts w:hint="eastAsia" w:ascii="宋体" w:eastAsia="宋体"/>
                            <w:sz w:val="20"/>
                            <w:szCs w:val="20"/>
                          </w:rPr>
                          <w:t>事态控制</w:t>
                        </w:r>
                      </w:p>
                    </w:txbxContent>
                  </v:textbox>
                </v:shape>
                <v:shape id="文本框 277" o:spid="_x0000_s1026" o:spt="202" type="#_x0000_t202" style="position:absolute;left:2146;top:7250;height:405;width:1194;" fillcolor="#FFFFFF" filled="t" stroked="t" coordsize="21600,21600" o:gfxdata="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kQmarsAAADb&#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t"/>
                  <v:textbox>
                    <w:txbxContent>
                      <w:p w14:paraId="0A02501E">
                        <w:pPr>
                          <w:pStyle w:val="138"/>
                        </w:pPr>
                        <w:r>
                          <w:rPr>
                            <w:rFonts w:hint="eastAsia" w:ascii="宋体" w:eastAsia="宋体"/>
                            <w:sz w:val="20"/>
                            <w:szCs w:val="20"/>
                          </w:rPr>
                          <w:t>应急恢复</w:t>
                        </w:r>
                      </w:p>
                    </w:txbxContent>
                  </v:textbox>
                </v:shape>
                <v:shape id="文本框 278" o:spid="_x0000_s1026" o:spt="202" type="#_x0000_t202" style="position:absolute;left:4392;top:8270;height:405;width:1194;" fillcolor="#FFFFFF" filled="t" stroked="t" coordsize="21600,21600" o:gfxdata="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a2+HrsAAADb&#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t"/>
                  <v:textbox>
                    <w:txbxContent>
                      <w:p w14:paraId="3F31DC87">
                        <w:pPr>
                          <w:pStyle w:val="138"/>
                        </w:pPr>
                        <w:r>
                          <w:rPr>
                            <w:rFonts w:hint="eastAsia" w:ascii="宋体" w:eastAsia="宋体"/>
                            <w:sz w:val="20"/>
                            <w:szCs w:val="20"/>
                          </w:rPr>
                          <w:t>总结评估</w:t>
                        </w:r>
                      </w:p>
                    </w:txbxContent>
                  </v:textbox>
                </v:shape>
                <v:shape id="文本框 279" o:spid="_x0000_s1026" o:spt="202" type="#_x0000_t202" style="position:absolute;left:14;top:6617;height:408;width:1095;" fillcolor="#FFFFFF" filled="t" stroked="t" coordsize="21600,21600" o:gfxdata="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EbhbsAAADb&#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t"/>
                  <v:textbox>
                    <w:txbxContent>
                      <w:p w14:paraId="6E9BDE2C">
                        <w:pPr>
                          <w:pStyle w:val="138"/>
                          <w:rPr>
                            <w:sz w:val="18"/>
                            <w:szCs w:val="18"/>
                          </w:rPr>
                        </w:pPr>
                        <w:r>
                          <w:rPr>
                            <w:rFonts w:hint="eastAsia" w:ascii="宋体" w:eastAsia="宋体"/>
                            <w:sz w:val="20"/>
                            <w:szCs w:val="20"/>
                          </w:rPr>
                          <w:t>现场清理</w:t>
                        </w:r>
                      </w:p>
                    </w:txbxContent>
                  </v:textbox>
                </v:shape>
                <v:shape id="文本框 280" o:spid="_x0000_s1026" o:spt="202" type="#_x0000_t202" style="position:absolute;left:14;top:7188;height:408;width:1095;" fillcolor="#FFFFFF" filled="t" stroked="t" coordsize="21600,21600" o:gfxdata="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M4XyugAAANs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w:txbxContent>
                      <w:p w14:paraId="10922552">
                        <w:pPr>
                          <w:pStyle w:val="138"/>
                          <w:rPr>
                            <w:rFonts w:ascii="宋体" w:eastAsia="宋体"/>
                            <w:sz w:val="20"/>
                            <w:szCs w:val="20"/>
                          </w:rPr>
                        </w:pPr>
                        <w:r>
                          <w:rPr>
                            <w:rFonts w:hint="eastAsia" w:ascii="宋体" w:eastAsia="宋体"/>
                            <w:sz w:val="20"/>
                            <w:szCs w:val="20"/>
                          </w:rPr>
                          <w:t>解除警戒</w:t>
                        </w:r>
                      </w:p>
                      <w:p w14:paraId="5A289609">
                        <w:pPr>
                          <w:pStyle w:val="14"/>
                          <w:tabs>
                            <w:tab w:val="left" w:pos="360"/>
                          </w:tabs>
                          <w:ind w:left="360" w:firstLine="31680"/>
                        </w:pPr>
                        <w:r>
                          <w:rPr>
                            <w:rFonts w:hint="eastAsia"/>
                          </w:rPr>
                          <w:t>施</w:t>
                        </w:r>
                      </w:p>
                      <w:p w14:paraId="4DD6D136">
                        <w:pPr>
                          <w:pStyle w:val="14"/>
                          <w:tabs>
                            <w:tab w:val="left" w:pos="360"/>
                          </w:tabs>
                          <w:ind w:left="360" w:firstLine="31680"/>
                        </w:pPr>
                        <w:r>
                          <w:rPr>
                            <w:rFonts w:hint="eastAsia"/>
                          </w:rPr>
                          <w:t>工</w:t>
                        </w:r>
                      </w:p>
                      <w:p w14:paraId="06377D98">
                        <w:pPr>
                          <w:pStyle w:val="14"/>
                          <w:tabs>
                            <w:tab w:val="left" w:pos="360"/>
                          </w:tabs>
                          <w:spacing w:line="260" w:lineRule="exact"/>
                          <w:ind w:left="360" w:firstLine="31680"/>
                          <w:rPr>
                            <w:spacing w:val="20"/>
                          </w:rPr>
                        </w:pPr>
                      </w:p>
                      <w:p w14:paraId="006068E8">
                        <w:pPr>
                          <w:pStyle w:val="14"/>
                          <w:tabs>
                            <w:tab w:val="left" w:pos="360"/>
                          </w:tabs>
                          <w:ind w:left="360" w:firstLine="31680"/>
                        </w:pPr>
                        <w:r>
                          <w:rPr>
                            <w:rFonts w:hint="eastAsia"/>
                            <w:spacing w:val="20"/>
                          </w:rPr>
                          <w:t>明</w:t>
                        </w:r>
                      </w:p>
                      <w:p w14:paraId="5048D46E">
                        <w:pPr>
                          <w:pStyle w:val="14"/>
                          <w:tabs>
                            <w:tab w:val="left" w:pos="360"/>
                          </w:tabs>
                          <w:ind w:left="360" w:firstLine="31680"/>
                        </w:pPr>
                        <w:r>
                          <w:rPr>
                            <w:rFonts w:hint="eastAsia"/>
                          </w:rPr>
                          <w:t>明</w:t>
                        </w:r>
                      </w:p>
                      <w:p w14:paraId="3451FB87">
                        <w:pPr>
                          <w:pStyle w:val="14"/>
                          <w:tabs>
                            <w:tab w:val="left" w:pos="360"/>
                          </w:tabs>
                          <w:ind w:left="360" w:firstLine="31680"/>
                        </w:pPr>
                        <w:r>
                          <w:rPr>
                            <w:rFonts w:hint="eastAsia"/>
                          </w:rPr>
                          <w:t>施</w:t>
                        </w:r>
                      </w:p>
                      <w:p w14:paraId="0739DB3A">
                        <w:pPr>
                          <w:pStyle w:val="14"/>
                          <w:tabs>
                            <w:tab w:val="left" w:pos="360"/>
                          </w:tabs>
                          <w:ind w:left="360" w:firstLine="31680"/>
                        </w:pPr>
                        <w:r>
                          <w:rPr>
                            <w:rFonts w:hint="eastAsia"/>
                          </w:rPr>
                          <w:t>工</w:t>
                        </w:r>
                      </w:p>
                      <w:p w14:paraId="02D15037">
                        <w:pPr>
                          <w:pStyle w:val="14"/>
                          <w:tabs>
                            <w:tab w:val="left" w:pos="360"/>
                          </w:tabs>
                          <w:ind w:left="360" w:firstLine="31680"/>
                        </w:pPr>
                      </w:p>
                      <w:p w14:paraId="21C905DE">
                        <w:pPr>
                          <w:pStyle w:val="14"/>
                          <w:tabs>
                            <w:tab w:val="left" w:pos="360"/>
                          </w:tabs>
                          <w:ind w:left="360" w:firstLine="31680"/>
                        </w:pPr>
                      </w:p>
                      <w:p w14:paraId="0B3030E6">
                        <w:pPr>
                          <w:pStyle w:val="14"/>
                          <w:tabs>
                            <w:tab w:val="left" w:pos="360"/>
                          </w:tabs>
                          <w:ind w:left="360" w:firstLine="31680"/>
                        </w:pPr>
                        <w:r>
                          <w:rPr>
                            <w:rFonts w:hint="eastAsia"/>
                          </w:rPr>
                          <w:t>位</w:t>
                        </w:r>
                      </w:p>
                      <w:p w14:paraId="63602AA0">
                        <w:pPr>
                          <w:pStyle w:val="14"/>
                          <w:tabs>
                            <w:tab w:val="left" w:pos="360"/>
                          </w:tabs>
                          <w:ind w:left="360" w:firstLine="31680"/>
                        </w:pPr>
                        <w:r>
                          <w:rPr>
                            <w:rFonts w:hint="eastAsia"/>
                          </w:rPr>
                          <w:t>责</w:t>
                        </w:r>
                      </w:p>
                      <w:p w14:paraId="30274F6B">
                        <w:pPr>
                          <w:pStyle w:val="14"/>
                          <w:tabs>
                            <w:tab w:val="left" w:pos="360"/>
                          </w:tabs>
                          <w:ind w:left="360" w:firstLine="31680"/>
                          <w:rPr>
                            <w:rFonts w:ascii="楷体_GB2312" w:hAnsi="宋体" w:eastAsia="楷体_GB2312"/>
                          </w:rPr>
                        </w:pPr>
                      </w:p>
                      <w:p w14:paraId="37C722D8">
                        <w:pPr>
                          <w:pStyle w:val="14"/>
                          <w:tabs>
                            <w:tab w:val="left" w:pos="360"/>
                          </w:tabs>
                          <w:ind w:left="360" w:firstLine="31680"/>
                        </w:pPr>
                      </w:p>
                      <w:p w14:paraId="35FB36B0">
                        <w:pPr>
                          <w:pStyle w:val="14"/>
                          <w:tabs>
                            <w:tab w:val="left" w:pos="360"/>
                          </w:tabs>
                          <w:ind w:left="360" w:firstLine="31680"/>
                          <w:rPr>
                            <w:rFonts w:ascii="楷体_GB2312" w:hAnsi="宋体" w:eastAsia="楷体_GB2312"/>
                          </w:rPr>
                        </w:pPr>
                      </w:p>
                      <w:p w14:paraId="05D53C8E">
                        <w:pPr>
                          <w:pStyle w:val="14"/>
                          <w:tabs>
                            <w:tab w:val="left" w:pos="360"/>
                          </w:tabs>
                          <w:ind w:left="360" w:firstLine="31680"/>
                        </w:pPr>
                      </w:p>
                      <w:p w14:paraId="5303D4B7">
                        <w:pPr>
                          <w:pStyle w:val="14"/>
                          <w:tabs>
                            <w:tab w:val="left" w:pos="360"/>
                          </w:tabs>
                          <w:ind w:left="360" w:firstLine="31680"/>
                          <w:rPr>
                            <w:rFonts w:ascii="楷体_GB2312" w:hAnsi="宋体" w:eastAsia="楷体_GB2312"/>
                          </w:rPr>
                        </w:pPr>
                      </w:p>
                      <w:p w14:paraId="06A70348">
                        <w:pPr>
                          <w:pStyle w:val="14"/>
                          <w:tabs>
                            <w:tab w:val="left" w:pos="360"/>
                          </w:tabs>
                          <w:ind w:left="360" w:firstLine="31680"/>
                        </w:pPr>
                        <w:r>
                          <w:rPr>
                            <w:rFonts w:hint="eastAsia"/>
                          </w:rPr>
                          <w:t>奖</w:t>
                        </w:r>
                      </w:p>
                      <w:p w14:paraId="3E775C74">
                        <w:pPr>
                          <w:pStyle w:val="14"/>
                          <w:tabs>
                            <w:tab w:val="left" w:pos="360"/>
                          </w:tabs>
                          <w:ind w:left="360" w:firstLine="31680"/>
                          <w:rPr>
                            <w:rFonts w:ascii="楷体_GB2312" w:eastAsia="楷体_GB2312"/>
                          </w:rPr>
                        </w:pPr>
                        <w:r>
                          <w:rPr>
                            <w:rFonts w:hint="eastAsia"/>
                          </w:rPr>
                          <w:t>惩</w:t>
                        </w:r>
                      </w:p>
                      <w:p w14:paraId="754AA61F">
                        <w:pPr>
                          <w:pStyle w:val="138"/>
                          <w:ind w:firstLine="360"/>
                          <w:jc w:val="both"/>
                          <w:rPr>
                            <w:sz w:val="18"/>
                            <w:szCs w:val="18"/>
                          </w:rPr>
                        </w:pPr>
                        <w:r>
                          <w:rPr>
                            <w:rFonts w:hint="eastAsia"/>
                            <w:sz w:val="18"/>
                            <w:szCs w:val="18"/>
                          </w:rPr>
                          <w:t>戒</w:t>
                        </w:r>
                      </w:p>
                    </w:txbxContent>
                  </v:textbox>
                </v:shape>
                <v:shape id="文本框 281" o:spid="_x0000_s1026" o:spt="202" type="#_x0000_t202" style="position:absolute;left:14;top:7707;height:408;width:1095;" fillcolor="#FFFFFF" filled="t" stroked="t" coordsize="21600,21600" o:gfxdata="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fyBpugAAANs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w:txbxContent>
                      <w:p w14:paraId="1526F435">
                        <w:pPr>
                          <w:pStyle w:val="138"/>
                          <w:rPr>
                            <w:sz w:val="18"/>
                            <w:szCs w:val="18"/>
                          </w:rPr>
                        </w:pPr>
                        <w:r>
                          <w:rPr>
                            <w:rFonts w:hint="eastAsia" w:ascii="宋体" w:eastAsia="宋体"/>
                            <w:sz w:val="20"/>
                            <w:szCs w:val="20"/>
                          </w:rPr>
                          <w:t>善后处理</w:t>
                        </w:r>
                      </w:p>
                    </w:txbxContent>
                  </v:textbox>
                </v:shape>
                <v:shape id="文本框 282" o:spid="_x0000_s1026" o:spt="202" type="#_x0000_t202" style="position:absolute;left:0;top:8299;height:408;width:1095;" fillcolor="#FFFFFF" filled="t" stroked="t" coordsize="21600,21600" o:gfxdata="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Q4LQbtwAAANsAAAAP&#10;AAAAAAAAAAEAIAAAACIAAABkcnMvZG93bnJldi54bWxQSwECFAAUAAAACACHTuJAMy8FnjsAAAA5&#10;AAAAEAAAAAAAAAABACAAAAAGAQAAZHJzL3NoYXBleG1sLnhtbFBLBQYAAAAABgAGAFsBAACwAwAA&#10;AAA=&#10;">
                  <v:fill on="t" focussize="0,0"/>
                  <v:stroke weight="0.25pt" color="#000000" joinstyle="miter"/>
                  <v:imagedata o:title=""/>
                  <o:lock v:ext="edit" aspectratio="t"/>
                  <v:textbox>
                    <w:txbxContent>
                      <w:p w14:paraId="42A7DDF5">
                        <w:pPr>
                          <w:pStyle w:val="138"/>
                          <w:rPr>
                            <w:sz w:val="18"/>
                            <w:szCs w:val="18"/>
                          </w:rPr>
                        </w:pPr>
                        <w:r>
                          <w:rPr>
                            <w:rFonts w:hint="eastAsia" w:ascii="宋体" w:eastAsia="宋体"/>
                            <w:sz w:val="20"/>
                            <w:szCs w:val="20"/>
                          </w:rPr>
                          <w:t>事故调查</w:t>
                        </w:r>
                      </w:p>
                    </w:txbxContent>
                  </v:textbox>
                </v:shape>
                <v:line id="直线 283" o:spid="_x0000_s1026" o:spt="20" style="position:absolute;left:1308;top:6776;height:1754;width:0;" filled="f" stroked="t" coordsize="21600,21600" o:gfxdata="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ED02b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t"/>
                </v:line>
                <v:line id="直线 284" o:spid="_x0000_s1026" o:spt="20" style="position:absolute;left:1109;top:6771;flip:x;height:0;width:204;" filled="f" stroked="t" coordsize="21600,21600" o:gfxdata="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wj02ugAAANs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t"/>
                </v:line>
                <v:line id="直线 285" o:spid="_x0000_s1026" o:spt="20" style="position:absolute;left:1109;top:8540;flip:x;height:0;width:204;" filled="f" stroked="t" coordsize="21600,21600" o:gfxdata="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OmK28AAAA&#10;2w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line id="直线 286" o:spid="_x0000_s1026" o:spt="20" style="position:absolute;left:1109;top:7892;flip:x;height:0;width:204;" filled="f" stroked="t" coordsize="21600,21600" o:gfxdata="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cBtq8AAAA&#10;2w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line id="直线 287" o:spid="_x0000_s1026" o:spt="20" style="position:absolute;left:1109;top:7425;flip:x;height:0;width:204;" filled="f" stroked="t" coordsize="21600,21600" o:gfxdata="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EKNBvQAA&#10;ANs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t"/>
                </v:line>
                <v:shape id="未知" o:spid="_x0000_s1026" o:spt="100" style="position:absolute;left:1335;top:7421;height:1;width:778;" fillcolor="#FFFFFF" filled="t" stroked="t" coordsize="821,15" o:gfxdata="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yujh74A&#10;AADbAAAADwAAAAAAAAABACAAAAAiAAAAZHJzL2Rvd25yZXYueG1sUEsBAhQAFAAAAAgAh07iQDMv&#10;BZ47AAAAOQAAABAAAAAAAAAAAQAgAAAADQEAAGRycy9zaGFwZXhtbC54bWxQSwUGAAAAAAYABgBb&#10;AQAAtwMAAAAA&#10;" path="m821,15l371,0,0,2e">
                  <v:fill on="t" focussize="0,0"/>
                  <v:stroke weight="0.25pt" color="#000000" joinstyle="round"/>
                  <v:imagedata o:title=""/>
                  <o:lock v:ext="edit" aspectratio="t"/>
                </v:shape>
                <v:line id="直线 289" o:spid="_x0000_s1026" o:spt="20" style="position:absolute;left:2715;top:6599;height:674;width:0;" filled="f" stroked="t" coordsize="21600,21600" o:gfxdata="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eCVL4A&#10;AADbAAAADwAAAAAAAAABACAAAAAiAAAAZHJzL2Rvd25yZXYueG1sUEsBAhQAFAAAAAgAh07iQDMv&#10;BZ47AAAAOQAAABAAAAAAAAAAAQAgAAAADQEAAGRycy9zaGFwZXhtbC54bWxQSwUGAAAAAAYABgBb&#10;AQAAtwMAAAAA&#10;">
                  <v:fill on="f" focussize="0,0"/>
                  <v:stroke weight="0.25pt" color="#000000" joinstyle="round" endarrow="block" endarrowwidth="narrow"/>
                  <v:imagedata o:title=""/>
                  <o:lock v:ext="edit" aspectratio="t"/>
                </v:line>
                <v:line id="直线 290" o:spid="_x0000_s1026" o:spt="20" style="position:absolute;left:2729;top:7668;height:675;width:0;" filled="f" stroked="t" coordsize="21600,21600" o:gfxdata="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nFHCO/&#10;AAAA2wAAAA8AAAAAAAAAAQAgAAAAIgAAAGRycy9kb3ducmV2LnhtbFBLAQIUABQAAAAIAIdO4kAz&#10;LwWeOwAAADkAAAAQAAAAAAAAAAEAIAAAAA4BAABkcnMvc2hhcGV4bWwueG1sUEsFBgAAAAAGAAYA&#10;WwEAALgDAAAAAA==&#10;">
                  <v:fill on="f" focussize="0,0"/>
                  <v:stroke weight="0.25pt" color="#000000" joinstyle="round" endarrow="block" endarrowwidth="narrow"/>
                  <v:imagedata o:title=""/>
                  <o:lock v:ext="edit" aspectratio="t"/>
                </v:line>
                <v:line id="直线 291" o:spid="_x0000_s1026" o:spt="20" style="position:absolute;left:3354;top:8478;height:0;width:1024;" filled="f" stroked="t" coordsize="21600,21600" o:gfxdata="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0pT7b4A&#10;AADbAAAADwAAAAAAAAABACAAAAAiAAAAZHJzL2Rvd25yZXYueG1sUEsBAhQAFAAAAAgAh07iQDMv&#10;BZ47AAAAOQAAABAAAAAAAAAAAQAgAAAADQEAAGRycy9zaGFwZXhtbC54bWxQSwUGAAAAAAYABgBb&#10;AQAAtwMAAAAA&#10;">
                  <v:fill on="f" focussize="0,0"/>
                  <v:stroke weight="0.25pt" color="#000000" joinstyle="round"/>
                  <v:imagedata o:title=""/>
                  <o:lock v:ext="edit" aspectratio="t"/>
                </v:line>
                <v:line id="直线 292" o:spid="_x0000_s1026" o:spt="20" style="position:absolute;left:2715;top:5185;height:472;width:0;" filled="f" stroked="t" coordsize="21600,21600" o:gfxdata="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WLcq8AAAA&#10;2wAAAA8AAAAAAAAAAQAgAAAAIgAAAGRycy9kb3ducmV2LnhtbFBLAQIUABQAAAAIAIdO4kAzLwWe&#10;OwAAADkAAAAQAAAAAAAAAAEAIAAAAAsBAABkcnMvc2hhcGV4bWwueG1sUEsFBgAAAAAGAAYAWwEA&#10;ALUDAAAAAA==&#10;">
                  <v:fill on="f" focussize="0,0"/>
                  <v:stroke weight="0.25pt" color="#000000" joinstyle="round" endarrow="block" endarrowwidth="narrow"/>
                  <v:imagedata o:title=""/>
                  <o:lock v:ext="edit" aspectratio="t"/>
                </v:line>
                <v:shape id="未知" o:spid="_x0000_s1026" o:spt="100" style="position:absolute;left:2711;top:3227;height:587;width:1;" fillcolor="#FFFFFF" filled="t" stroked="t" coordsize="5,679" o:gfxdata="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vY+m74A&#10;AADbAAAADwAAAAAAAAABACAAAAAiAAAAZHJzL2Rvd25yZXYueG1sUEsBAhQAFAAAAAgAh07iQDMv&#10;BZ47AAAAOQAAABAAAAAAAAAAAQAgAAAADQEAAGRycy9zaGFwZXhtbC54bWxQSwUGAAAAAAYABgBb&#10;AQAAtwMAAAAA&#10;" path="m0,0l5,679e">
                  <v:fill on="t" focussize="0,0"/>
                  <v:stroke weight="0.25pt" color="#000000" joinstyle="round" endarrow="block" endarrowwidth="narrow"/>
                  <v:imagedata o:title=""/>
                  <o:lock v:ext="edit" aspectratio="t"/>
                </v:shape>
                <v:line id="直线 294" o:spid="_x0000_s1026" o:spt="20" style="position:absolute;left:2702;top:1706;height:452;width:0;" filled="f" stroked="t" coordsize="21600,21600" o:gfxdata="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Xho&#10;wAAAANwAAAAPAAAAAAAAAAEAIAAAACIAAABkcnMvZG93bnJldi54bWxQSwECFAAUAAAACACHTuJA&#10;My8FnjsAAAA5AAAAEAAAAAAAAAABACAAAAAPAQAAZHJzL3NoYXBleG1sLnhtbFBLBQYAAAAABgAG&#10;AFsBAAC5AwAAAAA=&#10;">
                  <v:fill on="f" focussize="0,0"/>
                  <v:stroke weight="0.25pt" color="#000000" joinstyle="round" endarrow="block" endarrowwidth="narrow"/>
                  <v:imagedata o:title=""/>
                  <o:lock v:ext="edit" aspectratio="t"/>
                </v:line>
                <v:shape id="文本框 295" o:spid="_x0000_s1026" o:spt="202" type="#_x0000_t202" style="position:absolute;left:28;top:2714;height:408;width:1435;" fillcolor="#FFFFFF" filled="t" stroked="t" coordsize="21600,21600" o:gfxdata="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W8v3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inset="0mm,1.27mm,0mm,1.27mm">
                    <w:txbxContent>
                      <w:p w14:paraId="484F0BE2">
                        <w:pPr>
                          <w:pStyle w:val="138"/>
                          <w:spacing w:line="240" w:lineRule="auto"/>
                        </w:pPr>
                        <w:r>
                          <w:rPr>
                            <w:rFonts w:hint="eastAsia" w:ascii="宋体" w:eastAsia="宋体"/>
                            <w:sz w:val="20"/>
                            <w:szCs w:val="20"/>
                          </w:rPr>
                          <w:t>指挥人员到位</w:t>
                        </w:r>
                      </w:p>
                    </w:txbxContent>
                  </v:textbox>
                </v:shape>
                <v:shape id="文本框 296" o:spid="_x0000_s1026" o:spt="202" type="#_x0000_t202" style="position:absolute;left:28;top:3257;height:407;width:1450;" fillcolor="#FFFFFF" filled="t" stroked="t" coordsize="21600,21600" o:gfxdata="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iVWA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inset="0mm,1.27mm,0mm,1.27mm">
                    <w:txbxContent>
                      <w:p w14:paraId="1FBDBB60">
                        <w:pPr>
                          <w:pStyle w:val="138"/>
                        </w:pPr>
                        <w:r>
                          <w:rPr>
                            <w:rFonts w:hint="eastAsia" w:ascii="宋体" w:eastAsia="宋体"/>
                            <w:sz w:val="20"/>
                            <w:szCs w:val="20"/>
                          </w:rPr>
                          <w:t>信息网络开通</w:t>
                        </w:r>
                      </w:p>
                    </w:txbxContent>
                  </v:textbox>
                </v:shape>
                <v:shape id="文本框 297" o:spid="_x0000_s1026" o:spt="202" type="#_x0000_t202" style="position:absolute;left:13;top:3802;height:407;width:1450;" fillcolor="#FFFFFF" filled="t" stroked="t" coordsize="21600,21600" o:gfxdata="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7F8Bu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inset="0mm,1.27mm,0mm,1.27mm">
                    <w:txbxContent>
                      <w:p w14:paraId="4ED5C5A9">
                        <w:pPr>
                          <w:pStyle w:val="138"/>
                        </w:pPr>
                        <w:r>
                          <w:rPr>
                            <w:rFonts w:hint="eastAsia" w:ascii="宋体" w:eastAsia="宋体"/>
                            <w:sz w:val="20"/>
                            <w:szCs w:val="20"/>
                          </w:rPr>
                          <w:t>应急资源调配</w:t>
                        </w:r>
                      </w:p>
                    </w:txbxContent>
                  </v:textbox>
                </v:shape>
                <v:shape id="文本框 298" o:spid="_x0000_s1026" o:spt="202" type="#_x0000_t202" style="position:absolute;left:28;top:4338;height:408;width:1450;" fillcolor="#FFFFFF" filled="t" stroked="t" coordsize="21600,21600" o:gfxdata="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saG+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t"/>
                  <v:textbox inset="0mm,1.27mm,0mm,1.27mm">
                    <w:txbxContent>
                      <w:p w14:paraId="40732CE8">
                        <w:pPr>
                          <w:pStyle w:val="138"/>
                        </w:pPr>
                        <w:r>
                          <w:rPr>
                            <w:rFonts w:hint="eastAsia" w:ascii="宋体" w:eastAsia="宋体"/>
                            <w:sz w:val="20"/>
                            <w:szCs w:val="20"/>
                          </w:rPr>
                          <w:t>现场指挥到位</w:t>
                        </w:r>
                      </w:p>
                    </w:txbxContent>
                  </v:textbox>
                </v:shape>
                <v:line id="直线 299" o:spid="_x0000_s1026" o:spt="20" style="position:absolute;left:1677;top:2854;height:1754;width:0;" filled="f" stroked="t" coordsize="21600,21600" o:gfxdata="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6Zjv+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shape id="未知" o:spid="_x0000_s1026" o:spt="100" style="position:absolute;left:1474;top:2854;height:1;width:203;" fillcolor="#FFFFFF" filled="t" stroked="t" coordsize="214,11" o:gfxdata="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nbyLLsAAADc&#10;AAAADwAAAAAAAAABACAAAAAiAAAAZHJzL2Rvd25yZXYueG1sUEsBAhQAFAAAAAgAh07iQDMvBZ47&#10;AAAAOQAAABAAAAAAAAAAAQAgAAAACgEAAGRycy9zaGFwZXhtbC54bWxQSwUGAAAAAAYABgBbAQAA&#10;tAMAAAAA&#10;" path="m214,0l0,11e">
                  <v:fill on="t" focussize="0,0"/>
                  <v:stroke weight="0.25pt" color="#000000" joinstyle="round"/>
                  <v:imagedata o:title=""/>
                  <o:lock v:ext="edit" aspectratio="t"/>
                </v:shape>
                <v:line id="直线 301" o:spid="_x0000_s1026" o:spt="20" style="position:absolute;left:1478;top:4608;flip:x;height:0;width:203;" filled="f" stroked="t" coordsize="21600,21600" o:gfxdata="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7N0b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t"/>
                </v:line>
                <v:line id="直线 302" o:spid="_x0000_s1026" o:spt="20" style="position:absolute;left:1463;top:4040;flip:x;height:0;width:204;" filled="f" stroked="t" coordsize="21600,21600" o:gfxdata="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RWaO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line id="直线 303" o:spid="_x0000_s1026" o:spt="20" style="position:absolute;left:1478;top:3451;flip:x;height:0;width:203;" filled="f" stroked="t" coordsize="21600,21600" o:gfxdata="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d38OL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t"/>
                </v:line>
                <v:shape id="文本框 304" o:spid="_x0000_s1026" o:spt="202" type="#_x0000_t202" style="position:absolute;left:45;top:4871;height:407;width:1451;" fillcolor="#FFFFFF" filled="t" stroked="t" coordsize="21600,21600" o:gfxdata="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8LMC2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t"/>
                  <v:textbox>
                    <w:txbxContent>
                      <w:p w14:paraId="00C02392">
                        <w:pPr>
                          <w:pStyle w:val="138"/>
                        </w:pPr>
                        <w:r>
                          <w:rPr>
                            <w:rFonts w:hint="eastAsia" w:ascii="宋体" w:eastAsia="宋体"/>
                            <w:sz w:val="20"/>
                            <w:szCs w:val="20"/>
                          </w:rPr>
                          <w:t>应急增援</w:t>
                        </w:r>
                      </w:p>
                    </w:txbxContent>
                  </v:textbox>
                </v:shape>
                <v:shape id="未知" o:spid="_x0000_s1026" o:spt="100" style="position:absolute;left:1488;top:5018;height:1;width:597;" fillcolor="#FFFFFF" filled="t" stroked="t" coordsize="630,15" o:gfxdata="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UnSSbgAAADcAAAA&#10;DwAAAAAAAAABACAAAAAiAAAAZHJzL2Rvd25yZXYueG1sUEsBAhQAFAAAAAgAh07iQDMvBZ47AAAA&#10;OQAAABAAAAAAAAAAAQAgAAAABwEAAGRycy9zaGFwZXhtbC54bWxQSwUGAAAAAAYABgBbAQAAsQMA&#10;AAAA&#10;" path="m0,15l630,0e">
                  <v:fill on="t" focussize="0,0"/>
                  <v:stroke weight="0.25pt" color="#000000" joinstyle="round"/>
                  <v:imagedata o:title=""/>
                  <o:lock v:ext="edit" aspectratio="t"/>
                </v:shape>
                <v:line id="直线 306" o:spid="_x0000_s1026" o:spt="20" style="position:absolute;left:1691;top:3970;height:0;width:398;" filled="f" stroked="t" coordsize="21600,21600" o:gfxdata="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pgFa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shape id="文本框 307" o:spid="_x0000_s1026" o:spt="202" type="#_x0000_t202" style="position:absolute;left:4747;top:3155;height:423;width:1295;" fillcolor="#FFFFFF" filled="t" stroked="t" coordsize="21600,21600" o:gfxdata="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Zrlq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6DDD8EFE">
                        <w:pPr>
                          <w:pStyle w:val="138"/>
                        </w:pPr>
                        <w:r>
                          <w:rPr>
                            <w:rFonts w:hint="eastAsia" w:ascii="宋体" w:eastAsia="宋体"/>
                            <w:sz w:val="20"/>
                            <w:szCs w:val="20"/>
                          </w:rPr>
                          <w:t>人员救助</w:t>
                        </w:r>
                      </w:p>
                    </w:txbxContent>
                  </v:textbox>
                </v:shape>
                <v:shape id="文本框 308" o:spid="_x0000_s1026" o:spt="202" type="#_x0000_t202" style="position:absolute;left:4762;top:3700;height:420;width:1274;" fillcolor="#FFFFFF" filled="t" stroked="t" coordsize="21600,21600" o:gfxdata="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AwNi6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44DEAE77">
                        <w:pPr>
                          <w:pStyle w:val="138"/>
                        </w:pPr>
                        <w:r>
                          <w:rPr>
                            <w:rFonts w:hint="eastAsia" w:ascii="宋体" w:eastAsia="宋体"/>
                            <w:sz w:val="20"/>
                            <w:szCs w:val="20"/>
                          </w:rPr>
                          <w:t>工程抢险</w:t>
                        </w:r>
                      </w:p>
                    </w:txbxContent>
                  </v:textbox>
                </v:shape>
                <v:shape id="文本框 309" o:spid="_x0000_s1026" o:spt="202" type="#_x0000_t202" style="position:absolute;left:4762;top:4240;height:391;width:1254;" fillcolor="#FFFFFF" filled="t" stroked="t" coordsize="21600,21600" o:gfxdata="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98k7W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54E94899">
                        <w:pPr>
                          <w:pStyle w:val="138"/>
                        </w:pPr>
                        <w:r>
                          <w:rPr>
                            <w:rFonts w:hint="eastAsia" w:ascii="宋体" w:eastAsia="宋体"/>
                            <w:sz w:val="20"/>
                            <w:szCs w:val="20"/>
                          </w:rPr>
                          <w:t>现场警戒</w:t>
                        </w:r>
                      </w:p>
                    </w:txbxContent>
                  </v:textbox>
                </v:shape>
                <v:shape id="文本框 310" o:spid="_x0000_s1026" o:spt="202" type="#_x0000_t202" style="position:absolute;left:4762;top:4779;height:428;width:1274;" fillcolor="#FFFFFF" filled="t" stroked="t" coordsize="21600,21600" o:gfxdata="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uDcK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5A4337DF">
                        <w:pPr>
                          <w:pStyle w:val="138"/>
                        </w:pPr>
                        <w:r>
                          <w:rPr>
                            <w:rFonts w:hint="eastAsia" w:ascii="宋体" w:eastAsia="宋体"/>
                            <w:sz w:val="20"/>
                            <w:szCs w:val="20"/>
                          </w:rPr>
                          <w:t>医疗救护</w:t>
                        </w:r>
                      </w:p>
                    </w:txbxContent>
                  </v:textbox>
                </v:shape>
                <v:line id="直线 311" o:spid="_x0000_s1026" o:spt="20" style="position:absolute;left:4548;top:3296;height:4048;width:0;" filled="f" stroked="t" coordsize="21600,21600" o:gfxdata="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eI86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shape id="文本框 312" o:spid="_x0000_s1026" o:spt="202" type="#_x0000_t202" style="position:absolute;left:4747;top:5449;height:408;width:1295;" fillcolor="#FFFFFF" filled="t" stroked="t" coordsize="21600,21600" o:gfxdata="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9PCu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t"/>
                  <v:textbox>
                    <w:txbxContent>
                      <w:p w14:paraId="06AA04AE">
                        <w:pPr>
                          <w:pStyle w:val="138"/>
                        </w:pPr>
                        <w:r>
                          <w:rPr>
                            <w:rFonts w:hint="eastAsia" w:ascii="宋体" w:eastAsia="宋体"/>
                            <w:sz w:val="20"/>
                            <w:szCs w:val="20"/>
                          </w:rPr>
                          <w:t>人群疏散</w:t>
                        </w:r>
                      </w:p>
                    </w:txbxContent>
                  </v:textbox>
                </v:shape>
                <v:shape id="文本框 313" o:spid="_x0000_s1026" o:spt="202" type="#_x0000_t202" style="position:absolute;left:4762;top:5994;height:371;width:1254;" fillcolor="#FFFFFF" filled="t" stroked="t" coordsize="21600,21600" o:gfxdata="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4xmbC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243071E0">
                        <w:pPr>
                          <w:pStyle w:val="138"/>
                        </w:pPr>
                        <w:r>
                          <w:rPr>
                            <w:rFonts w:hint="eastAsia" w:ascii="宋体" w:eastAsia="宋体"/>
                            <w:sz w:val="20"/>
                            <w:szCs w:val="20"/>
                          </w:rPr>
                          <w:t>环境保护</w:t>
                        </w:r>
                      </w:p>
                    </w:txbxContent>
                  </v:textbox>
                </v:shape>
                <v:shape id="文本框 314" o:spid="_x0000_s1026" o:spt="202" type="#_x0000_t202" style="position:absolute;left:4762;top:6534;height:394;width:1274;" fillcolor="#FFFFFF" filled="t" stroked="t" coordsize="21600,21600" o:gfxdata="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n+pC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t"/>
                  <v:textbox>
                    <w:txbxContent>
                      <w:p w14:paraId="6053C65B">
                        <w:pPr>
                          <w:pStyle w:val="138"/>
                        </w:pPr>
                        <w:r>
                          <w:rPr>
                            <w:rFonts w:hint="eastAsia" w:ascii="宋体" w:eastAsia="宋体"/>
                            <w:sz w:val="20"/>
                            <w:szCs w:val="20"/>
                          </w:rPr>
                          <w:t>现场监测</w:t>
                        </w:r>
                      </w:p>
                    </w:txbxContent>
                  </v:textbox>
                </v:shape>
                <v:shape id="文本框 315" o:spid="_x0000_s1026" o:spt="202" type="#_x0000_t202" style="position:absolute;left:4762;top:7073;height:446;width:1294;" fillcolor="#FFFFFF" filled="t" stroked="t" coordsize="21600,21600" o:gfxdata="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4rXwu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78DD6B9E">
                        <w:pPr>
                          <w:pStyle w:val="138"/>
                        </w:pPr>
                        <w:r>
                          <w:rPr>
                            <w:rFonts w:hint="eastAsia" w:ascii="宋体" w:eastAsia="宋体"/>
                            <w:sz w:val="20"/>
                            <w:szCs w:val="20"/>
                          </w:rPr>
                          <w:t>专家支持</w:t>
                        </w:r>
                      </w:p>
                    </w:txbxContent>
                  </v:textbox>
                </v:shape>
                <v:line id="直线 316" o:spid="_x0000_s1026" o:spt="20" style="position:absolute;left:4561;top:3298;flip:x;height:0;width:188;" filled="f" stroked="t" coordsize="21600,21600" o:gfxdata="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MwyKb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t"/>
                </v:line>
                <v:line id="直线 317" o:spid="_x0000_s1026" o:spt="20" style="position:absolute;left:4563;top:5039;flip:x;height:0;width:203;" filled="f" stroked="t" coordsize="21600,21600" o:gfxdata="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gJeyugAAANw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t"/>
                </v:line>
                <v:line id="直线 318" o:spid="_x0000_s1026" o:spt="20" style="position:absolute;left:4548;top:4523;flip:x;height:0;width:204;" filled="f" stroked="t" coordsize="21600,21600" o:gfxdata="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GkPxr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t"/>
                </v:line>
                <v:line id="直线 319" o:spid="_x0000_s1026" o:spt="20" style="position:absolute;left:4548;top:3973;flip:x;height:0;width:204;" filled="f" stroked="t" coordsize="21600,21600" o:gfxdata="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Mlql25AAAA3AAA&#10;AA8AAAAAAAAAAQAgAAAAIgAAAGRycy9kb3ducmV2LnhtbFBLAQIUABQAAAAIAIdO4kAzLwWeOwAA&#10;ADkAAAAQAAAAAAAAAAEAIAAAAAgBAABkcnMvc2hhcGV4bWwueG1sUEsFBgAAAAAGAAYAWwEAALID&#10;AAAAAA==&#10;">
                  <v:fill on="f" focussize="0,0"/>
                  <v:stroke weight="0.25pt" color="#000000" joinstyle="round"/>
                  <v:imagedata o:title=""/>
                  <o:lock v:ext="edit" aspectratio="t"/>
                </v:line>
                <v:line id="直线 320" o:spid="_x0000_s1026" o:spt="20" style="position:absolute;left:4548;top:5605;flip:x;height:0;width:204;" filled="f" stroked="t" coordsize="21600,21600" o:gfxdata="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9zQqugAAANw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t"/>
                </v:line>
                <v:line id="直线 321" o:spid="_x0000_s1026" o:spt="20" style="position:absolute;left:4563;top:7346;flip:x;height:0;width:203;" filled="f" stroked="t" coordsize="21600,21600" o:gfxdata="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u5GxugAAANw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t"/>
                </v:line>
                <v:line id="直线 322" o:spid="_x0000_s1026" o:spt="20" style="position:absolute;left:4548;top:6817;flip:x;height:0;width:204;" filled="f" stroked="t" coordsize="21600,21600" o:gfxdata="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JAXD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t"/>
                </v:line>
                <v:line id="直线 323" o:spid="_x0000_s1026" o:spt="20" style="position:absolute;left:4548;top:6280;flip:x;height:0;width:204;" filled="f" stroked="t" coordsize="21600,21600" o:gfxdata="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aKBYugAAANwA&#10;AAAPAAAAAAAAAAEAIAAAACIAAABkcnMvZG93bnJldi54bWxQSwECFAAUAAAACACHTuJAMy8FnjsA&#10;AAA5AAAAEAAAAAAAAAABACAAAAAJAQAAZHJzL3NoYXBleG1sLnhtbFBLBQYAAAAABgAGAFsBAACz&#10;AwAAAAA=&#10;">
                  <v:fill on="f" focussize="0,0"/>
                  <v:stroke weight="0.25pt" color="#000000" joinstyle="round"/>
                  <v:imagedata o:title=""/>
                  <o:lock v:ext="edit" aspectratio="t"/>
                </v:line>
                <v:line id="直线 324" o:spid="_x0000_s1026" o:spt="20" style="position:absolute;left:3312;top:5034;height:0;width:1194;" filled="f" stroked="t" coordsize="21600,21600" o:gfxdata="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CC59q/&#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t"/>
                </v:line>
                <v:shape id="文本框 325" o:spid="_x0000_s1026" o:spt="202" type="#_x0000_t202" style="position:absolute;left:4719;top:1946;height:408;width:1194;" fillcolor="#FFFFFF" filled="t" stroked="t" coordsize="21600,21600" o:gfxdata="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vyyda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2F9765A9">
                        <w:pPr>
                          <w:pStyle w:val="138"/>
                        </w:pPr>
                        <w:r>
                          <w:rPr>
                            <w:rFonts w:hint="eastAsia" w:ascii="宋体" w:eastAsia="宋体"/>
                            <w:sz w:val="20"/>
                            <w:szCs w:val="20"/>
                          </w:rPr>
                          <w:t>信息反馈</w:t>
                        </w:r>
                      </w:p>
                    </w:txbxContent>
                  </v:textbox>
                </v:shape>
                <v:line id="直线 326" o:spid="_x0000_s1026" o:spt="20" style="position:absolute;left:3752;top:2686;height:0;width:1536;" filled="f" stroked="t" coordsize="21600,21600" o:gfxdata="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c3Da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t"/>
                </v:line>
                <v:shape id="未知" o:spid="_x0000_s1026" o:spt="100" style="position:absolute;left:5284;top:2345;height:341;width:4;" fillcolor="#FFFFFF" filled="t" stroked="t" coordsize="4,394" o:gfxdata="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9wRlugAAANwA&#10;AAAPAAAAAAAAAAEAIAAAACIAAABkcnMvZG93bnJldi54bWxQSwECFAAUAAAACACHTuJAMy8FnjsA&#10;AAA5AAAAEAAAAAAAAAABACAAAAAJAQAAZHJzL3NoYXBleG1sLnhtbFBLBQYAAAAABgAGAFsBAACz&#10;AwAAAAA=&#10;" path="m4,394l0,0e">
                  <v:fill on="t" focussize="0,0"/>
                  <v:stroke weight="0.25pt" color="#000000" joinstyle="round"/>
                  <v:imagedata o:title=""/>
                  <o:lock v:ext="edit" aspectratio="t"/>
                </v:shape>
                <v:shape id="文本框 328" o:spid="_x0000_s1026" o:spt="202" type="#_x0000_t202" style="position:absolute;left:5401;top:2486;height:405;width:1024;" fillcolor="#FFFFFF" filled="t" stroked="f" coordsize="21600,21600" o:gfxdata="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gGJGS8AAAA&#10;3AAAAA8AAAAAAAAAAQAgAAAAIgAAAGRycy9kb3ducmV2LnhtbFBLAQIUABQAAAAIAIdO4kAzLwWe&#10;OwAAADkAAAAQAAAAAAAAAAEAIAAAAAsBAABkcnMvc2hhcGV4bWwueG1sUEsFBgAAAAAGAAYAWwEA&#10;ALUDAAAAAA==&#10;">
                  <v:fill on="t" focussize="0,0"/>
                  <v:stroke on="f" weight="0.25pt"/>
                  <v:imagedata o:title=""/>
                  <o:lock v:ext="edit" aspectratio="t"/>
                  <v:textbox>
                    <w:txbxContent>
                      <w:p w14:paraId="1108EF89">
                        <w:pPr>
                          <w:pStyle w:val="19"/>
                        </w:pPr>
                      </w:p>
                    </w:txbxContent>
                  </v:textbox>
                </v:shape>
                <v:line id="直线 329" o:spid="_x0000_s1026" o:spt="20" style="position:absolute;left:5217;top:1542;flip:y;height:404;width:0;" filled="f" stroked="t" coordsize="21600,21600" o:gfxdata="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b8PIC5AAAA3AAA&#10;AA8AAAAAAAAAAQAgAAAAIgAAAGRycy9kb3ducmV2LnhtbFBLAQIUABQAAAAIAIdO4kAzLwWeOwAA&#10;ADkAAAAQAAAAAAAAAAEAIAAAAAgBAABkcnMvc2hhcGV4bWwueG1sUEsFBgAAAAAGAAYAWwEAALID&#10;AAAAAA==&#10;">
                  <v:fill on="f" focussize="0,0"/>
                  <v:stroke weight="0.25pt" color="#000000" joinstyle="round"/>
                  <v:imagedata o:title=""/>
                  <o:lock v:ext="edit" aspectratio="t"/>
                </v:line>
                <v:shape id="未知" o:spid="_x0000_s1026" o:spt="100" style="position:absolute;left:3294;top:1527;height:1;width:1923;" fillcolor="#FFFFFF" filled="t" stroked="t" coordsize="2029,16" o:gfxdata="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1CMS8AAAA&#10;3AAAAA8AAAAAAAAAAQAgAAAAIgAAAGRycy9kb3ducmV2LnhtbFBLAQIUABQAAAAIAIdO4kAzLwWe&#10;OwAAADkAAAAQAAAAAAAAAAEAIAAAAAsBAABkcnMvc2hhcGV4bWwueG1sUEsFBgAAAAAGAAYAWwEA&#10;ALUDAAAAAA==&#10;" path="m2029,16l0,0e">
                  <v:fill on="t" focussize="0,0"/>
                  <v:stroke weight="0.25pt" color="#000000" joinstyle="round" endarrow="block" endarrowwidth="narrow"/>
                  <v:imagedata o:title=""/>
                  <o:lock v:ext="edit" aspectratio="t"/>
                </v:shape>
                <v:shape id="文本框 331" o:spid="_x0000_s1026" o:spt="202" type="#_x0000_t202" style="position:absolute;left:2032;top:4240;height:405;width:683;" fillcolor="#FFFFFF" filled="t" stroked="f" coordsize="21600,21600" o:gfxdata="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UuhO8AAAA&#10;3AAAAA8AAAAAAAAAAQAgAAAAIgAAAGRycy9kb3ducmV2LnhtbFBLAQIUABQAAAAIAIdO4kAzLwWe&#10;OwAAADkAAAAQAAAAAAAAAAEAIAAAAAsBAABkcnMvc2hhcGV4bWwueG1sUEsFBgAAAAAGAAYAWwEA&#10;ALUDAAAAAA==&#10;">
                  <v:fill on="t" focussize="0,0"/>
                  <v:stroke on="f" weight="0.25pt"/>
                  <v:imagedata o:title=""/>
                  <o:lock v:ext="edit" aspectratio="t"/>
                  <v:textbox>
                    <w:txbxContent>
                      <w:p w14:paraId="13D710CD">
                        <w:pPr>
                          <w:ind w:firstLine="31680"/>
                        </w:pPr>
                      </w:p>
                    </w:txbxContent>
                  </v:textbox>
                </v:shape>
                <v:shape id="文本框 332" o:spid="_x0000_s1026" o:spt="202" type="#_x0000_t202" style="position:absolute;left:1975;top:4279;height:405;width:469;" fillcolor="#FFFFFF" filled="t" stroked="f" coordsize="21600,21600" o:gfxdata="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suYb4A&#10;AADcAAAADwAAAAAAAAABACAAAAAiAAAAZHJzL2Rvd25yZXYueG1sUEsBAhQAFAAAAAgAh07iQDMv&#10;BZ47AAAAOQAAABAAAAAAAAAAAQAgAAAADQEAAGRycy9zaGFwZXhtbC54bWxQSwUGAAAAAAYABgBb&#10;AQAAtwMAAAAA&#10;">
                  <v:fill on="t" focussize="0,0"/>
                  <v:stroke on="f" weight="0.25pt"/>
                  <v:imagedata o:title=""/>
                  <o:lock v:ext="edit" aspectratio="t"/>
                  <v:textbox>
                    <w:txbxContent>
                      <w:p w14:paraId="1F52B87C">
                        <w:pPr>
                          <w:pStyle w:val="138"/>
                          <w:ind w:firstLine="480"/>
                          <w:jc w:val="both"/>
                        </w:pPr>
                        <w:r>
                          <w:t>Y</w:t>
                        </w:r>
                      </w:p>
                    </w:txbxContent>
                  </v:textbox>
                </v:shape>
                <v:shape id="文本框 333" o:spid="_x0000_s1026" o:spt="202" type="#_x0000_t202" style="position:absolute;left:1862;top:3296;height:404;width:682;" fillcolor="#FFFFFF" filled="t" stroked="t" coordsize="21600,21600" o:gfxdata="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1hMXQ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w:txbxContent>
                      <w:p w14:paraId="326629A3">
                        <w:pPr>
                          <w:pStyle w:val="138"/>
                          <w:rPr>
                            <w:rStyle w:val="101"/>
                            <w:rFonts w:hint="eastAsia" w:eastAsia="仿宋_GB2312"/>
                            <w:lang w:val="en-US" w:eastAsia="zh-CN"/>
                          </w:rPr>
                        </w:pPr>
                        <w:r>
                          <w:rPr>
                            <w:rFonts w:hint="eastAsia"/>
                            <w:lang w:val="en-US" w:eastAsia="zh-CN"/>
                          </w:rPr>
                          <w:t>是</w:t>
                        </w:r>
                      </w:p>
                    </w:txbxContent>
                  </v:textbox>
                </v:shape>
                <v:shape id="文本框 334" o:spid="_x0000_s1026" o:spt="202" type="#_x0000_t202" style="position:absolute;left:1193;top:5680;height:314;width:498;" fillcolor="#FFFFFF" filled="t" stroked="t" coordsize="21600,21600" o:gfxdata="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i6KF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t"/>
                  <v:textbox inset="2.54mm,0mm,2.54mm,0mm">
                    <w:txbxContent>
                      <w:p w14:paraId="3885E7D8">
                        <w:pPr>
                          <w:pStyle w:val="19"/>
                          <w:rPr>
                            <w:rFonts w:hint="eastAsia" w:eastAsia="宋体"/>
                            <w:lang w:val="en-US" w:eastAsia="zh-CN"/>
                          </w:rPr>
                        </w:pPr>
                        <w:r>
                          <w:rPr>
                            <w:rFonts w:hint="eastAsia"/>
                            <w:lang w:val="en-US" w:eastAsia="zh-CN"/>
                          </w:rPr>
                          <w:t>否</w:t>
                        </w:r>
                      </w:p>
                    </w:txbxContent>
                  </v:textbox>
                </v:shape>
                <v:shape id="文本框 335" o:spid="_x0000_s1026" o:spt="202" type="#_x0000_t202" style="position:absolute;left:28;top:5880;height:378;width:1194;" fillcolor="#FFFFFF" filled="t" stroked="t" coordsize="21600,21600" o:gfxdata="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P0uqu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250793BF">
                        <w:pPr>
                          <w:pStyle w:val="138"/>
                        </w:pPr>
                        <w:r>
                          <w:rPr>
                            <w:rFonts w:hint="eastAsia" w:ascii="宋体" w:eastAsia="宋体"/>
                            <w:sz w:val="20"/>
                            <w:szCs w:val="20"/>
                          </w:rPr>
                          <w:t>响应升级</w:t>
                        </w:r>
                      </w:p>
                    </w:txbxContent>
                  </v:textbox>
                </v:shape>
                <v:shape id="未知" o:spid="_x0000_s1026" o:spt="100" style="position:absolute;left:1246;top:6120;height:1;width:374;" fillcolor="#FFFFFF" filled="t" stroked="t" coordsize="394,16" o:gfxdata="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M59i8AAAA&#10;3AAAAA8AAAAAAAAAAQAgAAAAIgAAAGRycy9kb3ducmV2LnhtbFBLAQIUABQAAAAIAIdO4kAzLwWe&#10;OwAAADkAAAAQAAAAAAAAAAEAIAAAAAsBAABkcnMvc2hhcGV4bWwueG1sUEsFBgAAAAAGAAYAWwEA&#10;ALUDAAAAAA==&#10;" path="m394,16l0,0e">
                  <v:fill on="t" focussize="0,0"/>
                  <v:stroke weight="0.25pt" color="#000000" joinstyle="round" endarrow="block" endarrowwidth="narrow"/>
                  <v:imagedata o:title=""/>
                  <o:lock v:ext="edit" aspectratio="t"/>
                </v:shape>
                <v:shape id="文本框 337" o:spid="_x0000_s1026" o:spt="202" type="#_x0000_t202" style="position:absolute;left:1734;top:6614;height:406;width:682;" fillcolor="#FFFFFF" filled="t" stroked="t" coordsize="21600,21600" o:gfxdata="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aoFH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t"/>
                  <v:textbox>
                    <w:txbxContent>
                      <w:p w14:paraId="2156AC51">
                        <w:pPr>
                          <w:pStyle w:val="138"/>
                          <w:rPr>
                            <w:rFonts w:hint="eastAsia" w:eastAsia="仿宋_GB2312"/>
                            <w:lang w:val="en-US" w:eastAsia="zh-CN"/>
                          </w:rPr>
                        </w:pPr>
                        <w:r>
                          <w:rPr>
                            <w:rFonts w:hint="eastAsia"/>
                            <w:lang w:val="en-US" w:eastAsia="zh-CN"/>
                          </w:rPr>
                          <w:t>是</w:t>
                        </w:r>
                      </w:p>
                    </w:txbxContent>
                  </v:textbox>
                </v:shape>
                <v:shape id="未知" o:spid="_x0000_s1026" o:spt="100" style="position:absolute;left:2697;top:4214;height:557;width:3;" fillcolor="#FFFFFF" filled="t" stroked="t" coordsize="4,644" o:gfxdata="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Vq71ugAAANwA&#10;AAAPAAAAAAAAAAEAIAAAACIAAABkcnMvZG93bnJldi54bWxQSwECFAAUAAAACACHTuJAMy8FnjsA&#10;AAA5AAAAEAAAAAAAAAABACAAAAAJAQAAZHJzL3NoYXBleG1sLnhtbFBLBQYAAAAABgAGAFsBAACz&#10;AwAAAAA=&#10;" path="m4,0l0,644e">
                  <v:fill on="t" focussize="0,0"/>
                  <v:stroke weight="0.25pt" color="#000000" joinstyle="round" endarrow="block" endarrowwidth="narrow"/>
                  <v:imagedata o:title=""/>
                  <o:lock v:ext="edit" aspectratio="t"/>
                </v:shape>
                <v:shape id="文本框 339" o:spid="_x0000_s1026" o:spt="202" type="#_x0000_t202" style="position:absolute;left:290;top:8985;height:495;width:5946;" fillcolor="#FFFFFF" filled="t" stroked="f" coordsize="21600,21600" o:gfxdata="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9M8oK8AAAA&#10;3AAAAA8AAAAAAAAAAQAgAAAAIgAAAGRycy9kb3ducmV2LnhtbFBLAQIUABQAAAAIAIdO4kAzLwWe&#10;OwAAADkAAAAQAAAAAAAAAAEAIAAAAAsBAABkcnMvc2hhcGV4bWwueG1sUEsFBgAAAAAGAAYAWwEA&#10;ALUDAAAAAA==&#10;">
                  <v:fill on="t" focussize="0,0"/>
                  <v:stroke on="f" weight="0.25pt"/>
                  <v:imagedata o:title=""/>
                  <o:lock v:ext="edit" aspectratio="t"/>
                  <v:textbox>
                    <w:txbxContent>
                      <w:p w14:paraId="67787B28">
                        <w:pPr>
                          <w:pStyle w:val="103"/>
                        </w:pPr>
                        <w:r>
                          <w:rPr>
                            <w:rFonts w:hint="eastAsia"/>
                          </w:rPr>
                          <w:t>事故报告及处理流程图</w:t>
                        </w:r>
                      </w:p>
                      <w:p w14:paraId="1392DD97">
                        <w:pPr>
                          <w:ind w:firstLine="31680"/>
                        </w:pPr>
                      </w:p>
                    </w:txbxContent>
                  </v:textbox>
                </v:shape>
                <v:line id="直线 340" o:spid="_x0000_s1026" o:spt="20" style="position:absolute;left:632;top:5287;flip:y;height:585;width:0;" filled="f" stroked="t" coordsize="21600,21600" o:gfxdata="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E2ly8AAAA&#10;3AAAAA8AAAAAAAAAAQAgAAAAIgAAAGRycy9kb3ducmV2LnhtbFBLAQIUABQAAAAIAIdO4kAzLwWe&#10;OwAAADkAAAAQAAAAAAAAAAEAIAAAAAsBAABkcnMvc2hhcGV4bWwueG1sUEsFBgAAAAAGAAYAWwEA&#10;ALUDAAAAAA==&#10;">
                  <v:fill on="f" focussize="0,0"/>
                  <v:stroke weight="0.25pt" color="#000000" joinstyle="round" endarrow="block" endarrowwidth="narrow"/>
                  <v:imagedata o:title=""/>
                  <o:lock v:ext="edit" aspectratio="f"/>
                </v:line>
                <v:shape id="文本框 341" o:spid="_x0000_s1026" o:spt="202" type="#_x0000_t202" style="position:absolute;left:2142;top:8330;height:405;width:1194;" fillcolor="#FFFFFF" filled="t" stroked="t" coordsize="21600,21600" o:gfxdata="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NRh0S5AAAA3AAA&#10;AA8AAAAAAAAAAQAgAAAAIgAAAGRycy9kb3ducmV2LnhtbFBLAQIUABQAAAAIAIdO4kAzLwWeOwAA&#10;ADkAAAAQAAAAAAAAAAEAIAAAAAgBAABkcnMvc2hhcGV4bWwueG1sUEsFBgAAAAAGAAYAWwEAALID&#10;AAAAAA==&#10;">
                  <v:fill on="t" focussize="0,0"/>
                  <v:stroke weight="0.25pt" color="#000000" joinstyle="miter"/>
                  <v:imagedata o:title=""/>
                  <o:lock v:ext="edit" aspectratio="t"/>
                  <v:textbox>
                    <w:txbxContent>
                      <w:p w14:paraId="100C35F6">
                        <w:pPr>
                          <w:pStyle w:val="138"/>
                        </w:pPr>
                        <w:r>
                          <w:rPr>
                            <w:rFonts w:hint="eastAsia" w:ascii="宋体" w:eastAsia="宋体"/>
                            <w:sz w:val="20"/>
                            <w:szCs w:val="20"/>
                          </w:rPr>
                          <w:t>应急终止</w:t>
                        </w:r>
                      </w:p>
                      <w:p w14:paraId="773EF76F">
                        <w:pPr>
                          <w:ind w:firstLine="31680"/>
                        </w:pPr>
                      </w:p>
                    </w:txbxContent>
                  </v:textbox>
                </v:shape>
                <w10:wrap type="none"/>
                <w10:anchorlock/>
              </v:group>
            </w:pict>
          </mc:Fallback>
        </mc:AlternateContent>
      </w:r>
    </w:p>
    <w:p w14:paraId="5173C6A6">
      <w:pPr>
        <w:ind w:firstLine="480"/>
        <w:rPr>
          <w:rFonts w:hint="eastAsia" w:ascii="宋体" w:hAnsi="宋体" w:eastAsia="宋体" w:cs="宋体"/>
        </w:rPr>
      </w:pPr>
      <w:bookmarkStart w:id="2856" w:name="_Toc414368417"/>
      <w:bookmarkStart w:id="2857" w:name="_Toc408921788"/>
      <w:bookmarkStart w:id="2858" w:name="_Toc408995121"/>
      <w:bookmarkStart w:id="2859" w:name="_Toc343695259"/>
      <w:r>
        <w:rPr>
          <w:rFonts w:hint="eastAsia" w:ascii="宋体" w:hAnsi="宋体" w:eastAsia="宋体" w:cs="宋体"/>
        </w:rPr>
        <w:t>（1）应急准备</w:t>
      </w:r>
      <w:bookmarkEnd w:id="2856"/>
      <w:bookmarkEnd w:id="2857"/>
      <w:bookmarkEnd w:id="2858"/>
      <w:bookmarkEnd w:id="2859"/>
    </w:p>
    <w:p w14:paraId="5D8C2134">
      <w:pPr>
        <w:ind w:firstLine="480"/>
        <w:rPr>
          <w:rFonts w:hint="eastAsia" w:ascii="宋体" w:hAnsi="宋体" w:eastAsia="宋体" w:cs="宋体"/>
        </w:rPr>
      </w:pPr>
      <w:r>
        <w:rPr>
          <w:rFonts w:hint="eastAsia" w:ascii="宋体" w:hAnsi="宋体" w:eastAsia="宋体" w:cs="宋体"/>
        </w:rPr>
        <w:t>①、应急机构及职责</w:t>
      </w:r>
    </w:p>
    <w:p w14:paraId="71EFD383">
      <w:pPr>
        <w:ind w:firstLine="480"/>
        <w:rPr>
          <w:rFonts w:hint="eastAsia" w:ascii="宋体" w:hAnsi="宋体" w:eastAsia="宋体" w:cs="宋体"/>
        </w:rPr>
      </w:pPr>
      <w:r>
        <w:rPr>
          <w:rFonts w:hint="eastAsia" w:ascii="宋体" w:hAnsi="宋体" w:eastAsia="宋体" w:cs="宋体"/>
        </w:rPr>
        <w:t>项目部成立应急抢险小组。</w:t>
      </w:r>
    </w:p>
    <w:p w14:paraId="44C5E2D0">
      <w:pPr>
        <w:ind w:firstLine="480"/>
        <w:rPr>
          <w:rFonts w:hint="default" w:ascii="宋体" w:hAnsi="宋体" w:eastAsia="宋体" w:cs="宋体"/>
          <w:lang w:val="en-US" w:eastAsia="zh-CN"/>
        </w:rPr>
      </w:pPr>
      <w:r>
        <w:rPr>
          <w:rFonts w:hint="eastAsia" w:ascii="宋体" w:hAnsi="宋体" w:eastAsia="宋体" w:cs="宋体"/>
          <w:lang w:val="en-US" w:eastAsia="zh-CN"/>
        </w:rPr>
        <w:t>组  长：</w:t>
      </w:r>
      <w:r>
        <w:rPr>
          <w:rFonts w:hint="eastAsia" w:ascii="宋体" w:hAnsi="宋体" w:cs="宋体"/>
          <w:lang w:val="en-US" w:eastAsia="zh-CN"/>
        </w:rPr>
        <w:t>李令举</w:t>
      </w:r>
    </w:p>
    <w:p w14:paraId="22333C1B">
      <w:pPr>
        <w:ind w:firstLine="480"/>
        <w:rPr>
          <w:rFonts w:hint="eastAsia" w:ascii="宋体" w:hAnsi="宋体" w:eastAsia="宋体" w:cs="宋体"/>
          <w:lang w:val="en-US" w:eastAsia="zh-CN"/>
        </w:rPr>
      </w:pPr>
      <w:r>
        <w:rPr>
          <w:rFonts w:hint="eastAsia" w:ascii="宋体" w:hAnsi="宋体" w:eastAsia="宋体" w:cs="宋体"/>
          <w:lang w:val="en-US" w:eastAsia="zh-CN"/>
        </w:rPr>
        <w:t>副组长：</w:t>
      </w:r>
      <w:r>
        <w:rPr>
          <w:rFonts w:hint="eastAsia" w:ascii="宋体" w:hAnsi="宋体" w:cs="宋体"/>
          <w:lang w:val="en-US" w:eastAsia="zh-CN"/>
        </w:rPr>
        <w:t>王 磊</w:t>
      </w:r>
      <w:r>
        <w:rPr>
          <w:rFonts w:hint="eastAsia" w:ascii="宋体" w:hAnsi="宋体" w:eastAsia="宋体" w:cs="宋体"/>
          <w:lang w:val="en-US" w:eastAsia="zh-CN"/>
        </w:rPr>
        <w:t>、陈  天、刘重阳</w:t>
      </w:r>
    </w:p>
    <w:p w14:paraId="684D892B">
      <w:pPr>
        <w:ind w:firstLine="480"/>
        <w:rPr>
          <w:rFonts w:hint="eastAsia" w:ascii="宋体" w:hAnsi="宋体" w:eastAsia="宋体" w:cs="宋体"/>
          <w:lang w:val="en-US" w:eastAsia="zh-CN"/>
        </w:rPr>
      </w:pPr>
      <w:r>
        <w:rPr>
          <w:rFonts w:hint="eastAsia" w:ascii="宋体" w:hAnsi="宋体" w:eastAsia="宋体" w:cs="宋体"/>
          <w:lang w:val="en-US" w:eastAsia="zh-CN"/>
        </w:rPr>
        <w:t>组  员：</w:t>
      </w:r>
      <w:r>
        <w:rPr>
          <w:rFonts w:hint="eastAsia" w:ascii="宋体" w:hAnsi="宋体" w:cs="宋体"/>
          <w:lang w:val="en-US" w:eastAsia="zh-CN"/>
        </w:rPr>
        <w:t>费露、王帅军、叶卫卫、沈志伟、乔迈、陈建、孙阿伟、阙胜永</w:t>
      </w:r>
    </w:p>
    <w:p w14:paraId="6F44DB24">
      <w:pPr>
        <w:ind w:firstLine="480"/>
        <w:rPr>
          <w:rFonts w:hint="default" w:ascii="宋体" w:hAnsi="宋体" w:eastAsia="宋体" w:cs="宋体"/>
          <w:lang w:val="en-US" w:eastAsia="zh-CN"/>
        </w:rPr>
      </w:pPr>
      <w:r>
        <w:rPr>
          <w:rFonts w:hint="eastAsia" w:ascii="宋体" w:hAnsi="宋体" w:eastAsia="宋体" w:cs="宋体"/>
        </w:rPr>
        <w:t>组</w:t>
      </w:r>
      <w:r>
        <w:rPr>
          <w:rFonts w:hint="eastAsia" w:ascii="宋体" w:hAnsi="宋体" w:eastAsia="宋体" w:cs="宋体"/>
          <w:lang w:val="en-US" w:eastAsia="zh-CN"/>
        </w:rPr>
        <w:t>长：</w:t>
      </w:r>
      <w:r>
        <w:rPr>
          <w:rFonts w:hint="eastAsia" w:ascii="宋体" w:hAnsi="宋体" w:cs="宋体"/>
          <w:lang w:val="en-US" w:eastAsia="zh-CN"/>
        </w:rPr>
        <w:t>李令举</w:t>
      </w:r>
      <w:r>
        <w:rPr>
          <w:rFonts w:hint="eastAsia" w:ascii="宋体" w:hAnsi="宋体" w:eastAsia="宋体" w:cs="宋体"/>
          <w:lang w:val="en-US" w:eastAsia="zh-CN"/>
        </w:rPr>
        <w:t xml:space="preserve">              </w:t>
      </w:r>
      <w:r>
        <w:rPr>
          <w:rFonts w:hint="eastAsia" w:ascii="宋体" w:hAnsi="宋体" w:cs="宋体"/>
          <w:lang w:val="en-US" w:eastAsia="zh-CN"/>
        </w:rPr>
        <w:t xml:space="preserve"> </w:t>
      </w:r>
      <w:r>
        <w:rPr>
          <w:rFonts w:hint="eastAsia" w:ascii="宋体" w:hAnsi="宋体" w:eastAsia="宋体" w:cs="宋体"/>
        </w:rPr>
        <w:t>电话：</w:t>
      </w:r>
      <w:r>
        <w:rPr>
          <w:rFonts w:hint="eastAsia" w:ascii="宋体" w:hAnsi="宋体" w:cs="宋体"/>
          <w:lang w:val="en-US" w:eastAsia="zh-CN"/>
        </w:rPr>
        <w:t>15156879670</w:t>
      </w:r>
    </w:p>
    <w:p w14:paraId="102A076A">
      <w:pPr>
        <w:ind w:firstLine="480"/>
        <w:rPr>
          <w:rFonts w:hint="default" w:ascii="宋体" w:hAnsi="宋体" w:eastAsia="宋体" w:cs="宋体"/>
          <w:lang w:val="en-US" w:eastAsia="zh-CN"/>
        </w:rPr>
      </w:pPr>
      <w:r>
        <w:rPr>
          <w:rFonts w:hint="eastAsia" w:ascii="宋体" w:hAnsi="宋体" w:eastAsia="宋体" w:cs="宋体"/>
        </w:rPr>
        <w:t>副组长：</w:t>
      </w:r>
      <w:r>
        <w:rPr>
          <w:rFonts w:hint="eastAsia" w:ascii="宋体" w:hAnsi="宋体" w:cs="宋体"/>
          <w:lang w:val="en-US" w:eastAsia="zh-CN"/>
        </w:rPr>
        <w:t>王 磊</w:t>
      </w:r>
      <w:r>
        <w:rPr>
          <w:rFonts w:hint="eastAsia" w:ascii="宋体" w:hAnsi="宋体" w:eastAsia="宋体" w:cs="宋体"/>
          <w:lang w:val="en-US" w:eastAsia="zh-CN"/>
        </w:rPr>
        <w:t xml:space="preserve">              </w:t>
      </w:r>
      <w:r>
        <w:rPr>
          <w:rFonts w:hint="eastAsia" w:ascii="宋体" w:hAnsi="宋体" w:eastAsia="宋体" w:cs="宋体"/>
        </w:rPr>
        <w:t>电话：</w:t>
      </w:r>
      <w:r>
        <w:rPr>
          <w:rFonts w:hint="eastAsia" w:ascii="宋体" w:hAnsi="宋体" w:cs="宋体"/>
          <w:lang w:val="en-US" w:eastAsia="zh-CN"/>
        </w:rPr>
        <w:t>19165545777</w:t>
      </w:r>
    </w:p>
    <w:p w14:paraId="07D6FBE2">
      <w:pPr>
        <w:ind w:firstLine="1440" w:firstLineChars="600"/>
        <w:rPr>
          <w:rFonts w:hint="eastAsia" w:ascii="宋体" w:hAnsi="宋体" w:eastAsia="宋体" w:cs="宋体"/>
          <w:lang w:val="en-US" w:eastAsia="zh-CN"/>
        </w:rPr>
      </w:pPr>
      <w:r>
        <w:rPr>
          <w:rFonts w:hint="eastAsia" w:ascii="宋体" w:hAnsi="宋体" w:eastAsia="宋体" w:cs="宋体"/>
          <w:lang w:val="en-US" w:eastAsia="zh-CN"/>
        </w:rPr>
        <w:t>陈</w:t>
      </w:r>
      <w:r>
        <w:rPr>
          <w:rFonts w:hint="eastAsia" w:ascii="宋体" w:hAnsi="宋体" w:cs="宋体"/>
          <w:lang w:val="en-US" w:eastAsia="zh-CN"/>
        </w:rPr>
        <w:t xml:space="preserve"> </w:t>
      </w:r>
      <w:r>
        <w:rPr>
          <w:rFonts w:hint="eastAsia" w:ascii="宋体" w:hAnsi="宋体" w:eastAsia="宋体" w:cs="宋体"/>
          <w:lang w:val="en-US" w:eastAsia="zh-CN"/>
        </w:rPr>
        <w:t xml:space="preserve">天            </w:t>
      </w:r>
      <w:r>
        <w:rPr>
          <w:rFonts w:hint="eastAsia" w:ascii="宋体" w:hAnsi="宋体" w:cs="宋体"/>
          <w:lang w:val="en-US" w:eastAsia="zh-CN"/>
        </w:rPr>
        <w:t xml:space="preserve"> </w:t>
      </w:r>
      <w:r>
        <w:rPr>
          <w:rFonts w:hint="eastAsia" w:ascii="宋体" w:hAnsi="宋体" w:eastAsia="宋体" w:cs="宋体"/>
          <w:lang w:val="en-US" w:eastAsia="zh-CN"/>
        </w:rPr>
        <w:t xml:space="preserve"> 电话：18712128088</w:t>
      </w:r>
    </w:p>
    <w:p w14:paraId="33748635">
      <w:pPr>
        <w:ind w:firstLine="1200" w:firstLineChars="500"/>
        <w:rPr>
          <w:rFonts w:hint="default" w:ascii="宋体" w:hAnsi="宋体" w:eastAsia="宋体" w:cs="宋体"/>
          <w:lang w:val="en-US" w:eastAsia="zh-CN"/>
        </w:rPr>
      </w:pPr>
      <w:r>
        <w:rPr>
          <w:rFonts w:hint="eastAsia" w:ascii="宋体" w:hAnsi="宋体" w:eastAsia="宋体" w:cs="宋体"/>
          <w:lang w:val="en-US" w:eastAsia="zh-CN"/>
        </w:rPr>
        <w:t xml:space="preserve">刘重阳           </w:t>
      </w:r>
      <w:r>
        <w:rPr>
          <w:rFonts w:hint="eastAsia" w:ascii="宋体" w:hAnsi="宋体" w:cs="宋体"/>
          <w:lang w:val="en-US" w:eastAsia="zh-CN"/>
        </w:rPr>
        <w:t xml:space="preserve">    </w:t>
      </w:r>
      <w:r>
        <w:rPr>
          <w:rFonts w:hint="eastAsia" w:ascii="宋体" w:hAnsi="宋体" w:eastAsia="宋体" w:cs="宋体"/>
          <w:lang w:val="en-US" w:eastAsia="zh-CN"/>
        </w:rPr>
        <w:t>电话：18255166014</w:t>
      </w:r>
    </w:p>
    <w:p w14:paraId="044A3E8C">
      <w:pPr>
        <w:ind w:firstLine="480"/>
        <w:rPr>
          <w:rFonts w:hint="eastAsia" w:ascii="宋体" w:hAnsi="宋体" w:eastAsia="宋体" w:cs="宋体"/>
          <w:lang w:val="en-US" w:eastAsia="zh-CN"/>
        </w:rPr>
      </w:pPr>
      <w:r>
        <w:rPr>
          <w:rFonts w:hint="eastAsia" w:ascii="宋体" w:hAnsi="宋体" w:eastAsia="宋体" w:cs="宋体"/>
        </w:rPr>
        <w:t>通讯联络员：</w:t>
      </w:r>
      <w:r>
        <w:rPr>
          <w:rFonts w:hint="eastAsia" w:ascii="宋体" w:hAnsi="宋体" w:cs="宋体"/>
          <w:lang w:val="en-US" w:eastAsia="zh-CN"/>
        </w:rPr>
        <w:t>费露</w:t>
      </w:r>
      <w:r>
        <w:rPr>
          <w:rFonts w:hint="eastAsia" w:ascii="宋体" w:hAnsi="宋体" w:eastAsia="宋体" w:cs="宋体"/>
          <w:lang w:val="en-US" w:eastAsia="zh-CN"/>
        </w:rPr>
        <w:t xml:space="preserve">      </w:t>
      </w:r>
      <w:r>
        <w:rPr>
          <w:rFonts w:hint="eastAsia" w:ascii="宋体" w:hAnsi="宋体" w:cs="宋体"/>
          <w:lang w:val="en-US" w:eastAsia="zh-CN"/>
        </w:rPr>
        <w:t xml:space="preserve">  </w:t>
      </w:r>
      <w:r>
        <w:rPr>
          <w:rFonts w:hint="eastAsia" w:ascii="宋体" w:hAnsi="宋体" w:eastAsia="宋体" w:cs="宋体"/>
          <w:lang w:val="en-US" w:eastAsia="zh-CN"/>
        </w:rPr>
        <w:t xml:space="preserve"> </w:t>
      </w:r>
      <w:r>
        <w:rPr>
          <w:rFonts w:hint="eastAsia" w:ascii="宋体" w:hAnsi="宋体" w:cs="宋体"/>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rPr>
        <w:t>电话：</w:t>
      </w:r>
      <w:r>
        <w:rPr>
          <w:rFonts w:hint="eastAsia" w:ascii="宋体" w:hAnsi="宋体" w:eastAsia="宋体" w:cs="宋体"/>
          <w:lang w:val="en-US" w:eastAsia="zh-CN"/>
        </w:rPr>
        <w:t xml:space="preserve">15855440830  </w:t>
      </w:r>
    </w:p>
    <w:p w14:paraId="48F26C86">
      <w:pPr>
        <w:ind w:firstLine="480"/>
        <w:rPr>
          <w:rFonts w:hint="default" w:ascii="宋体" w:hAnsi="宋体" w:eastAsia="宋体" w:cs="宋体"/>
          <w:lang w:val="en-US" w:eastAsia="zh-CN"/>
        </w:rPr>
      </w:pPr>
      <w:r>
        <w:rPr>
          <w:rFonts w:hint="eastAsia" w:ascii="宋体" w:hAnsi="宋体" w:eastAsia="宋体" w:cs="宋体"/>
        </w:rPr>
        <w:t>救护组：</w:t>
      </w:r>
      <w:r>
        <w:rPr>
          <w:rFonts w:hint="eastAsia" w:ascii="宋体" w:hAnsi="宋体" w:cs="宋体"/>
          <w:lang w:val="en-US" w:eastAsia="zh-CN"/>
        </w:rPr>
        <w:t>孙阿伟</w:t>
      </w:r>
      <w:r>
        <w:rPr>
          <w:rFonts w:hint="eastAsia" w:ascii="宋体" w:hAnsi="宋体" w:eastAsia="宋体" w:cs="宋体"/>
          <w:lang w:val="en-US" w:eastAsia="zh-CN"/>
        </w:rPr>
        <w:t xml:space="preserve">          </w:t>
      </w:r>
      <w:r>
        <w:rPr>
          <w:rFonts w:hint="eastAsia" w:ascii="宋体" w:hAnsi="宋体" w:cs="宋体"/>
          <w:lang w:val="en-US" w:eastAsia="zh-CN"/>
        </w:rPr>
        <w:t xml:space="preserve">   </w:t>
      </w:r>
      <w:r>
        <w:rPr>
          <w:rFonts w:hint="eastAsia" w:ascii="宋体" w:hAnsi="宋体" w:eastAsia="宋体" w:cs="宋体"/>
        </w:rPr>
        <w:t>电话：</w:t>
      </w:r>
      <w:r>
        <w:rPr>
          <w:rFonts w:hint="eastAsia" w:ascii="宋体" w:hAnsi="宋体" w:eastAsia="宋体" w:cs="宋体"/>
          <w:lang w:val="en-US" w:eastAsia="zh-CN"/>
        </w:rPr>
        <w:t>18119556698</w:t>
      </w:r>
    </w:p>
    <w:p w14:paraId="34A535B7">
      <w:pPr>
        <w:ind w:firstLine="480"/>
        <w:rPr>
          <w:rFonts w:hint="default" w:ascii="宋体" w:hAnsi="宋体" w:eastAsia="宋体" w:cs="宋体"/>
          <w:lang w:val="en-US" w:eastAsia="zh-CN"/>
        </w:rPr>
      </w:pPr>
      <w:r>
        <w:rPr>
          <w:rFonts w:hint="eastAsia" w:ascii="宋体" w:hAnsi="宋体" w:eastAsia="宋体" w:cs="宋体"/>
        </w:rPr>
        <w:t>抢险行动组：</w:t>
      </w:r>
      <w:r>
        <w:rPr>
          <w:rFonts w:hint="eastAsia" w:ascii="宋体" w:hAnsi="宋体" w:cs="宋体"/>
          <w:lang w:val="en-US" w:eastAsia="zh-CN"/>
        </w:rPr>
        <w:t>叶卫卫</w:t>
      </w:r>
      <w:r>
        <w:rPr>
          <w:rFonts w:hint="eastAsia" w:ascii="宋体" w:hAnsi="宋体" w:eastAsia="宋体" w:cs="宋体"/>
          <w:lang w:val="en-US" w:eastAsia="zh-CN"/>
        </w:rPr>
        <w:t xml:space="preserve">       </w:t>
      </w:r>
      <w:r>
        <w:rPr>
          <w:rFonts w:hint="eastAsia" w:ascii="宋体" w:hAnsi="宋体" w:cs="宋体"/>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rPr>
        <w:t>电话：</w:t>
      </w:r>
      <w:r>
        <w:rPr>
          <w:rFonts w:hint="eastAsia" w:ascii="宋体" w:hAnsi="宋体" w:eastAsia="宋体" w:cs="宋体"/>
          <w:lang w:val="en-US" w:eastAsia="zh-CN"/>
        </w:rPr>
        <w:t>18756125525</w:t>
      </w:r>
    </w:p>
    <w:p w14:paraId="1AC4AA85">
      <w:pPr>
        <w:ind w:firstLine="480"/>
        <w:rPr>
          <w:rFonts w:hint="default" w:ascii="宋体" w:hAnsi="宋体" w:eastAsia="宋体" w:cs="宋体"/>
          <w:lang w:val="en-US" w:eastAsia="zh-CN"/>
        </w:rPr>
      </w:pPr>
      <w:r>
        <w:rPr>
          <w:rFonts w:hint="eastAsia" w:ascii="宋体" w:hAnsi="宋体" w:eastAsia="宋体" w:cs="宋体"/>
        </w:rPr>
        <w:t>物资设备保障组：</w:t>
      </w:r>
      <w:r>
        <w:rPr>
          <w:rFonts w:hint="eastAsia" w:ascii="宋体" w:hAnsi="宋体" w:cs="宋体"/>
          <w:lang w:val="en-US" w:eastAsia="zh-CN"/>
        </w:rPr>
        <w:t>李劲康</w:t>
      </w:r>
      <w:r>
        <w:rPr>
          <w:rFonts w:hint="eastAsia" w:ascii="宋体" w:hAnsi="宋体" w:eastAsia="宋体" w:cs="宋体"/>
          <w:lang w:val="en-US" w:eastAsia="zh-CN"/>
        </w:rPr>
        <w:t xml:space="preserve">     </w:t>
      </w:r>
      <w:r>
        <w:rPr>
          <w:rFonts w:hint="eastAsia" w:ascii="宋体" w:hAnsi="宋体" w:eastAsia="宋体" w:cs="宋体"/>
        </w:rPr>
        <w:t>电话：</w:t>
      </w:r>
      <w:r>
        <w:rPr>
          <w:rFonts w:hint="eastAsia" w:ascii="宋体" w:hAnsi="宋体" w:eastAsia="宋体" w:cs="宋体"/>
          <w:lang w:val="en-US" w:eastAsia="zh-CN"/>
        </w:rPr>
        <w:t>13955120281</w:t>
      </w:r>
    </w:p>
    <w:p w14:paraId="0726730D">
      <w:pPr>
        <w:ind w:firstLine="480"/>
        <w:rPr>
          <w:rFonts w:hint="default" w:ascii="宋体" w:hAnsi="宋体" w:eastAsia="宋体" w:cs="宋体"/>
          <w:lang w:val="en-US" w:eastAsia="zh-CN"/>
        </w:rPr>
      </w:pPr>
      <w:r>
        <w:rPr>
          <w:rFonts w:hint="eastAsia" w:ascii="宋体" w:hAnsi="宋体" w:eastAsia="宋体" w:cs="宋体"/>
        </w:rPr>
        <w:t>附近医院联系电话及地址：</w:t>
      </w:r>
      <w:r>
        <w:rPr>
          <w:rFonts w:hint="eastAsia" w:ascii="宋体" w:hAnsi="宋体" w:eastAsia="宋体" w:cs="宋体"/>
          <w:lang w:val="en-US" w:eastAsia="zh-CN"/>
        </w:rPr>
        <w:t xml:space="preserve">    </w:t>
      </w:r>
      <w:r>
        <w:rPr>
          <w:rFonts w:hint="eastAsia" w:ascii="宋体" w:hAnsi="宋体" w:eastAsia="宋体" w:cs="宋体"/>
        </w:rPr>
        <w:t>联系电话：</w:t>
      </w:r>
      <w:r>
        <w:rPr>
          <w:rFonts w:hint="eastAsia" w:ascii="宋体" w:hAnsi="宋体" w:eastAsia="宋体" w:cs="宋体"/>
          <w:lang w:val="en-US" w:eastAsia="zh-CN"/>
        </w:rPr>
        <w:t>120</w:t>
      </w:r>
    </w:p>
    <w:p w14:paraId="00ACFE55">
      <w:pPr>
        <w:ind w:firstLine="480"/>
        <w:rPr>
          <w:rFonts w:hint="eastAsia" w:ascii="宋体" w:hAnsi="宋体" w:eastAsia="宋体" w:cs="宋体"/>
        </w:rPr>
      </w:pPr>
      <w:r>
        <w:rPr>
          <w:rFonts w:hint="eastAsia" w:ascii="宋体" w:hAnsi="宋体" w:eastAsia="宋体" w:cs="宋体"/>
        </w:rPr>
        <w:t>职责：研究、审批抢险方案；组织、协调各方抢险救援的人员、物资、交通工具、设备等；保持与上级领导和救援部门的联系和协调，及时发布现场信息。</w:t>
      </w:r>
      <w:bookmarkStart w:id="2860" w:name="_Toc28510"/>
      <w:bookmarkStart w:id="2861" w:name="_Toc14141"/>
      <w:bookmarkStart w:id="2862" w:name="_Toc16892"/>
      <w:r>
        <w:rPr>
          <w:rFonts w:hint="eastAsia" w:ascii="宋体" w:hAnsi="宋体" w:eastAsia="宋体" w:cs="宋体"/>
        </w:rPr>
        <w:t>应急救援路线</w:t>
      </w:r>
      <w:bookmarkEnd w:id="2860"/>
      <w:bookmarkEnd w:id="2861"/>
      <w:bookmarkEnd w:id="2862"/>
    </w:p>
    <w:p w14:paraId="3FEC0589">
      <w:pPr>
        <w:ind w:firstLine="480"/>
        <w:rPr>
          <w:rFonts w:hint="eastAsia" w:ascii="宋体" w:hAnsi="宋体" w:eastAsia="宋体" w:cs="宋体"/>
        </w:rPr>
      </w:pPr>
      <w:r>
        <w:rPr>
          <w:rFonts w:hint="eastAsia" w:ascii="宋体" w:hAnsi="宋体" w:eastAsia="宋体" w:cs="宋体"/>
        </w:rPr>
        <w:t>②、应急资源</w:t>
      </w:r>
    </w:p>
    <w:p w14:paraId="6558062D">
      <w:pPr>
        <w:ind w:firstLine="480"/>
        <w:rPr>
          <w:rFonts w:hint="eastAsia" w:ascii="宋体" w:hAnsi="宋体" w:eastAsia="宋体" w:cs="宋体"/>
        </w:rPr>
      </w:pPr>
      <w:r>
        <w:rPr>
          <w:rFonts w:hint="eastAsia" w:ascii="宋体" w:hAnsi="宋体" w:eastAsia="宋体" w:cs="宋体"/>
        </w:rPr>
        <w:t>应急资源的准备是应急救援工作的重要保障，项目部应根据潜在的事故性质和后果分析，配备应急救援中所需的应急手段、救援机械和设备、交通工具、医疗设备和药品、生活保障物资。主要应急物料储备表</w:t>
      </w:r>
    </w:p>
    <w:tbl>
      <w:tblPr>
        <w:tblStyle w:val="47"/>
        <w:tblW w:w="0" w:type="auto"/>
        <w:tblInd w:w="-10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62"/>
        <w:gridCol w:w="1462"/>
        <w:gridCol w:w="1219"/>
        <w:gridCol w:w="2194"/>
        <w:gridCol w:w="1487"/>
        <w:gridCol w:w="963"/>
      </w:tblGrid>
      <w:tr w14:paraId="5F1477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54BAC2C3">
            <w:pPr>
              <w:pStyle w:val="105"/>
              <w:spacing w:line="360" w:lineRule="auto"/>
              <w:rPr>
                <w:sz w:val="21"/>
                <w:szCs w:val="21"/>
              </w:rPr>
            </w:pPr>
            <w:r>
              <w:rPr>
                <w:rFonts w:hint="eastAsia"/>
                <w:sz w:val="21"/>
                <w:szCs w:val="21"/>
              </w:rPr>
              <w:t>材料设备名称</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16455935">
            <w:pPr>
              <w:pStyle w:val="105"/>
              <w:spacing w:line="360" w:lineRule="auto"/>
              <w:rPr>
                <w:sz w:val="21"/>
                <w:szCs w:val="21"/>
              </w:rPr>
            </w:pPr>
            <w:r>
              <w:rPr>
                <w:rFonts w:hint="eastAsia"/>
                <w:sz w:val="21"/>
                <w:szCs w:val="21"/>
              </w:rPr>
              <w:t>单位</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42C6010E">
            <w:pPr>
              <w:pStyle w:val="105"/>
              <w:spacing w:line="360" w:lineRule="auto"/>
              <w:rPr>
                <w:sz w:val="21"/>
                <w:szCs w:val="21"/>
              </w:rPr>
            </w:pPr>
            <w:r>
              <w:rPr>
                <w:rFonts w:hint="eastAsia"/>
                <w:sz w:val="21"/>
                <w:szCs w:val="21"/>
              </w:rPr>
              <w:t>数量</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7E14378E">
            <w:pPr>
              <w:pStyle w:val="105"/>
              <w:spacing w:line="360" w:lineRule="auto"/>
              <w:rPr>
                <w:sz w:val="21"/>
                <w:szCs w:val="21"/>
              </w:rPr>
            </w:pPr>
            <w:r>
              <w:rPr>
                <w:rFonts w:hint="eastAsia"/>
                <w:sz w:val="21"/>
                <w:szCs w:val="21"/>
              </w:rPr>
              <w:t>主要工作性能指标</w:t>
            </w: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7310DA06">
            <w:pPr>
              <w:pStyle w:val="105"/>
              <w:spacing w:line="360" w:lineRule="auto"/>
              <w:rPr>
                <w:sz w:val="21"/>
                <w:szCs w:val="21"/>
              </w:rPr>
            </w:pPr>
            <w:r>
              <w:rPr>
                <w:rFonts w:hint="eastAsia"/>
                <w:sz w:val="21"/>
                <w:szCs w:val="21"/>
              </w:rPr>
              <w:t>储存地点</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7DCB8F91">
            <w:pPr>
              <w:pStyle w:val="105"/>
              <w:spacing w:line="360" w:lineRule="auto"/>
              <w:rPr>
                <w:sz w:val="21"/>
                <w:szCs w:val="21"/>
              </w:rPr>
            </w:pPr>
            <w:r>
              <w:rPr>
                <w:rFonts w:hint="eastAsia"/>
                <w:sz w:val="21"/>
                <w:szCs w:val="21"/>
              </w:rPr>
              <w:t>备注</w:t>
            </w:r>
          </w:p>
        </w:tc>
      </w:tr>
      <w:tr w14:paraId="473FC5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737E9CC5">
            <w:pPr>
              <w:pStyle w:val="105"/>
              <w:spacing w:line="360" w:lineRule="auto"/>
              <w:rPr>
                <w:sz w:val="21"/>
                <w:szCs w:val="21"/>
              </w:rPr>
            </w:pPr>
            <w:r>
              <w:rPr>
                <w:rFonts w:hint="eastAsia"/>
                <w:sz w:val="21"/>
                <w:szCs w:val="21"/>
              </w:rPr>
              <w:t>吊车</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34F6A540">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51CBBC51">
            <w:pPr>
              <w:pStyle w:val="105"/>
              <w:spacing w:line="360" w:lineRule="auto"/>
              <w:rPr>
                <w:sz w:val="21"/>
                <w:szCs w:val="21"/>
              </w:rPr>
            </w:pPr>
            <w:r>
              <w:rPr>
                <w:sz w:val="21"/>
                <w:szCs w:val="21"/>
              </w:rPr>
              <w:t>1</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0682014D">
            <w:pPr>
              <w:pStyle w:val="105"/>
              <w:spacing w:line="360" w:lineRule="auto"/>
              <w:rPr>
                <w:sz w:val="21"/>
                <w:szCs w:val="21"/>
              </w:rPr>
            </w:pPr>
            <w:r>
              <w:rPr>
                <w:sz w:val="21"/>
                <w:szCs w:val="21"/>
              </w:rPr>
              <w:t>25T</w:t>
            </w: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0CD8C66C">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10401D67">
            <w:pPr>
              <w:pStyle w:val="105"/>
              <w:spacing w:line="360" w:lineRule="auto"/>
              <w:rPr>
                <w:sz w:val="21"/>
                <w:szCs w:val="21"/>
              </w:rPr>
            </w:pPr>
          </w:p>
        </w:tc>
      </w:tr>
      <w:tr w14:paraId="486F12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27CF0F91">
            <w:pPr>
              <w:pStyle w:val="105"/>
              <w:spacing w:line="360" w:lineRule="auto"/>
              <w:rPr>
                <w:sz w:val="21"/>
                <w:szCs w:val="21"/>
              </w:rPr>
            </w:pPr>
            <w:r>
              <w:rPr>
                <w:rFonts w:hint="eastAsia"/>
                <w:sz w:val="21"/>
                <w:szCs w:val="21"/>
              </w:rPr>
              <w:t>电焊机</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061EF12C">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27266C7E">
            <w:pPr>
              <w:pStyle w:val="105"/>
              <w:spacing w:line="360" w:lineRule="auto"/>
              <w:rPr>
                <w:sz w:val="21"/>
                <w:szCs w:val="21"/>
              </w:rPr>
            </w:pPr>
            <w:r>
              <w:rPr>
                <w:sz w:val="21"/>
                <w:szCs w:val="21"/>
              </w:rPr>
              <w:t>2</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682338D2">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36F27B15">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0BA80A5B">
            <w:pPr>
              <w:pStyle w:val="105"/>
              <w:spacing w:line="360" w:lineRule="auto"/>
              <w:rPr>
                <w:sz w:val="21"/>
                <w:szCs w:val="21"/>
              </w:rPr>
            </w:pPr>
          </w:p>
        </w:tc>
      </w:tr>
      <w:tr w14:paraId="6B5BBC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7C102871">
            <w:pPr>
              <w:pStyle w:val="105"/>
              <w:spacing w:line="360" w:lineRule="auto"/>
              <w:rPr>
                <w:sz w:val="21"/>
                <w:szCs w:val="21"/>
              </w:rPr>
            </w:pPr>
            <w:r>
              <w:rPr>
                <w:rFonts w:hint="eastAsia"/>
                <w:sz w:val="21"/>
                <w:szCs w:val="21"/>
              </w:rPr>
              <w:t>汽车</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05B73F43">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6B21F828">
            <w:pPr>
              <w:pStyle w:val="105"/>
              <w:spacing w:line="360" w:lineRule="auto"/>
              <w:rPr>
                <w:sz w:val="21"/>
                <w:szCs w:val="21"/>
              </w:rPr>
            </w:pPr>
            <w:r>
              <w:rPr>
                <w:sz w:val="21"/>
                <w:szCs w:val="21"/>
              </w:rPr>
              <w:t>1</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24E8333D">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701F70F7">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63946B0C">
            <w:pPr>
              <w:pStyle w:val="105"/>
              <w:spacing w:line="360" w:lineRule="auto"/>
              <w:rPr>
                <w:sz w:val="21"/>
                <w:szCs w:val="21"/>
              </w:rPr>
            </w:pPr>
          </w:p>
        </w:tc>
      </w:tr>
      <w:tr w14:paraId="257DEE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774D5C56">
            <w:pPr>
              <w:pStyle w:val="105"/>
              <w:spacing w:line="360" w:lineRule="auto"/>
              <w:rPr>
                <w:sz w:val="21"/>
                <w:szCs w:val="21"/>
              </w:rPr>
            </w:pPr>
            <w:r>
              <w:rPr>
                <w:rFonts w:hint="eastAsia"/>
                <w:sz w:val="21"/>
                <w:szCs w:val="21"/>
              </w:rPr>
              <w:t>发电机</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25D6F6B4">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4F7AF333">
            <w:pPr>
              <w:pStyle w:val="105"/>
              <w:spacing w:line="360" w:lineRule="auto"/>
              <w:rPr>
                <w:sz w:val="21"/>
                <w:szCs w:val="21"/>
              </w:rPr>
            </w:pPr>
            <w:r>
              <w:rPr>
                <w:sz w:val="21"/>
                <w:szCs w:val="21"/>
              </w:rPr>
              <w:t>1</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0230D3F0">
            <w:pPr>
              <w:pStyle w:val="105"/>
              <w:spacing w:line="360" w:lineRule="auto"/>
              <w:rPr>
                <w:sz w:val="21"/>
                <w:szCs w:val="21"/>
              </w:rPr>
            </w:pPr>
            <w:r>
              <w:rPr>
                <w:sz w:val="21"/>
                <w:szCs w:val="21"/>
              </w:rPr>
              <w:t>30KW</w:t>
            </w: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65A0005E">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16699AB1">
            <w:pPr>
              <w:pStyle w:val="105"/>
              <w:spacing w:line="360" w:lineRule="auto"/>
              <w:rPr>
                <w:sz w:val="21"/>
                <w:szCs w:val="21"/>
              </w:rPr>
            </w:pPr>
          </w:p>
        </w:tc>
      </w:tr>
      <w:tr w14:paraId="02EBED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2B0EEE14">
            <w:pPr>
              <w:pStyle w:val="105"/>
              <w:spacing w:line="360" w:lineRule="auto"/>
              <w:rPr>
                <w:sz w:val="21"/>
                <w:szCs w:val="21"/>
              </w:rPr>
            </w:pPr>
            <w:r>
              <w:rPr>
                <w:rFonts w:hint="eastAsia"/>
                <w:sz w:val="21"/>
                <w:szCs w:val="21"/>
              </w:rPr>
              <w:t>救生衣救生圈</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32C48F83">
            <w:pPr>
              <w:pStyle w:val="105"/>
              <w:spacing w:line="360" w:lineRule="auto"/>
              <w:rPr>
                <w:sz w:val="21"/>
                <w:szCs w:val="21"/>
              </w:rPr>
            </w:pPr>
            <w:r>
              <w:rPr>
                <w:rFonts w:hint="eastAsia"/>
                <w:sz w:val="21"/>
                <w:szCs w:val="21"/>
              </w:rPr>
              <w:t>件</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47B7E26A">
            <w:pPr>
              <w:pStyle w:val="105"/>
              <w:spacing w:line="360" w:lineRule="auto"/>
              <w:rPr>
                <w:sz w:val="21"/>
                <w:szCs w:val="21"/>
              </w:rPr>
            </w:pPr>
            <w:r>
              <w:rPr>
                <w:sz w:val="21"/>
                <w:szCs w:val="21"/>
              </w:rPr>
              <w:t>20</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7D5478FC">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067D4ABA">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790197B0">
            <w:pPr>
              <w:pStyle w:val="105"/>
              <w:spacing w:line="360" w:lineRule="auto"/>
              <w:rPr>
                <w:sz w:val="21"/>
                <w:szCs w:val="21"/>
              </w:rPr>
            </w:pPr>
          </w:p>
        </w:tc>
      </w:tr>
      <w:tr w14:paraId="6D26EE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3BE0F485">
            <w:pPr>
              <w:pStyle w:val="105"/>
              <w:spacing w:line="360" w:lineRule="auto"/>
              <w:rPr>
                <w:sz w:val="21"/>
                <w:szCs w:val="21"/>
              </w:rPr>
            </w:pPr>
            <w:r>
              <w:rPr>
                <w:rFonts w:hint="eastAsia"/>
                <w:sz w:val="21"/>
                <w:szCs w:val="21"/>
              </w:rPr>
              <w:t>医疗包</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47535057">
            <w:pPr>
              <w:pStyle w:val="105"/>
              <w:spacing w:line="360" w:lineRule="auto"/>
              <w:rPr>
                <w:sz w:val="21"/>
                <w:szCs w:val="21"/>
              </w:rPr>
            </w:pPr>
            <w:r>
              <w:rPr>
                <w:rFonts w:hint="eastAsia"/>
                <w:sz w:val="21"/>
                <w:szCs w:val="21"/>
              </w:rPr>
              <w:t>件</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73516401">
            <w:pPr>
              <w:pStyle w:val="105"/>
              <w:spacing w:line="360" w:lineRule="auto"/>
              <w:rPr>
                <w:sz w:val="21"/>
                <w:szCs w:val="21"/>
              </w:rPr>
            </w:pPr>
            <w:r>
              <w:rPr>
                <w:sz w:val="21"/>
                <w:szCs w:val="21"/>
              </w:rPr>
              <w:t>2</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106A7F05">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7817475A">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1670EB98">
            <w:pPr>
              <w:pStyle w:val="105"/>
              <w:spacing w:line="360" w:lineRule="auto"/>
              <w:rPr>
                <w:sz w:val="21"/>
                <w:szCs w:val="21"/>
              </w:rPr>
            </w:pPr>
          </w:p>
        </w:tc>
      </w:tr>
      <w:tr w14:paraId="05AC09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2CF73935">
            <w:pPr>
              <w:pStyle w:val="105"/>
              <w:spacing w:line="360" w:lineRule="auto"/>
              <w:rPr>
                <w:sz w:val="21"/>
                <w:szCs w:val="21"/>
              </w:rPr>
            </w:pPr>
            <w:r>
              <w:rPr>
                <w:rFonts w:hint="eastAsia"/>
                <w:sz w:val="21"/>
                <w:szCs w:val="21"/>
              </w:rPr>
              <w:t>对讲机</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23178D9F">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2B76912C">
            <w:pPr>
              <w:pStyle w:val="105"/>
              <w:spacing w:line="360" w:lineRule="auto"/>
              <w:rPr>
                <w:sz w:val="21"/>
                <w:szCs w:val="21"/>
              </w:rPr>
            </w:pPr>
            <w:r>
              <w:rPr>
                <w:sz w:val="21"/>
                <w:szCs w:val="21"/>
              </w:rPr>
              <w:t>10</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58AD1658">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06283464">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18A0B1F7">
            <w:pPr>
              <w:pStyle w:val="105"/>
              <w:spacing w:line="360" w:lineRule="auto"/>
              <w:rPr>
                <w:sz w:val="21"/>
                <w:szCs w:val="21"/>
              </w:rPr>
            </w:pPr>
          </w:p>
        </w:tc>
      </w:tr>
      <w:tr w14:paraId="610A88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7A78CF29">
            <w:pPr>
              <w:pStyle w:val="105"/>
              <w:spacing w:line="360" w:lineRule="auto"/>
              <w:rPr>
                <w:sz w:val="21"/>
                <w:szCs w:val="21"/>
              </w:rPr>
            </w:pPr>
            <w:r>
              <w:rPr>
                <w:rFonts w:hint="eastAsia"/>
                <w:sz w:val="21"/>
                <w:szCs w:val="21"/>
              </w:rPr>
              <w:t>工字钢</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02233B15">
            <w:pPr>
              <w:pStyle w:val="105"/>
              <w:spacing w:line="360" w:lineRule="auto"/>
              <w:rPr>
                <w:sz w:val="21"/>
                <w:szCs w:val="21"/>
              </w:rPr>
            </w:pPr>
            <w:r>
              <w:rPr>
                <w:rFonts w:hint="eastAsia"/>
                <w:sz w:val="21"/>
                <w:szCs w:val="21"/>
              </w:rPr>
              <w:t>吨</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3596B6B8">
            <w:pPr>
              <w:pStyle w:val="105"/>
              <w:spacing w:line="360" w:lineRule="auto"/>
              <w:rPr>
                <w:sz w:val="21"/>
                <w:szCs w:val="21"/>
              </w:rPr>
            </w:pPr>
            <w:r>
              <w:rPr>
                <w:sz w:val="21"/>
                <w:szCs w:val="21"/>
              </w:rPr>
              <w:t>20</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0B4F9438">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10851593">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66C287E5">
            <w:pPr>
              <w:pStyle w:val="105"/>
              <w:spacing w:line="360" w:lineRule="auto"/>
              <w:rPr>
                <w:sz w:val="21"/>
                <w:szCs w:val="21"/>
              </w:rPr>
            </w:pPr>
          </w:p>
        </w:tc>
      </w:tr>
      <w:tr w14:paraId="2A5C21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549E4459">
            <w:pPr>
              <w:pStyle w:val="105"/>
              <w:spacing w:line="360" w:lineRule="auto"/>
              <w:rPr>
                <w:sz w:val="21"/>
                <w:szCs w:val="21"/>
              </w:rPr>
            </w:pPr>
            <w:r>
              <w:rPr>
                <w:rFonts w:hint="eastAsia"/>
                <w:sz w:val="21"/>
                <w:szCs w:val="21"/>
              </w:rPr>
              <w:t>挖机</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784FA8D4">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5B6EBCDD">
            <w:pPr>
              <w:pStyle w:val="105"/>
              <w:spacing w:line="360" w:lineRule="auto"/>
              <w:rPr>
                <w:sz w:val="21"/>
                <w:szCs w:val="21"/>
              </w:rPr>
            </w:pPr>
            <w:r>
              <w:rPr>
                <w:sz w:val="21"/>
                <w:szCs w:val="21"/>
              </w:rPr>
              <w:t>1</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7C067688">
            <w:pPr>
              <w:pStyle w:val="105"/>
              <w:spacing w:line="360" w:lineRule="auto"/>
              <w:rPr>
                <w:sz w:val="21"/>
                <w:szCs w:val="21"/>
              </w:rPr>
            </w:pPr>
            <w:r>
              <w:rPr>
                <w:sz w:val="21"/>
                <w:szCs w:val="21"/>
              </w:rPr>
              <w:t>220</w:t>
            </w: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6296DB0E">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433AE3D7">
            <w:pPr>
              <w:pStyle w:val="105"/>
              <w:spacing w:line="360" w:lineRule="auto"/>
              <w:rPr>
                <w:sz w:val="21"/>
                <w:szCs w:val="21"/>
              </w:rPr>
            </w:pPr>
          </w:p>
        </w:tc>
      </w:tr>
      <w:tr w14:paraId="1D6266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179020CD">
            <w:pPr>
              <w:pStyle w:val="105"/>
              <w:spacing w:line="360" w:lineRule="auto"/>
              <w:rPr>
                <w:sz w:val="21"/>
                <w:szCs w:val="21"/>
              </w:rPr>
            </w:pPr>
            <w:r>
              <w:rPr>
                <w:rFonts w:hint="eastAsia"/>
                <w:sz w:val="21"/>
                <w:szCs w:val="21"/>
              </w:rPr>
              <w:t>钢管</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7FBF553E">
            <w:pPr>
              <w:pStyle w:val="105"/>
              <w:spacing w:line="360" w:lineRule="auto"/>
              <w:rPr>
                <w:sz w:val="21"/>
                <w:szCs w:val="21"/>
              </w:rPr>
            </w:pPr>
            <w:r>
              <w:rPr>
                <w:rFonts w:hint="eastAsia"/>
                <w:sz w:val="21"/>
                <w:szCs w:val="21"/>
              </w:rPr>
              <w:t>米</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65DDB392">
            <w:pPr>
              <w:pStyle w:val="105"/>
              <w:spacing w:line="360" w:lineRule="auto"/>
              <w:rPr>
                <w:sz w:val="21"/>
                <w:szCs w:val="21"/>
              </w:rPr>
            </w:pPr>
            <w:r>
              <w:rPr>
                <w:sz w:val="21"/>
                <w:szCs w:val="21"/>
              </w:rPr>
              <w:t>100</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62D167D4">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3C070D02">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3C95E76B">
            <w:pPr>
              <w:pStyle w:val="105"/>
              <w:spacing w:line="360" w:lineRule="auto"/>
              <w:rPr>
                <w:sz w:val="21"/>
                <w:szCs w:val="21"/>
              </w:rPr>
            </w:pPr>
          </w:p>
        </w:tc>
      </w:tr>
      <w:tr w14:paraId="644C94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2" w:type="dxa"/>
            <w:tcBorders>
              <w:top w:val="dotted" w:color="auto" w:sz="4" w:space="0"/>
              <w:left w:val="dotted" w:color="auto" w:sz="4" w:space="0"/>
              <w:bottom w:val="dotted" w:color="auto" w:sz="4" w:space="0"/>
              <w:right w:val="dotted" w:color="auto" w:sz="4" w:space="0"/>
            </w:tcBorders>
            <w:shd w:val="clear" w:color="auto" w:fill="FFFFFF"/>
            <w:vAlign w:val="center"/>
          </w:tcPr>
          <w:p w14:paraId="40C0CB0E">
            <w:pPr>
              <w:pStyle w:val="105"/>
              <w:spacing w:line="360" w:lineRule="auto"/>
              <w:rPr>
                <w:sz w:val="21"/>
                <w:szCs w:val="21"/>
              </w:rPr>
            </w:pPr>
            <w:r>
              <w:rPr>
                <w:rFonts w:hint="eastAsia"/>
                <w:sz w:val="21"/>
                <w:szCs w:val="21"/>
              </w:rPr>
              <w:t>灭火器</w:t>
            </w:r>
          </w:p>
        </w:tc>
        <w:tc>
          <w:tcPr>
            <w:tcW w:w="1462" w:type="dxa"/>
            <w:tcBorders>
              <w:top w:val="dotted" w:color="auto" w:sz="4" w:space="0"/>
              <w:left w:val="dotted" w:color="auto" w:sz="4" w:space="0"/>
              <w:bottom w:val="dotted" w:color="auto" w:sz="4" w:space="0"/>
              <w:right w:val="dotted" w:color="auto" w:sz="4" w:space="0"/>
            </w:tcBorders>
            <w:shd w:val="clear" w:color="auto" w:fill="FFFFFF"/>
            <w:vAlign w:val="center"/>
          </w:tcPr>
          <w:p w14:paraId="41A1E00C">
            <w:pPr>
              <w:pStyle w:val="105"/>
              <w:spacing w:line="360" w:lineRule="auto"/>
              <w:rPr>
                <w:sz w:val="21"/>
                <w:szCs w:val="21"/>
              </w:rPr>
            </w:pPr>
            <w:r>
              <w:rPr>
                <w:rFonts w:hint="eastAsia"/>
                <w:sz w:val="21"/>
                <w:szCs w:val="21"/>
              </w:rPr>
              <w:t>台</w:t>
            </w:r>
          </w:p>
        </w:tc>
        <w:tc>
          <w:tcPr>
            <w:tcW w:w="1219" w:type="dxa"/>
            <w:tcBorders>
              <w:top w:val="dotted" w:color="auto" w:sz="4" w:space="0"/>
              <w:left w:val="dotted" w:color="auto" w:sz="4" w:space="0"/>
              <w:bottom w:val="dotted" w:color="auto" w:sz="4" w:space="0"/>
              <w:right w:val="dotted" w:color="auto" w:sz="4" w:space="0"/>
            </w:tcBorders>
            <w:shd w:val="clear" w:color="auto" w:fill="FFFFFF"/>
            <w:vAlign w:val="center"/>
          </w:tcPr>
          <w:p w14:paraId="36E5138E">
            <w:pPr>
              <w:pStyle w:val="105"/>
              <w:spacing w:line="360" w:lineRule="auto"/>
              <w:rPr>
                <w:sz w:val="21"/>
                <w:szCs w:val="21"/>
              </w:rPr>
            </w:pPr>
            <w:r>
              <w:rPr>
                <w:sz w:val="21"/>
                <w:szCs w:val="21"/>
              </w:rPr>
              <w:t>200</w:t>
            </w:r>
          </w:p>
        </w:tc>
        <w:tc>
          <w:tcPr>
            <w:tcW w:w="2194" w:type="dxa"/>
            <w:tcBorders>
              <w:top w:val="dotted" w:color="auto" w:sz="4" w:space="0"/>
              <w:left w:val="dotted" w:color="auto" w:sz="4" w:space="0"/>
              <w:bottom w:val="dotted" w:color="auto" w:sz="4" w:space="0"/>
              <w:right w:val="dotted" w:color="auto" w:sz="4" w:space="0"/>
            </w:tcBorders>
            <w:shd w:val="clear" w:color="auto" w:fill="FFFFFF"/>
            <w:vAlign w:val="center"/>
          </w:tcPr>
          <w:p w14:paraId="45C1BA12">
            <w:pPr>
              <w:pStyle w:val="105"/>
              <w:spacing w:line="360" w:lineRule="auto"/>
              <w:rPr>
                <w:sz w:val="21"/>
                <w:szCs w:val="21"/>
              </w:rPr>
            </w:pPr>
          </w:p>
        </w:tc>
        <w:tc>
          <w:tcPr>
            <w:tcW w:w="1487" w:type="dxa"/>
            <w:tcBorders>
              <w:top w:val="dotted" w:color="auto" w:sz="4" w:space="0"/>
              <w:left w:val="dotted" w:color="auto" w:sz="4" w:space="0"/>
              <w:bottom w:val="dotted" w:color="auto" w:sz="4" w:space="0"/>
              <w:right w:val="dotted" w:color="auto" w:sz="4" w:space="0"/>
            </w:tcBorders>
            <w:shd w:val="clear" w:color="auto" w:fill="FFFFFF"/>
            <w:vAlign w:val="center"/>
          </w:tcPr>
          <w:p w14:paraId="1D152E28">
            <w:pPr>
              <w:pStyle w:val="105"/>
              <w:spacing w:line="360" w:lineRule="auto"/>
              <w:rPr>
                <w:sz w:val="21"/>
                <w:szCs w:val="21"/>
              </w:rPr>
            </w:pPr>
            <w:r>
              <w:rPr>
                <w:rFonts w:hint="eastAsia"/>
                <w:sz w:val="21"/>
                <w:szCs w:val="21"/>
              </w:rPr>
              <w:t>现场</w:t>
            </w:r>
          </w:p>
        </w:tc>
        <w:tc>
          <w:tcPr>
            <w:tcW w:w="963" w:type="dxa"/>
            <w:tcBorders>
              <w:top w:val="dotted" w:color="auto" w:sz="4" w:space="0"/>
              <w:left w:val="dotted" w:color="auto" w:sz="4" w:space="0"/>
              <w:bottom w:val="dotted" w:color="auto" w:sz="4" w:space="0"/>
              <w:right w:val="dotted" w:color="auto" w:sz="4" w:space="0"/>
            </w:tcBorders>
            <w:shd w:val="clear" w:color="auto" w:fill="FFFFFF"/>
            <w:vAlign w:val="center"/>
          </w:tcPr>
          <w:p w14:paraId="07AFD585">
            <w:pPr>
              <w:pStyle w:val="105"/>
              <w:spacing w:line="360" w:lineRule="auto"/>
              <w:rPr>
                <w:sz w:val="21"/>
                <w:szCs w:val="21"/>
              </w:rPr>
            </w:pPr>
          </w:p>
        </w:tc>
      </w:tr>
    </w:tbl>
    <w:p w14:paraId="28C9B713">
      <w:pPr>
        <w:ind w:firstLine="480"/>
        <w:rPr>
          <w:rFonts w:hint="eastAsia" w:ascii="宋体" w:hAnsi="宋体" w:eastAsia="宋体" w:cs="宋体"/>
        </w:rPr>
      </w:pPr>
      <w:r>
        <w:rPr>
          <w:rFonts w:hint="eastAsia" w:ascii="宋体" w:hAnsi="宋体" w:eastAsia="宋体" w:cs="宋体"/>
        </w:rPr>
        <w:t>为保证工程水域和船舶出现紧急情况后能及时得到处理，工程应急联系人应24小时保持电话开通，以及时获知、上报、传达险情及时联系协调搜救工作，施工单位应一并将施工船舶的联系方式向各部门进行报备，便于联系与管理。</w:t>
      </w:r>
    </w:p>
    <w:p w14:paraId="539ADC72">
      <w:pPr>
        <w:ind w:firstLine="480"/>
        <w:rPr>
          <w:rFonts w:hint="eastAsia" w:ascii="宋体" w:hAnsi="宋体" w:eastAsia="宋体" w:cs="宋体"/>
        </w:rPr>
      </w:pPr>
      <w:r>
        <w:rPr>
          <w:rFonts w:hint="eastAsia" w:ascii="宋体" w:hAnsi="宋体" w:eastAsia="宋体" w:cs="宋体"/>
        </w:rPr>
        <w:t>③、教育训练</w:t>
      </w:r>
    </w:p>
    <w:p w14:paraId="49660766">
      <w:pPr>
        <w:ind w:firstLine="480"/>
        <w:rPr>
          <w:rFonts w:hint="eastAsia" w:ascii="宋体" w:hAnsi="宋体" w:eastAsia="宋体" w:cs="宋体"/>
        </w:rPr>
      </w:pPr>
      <w:r>
        <w:rPr>
          <w:rFonts w:hint="eastAsia" w:ascii="宋体" w:hAnsi="宋体" w:eastAsia="宋体" w:cs="宋体"/>
        </w:rPr>
        <w:t>为全面提高应急能力，项目部应对抢险人员进行必要的抢险知识教育，制定相应的规定，包括应急内容、计划、组织与准备、效果评估等，公司应每年进行两次应急预案演练。</w:t>
      </w:r>
    </w:p>
    <w:p w14:paraId="46D0C4EB">
      <w:pPr>
        <w:ind w:firstLine="480"/>
        <w:rPr>
          <w:rFonts w:hint="eastAsia" w:ascii="宋体" w:hAnsi="宋体" w:eastAsia="宋体" w:cs="宋体"/>
        </w:rPr>
      </w:pPr>
      <w:r>
        <w:rPr>
          <w:rFonts w:hint="eastAsia" w:ascii="宋体" w:hAnsi="宋体" w:eastAsia="宋体" w:cs="宋体"/>
        </w:rPr>
        <w:t>④、救助协议</w:t>
      </w:r>
    </w:p>
    <w:tbl>
      <w:tblPr>
        <w:tblStyle w:val="47"/>
        <w:tblpPr w:leftFromText="180" w:rightFromText="180" w:vertAnchor="text" w:horzAnchor="page" w:tblpX="1942" w:tblpY="1333"/>
        <w:tblOverlap w:val="neve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2479"/>
        <w:gridCol w:w="1736"/>
        <w:gridCol w:w="2370"/>
        <w:gridCol w:w="1262"/>
      </w:tblGrid>
      <w:tr w14:paraId="22A5CD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tcPr>
          <w:p w14:paraId="6E304424">
            <w:pPr>
              <w:ind w:firstLine="480"/>
              <w:rPr>
                <w:rFonts w:hint="eastAsia" w:ascii="宋体" w:hAnsi="宋体" w:eastAsia="宋体" w:cs="宋体"/>
              </w:rPr>
            </w:pPr>
            <w:r>
              <w:rPr>
                <w:rFonts w:hint="eastAsia" w:ascii="宋体" w:hAnsi="宋体" w:eastAsia="宋体" w:cs="宋体"/>
              </w:rPr>
              <w:t>序号</w:t>
            </w:r>
          </w:p>
        </w:tc>
        <w:tc>
          <w:tcPr>
            <w:tcW w:w="2479" w:type="dxa"/>
            <w:tcBorders>
              <w:top w:val="dotted" w:color="auto" w:sz="4" w:space="0"/>
              <w:left w:val="dotted" w:color="auto" w:sz="4" w:space="0"/>
              <w:bottom w:val="dotted" w:color="auto" w:sz="4" w:space="0"/>
              <w:right w:val="dotted" w:color="auto" w:sz="4" w:space="0"/>
            </w:tcBorders>
            <w:shd w:val="clear" w:color="auto" w:fill="FFFFFF"/>
          </w:tcPr>
          <w:p w14:paraId="2A5C638D">
            <w:pPr>
              <w:ind w:firstLine="480"/>
              <w:rPr>
                <w:rFonts w:hint="eastAsia" w:ascii="宋体" w:hAnsi="宋体" w:eastAsia="宋体" w:cs="宋体"/>
              </w:rPr>
            </w:pPr>
            <w:r>
              <w:rPr>
                <w:rFonts w:hint="eastAsia" w:ascii="宋体" w:hAnsi="宋体" w:eastAsia="宋体" w:cs="宋体"/>
              </w:rPr>
              <w:t>可利用资源</w:t>
            </w:r>
          </w:p>
        </w:tc>
        <w:tc>
          <w:tcPr>
            <w:tcW w:w="1736" w:type="dxa"/>
            <w:tcBorders>
              <w:top w:val="dotted" w:color="auto" w:sz="4" w:space="0"/>
              <w:left w:val="dotted" w:color="auto" w:sz="4" w:space="0"/>
              <w:bottom w:val="dotted" w:color="auto" w:sz="4" w:space="0"/>
              <w:right w:val="dotted" w:color="auto" w:sz="4" w:space="0"/>
            </w:tcBorders>
            <w:shd w:val="clear" w:color="auto" w:fill="FFFFFF"/>
          </w:tcPr>
          <w:p w14:paraId="2A0BF466">
            <w:pPr>
              <w:ind w:firstLine="480"/>
              <w:rPr>
                <w:rFonts w:hint="eastAsia" w:ascii="宋体" w:hAnsi="宋体" w:eastAsia="宋体" w:cs="宋体"/>
              </w:rPr>
            </w:pPr>
            <w:r>
              <w:rPr>
                <w:rFonts w:hint="eastAsia" w:ascii="宋体" w:hAnsi="宋体" w:eastAsia="宋体" w:cs="宋体"/>
              </w:rPr>
              <w:t>联系方式</w:t>
            </w:r>
          </w:p>
        </w:tc>
        <w:tc>
          <w:tcPr>
            <w:tcW w:w="2370" w:type="dxa"/>
            <w:tcBorders>
              <w:top w:val="dotted" w:color="auto" w:sz="4" w:space="0"/>
              <w:left w:val="dotted" w:color="auto" w:sz="4" w:space="0"/>
              <w:bottom w:val="dotted" w:color="auto" w:sz="4" w:space="0"/>
              <w:right w:val="dotted" w:color="auto" w:sz="4" w:space="0"/>
            </w:tcBorders>
            <w:shd w:val="clear" w:color="auto" w:fill="FFFFFF"/>
          </w:tcPr>
          <w:p w14:paraId="120E5836">
            <w:pPr>
              <w:ind w:firstLine="480"/>
              <w:rPr>
                <w:rFonts w:hint="eastAsia" w:ascii="宋体" w:hAnsi="宋体" w:eastAsia="宋体" w:cs="宋体"/>
              </w:rPr>
            </w:pPr>
            <w:r>
              <w:rPr>
                <w:rFonts w:hint="eastAsia" w:ascii="宋体" w:hAnsi="宋体" w:eastAsia="宋体" w:cs="宋体"/>
              </w:rPr>
              <w:t>用途</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3A95D3FC">
            <w:pPr>
              <w:ind w:firstLine="480"/>
              <w:rPr>
                <w:rFonts w:hint="eastAsia" w:ascii="宋体" w:hAnsi="宋体" w:eastAsia="宋体" w:cs="宋体"/>
              </w:rPr>
            </w:pPr>
            <w:r>
              <w:rPr>
                <w:rFonts w:hint="eastAsia" w:ascii="宋体" w:hAnsi="宋体" w:eastAsia="宋体" w:cs="宋体"/>
              </w:rPr>
              <w:t>备注</w:t>
            </w:r>
          </w:p>
        </w:tc>
      </w:tr>
      <w:tr w14:paraId="79961D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6B22E826">
            <w:pPr>
              <w:ind w:firstLine="480"/>
              <w:rPr>
                <w:rFonts w:hint="eastAsia" w:ascii="宋体" w:hAnsi="宋体" w:eastAsia="宋体" w:cs="宋体"/>
              </w:rPr>
            </w:pPr>
            <w:r>
              <w:rPr>
                <w:rFonts w:hint="eastAsia" w:ascii="宋体" w:hAnsi="宋体" w:eastAsia="宋体" w:cs="宋体"/>
              </w:rPr>
              <w:t>1</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42806734">
            <w:pPr>
              <w:ind w:firstLine="480"/>
              <w:rPr>
                <w:rFonts w:hint="eastAsia" w:ascii="宋体" w:hAnsi="宋体" w:eastAsia="宋体" w:cs="宋体"/>
              </w:rPr>
            </w:pPr>
            <w:r>
              <w:rPr>
                <w:rFonts w:hint="eastAsia" w:ascii="宋体" w:hAnsi="宋体" w:eastAsia="宋体" w:cs="宋体"/>
              </w:rPr>
              <w:t>项目部应急小组</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6CDB761C">
            <w:pPr>
              <w:ind w:left="0" w:leftChars="0" w:firstLine="0" w:firstLineChars="0"/>
              <w:rPr>
                <w:rFonts w:hint="default" w:ascii="宋体" w:hAnsi="宋体" w:eastAsia="宋体" w:cs="宋体"/>
                <w:lang w:val="en-US" w:eastAsia="zh-CN"/>
              </w:rPr>
            </w:pPr>
            <w:r>
              <w:rPr>
                <w:rFonts w:hint="eastAsia" w:ascii="宋体" w:hAnsi="宋体" w:eastAsia="宋体" w:cs="宋体"/>
                <w:lang w:val="en-US" w:eastAsia="zh-CN"/>
              </w:rPr>
              <w:t>18556361199</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7B065049">
            <w:pPr>
              <w:ind w:firstLine="480"/>
              <w:rPr>
                <w:rFonts w:hint="eastAsia" w:ascii="宋体" w:hAnsi="宋体" w:eastAsia="宋体" w:cs="宋体"/>
              </w:rPr>
            </w:pPr>
            <w:r>
              <w:rPr>
                <w:rFonts w:hint="eastAsia" w:ascii="宋体" w:hAnsi="宋体" w:eastAsia="宋体" w:cs="宋体"/>
              </w:rPr>
              <w:t>组织协调</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766BE7D3">
            <w:pPr>
              <w:ind w:firstLine="480"/>
              <w:rPr>
                <w:rFonts w:hint="eastAsia" w:ascii="宋体" w:hAnsi="宋体" w:eastAsia="宋体" w:cs="宋体"/>
              </w:rPr>
            </w:pPr>
          </w:p>
        </w:tc>
      </w:tr>
      <w:tr w14:paraId="4BA222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042EF2CB">
            <w:pPr>
              <w:ind w:firstLine="480"/>
              <w:rPr>
                <w:rFonts w:hint="eastAsia" w:ascii="宋体" w:hAnsi="宋体" w:eastAsia="宋体" w:cs="宋体"/>
              </w:rPr>
            </w:pPr>
            <w:r>
              <w:rPr>
                <w:rFonts w:hint="eastAsia" w:ascii="宋体" w:hAnsi="宋体" w:eastAsia="宋体" w:cs="宋体"/>
              </w:rPr>
              <w:t>2</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680D191F">
            <w:pPr>
              <w:ind w:firstLine="480"/>
              <w:rPr>
                <w:rFonts w:hint="eastAsia" w:ascii="宋体" w:hAnsi="宋体" w:eastAsia="宋体" w:cs="宋体"/>
              </w:rPr>
            </w:pPr>
            <w:r>
              <w:rPr>
                <w:rFonts w:hint="eastAsia" w:ascii="宋体" w:hAnsi="宋体" w:eastAsia="宋体" w:cs="宋体"/>
              </w:rPr>
              <w:t>派出所</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61E29AC0">
            <w:pPr>
              <w:ind w:firstLine="480"/>
              <w:rPr>
                <w:rFonts w:hint="eastAsia" w:ascii="宋体" w:hAnsi="宋体" w:eastAsia="宋体" w:cs="宋体"/>
              </w:rPr>
            </w:pPr>
            <w:r>
              <w:rPr>
                <w:rFonts w:hint="eastAsia" w:ascii="宋体" w:hAnsi="宋体" w:eastAsia="宋体" w:cs="宋体"/>
              </w:rPr>
              <w:t>110</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6B9B92E1">
            <w:pPr>
              <w:ind w:firstLine="480"/>
              <w:rPr>
                <w:rFonts w:hint="eastAsia" w:ascii="宋体" w:hAnsi="宋体" w:eastAsia="宋体" w:cs="宋体"/>
              </w:rPr>
            </w:pPr>
            <w:r>
              <w:rPr>
                <w:rFonts w:hint="eastAsia" w:ascii="宋体" w:hAnsi="宋体" w:eastAsia="宋体" w:cs="宋体"/>
              </w:rPr>
              <w:t>治安事件</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1CAD5365">
            <w:pPr>
              <w:ind w:firstLine="480"/>
              <w:rPr>
                <w:rFonts w:hint="eastAsia" w:ascii="宋体" w:hAnsi="宋体" w:eastAsia="宋体" w:cs="宋体"/>
              </w:rPr>
            </w:pPr>
          </w:p>
        </w:tc>
      </w:tr>
      <w:tr w14:paraId="294E37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07441C36">
            <w:pPr>
              <w:ind w:firstLine="480"/>
              <w:rPr>
                <w:rFonts w:hint="eastAsia" w:ascii="宋体" w:hAnsi="宋体" w:eastAsia="宋体" w:cs="宋体"/>
              </w:rPr>
            </w:pPr>
            <w:r>
              <w:rPr>
                <w:rFonts w:hint="eastAsia" w:ascii="宋体" w:hAnsi="宋体" w:eastAsia="宋体" w:cs="宋体"/>
              </w:rPr>
              <w:t>3</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32695B25">
            <w:pPr>
              <w:ind w:firstLine="480"/>
              <w:rPr>
                <w:rFonts w:hint="eastAsia" w:ascii="宋体" w:hAnsi="宋体" w:eastAsia="宋体" w:cs="宋体"/>
              </w:rPr>
            </w:pPr>
            <w:r>
              <w:rPr>
                <w:rFonts w:hint="eastAsia" w:ascii="宋体" w:hAnsi="宋体" w:eastAsia="宋体" w:cs="宋体"/>
              </w:rPr>
              <w:t>气象</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1AF15EA8">
            <w:pPr>
              <w:ind w:firstLine="480"/>
              <w:rPr>
                <w:rFonts w:hint="eastAsia" w:ascii="宋体" w:hAnsi="宋体" w:eastAsia="宋体" w:cs="宋体"/>
              </w:rPr>
            </w:pPr>
            <w:r>
              <w:rPr>
                <w:rFonts w:hint="eastAsia" w:ascii="宋体" w:hAnsi="宋体" w:eastAsia="宋体" w:cs="宋体"/>
              </w:rPr>
              <w:t>12121</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18DBD0B7">
            <w:pPr>
              <w:ind w:firstLine="480"/>
              <w:rPr>
                <w:rFonts w:hint="eastAsia" w:ascii="宋体" w:hAnsi="宋体" w:eastAsia="宋体" w:cs="宋体"/>
              </w:rPr>
            </w:pPr>
            <w:r>
              <w:rPr>
                <w:rFonts w:hint="eastAsia" w:ascii="宋体" w:hAnsi="宋体" w:eastAsia="宋体" w:cs="宋体"/>
              </w:rPr>
              <w:t>气象信息</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18C8E97C">
            <w:pPr>
              <w:ind w:firstLine="480"/>
              <w:rPr>
                <w:rFonts w:hint="eastAsia" w:ascii="宋体" w:hAnsi="宋体" w:eastAsia="宋体" w:cs="宋体"/>
              </w:rPr>
            </w:pPr>
          </w:p>
        </w:tc>
      </w:tr>
      <w:tr w14:paraId="4D194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5E18F613">
            <w:pPr>
              <w:ind w:firstLine="480"/>
              <w:rPr>
                <w:rFonts w:hint="eastAsia" w:ascii="宋体" w:hAnsi="宋体" w:eastAsia="宋体" w:cs="宋体"/>
              </w:rPr>
            </w:pPr>
            <w:r>
              <w:rPr>
                <w:rFonts w:hint="eastAsia" w:ascii="宋体" w:hAnsi="宋体" w:eastAsia="宋体" w:cs="宋体"/>
              </w:rPr>
              <w:t>4</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76A2CE19">
            <w:pPr>
              <w:ind w:firstLine="480"/>
              <w:rPr>
                <w:rFonts w:hint="eastAsia" w:ascii="宋体" w:hAnsi="宋体" w:eastAsia="宋体" w:cs="宋体"/>
              </w:rPr>
            </w:pPr>
            <w:r>
              <w:rPr>
                <w:rFonts w:hint="eastAsia" w:ascii="宋体" w:hAnsi="宋体" w:eastAsia="宋体" w:cs="宋体"/>
              </w:rPr>
              <w:t>查号台</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29538369">
            <w:pPr>
              <w:ind w:firstLine="480"/>
              <w:rPr>
                <w:rFonts w:hint="eastAsia" w:ascii="宋体" w:hAnsi="宋体" w:eastAsia="宋体" w:cs="宋体"/>
              </w:rPr>
            </w:pPr>
            <w:r>
              <w:rPr>
                <w:rFonts w:hint="eastAsia" w:ascii="宋体" w:hAnsi="宋体" w:eastAsia="宋体" w:cs="宋体"/>
              </w:rPr>
              <w:t>114</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37C9DCED">
            <w:pPr>
              <w:ind w:firstLine="480"/>
              <w:rPr>
                <w:rFonts w:hint="eastAsia" w:ascii="宋体" w:hAnsi="宋体" w:eastAsia="宋体" w:cs="宋体"/>
              </w:rPr>
            </w:pPr>
            <w:r>
              <w:rPr>
                <w:rFonts w:hint="eastAsia" w:ascii="宋体" w:hAnsi="宋体" w:eastAsia="宋体" w:cs="宋体"/>
              </w:rPr>
              <w:t>电话号码查询</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7EFAF347">
            <w:pPr>
              <w:ind w:firstLine="480"/>
              <w:rPr>
                <w:rFonts w:hint="eastAsia" w:ascii="宋体" w:hAnsi="宋体" w:eastAsia="宋体" w:cs="宋体"/>
              </w:rPr>
            </w:pPr>
          </w:p>
        </w:tc>
      </w:tr>
      <w:tr w14:paraId="34A43B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1B7D73B7">
            <w:pPr>
              <w:ind w:firstLine="480"/>
              <w:rPr>
                <w:rFonts w:hint="eastAsia" w:ascii="宋体" w:hAnsi="宋体" w:eastAsia="宋体" w:cs="宋体"/>
              </w:rPr>
            </w:pPr>
            <w:r>
              <w:rPr>
                <w:rFonts w:hint="eastAsia" w:ascii="宋体" w:hAnsi="宋体" w:eastAsia="宋体" w:cs="宋体"/>
              </w:rPr>
              <w:t>5</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305ED14B">
            <w:pPr>
              <w:ind w:firstLine="480"/>
              <w:rPr>
                <w:rFonts w:hint="eastAsia" w:ascii="宋体" w:hAnsi="宋体" w:eastAsia="宋体" w:cs="宋体"/>
              </w:rPr>
            </w:pPr>
            <w:r>
              <w:rPr>
                <w:rFonts w:hint="eastAsia" w:ascii="宋体" w:hAnsi="宋体" w:eastAsia="宋体" w:cs="宋体"/>
              </w:rPr>
              <w:t>道路事故报警</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35BA0D14">
            <w:pPr>
              <w:ind w:firstLine="480"/>
              <w:rPr>
                <w:rFonts w:hint="eastAsia" w:ascii="宋体" w:hAnsi="宋体" w:eastAsia="宋体" w:cs="宋体"/>
              </w:rPr>
            </w:pPr>
            <w:r>
              <w:rPr>
                <w:rFonts w:hint="eastAsia" w:ascii="宋体" w:hAnsi="宋体" w:eastAsia="宋体" w:cs="宋体"/>
              </w:rPr>
              <w:t>122</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0F66F1FB">
            <w:pPr>
              <w:ind w:firstLine="480"/>
              <w:rPr>
                <w:rFonts w:hint="eastAsia" w:ascii="宋体" w:hAnsi="宋体" w:eastAsia="宋体" w:cs="宋体"/>
              </w:rPr>
            </w:pPr>
            <w:r>
              <w:rPr>
                <w:rFonts w:hint="eastAsia" w:ascii="宋体" w:hAnsi="宋体" w:eastAsia="宋体" w:cs="宋体"/>
              </w:rPr>
              <w:t>道路事故救援</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2AF0259D">
            <w:pPr>
              <w:ind w:firstLine="480"/>
              <w:rPr>
                <w:rFonts w:hint="eastAsia" w:ascii="宋体" w:hAnsi="宋体" w:eastAsia="宋体" w:cs="宋体"/>
              </w:rPr>
            </w:pPr>
          </w:p>
        </w:tc>
      </w:tr>
      <w:tr w14:paraId="78C6B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25902D61">
            <w:pPr>
              <w:ind w:firstLine="480"/>
              <w:rPr>
                <w:rFonts w:hint="eastAsia" w:ascii="宋体" w:hAnsi="宋体" w:eastAsia="宋体" w:cs="宋体"/>
              </w:rPr>
            </w:pPr>
            <w:r>
              <w:rPr>
                <w:rFonts w:hint="eastAsia" w:ascii="宋体" w:hAnsi="宋体" w:eastAsia="宋体" w:cs="宋体"/>
              </w:rPr>
              <w:t>6</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1C11B71D">
            <w:pPr>
              <w:ind w:firstLine="480"/>
              <w:rPr>
                <w:rFonts w:hint="default" w:ascii="宋体" w:hAnsi="宋体" w:eastAsia="宋体" w:cs="宋体"/>
                <w:lang w:val="en-US" w:eastAsia="zh-CN"/>
              </w:rPr>
            </w:pPr>
            <w:r>
              <w:rPr>
                <w:rFonts w:hint="eastAsia" w:ascii="宋体" w:hAnsi="宋体" w:eastAsia="宋体" w:cs="宋体"/>
                <w:lang w:val="en-US" w:eastAsia="zh-CN"/>
              </w:rPr>
              <w:t>福清市人民医院</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31662693">
            <w:pPr>
              <w:ind w:firstLine="480"/>
              <w:rPr>
                <w:rFonts w:hint="eastAsia" w:ascii="宋体" w:hAnsi="宋体" w:eastAsia="宋体" w:cs="宋体"/>
              </w:rPr>
            </w:pPr>
            <w:r>
              <w:rPr>
                <w:rFonts w:hint="eastAsia" w:ascii="宋体" w:hAnsi="宋体" w:eastAsia="宋体" w:cs="宋体"/>
              </w:rPr>
              <w:t>120</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556C7177">
            <w:pPr>
              <w:ind w:firstLine="480"/>
              <w:rPr>
                <w:rFonts w:hint="eastAsia" w:ascii="宋体" w:hAnsi="宋体" w:eastAsia="宋体" w:cs="宋体"/>
              </w:rPr>
            </w:pPr>
            <w:r>
              <w:rPr>
                <w:rFonts w:hint="eastAsia" w:ascii="宋体" w:hAnsi="宋体" w:eastAsia="宋体" w:cs="宋体"/>
              </w:rPr>
              <w:t>人员伤亡急救</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3B27D0E3">
            <w:pPr>
              <w:ind w:firstLine="480"/>
              <w:rPr>
                <w:rFonts w:hint="eastAsia" w:ascii="宋体" w:hAnsi="宋体" w:eastAsia="宋体" w:cs="宋体"/>
              </w:rPr>
            </w:pPr>
          </w:p>
        </w:tc>
      </w:tr>
      <w:tr w14:paraId="7A1E81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1DD248B8">
            <w:pPr>
              <w:ind w:firstLine="480"/>
              <w:rPr>
                <w:rFonts w:hint="eastAsia" w:ascii="宋体" w:hAnsi="宋体" w:eastAsia="宋体" w:cs="宋体"/>
              </w:rPr>
            </w:pPr>
            <w:r>
              <w:rPr>
                <w:rFonts w:hint="eastAsia" w:ascii="宋体" w:hAnsi="宋体" w:eastAsia="宋体" w:cs="宋体"/>
              </w:rPr>
              <w:t>7</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35FF70A9">
            <w:pPr>
              <w:ind w:firstLine="480"/>
              <w:rPr>
                <w:rFonts w:hint="eastAsia" w:ascii="宋体" w:hAnsi="宋体" w:eastAsia="宋体" w:cs="宋体"/>
              </w:rPr>
            </w:pPr>
            <w:r>
              <w:rPr>
                <w:rFonts w:hint="eastAsia" w:ascii="宋体" w:hAnsi="宋体" w:eastAsia="宋体" w:cs="宋体"/>
              </w:rPr>
              <w:t>火警</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56F8FA66">
            <w:pPr>
              <w:ind w:firstLine="480"/>
              <w:rPr>
                <w:rFonts w:hint="eastAsia" w:ascii="宋体" w:hAnsi="宋体" w:eastAsia="宋体" w:cs="宋体"/>
              </w:rPr>
            </w:pPr>
            <w:r>
              <w:rPr>
                <w:rFonts w:hint="eastAsia" w:ascii="宋体" w:hAnsi="宋体" w:eastAsia="宋体" w:cs="宋体"/>
              </w:rPr>
              <w:t>119</w:t>
            </w: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4B1A6828">
            <w:pPr>
              <w:ind w:firstLine="480"/>
              <w:rPr>
                <w:rFonts w:hint="eastAsia" w:ascii="宋体" w:hAnsi="宋体" w:eastAsia="宋体" w:cs="宋体"/>
              </w:rPr>
            </w:pPr>
            <w:r>
              <w:rPr>
                <w:rFonts w:hint="eastAsia" w:ascii="宋体" w:hAnsi="宋体" w:eastAsia="宋体" w:cs="宋体"/>
              </w:rPr>
              <w:t>火灾救援</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554FC9FC">
            <w:pPr>
              <w:ind w:firstLine="480"/>
              <w:rPr>
                <w:rFonts w:hint="eastAsia" w:ascii="宋体" w:hAnsi="宋体" w:eastAsia="宋体" w:cs="宋体"/>
              </w:rPr>
            </w:pPr>
          </w:p>
        </w:tc>
      </w:tr>
      <w:tr w14:paraId="04F26F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7" w:hRule="atLeast"/>
        </w:trPr>
        <w:tc>
          <w:tcPr>
            <w:tcW w:w="1271" w:type="dxa"/>
            <w:tcBorders>
              <w:top w:val="dotted" w:color="auto" w:sz="4" w:space="0"/>
              <w:left w:val="dotted" w:color="auto" w:sz="4" w:space="0"/>
              <w:bottom w:val="dotted" w:color="auto" w:sz="4" w:space="0"/>
              <w:right w:val="dotted" w:color="auto" w:sz="4" w:space="0"/>
            </w:tcBorders>
            <w:shd w:val="clear" w:color="auto" w:fill="FFFFFF"/>
            <w:vAlign w:val="center"/>
          </w:tcPr>
          <w:p w14:paraId="706C86C8">
            <w:pPr>
              <w:ind w:firstLine="480"/>
              <w:rPr>
                <w:rFonts w:hint="eastAsia" w:ascii="宋体" w:hAnsi="宋体" w:eastAsia="宋体" w:cs="宋体"/>
              </w:rPr>
            </w:pPr>
            <w:r>
              <w:rPr>
                <w:rFonts w:hint="eastAsia" w:ascii="宋体" w:hAnsi="宋体" w:eastAsia="宋体" w:cs="宋体"/>
              </w:rPr>
              <w:t>8</w:t>
            </w:r>
          </w:p>
        </w:tc>
        <w:tc>
          <w:tcPr>
            <w:tcW w:w="2479" w:type="dxa"/>
            <w:tcBorders>
              <w:top w:val="dotted" w:color="auto" w:sz="4" w:space="0"/>
              <w:left w:val="dotted" w:color="auto" w:sz="4" w:space="0"/>
              <w:bottom w:val="dotted" w:color="auto" w:sz="4" w:space="0"/>
              <w:right w:val="dotted" w:color="auto" w:sz="4" w:space="0"/>
            </w:tcBorders>
            <w:shd w:val="clear" w:color="auto" w:fill="FFFFFF"/>
            <w:vAlign w:val="center"/>
          </w:tcPr>
          <w:p w14:paraId="1B1AB3E2">
            <w:pPr>
              <w:ind w:firstLine="480"/>
              <w:rPr>
                <w:rFonts w:hint="eastAsia" w:ascii="宋体" w:hAnsi="宋体" w:eastAsia="宋体" w:cs="宋体"/>
              </w:rPr>
            </w:pPr>
            <w:r>
              <w:rPr>
                <w:rFonts w:hint="eastAsia" w:ascii="宋体" w:hAnsi="宋体" w:eastAsia="宋体" w:cs="宋体"/>
              </w:rPr>
              <w:t>值班车辆</w:t>
            </w:r>
          </w:p>
        </w:tc>
        <w:tc>
          <w:tcPr>
            <w:tcW w:w="1736" w:type="dxa"/>
            <w:tcBorders>
              <w:top w:val="dotted" w:color="auto" w:sz="4" w:space="0"/>
              <w:left w:val="dotted" w:color="auto" w:sz="4" w:space="0"/>
              <w:bottom w:val="dotted" w:color="auto" w:sz="4" w:space="0"/>
              <w:right w:val="dotted" w:color="auto" w:sz="4" w:space="0"/>
            </w:tcBorders>
            <w:shd w:val="clear" w:color="auto" w:fill="FFFFFF"/>
            <w:vAlign w:val="center"/>
          </w:tcPr>
          <w:p w14:paraId="7654927C">
            <w:pPr>
              <w:ind w:firstLine="480"/>
              <w:rPr>
                <w:rFonts w:hint="eastAsia" w:ascii="宋体" w:hAnsi="宋体" w:eastAsia="宋体" w:cs="宋体"/>
              </w:rPr>
            </w:pPr>
          </w:p>
        </w:tc>
        <w:tc>
          <w:tcPr>
            <w:tcW w:w="2370" w:type="dxa"/>
            <w:tcBorders>
              <w:top w:val="dotted" w:color="auto" w:sz="4" w:space="0"/>
              <w:left w:val="dotted" w:color="auto" w:sz="4" w:space="0"/>
              <w:bottom w:val="dotted" w:color="auto" w:sz="4" w:space="0"/>
              <w:right w:val="dotted" w:color="auto" w:sz="4" w:space="0"/>
            </w:tcBorders>
            <w:shd w:val="clear" w:color="auto" w:fill="FFFFFF"/>
            <w:vAlign w:val="center"/>
          </w:tcPr>
          <w:p w14:paraId="4DDC9AB3">
            <w:pPr>
              <w:ind w:firstLine="480"/>
              <w:rPr>
                <w:rFonts w:hint="eastAsia" w:ascii="宋体" w:hAnsi="宋体" w:eastAsia="宋体" w:cs="宋体"/>
              </w:rPr>
            </w:pPr>
            <w:r>
              <w:rPr>
                <w:rFonts w:hint="eastAsia" w:ascii="宋体" w:hAnsi="宋体" w:eastAsia="宋体" w:cs="宋体"/>
              </w:rPr>
              <w:t>人员、物资等运输</w:t>
            </w:r>
          </w:p>
        </w:tc>
        <w:tc>
          <w:tcPr>
            <w:tcW w:w="1262" w:type="dxa"/>
            <w:tcBorders>
              <w:top w:val="dotted" w:color="auto" w:sz="4" w:space="0"/>
              <w:left w:val="dotted" w:color="auto" w:sz="4" w:space="0"/>
              <w:bottom w:val="dotted" w:color="auto" w:sz="4" w:space="0"/>
              <w:right w:val="dotted" w:color="auto" w:sz="4" w:space="0"/>
            </w:tcBorders>
            <w:shd w:val="clear" w:color="auto" w:fill="FFFFFF"/>
          </w:tcPr>
          <w:p w14:paraId="772EF5DB">
            <w:pPr>
              <w:ind w:firstLine="480"/>
              <w:rPr>
                <w:rFonts w:hint="eastAsia" w:ascii="宋体" w:hAnsi="宋体" w:eastAsia="宋体" w:cs="宋体"/>
              </w:rPr>
            </w:pPr>
          </w:p>
        </w:tc>
      </w:tr>
    </w:tbl>
    <w:p w14:paraId="4DC49A35">
      <w:pPr>
        <w:ind w:firstLine="480"/>
        <w:rPr>
          <w:rFonts w:hint="eastAsia" w:ascii="宋体" w:hAnsi="宋体" w:eastAsia="宋体" w:cs="宋体"/>
        </w:rPr>
      </w:pPr>
      <w:r>
        <w:rPr>
          <w:rFonts w:hint="eastAsia" w:ascii="宋体" w:hAnsi="宋体" w:eastAsia="宋体" w:cs="宋体"/>
        </w:rPr>
        <w:t>项目部应事先与地方医院、宾馆、消防、气象等相关单位建立联系，订立救助协议，以便在事故发生后及时得到外部救援力量和资源的援助。相关单位联系方式和救助方式</w:t>
      </w:r>
    </w:p>
    <w:p w14:paraId="654B1EAF">
      <w:pPr>
        <w:ind w:firstLine="480"/>
        <w:rPr>
          <w:rFonts w:hint="eastAsia" w:ascii="宋体" w:hAnsi="宋体" w:eastAsia="宋体" w:cs="宋体"/>
        </w:rPr>
      </w:pPr>
      <w:bookmarkStart w:id="2863" w:name="_Toc408921790"/>
      <w:bookmarkStart w:id="2864" w:name="_Toc414368419"/>
      <w:bookmarkStart w:id="2865" w:name="_Toc408995123"/>
      <w:bookmarkStart w:id="2866" w:name="_Toc343695261"/>
      <w:r>
        <w:rPr>
          <w:rFonts w:hint="eastAsia" w:ascii="宋体" w:hAnsi="宋体" w:eastAsia="宋体" w:cs="宋体"/>
        </w:rPr>
        <w:t>（3）突发事件应急方案</w:t>
      </w:r>
      <w:bookmarkEnd w:id="2863"/>
      <w:bookmarkEnd w:id="2864"/>
      <w:bookmarkEnd w:id="2865"/>
      <w:bookmarkEnd w:id="2866"/>
    </w:p>
    <w:p w14:paraId="1023438F">
      <w:pPr>
        <w:ind w:firstLine="480"/>
        <w:rPr>
          <w:rFonts w:hint="eastAsia" w:ascii="宋体" w:hAnsi="宋体" w:eastAsia="宋体" w:cs="宋体"/>
        </w:rPr>
      </w:pPr>
      <w:r>
        <w:rPr>
          <w:rFonts w:hint="eastAsia" w:ascii="宋体" w:hAnsi="宋体" w:eastAsia="宋体" w:cs="宋体"/>
        </w:rPr>
        <w:t>①、接警与通知：水上施工发生安全事故后，项目部必须立即报告到监理、建设单位、公司，时间不超过4个小时；</w:t>
      </w:r>
    </w:p>
    <w:p w14:paraId="06B1E374">
      <w:pPr>
        <w:ind w:firstLine="480"/>
        <w:rPr>
          <w:rFonts w:hint="eastAsia" w:ascii="宋体" w:hAnsi="宋体" w:eastAsia="宋体" w:cs="宋体"/>
        </w:rPr>
      </w:pPr>
      <w:r>
        <w:rPr>
          <w:rFonts w:hint="eastAsia" w:ascii="宋体" w:hAnsi="宋体" w:eastAsia="宋体" w:cs="宋体"/>
        </w:rPr>
        <w:t>②、指挥和控制：</w:t>
      </w:r>
    </w:p>
    <w:p w14:paraId="3D05DC28">
      <w:pPr>
        <w:ind w:firstLine="480"/>
        <w:rPr>
          <w:rFonts w:hint="eastAsia" w:ascii="宋体" w:hAnsi="宋体" w:eastAsia="宋体" w:cs="宋体"/>
        </w:rPr>
      </w:pPr>
      <w:r>
        <w:rPr>
          <w:rFonts w:hint="eastAsia" w:ascii="宋体" w:hAnsi="宋体" w:eastAsia="宋体" w:cs="宋体"/>
        </w:rPr>
        <w:t>突降大雨或暴雨时，水位即将上涨到危险水位，立即停止水上作业人员、机械的施工，全部有序撤出到安全位置，及时确定因水位上升造成的影响制定相应的措施。</w:t>
      </w:r>
    </w:p>
    <w:p w14:paraId="052ACEF1">
      <w:pPr>
        <w:ind w:firstLine="480"/>
        <w:rPr>
          <w:rFonts w:hint="eastAsia" w:ascii="宋体" w:hAnsi="宋体" w:eastAsia="宋体" w:cs="宋体"/>
        </w:rPr>
      </w:pPr>
      <w:r>
        <w:rPr>
          <w:rFonts w:hint="eastAsia" w:ascii="宋体" w:hAnsi="宋体" w:eastAsia="宋体" w:cs="宋体"/>
        </w:rPr>
        <w:t>水上事故的指挥控制：</w:t>
      </w:r>
    </w:p>
    <w:p w14:paraId="20138F55">
      <w:pPr>
        <w:ind w:firstLine="480"/>
        <w:rPr>
          <w:rFonts w:hint="eastAsia" w:ascii="宋体" w:hAnsi="宋体" w:eastAsia="宋体" w:cs="宋体"/>
        </w:rPr>
      </w:pPr>
      <w:r>
        <w:rPr>
          <w:rFonts w:hint="eastAsia" w:ascii="宋体" w:hAnsi="宋体" w:eastAsia="宋体" w:cs="宋体"/>
        </w:rPr>
        <w:t>发生事故后，由应急小组组长负责现场总指挥，发现事故发生人员首先高声呼喊，通知现场安全员，由安全员打事故抢救电话，向上级有关部门或医院打电话抢救，同时通知应急小组进行现场抢救。</w:t>
      </w:r>
    </w:p>
    <w:p w14:paraId="36E7C496">
      <w:pPr>
        <w:ind w:firstLine="480"/>
        <w:rPr>
          <w:rFonts w:hint="eastAsia" w:ascii="宋体" w:hAnsi="宋体" w:eastAsia="宋体" w:cs="宋体"/>
        </w:rPr>
      </w:pPr>
      <w:r>
        <w:rPr>
          <w:rFonts w:hint="eastAsia" w:ascii="宋体" w:hAnsi="宋体" w:eastAsia="宋体" w:cs="宋体"/>
        </w:rPr>
        <w:t>发生人员落水时，应由现场人员及时报告项目办公室或安全部长，办公室或安全部长报告应急小组，小组长确定救援方案，由副组长组织人员和救援船只现场救援。项目部不具备救援条件或现场救援无效，应及时向消防、水利部门报告，请求专业部门救援。</w:t>
      </w:r>
    </w:p>
    <w:p w14:paraId="3A66075B">
      <w:pPr>
        <w:ind w:firstLine="480"/>
        <w:rPr>
          <w:rFonts w:hint="eastAsia" w:ascii="宋体" w:hAnsi="宋体" w:eastAsia="宋体" w:cs="宋体"/>
        </w:rPr>
      </w:pPr>
      <w:r>
        <w:rPr>
          <w:rFonts w:hint="eastAsia" w:ascii="宋体" w:hAnsi="宋体" w:eastAsia="宋体" w:cs="宋体"/>
        </w:rPr>
        <w:t>紧急救援的一般原则：</w:t>
      </w:r>
    </w:p>
    <w:p w14:paraId="4DE1590F">
      <w:pPr>
        <w:ind w:firstLine="480"/>
        <w:rPr>
          <w:rFonts w:hint="eastAsia" w:ascii="宋体" w:hAnsi="宋体" w:eastAsia="宋体" w:cs="宋体"/>
        </w:rPr>
      </w:pPr>
      <w:r>
        <w:rPr>
          <w:rFonts w:hint="eastAsia" w:ascii="宋体" w:hAnsi="宋体" w:eastAsia="宋体" w:cs="宋体"/>
        </w:rPr>
        <w:t>以确保人员的安全为第一，其次是控制材料的损失，紧急救援关键是速度，因为大多数溺水死亡、交通事故、严重伤害事故的人员抢救的关键是得到最短时间内的救援。此外，要培养施工人员正确的除险意识，凡发现险情要立刻进行报告，紧急救援响应者必须服从应急小组领导者的指挥。</w:t>
      </w:r>
    </w:p>
    <w:p w14:paraId="6E895901">
      <w:pPr>
        <w:ind w:firstLine="480"/>
        <w:rPr>
          <w:rFonts w:hint="eastAsia" w:ascii="宋体" w:hAnsi="宋体" w:eastAsia="宋体" w:cs="宋体"/>
        </w:rPr>
      </w:pPr>
      <w:r>
        <w:rPr>
          <w:rFonts w:hint="eastAsia" w:ascii="宋体" w:hAnsi="宋体" w:eastAsia="宋体" w:cs="宋体"/>
        </w:rPr>
        <w:t>急救知识与技术：</w:t>
      </w:r>
    </w:p>
    <w:p w14:paraId="387F912B">
      <w:pPr>
        <w:ind w:firstLine="480"/>
        <w:rPr>
          <w:rFonts w:hint="eastAsia" w:ascii="宋体" w:hAnsi="宋体" w:eastAsia="宋体" w:cs="宋体"/>
        </w:rPr>
      </w:pPr>
      <w:r>
        <w:rPr>
          <w:rFonts w:hint="eastAsia" w:ascii="宋体" w:hAnsi="宋体" w:eastAsia="宋体" w:cs="宋体"/>
        </w:rPr>
        <w:t>鉴于水上施工事故所造成的伤害主要是窒息引起呼吸功能衰竭和颅脑损伤所致中枢神经系统功能衰竭，因此紧急工作组成员必须熟练掌握止血包扎、伤员搬运及心肺复苏等急救知识与技术等。</w:t>
      </w:r>
    </w:p>
    <w:p w14:paraId="03FA7025">
      <w:pPr>
        <w:ind w:firstLine="480"/>
        <w:rPr>
          <w:rFonts w:hint="eastAsia" w:ascii="宋体" w:hAnsi="宋体" w:eastAsia="宋体" w:cs="宋体"/>
        </w:rPr>
      </w:pPr>
      <w:r>
        <w:rPr>
          <w:rFonts w:hint="eastAsia" w:ascii="宋体" w:hAnsi="宋体" w:eastAsia="宋体" w:cs="宋体"/>
        </w:rPr>
        <w:t>③、通讯：项目部必须将项目部应急领导小组成员的手机号码，相关单位的固定电话或手机要明示于显要位置。</w:t>
      </w:r>
    </w:p>
    <w:p w14:paraId="7ED03299">
      <w:pPr>
        <w:ind w:firstLine="480"/>
        <w:rPr>
          <w:rFonts w:hint="eastAsia" w:ascii="宋体" w:hAnsi="宋体" w:eastAsia="宋体" w:cs="宋体"/>
        </w:rPr>
      </w:pPr>
      <w:r>
        <w:rPr>
          <w:rFonts w:hint="eastAsia" w:ascii="宋体" w:hAnsi="宋体" w:eastAsia="宋体" w:cs="宋体"/>
        </w:rPr>
        <w:t>④、警戒与治安</w:t>
      </w:r>
    </w:p>
    <w:p w14:paraId="2858CD9D">
      <w:pPr>
        <w:ind w:firstLine="480"/>
        <w:rPr>
          <w:rFonts w:hint="eastAsia" w:ascii="宋体" w:hAnsi="宋体" w:eastAsia="宋体" w:cs="宋体"/>
        </w:rPr>
      </w:pPr>
      <w:r>
        <w:rPr>
          <w:rFonts w:hint="eastAsia" w:ascii="宋体" w:hAnsi="宋体" w:eastAsia="宋体" w:cs="宋体"/>
        </w:rPr>
        <w:t>安全保护小组应在事故现场周围建立警戒区域实施交通管制，维护现场治安秩序。</w:t>
      </w:r>
    </w:p>
    <w:p w14:paraId="2CC6362A">
      <w:pPr>
        <w:ind w:firstLine="480"/>
        <w:rPr>
          <w:rFonts w:hint="eastAsia" w:ascii="宋体" w:hAnsi="宋体" w:eastAsia="宋体" w:cs="宋体"/>
        </w:rPr>
      </w:pPr>
      <w:r>
        <w:rPr>
          <w:rFonts w:hint="eastAsia" w:ascii="宋体" w:hAnsi="宋体" w:eastAsia="宋体" w:cs="宋体"/>
        </w:rPr>
        <w:t>⑤、人员召集、疏散与安置</w:t>
      </w:r>
    </w:p>
    <w:p w14:paraId="2F6BE5AB">
      <w:pPr>
        <w:ind w:firstLine="480"/>
        <w:rPr>
          <w:rFonts w:hint="eastAsia" w:ascii="宋体" w:hAnsi="宋体" w:eastAsia="宋体" w:cs="宋体"/>
        </w:rPr>
      </w:pPr>
      <w:r>
        <w:rPr>
          <w:rFonts w:hint="eastAsia" w:ascii="宋体" w:hAnsi="宋体" w:eastAsia="宋体" w:cs="宋体"/>
        </w:rPr>
        <w:t>应急救援时需要较多人员时，应由办公室通知预备救援人员。需要疏散人员时，疏散人员工作要有秩序地服从指挥人员的疏导要求进行疏散，做到不惊慌失措，勿混乱、拥挤、减少人员。</w:t>
      </w:r>
    </w:p>
    <w:p w14:paraId="30E86DBE">
      <w:pPr>
        <w:pStyle w:val="4"/>
        <w:numPr>
          <w:ilvl w:val="1"/>
          <w:numId w:val="0"/>
        </w:numPr>
        <w:spacing w:line="360" w:lineRule="auto"/>
        <w:ind w:firstLine="0" w:firstLineChars="0"/>
        <w:rPr>
          <w:color w:val="auto"/>
        </w:rPr>
      </w:pPr>
      <w:bookmarkStart w:id="2867" w:name="_Toc8880"/>
      <w:bookmarkStart w:id="2868" w:name="_Toc17866"/>
      <w:bookmarkStart w:id="2869" w:name="_Toc3997"/>
      <w:bookmarkStart w:id="2870" w:name="_Toc11950"/>
      <w:bookmarkStart w:id="2871" w:name="_Toc16742"/>
      <w:bookmarkStart w:id="2872" w:name="_Toc4984"/>
      <w:bookmarkStart w:id="2873" w:name="_Toc21612"/>
      <w:bookmarkStart w:id="2874" w:name="_Toc2284"/>
      <w:bookmarkStart w:id="2875" w:name="_Toc2611"/>
      <w:bookmarkStart w:id="2876" w:name="_Toc16126"/>
      <w:bookmarkStart w:id="2877" w:name="_Toc32732"/>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7</w:t>
      </w:r>
      <w:r>
        <w:rPr>
          <w:rFonts w:hint="default" w:ascii="Arial" w:hAnsi="Arial" w:eastAsia="宋体" w:cs="Times New Roman"/>
          <w:b/>
          <w:bCs/>
          <w:color w:val="auto"/>
          <w:kern w:val="2"/>
          <w:sz w:val="32"/>
          <w:szCs w:val="32"/>
          <w:lang w:val="en-US" w:eastAsia="zh-CN" w:bidi="ar-SA"/>
        </w:rPr>
        <w:t>.3.</w:t>
      </w:r>
      <w:r>
        <w:rPr>
          <w:rFonts w:hint="eastAsia"/>
          <w:color w:val="auto"/>
        </w:rPr>
        <w:t>项目疫情防控措施</w:t>
      </w:r>
      <w:bookmarkEnd w:id="2867"/>
      <w:bookmarkEnd w:id="2868"/>
      <w:bookmarkEnd w:id="2869"/>
      <w:bookmarkEnd w:id="2870"/>
      <w:bookmarkEnd w:id="2871"/>
      <w:bookmarkEnd w:id="2872"/>
      <w:bookmarkEnd w:id="2873"/>
      <w:bookmarkEnd w:id="2874"/>
      <w:bookmarkEnd w:id="2875"/>
      <w:bookmarkEnd w:id="2876"/>
      <w:bookmarkEnd w:id="2877"/>
    </w:p>
    <w:p w14:paraId="588F7A63">
      <w:pPr>
        <w:ind w:firstLine="480"/>
        <w:rPr>
          <w:rFonts w:hint="eastAsia" w:ascii="宋体" w:hAnsi="宋体" w:eastAsia="宋体" w:cs="宋体"/>
        </w:rPr>
      </w:pPr>
      <w:r>
        <w:rPr>
          <w:rFonts w:hint="eastAsia" w:ascii="宋体" w:hAnsi="宋体" w:eastAsia="宋体" w:cs="宋体"/>
        </w:rPr>
        <w:t>要进一步提高政治站位，切实发挥组织领导作用，层层压实防控责任，严格落实防控措施，严格执行值班制度，遇有突发状况，按规定及时报告并妥善处理。确保项目部疫情防控形势稳定。</w:t>
      </w:r>
    </w:p>
    <w:p w14:paraId="2397D47C">
      <w:pPr>
        <w:ind w:firstLine="480"/>
        <w:rPr>
          <w:rFonts w:hint="eastAsia" w:ascii="宋体" w:hAnsi="宋体" w:eastAsia="宋体" w:cs="宋体"/>
        </w:rPr>
      </w:pPr>
      <w:r>
        <w:rPr>
          <w:rFonts w:hint="eastAsia" w:ascii="宋体" w:hAnsi="宋体" w:eastAsia="宋体" w:cs="宋体"/>
        </w:rPr>
        <w:t>（1）严格做好流动人员疫情防控。要认真细致开展流动人员信息摸排登记工作，特别是针对来自疫情中高风险地区人员、入境人员，认真细致开展人员信息摸排登记工作，强化健康监测和随访管理，消除疫情输入隐患。所有人员非工作需要不得擅自前往中高风险地区。</w:t>
      </w:r>
    </w:p>
    <w:p w14:paraId="2BA56346">
      <w:pPr>
        <w:ind w:firstLine="480"/>
        <w:rPr>
          <w:rFonts w:hint="eastAsia" w:ascii="宋体" w:hAnsi="宋体" w:eastAsia="宋体" w:cs="宋体"/>
        </w:rPr>
      </w:pPr>
      <w:r>
        <w:rPr>
          <w:rFonts w:hint="eastAsia" w:ascii="宋体" w:hAnsi="宋体" w:eastAsia="宋体" w:cs="宋体"/>
        </w:rPr>
        <w:t>（2）严格管理在项目职工出行。施工期间，应减少不必要的出行，不组织、不参加规模性聚会、聚餐及聚集性活动。倡导员工就地过节，尽量不出行旅游，尤其不要前往中高风险地区，全体员工未经批准不得离开工地。</w:t>
      </w:r>
    </w:p>
    <w:p w14:paraId="0BF46192">
      <w:pPr>
        <w:ind w:firstLine="480"/>
        <w:rPr>
          <w:rFonts w:hint="eastAsia" w:ascii="宋体" w:hAnsi="宋体" w:eastAsia="宋体" w:cs="宋体"/>
        </w:rPr>
      </w:pPr>
      <w:r>
        <w:rPr>
          <w:rFonts w:hint="eastAsia" w:ascii="宋体" w:hAnsi="宋体" w:eastAsia="宋体" w:cs="宋体"/>
        </w:rPr>
        <w:t>（3）严格管控项目人员。加强项目进场人员考勤管理，全面掌握项目人员出行轨迹，切实防范外来输入风险。加强项目封闭管理，坚决杜绝非工作人员出入项目驻地和施工现场，严格按属地疫情防控要求做好外访人员管理。项目所有人员确需离岗的由所在单位统一以书面形式报备公司疫情防控领导小组。属地政府或业主另有特殊要求的，按属地政府和业主要求执行。</w:t>
      </w:r>
    </w:p>
    <w:p w14:paraId="1ED2F8E7">
      <w:pPr>
        <w:ind w:firstLine="480"/>
        <w:rPr>
          <w:rFonts w:hint="eastAsia" w:ascii="宋体" w:hAnsi="宋体" w:eastAsia="宋体" w:cs="宋体"/>
        </w:rPr>
      </w:pPr>
      <w:r>
        <w:rPr>
          <w:rFonts w:hint="eastAsia" w:ascii="宋体" w:hAnsi="宋体" w:eastAsia="宋体" w:cs="宋体"/>
        </w:rPr>
        <w:t>（4）加强项目现场疫情管控。严格按照疫情防控“一责两案”要求，加强项目驻地和施工现场防疫管理，定期开展全面消毒消杀，保证办公区和施工区干净整洁。做好防疫物资和生活储备工作，各单位应提前储备至少满足三个月需求的防疫物资，加大口罩、酒精、消毒水等重要防疫物资采购，切实满足现场防疫工作需求。</w:t>
      </w:r>
    </w:p>
    <w:p w14:paraId="2735360A">
      <w:pPr>
        <w:ind w:firstLine="480"/>
        <w:rPr>
          <w:rFonts w:hint="eastAsia" w:ascii="宋体" w:hAnsi="宋体" w:eastAsia="宋体" w:cs="宋体"/>
        </w:rPr>
      </w:pPr>
      <w:r>
        <w:rPr>
          <w:rFonts w:hint="eastAsia" w:ascii="宋体" w:hAnsi="宋体" w:eastAsia="宋体" w:cs="宋体"/>
        </w:rPr>
        <w:t>（5）加强食堂卫生管理工作。一是各单位要加强食堂菜品来源监管，确保采购安全食品；二是各单位要对食堂从业人员假期往返行程进行规划安排；三是各单位食堂应对集中用餐人员采取管控，实行分时分餐制，避免聚集。</w:t>
      </w:r>
    </w:p>
    <w:p w14:paraId="50CDD0AC">
      <w:pPr>
        <w:ind w:firstLine="480"/>
        <w:rPr>
          <w:rFonts w:hint="eastAsia" w:ascii="宋体" w:hAnsi="宋体" w:eastAsia="宋体" w:cs="宋体"/>
        </w:rPr>
      </w:pPr>
      <w:r>
        <w:rPr>
          <w:rFonts w:hint="eastAsia" w:ascii="宋体" w:hAnsi="宋体" w:eastAsia="宋体" w:cs="宋体"/>
        </w:rPr>
        <w:t>（6）加强宣传引导，做好防疫形势宣传、信息发布等工作。倡导员工坚持科学佩戴口罩，到人多密集场所以及乘坐公共交通工具时，要注意与他人保持至少1米以上社交安全距离；保持良好个人卫生，勤洗手，咳嗽、打喷嚏时及时遮掩；及时对公共区域、车辆、食堂等场所进行消毒。</w:t>
      </w:r>
    </w:p>
    <w:p w14:paraId="1000DBFC">
      <w:pPr>
        <w:ind w:firstLine="480"/>
        <w:rPr>
          <w:rFonts w:hint="eastAsia"/>
        </w:rPr>
      </w:pPr>
      <w:r>
        <w:rPr>
          <w:rFonts w:hint="eastAsia" w:ascii="宋体" w:hAnsi="宋体" w:eastAsia="宋体" w:cs="宋体"/>
        </w:rPr>
        <w:t>（7）在防控工作中出现的重要情况要及时向公司疫情防控领导小组办公室报告。</w:t>
      </w:r>
    </w:p>
    <w:p w14:paraId="6DDFBCCB">
      <w:pPr>
        <w:pStyle w:val="2"/>
        <w:numPr>
          <w:ilvl w:val="0"/>
          <w:numId w:val="0"/>
        </w:numPr>
        <w:spacing w:line="360" w:lineRule="auto"/>
        <w:ind w:left="432" w:leftChars="0" w:hanging="432" w:firstLineChars="0"/>
        <w:jc w:val="left"/>
        <w:rPr>
          <w:color w:val="auto"/>
        </w:rPr>
      </w:pPr>
      <w:bookmarkStart w:id="2878" w:name="_Toc14917"/>
      <w:bookmarkStart w:id="2879" w:name="_Toc650"/>
      <w:bookmarkStart w:id="2880" w:name="_Toc24454"/>
      <w:bookmarkStart w:id="2881" w:name="_Toc11288"/>
      <w:bookmarkStart w:id="2882" w:name="_Toc31894"/>
      <w:r>
        <w:rPr>
          <w:rFonts w:hint="eastAsia" w:cs="Times New Roman"/>
          <w:b/>
          <w:bCs/>
          <w:color w:val="auto"/>
          <w:kern w:val="36"/>
          <w:sz w:val="36"/>
          <w:szCs w:val="48"/>
          <w:lang w:val="en-US" w:eastAsia="zh-CN" w:bidi="ar-SA"/>
        </w:rPr>
        <w:t xml:space="preserve">第十八章 </w:t>
      </w:r>
      <w:r>
        <w:rPr>
          <w:rFonts w:hint="eastAsia"/>
          <w:color w:val="auto"/>
        </w:rPr>
        <w:t>平安工地、品质工程建设</w:t>
      </w:r>
      <w:bookmarkEnd w:id="2878"/>
      <w:bookmarkEnd w:id="2879"/>
      <w:bookmarkEnd w:id="2880"/>
      <w:bookmarkEnd w:id="2881"/>
      <w:bookmarkEnd w:id="2882"/>
    </w:p>
    <w:p w14:paraId="67240DB7">
      <w:pPr>
        <w:pStyle w:val="4"/>
        <w:numPr>
          <w:ilvl w:val="1"/>
          <w:numId w:val="0"/>
        </w:numPr>
        <w:spacing w:line="360" w:lineRule="auto"/>
        <w:ind w:firstLine="0" w:firstLineChars="0"/>
        <w:rPr>
          <w:color w:val="auto"/>
        </w:rPr>
      </w:pPr>
      <w:bookmarkStart w:id="2883" w:name="_Toc5264"/>
      <w:bookmarkStart w:id="2884" w:name="_Toc32434"/>
      <w:bookmarkStart w:id="2885" w:name="_Toc3977"/>
      <w:bookmarkStart w:id="2886" w:name="_Toc29736"/>
      <w:bookmarkStart w:id="2887" w:name="_Toc7534"/>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8</w:t>
      </w:r>
      <w:r>
        <w:rPr>
          <w:rFonts w:hint="default" w:ascii="Arial" w:hAnsi="Arial" w:eastAsia="宋体" w:cs="Times New Roman"/>
          <w:b/>
          <w:bCs/>
          <w:color w:val="auto"/>
          <w:kern w:val="2"/>
          <w:sz w:val="32"/>
          <w:szCs w:val="32"/>
          <w:lang w:val="en-US" w:eastAsia="zh-CN" w:bidi="ar-SA"/>
        </w:rPr>
        <w:t>.1.</w:t>
      </w:r>
      <w:r>
        <w:rPr>
          <w:rFonts w:hint="eastAsia"/>
          <w:color w:val="auto"/>
        </w:rPr>
        <w:t>平安工地建设</w:t>
      </w:r>
      <w:bookmarkEnd w:id="2883"/>
      <w:bookmarkEnd w:id="2884"/>
      <w:bookmarkEnd w:id="2885"/>
      <w:bookmarkEnd w:id="2886"/>
      <w:bookmarkEnd w:id="2887"/>
    </w:p>
    <w:p w14:paraId="68CD62C0">
      <w:pPr>
        <w:ind w:firstLine="480"/>
        <w:rPr>
          <w:rFonts w:hint="eastAsia" w:ascii="宋体" w:hAnsi="宋体" w:eastAsia="宋体" w:cs="宋体"/>
        </w:rPr>
      </w:pPr>
      <w:r>
        <w:rPr>
          <w:rFonts w:hint="eastAsia" w:ascii="宋体" w:hAnsi="宋体" w:eastAsia="宋体" w:cs="宋体"/>
        </w:rPr>
        <w:t>根据上级文件的指示精神，为全面夯实国道G324线福清新厝双屿至大沃段公路工程建设安全工作基础，结合我标段实际，特制定本实施方案。</w:t>
      </w:r>
    </w:p>
    <w:p w14:paraId="5E42A273">
      <w:pPr>
        <w:pStyle w:val="5"/>
        <w:numPr>
          <w:ilvl w:val="2"/>
          <w:numId w:val="0"/>
        </w:numPr>
        <w:spacing w:line="360" w:lineRule="auto"/>
        <w:ind w:left="720" w:leftChars="0" w:hanging="720" w:firstLineChars="0"/>
        <w:rPr>
          <w:color w:val="auto"/>
        </w:rPr>
      </w:pPr>
      <w:bookmarkStart w:id="2888" w:name="_Toc4023"/>
      <w:bookmarkStart w:id="2889" w:name="_Toc21826"/>
      <w:bookmarkStart w:id="2890" w:name="_Toc5458"/>
      <w:bookmarkStart w:id="2891" w:name="_Toc16229"/>
      <w:bookmarkStart w:id="2892" w:name="_Toc3627"/>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.1.1.</w:t>
      </w:r>
      <w:r>
        <w:rPr>
          <w:rFonts w:hint="eastAsia"/>
          <w:color w:val="auto"/>
        </w:rPr>
        <w:t>指导思想</w:t>
      </w:r>
      <w:bookmarkEnd w:id="2888"/>
      <w:bookmarkEnd w:id="2889"/>
      <w:bookmarkEnd w:id="2890"/>
      <w:bookmarkEnd w:id="2891"/>
      <w:bookmarkEnd w:id="2892"/>
    </w:p>
    <w:p w14:paraId="62EF9CAB">
      <w:pPr>
        <w:ind w:firstLine="480"/>
        <w:rPr>
          <w:rFonts w:hint="eastAsia" w:ascii="宋体" w:hAnsi="宋体" w:eastAsia="宋体" w:cs="宋体"/>
        </w:rPr>
      </w:pPr>
      <w:r>
        <w:rPr>
          <w:rFonts w:hint="eastAsia" w:ascii="宋体" w:hAnsi="宋体" w:eastAsia="宋体" w:cs="宋体"/>
        </w:rPr>
        <w:t>以科学发展观为指导，坚持“安全第一、预防为主、综合治理”的方针，坚持“抓基础、抓示范、抓关键”的原则，大力推进国道G324线福清新厝双屿至大沃段公路工程工程建设项目安全管理标准化。以完善我标段安全稳定的长效机制为建设重点，落实各方面安全生产主体责任，与工程质量管理、安全生产管理、用工制度完善、农民工权益保障、施工现场安全保卫措施、食品卫生保障等工作相结合。切实保证我标段建筑工地的和谐稳定。</w:t>
      </w:r>
    </w:p>
    <w:p w14:paraId="0C44CC2D">
      <w:pPr>
        <w:pStyle w:val="5"/>
        <w:numPr>
          <w:ilvl w:val="2"/>
          <w:numId w:val="0"/>
        </w:numPr>
        <w:spacing w:line="360" w:lineRule="auto"/>
        <w:ind w:left="720" w:leftChars="0" w:hanging="720" w:firstLineChars="0"/>
        <w:rPr>
          <w:color w:val="auto"/>
        </w:rPr>
      </w:pPr>
      <w:bookmarkStart w:id="2893" w:name="_Toc27581"/>
      <w:bookmarkStart w:id="2894" w:name="_Toc20522"/>
      <w:bookmarkStart w:id="2895" w:name="_Toc20172"/>
      <w:bookmarkStart w:id="2896" w:name="_Toc5029"/>
      <w:bookmarkStart w:id="2897" w:name="_Toc10328"/>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.1.2.</w:t>
      </w:r>
      <w:r>
        <w:rPr>
          <w:rFonts w:hint="eastAsia"/>
          <w:color w:val="auto"/>
        </w:rPr>
        <w:t>工作目标</w:t>
      </w:r>
      <w:bookmarkEnd w:id="2893"/>
      <w:bookmarkEnd w:id="2894"/>
      <w:bookmarkEnd w:id="2895"/>
      <w:bookmarkEnd w:id="2896"/>
      <w:bookmarkEnd w:id="2897"/>
    </w:p>
    <w:p w14:paraId="15A24BA0">
      <w:pPr>
        <w:ind w:firstLine="480"/>
        <w:rPr>
          <w:rFonts w:hint="eastAsia" w:ascii="宋体" w:hAnsi="宋体" w:eastAsia="宋体" w:cs="宋体"/>
        </w:rPr>
      </w:pPr>
      <w:r>
        <w:rPr>
          <w:rFonts w:hint="eastAsia" w:ascii="宋体" w:hAnsi="宋体" w:eastAsia="宋体" w:cs="宋体"/>
        </w:rPr>
        <w:t>通过开展“平安工地”建设活动，强化施工现场安全管理、确保施工现场的安全生产、完善施工现场的安全保卫措施、进一步加强文明施工、保证农民工的合法权益，不发生因拖欠民工工资而引发的集体上访或造成社会不良影响的事件、加强食品安全卫生管理。确保我标段施工现场不发生安全生产责任事故和影响社会稳定的群体性事件。</w:t>
      </w:r>
    </w:p>
    <w:p w14:paraId="7566C496">
      <w:pPr>
        <w:pStyle w:val="5"/>
        <w:numPr>
          <w:ilvl w:val="2"/>
          <w:numId w:val="0"/>
        </w:numPr>
        <w:spacing w:line="360" w:lineRule="auto"/>
        <w:ind w:left="720" w:leftChars="0" w:hanging="720" w:firstLineChars="0"/>
        <w:rPr>
          <w:color w:val="auto"/>
        </w:rPr>
      </w:pPr>
      <w:bookmarkStart w:id="2898" w:name="_Toc18696"/>
      <w:bookmarkStart w:id="2899" w:name="_Toc14172"/>
      <w:bookmarkStart w:id="2900" w:name="_Toc6994"/>
      <w:bookmarkStart w:id="2901" w:name="_Toc18878"/>
      <w:bookmarkStart w:id="2902" w:name="_Toc872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.1.3.</w:t>
      </w:r>
      <w:r>
        <w:rPr>
          <w:rFonts w:hint="eastAsia"/>
          <w:color w:val="auto"/>
        </w:rPr>
        <w:t>组织机构</w:t>
      </w:r>
      <w:bookmarkEnd w:id="2898"/>
      <w:bookmarkEnd w:id="2899"/>
      <w:bookmarkEnd w:id="2900"/>
      <w:bookmarkEnd w:id="2901"/>
      <w:bookmarkEnd w:id="2902"/>
    </w:p>
    <w:p w14:paraId="288C1C5C">
      <w:pPr>
        <w:ind w:firstLine="480"/>
        <w:rPr>
          <w:rFonts w:hint="eastAsia" w:ascii="宋体" w:hAnsi="宋体" w:eastAsia="宋体" w:cs="宋体"/>
        </w:rPr>
      </w:pPr>
      <w:r>
        <w:rPr>
          <w:rFonts w:hint="eastAsia" w:ascii="宋体" w:hAnsi="宋体" w:eastAsia="宋体" w:cs="宋体"/>
        </w:rPr>
        <w:t>开展“平安工地”建设工作领导小组：</w:t>
      </w:r>
    </w:p>
    <w:p w14:paraId="25055672">
      <w:pPr>
        <w:ind w:firstLine="480"/>
        <w:rPr>
          <w:rFonts w:hint="default" w:ascii="宋体" w:hAnsi="宋体" w:eastAsia="宋体" w:cs="宋体"/>
          <w:lang w:val="en-US" w:eastAsia="zh-CN"/>
        </w:rPr>
      </w:pPr>
      <w:r>
        <w:rPr>
          <w:rFonts w:hint="eastAsia" w:ascii="宋体" w:hAnsi="宋体" w:eastAsia="宋体" w:cs="宋体"/>
          <w:lang w:val="en-US" w:eastAsia="zh-CN"/>
        </w:rPr>
        <w:t>组  长：</w:t>
      </w:r>
      <w:r>
        <w:rPr>
          <w:rFonts w:hint="eastAsia" w:ascii="宋体" w:hAnsi="宋体" w:cs="宋体"/>
          <w:lang w:val="en-US" w:eastAsia="zh-CN"/>
        </w:rPr>
        <w:t>李令举</w:t>
      </w:r>
    </w:p>
    <w:p w14:paraId="2E42C37A">
      <w:pPr>
        <w:ind w:firstLine="480"/>
        <w:rPr>
          <w:rFonts w:hint="eastAsia" w:ascii="宋体" w:hAnsi="宋体" w:eastAsia="宋体" w:cs="宋体"/>
          <w:lang w:val="en-US" w:eastAsia="zh-CN"/>
        </w:rPr>
      </w:pPr>
      <w:r>
        <w:rPr>
          <w:rFonts w:hint="eastAsia" w:ascii="宋体" w:hAnsi="宋体" w:eastAsia="宋体" w:cs="宋体"/>
          <w:lang w:val="en-US" w:eastAsia="zh-CN"/>
        </w:rPr>
        <w:t>副组长：</w:t>
      </w:r>
      <w:r>
        <w:rPr>
          <w:rFonts w:hint="eastAsia" w:ascii="宋体" w:hAnsi="宋体" w:cs="宋体"/>
          <w:lang w:val="en-US" w:eastAsia="zh-CN"/>
        </w:rPr>
        <w:t>王磊</w:t>
      </w:r>
      <w:r>
        <w:rPr>
          <w:rFonts w:hint="eastAsia" w:ascii="宋体" w:hAnsi="宋体" w:eastAsia="宋体" w:cs="宋体"/>
          <w:lang w:val="en-US" w:eastAsia="zh-CN"/>
        </w:rPr>
        <w:t>、陈  天、刘重阳</w:t>
      </w:r>
    </w:p>
    <w:p w14:paraId="5159B465">
      <w:pPr>
        <w:ind w:firstLine="480"/>
        <w:rPr>
          <w:rFonts w:hint="eastAsia" w:ascii="宋体" w:hAnsi="宋体" w:eastAsia="宋体" w:cs="宋体"/>
        </w:rPr>
      </w:pPr>
      <w:r>
        <w:rPr>
          <w:rFonts w:hint="eastAsia" w:ascii="宋体" w:hAnsi="宋体" w:eastAsia="宋体" w:cs="宋体"/>
          <w:lang w:val="en-US" w:eastAsia="zh-CN"/>
        </w:rPr>
        <w:t>组  员：</w:t>
      </w:r>
      <w:r>
        <w:rPr>
          <w:rFonts w:hint="eastAsia" w:ascii="宋体" w:hAnsi="宋体" w:cs="宋体"/>
          <w:lang w:val="en-US" w:eastAsia="zh-CN"/>
        </w:rPr>
        <w:t>费露、王帅军、叶卫卫、沈志伟、乔迈、陈建、孙阿伟、阙胜永</w:t>
      </w:r>
    </w:p>
    <w:p w14:paraId="3F4E6735">
      <w:pPr>
        <w:pStyle w:val="5"/>
        <w:numPr>
          <w:ilvl w:val="2"/>
          <w:numId w:val="0"/>
        </w:numPr>
        <w:spacing w:line="360" w:lineRule="auto"/>
        <w:ind w:left="720" w:leftChars="0" w:hanging="720" w:firstLineChars="0"/>
        <w:rPr>
          <w:color w:val="auto"/>
        </w:rPr>
      </w:pPr>
      <w:bookmarkStart w:id="2903" w:name="_Toc30776"/>
      <w:bookmarkStart w:id="2904" w:name="_Toc25544"/>
      <w:bookmarkStart w:id="2905" w:name="_Toc529"/>
      <w:bookmarkStart w:id="2906" w:name="_Toc6830"/>
      <w:bookmarkStart w:id="2907" w:name="_Toc2964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.1.4.</w:t>
      </w:r>
      <w:r>
        <w:rPr>
          <w:rFonts w:hint="eastAsia"/>
          <w:color w:val="auto"/>
        </w:rPr>
        <w:t>活动的具体要求和措施</w:t>
      </w:r>
      <w:bookmarkEnd w:id="2903"/>
      <w:bookmarkEnd w:id="2904"/>
      <w:bookmarkEnd w:id="2905"/>
      <w:bookmarkEnd w:id="2906"/>
      <w:bookmarkEnd w:id="2907"/>
    </w:p>
    <w:p w14:paraId="5F1ADA3B">
      <w:pPr>
        <w:ind w:firstLine="480"/>
        <w:rPr>
          <w:rFonts w:hint="eastAsia" w:ascii="宋体" w:hAnsi="宋体" w:eastAsia="宋体" w:cs="宋体"/>
        </w:rPr>
      </w:pPr>
      <w:r>
        <w:rPr>
          <w:rFonts w:hint="eastAsia" w:ascii="宋体" w:hAnsi="宋体" w:eastAsia="宋体" w:cs="宋体"/>
        </w:rPr>
        <w:t>要严格贯彻有关安全生产法律法规和标准规范。进一步贯彻落实“标准化施工指南”。切实加强施工现场安全生产防护工作，保证工程质量。</w:t>
      </w:r>
    </w:p>
    <w:p w14:paraId="1375C9D1">
      <w:pPr>
        <w:ind w:firstLine="480"/>
        <w:rPr>
          <w:rFonts w:hint="eastAsia" w:ascii="宋体" w:hAnsi="宋体" w:eastAsia="宋体" w:cs="宋体"/>
        </w:rPr>
      </w:pPr>
      <w:r>
        <w:rPr>
          <w:rFonts w:hint="eastAsia" w:ascii="宋体" w:hAnsi="宋体" w:eastAsia="宋体" w:cs="宋体"/>
        </w:rPr>
        <w:t>要严格落实安全生产各项责任，完善并严格落实各项安全生产规章制度，做到有章可循。切实加强安全生产管理工作，加强施工人员的安全教育，提高施工现场安全管理水平，夯实现场管理基础，提高施工现场安全防护水平和安全生产保证能力，严格依照规范的要求，做好各项安全防护措施，预防各类安全生产事故。</w:t>
      </w:r>
    </w:p>
    <w:p w14:paraId="0F0B7AF5">
      <w:pPr>
        <w:ind w:firstLine="480"/>
        <w:rPr>
          <w:rFonts w:hint="eastAsia" w:ascii="宋体" w:hAnsi="宋体" w:eastAsia="宋体" w:cs="宋体"/>
        </w:rPr>
      </w:pPr>
      <w:r>
        <w:rPr>
          <w:rFonts w:hint="eastAsia" w:ascii="宋体" w:hAnsi="宋体" w:eastAsia="宋体" w:cs="宋体"/>
        </w:rPr>
        <w:t>加大安全隐患排查治理力度，减少安全事故的发生。具体要求为：</w:t>
      </w:r>
    </w:p>
    <w:p w14:paraId="32CA597C">
      <w:pPr>
        <w:ind w:firstLine="480"/>
        <w:rPr>
          <w:rFonts w:hint="eastAsia" w:ascii="宋体" w:hAnsi="宋体" w:eastAsia="宋体" w:cs="宋体"/>
        </w:rPr>
      </w:pPr>
      <w:r>
        <w:rPr>
          <w:rFonts w:hint="eastAsia" w:ascii="宋体" w:hAnsi="宋体" w:eastAsia="宋体" w:cs="宋体"/>
        </w:rPr>
        <w:t>（1）加强施工现场布置和防护工作，对临边、临水、洞口、坠落等危险作业区域，要按照安全生产要求做好安全防护，并在醒目位置设置安全警示标志，特别是高边坡及高填方，要切实做到防护到位，设置合理和规范。要严格依照施工专项方案的要求，搭设防护，在作业两头设置警示牌，并安排专人进行交通指挥，做到此区域交通顺畅、安全。</w:t>
      </w:r>
    </w:p>
    <w:p w14:paraId="333E7712">
      <w:pPr>
        <w:ind w:firstLine="480"/>
        <w:rPr>
          <w:rFonts w:hint="eastAsia" w:ascii="宋体" w:hAnsi="宋体" w:eastAsia="宋体" w:cs="宋体"/>
        </w:rPr>
      </w:pPr>
      <w:r>
        <w:rPr>
          <w:rFonts w:hint="eastAsia" w:ascii="宋体" w:hAnsi="宋体" w:eastAsia="宋体" w:cs="宋体"/>
        </w:rPr>
        <w:t>（2）对施工现场、办公室和生活区，要划分消防责任区，确定责任人，并按要求设置灭火器和设备，同时要定期检查和更换，并做好检查记录。对施工现场的乙炔瓶等易燃易爆物品要按规定存放。</w:t>
      </w:r>
    </w:p>
    <w:p w14:paraId="79A1EF9A">
      <w:pPr>
        <w:ind w:firstLine="480"/>
        <w:rPr>
          <w:rFonts w:hint="eastAsia" w:ascii="宋体" w:hAnsi="宋体" w:eastAsia="宋体" w:cs="宋体"/>
        </w:rPr>
      </w:pPr>
      <w:r>
        <w:rPr>
          <w:rFonts w:hint="eastAsia" w:ascii="宋体" w:hAnsi="宋体" w:eastAsia="宋体" w:cs="宋体"/>
        </w:rPr>
        <w:t>（3）要严抓施工现场作业人员的安全防护工作，进入施工现场必须佩戴安全帽，高处作业必须佩戴安全带，依照相关规定进行批评教育外，予以罚款处罚。</w:t>
      </w:r>
    </w:p>
    <w:p w14:paraId="1EC49F54">
      <w:pPr>
        <w:ind w:firstLine="480"/>
        <w:rPr>
          <w:rFonts w:hint="eastAsia" w:ascii="宋体" w:hAnsi="宋体" w:eastAsia="宋体" w:cs="宋体"/>
        </w:rPr>
      </w:pPr>
      <w:r>
        <w:rPr>
          <w:rFonts w:hint="eastAsia" w:ascii="宋体" w:hAnsi="宋体" w:eastAsia="宋体" w:cs="宋体"/>
        </w:rPr>
        <w:t>（4）要加强临时用电的安全管理，对临时用电必须严格依照“三相五线制”进行设置，每个配电箱上均要写明负责人及联系电话，配电箱、开关箱要按照规定要求设置，对无门、无锁、无防雨措施、电线老化、破皮未包扎的坚决予以更换。</w:t>
      </w:r>
    </w:p>
    <w:p w14:paraId="072239D9">
      <w:pPr>
        <w:ind w:firstLine="480"/>
        <w:rPr>
          <w:rFonts w:hint="eastAsia" w:ascii="宋体" w:hAnsi="宋体" w:eastAsia="宋体" w:cs="宋体"/>
        </w:rPr>
      </w:pPr>
      <w:r>
        <w:rPr>
          <w:rFonts w:hint="eastAsia" w:ascii="宋体" w:hAnsi="宋体" w:eastAsia="宋体" w:cs="宋体"/>
        </w:rPr>
        <w:t>（5）加强施工机具的安全管理，对施工现场机具要按“一机、一闸、一箱、一漏”来设置，对机具操作人员进行岗前培训，合格后才能进行施工操作。</w:t>
      </w:r>
    </w:p>
    <w:p w14:paraId="1CE26DFE">
      <w:pPr>
        <w:ind w:firstLine="480"/>
        <w:rPr>
          <w:rFonts w:hint="eastAsia" w:ascii="宋体" w:hAnsi="宋体" w:eastAsia="宋体" w:cs="宋体"/>
        </w:rPr>
      </w:pPr>
      <w:r>
        <w:rPr>
          <w:rFonts w:hint="eastAsia" w:ascii="宋体" w:hAnsi="宋体" w:eastAsia="宋体" w:cs="宋体"/>
        </w:rPr>
        <w:t>（6）做好防汛备汛工作，特别是路基的施工，要采取各项预防措施，避免雨水和洪水对路基的冲刷。</w:t>
      </w:r>
    </w:p>
    <w:p w14:paraId="623E4A30">
      <w:pPr>
        <w:ind w:firstLine="480"/>
        <w:rPr>
          <w:rFonts w:hint="eastAsia" w:ascii="宋体" w:hAnsi="宋体" w:eastAsia="宋体" w:cs="宋体"/>
        </w:rPr>
      </w:pPr>
      <w:r>
        <w:rPr>
          <w:rFonts w:hint="eastAsia" w:ascii="宋体" w:hAnsi="宋体" w:eastAsia="宋体" w:cs="宋体"/>
        </w:rPr>
        <w:t>（7）做好“三类人员”和特种作业人员的安全教育培训工作，特别是要加强农民工的安全生产教育，通过岗前教育、班前安全教育和日常安全教育培训及现场教育和安全技术交底。来提高农民工的个人素质、提高安全意识、提高防护能力和个人自我保护能力。</w:t>
      </w:r>
    </w:p>
    <w:p w14:paraId="291EC694">
      <w:pPr>
        <w:ind w:firstLine="480"/>
        <w:rPr>
          <w:rFonts w:hint="eastAsia" w:ascii="宋体" w:hAnsi="宋体" w:eastAsia="宋体" w:cs="宋体"/>
        </w:rPr>
      </w:pPr>
      <w:r>
        <w:rPr>
          <w:rFonts w:hint="eastAsia" w:ascii="宋体" w:hAnsi="宋体" w:eastAsia="宋体" w:cs="宋体"/>
        </w:rPr>
        <w:t>（8）要依照“标准化施工指南”的要求，施工作业安全防护一是采购有关部门，采购合格的安全帽、安全带、安全网。施工人员进入现场必须戴好安全帽，高处作业必须正确系好安全带。二是根据工程实际，按规范搭设施工平台、脚手架，做好施工现场的安全防护工作。</w:t>
      </w:r>
    </w:p>
    <w:p w14:paraId="0B7965CA">
      <w:pPr>
        <w:pStyle w:val="4"/>
        <w:numPr>
          <w:ilvl w:val="1"/>
          <w:numId w:val="0"/>
        </w:numPr>
        <w:spacing w:line="360" w:lineRule="auto"/>
        <w:ind w:firstLine="0" w:firstLineChars="0"/>
        <w:jc w:val="both"/>
        <w:rPr>
          <w:color w:val="auto"/>
        </w:rPr>
      </w:pPr>
      <w:bookmarkStart w:id="2908" w:name="_Toc1020"/>
      <w:bookmarkStart w:id="2909" w:name="_Toc12225"/>
      <w:bookmarkStart w:id="2910" w:name="_Toc15164"/>
      <w:bookmarkStart w:id="2911" w:name="_Toc17669"/>
      <w:bookmarkStart w:id="2912" w:name="_Toc4184"/>
      <w:bookmarkStart w:id="2913" w:name="_Toc15064"/>
      <w:r>
        <w:rPr>
          <w:rFonts w:hint="default" w:ascii="Arial" w:hAnsi="Arial" w:eastAsia="宋体" w:cs="Times New Roman"/>
          <w:b/>
          <w:bCs/>
          <w:color w:val="auto"/>
          <w:kern w:val="2"/>
          <w:sz w:val="32"/>
          <w:szCs w:val="32"/>
          <w:lang w:val="en-US" w:eastAsia="zh-CN" w:bidi="ar-SA"/>
        </w:rPr>
        <w:t>1</w:t>
      </w:r>
      <w:r>
        <w:rPr>
          <w:rFonts w:hint="eastAsia" w:cs="Times New Roman"/>
          <w:b/>
          <w:bCs/>
          <w:color w:val="auto"/>
          <w:kern w:val="2"/>
          <w:sz w:val="32"/>
          <w:szCs w:val="32"/>
          <w:lang w:val="en-US" w:eastAsia="zh-CN" w:bidi="ar-SA"/>
        </w:rPr>
        <w:t>8</w:t>
      </w:r>
      <w:r>
        <w:rPr>
          <w:rFonts w:hint="default" w:ascii="Arial" w:hAnsi="Arial" w:eastAsia="宋体" w:cs="Times New Roman"/>
          <w:b/>
          <w:bCs/>
          <w:color w:val="auto"/>
          <w:kern w:val="2"/>
          <w:sz w:val="32"/>
          <w:szCs w:val="32"/>
          <w:lang w:val="en-US" w:eastAsia="zh-CN" w:bidi="ar-SA"/>
        </w:rPr>
        <w:t>.2.</w:t>
      </w:r>
      <w:r>
        <w:rPr>
          <w:rFonts w:hint="eastAsia"/>
          <w:color w:val="auto"/>
        </w:rPr>
        <w:t>品质工程建设</w:t>
      </w:r>
      <w:bookmarkEnd w:id="2908"/>
      <w:bookmarkEnd w:id="2909"/>
      <w:bookmarkEnd w:id="2910"/>
      <w:bookmarkEnd w:id="2911"/>
      <w:bookmarkEnd w:id="2912"/>
      <w:bookmarkEnd w:id="2913"/>
    </w:p>
    <w:p w14:paraId="12CBCF8A">
      <w:pPr>
        <w:pStyle w:val="5"/>
        <w:numPr>
          <w:ilvl w:val="2"/>
          <w:numId w:val="0"/>
        </w:numPr>
        <w:spacing w:line="360" w:lineRule="auto"/>
        <w:ind w:left="720" w:leftChars="0" w:hanging="720" w:firstLineChars="0"/>
        <w:rPr>
          <w:color w:val="auto"/>
        </w:rPr>
      </w:pPr>
      <w:bookmarkStart w:id="2914" w:name="_Toc8361"/>
      <w:bookmarkStart w:id="2915" w:name="_Toc31144"/>
      <w:bookmarkStart w:id="2916" w:name="_Toc29796"/>
      <w:bookmarkStart w:id="2917" w:name="_Toc1835"/>
      <w:bookmarkStart w:id="2918" w:name="_Toc1606"/>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.2.1.</w:t>
      </w:r>
      <w:r>
        <w:rPr>
          <w:rFonts w:hint="eastAsia"/>
          <w:color w:val="auto"/>
        </w:rPr>
        <w:t>标准化管理</w:t>
      </w:r>
      <w:bookmarkEnd w:id="2914"/>
      <w:bookmarkEnd w:id="2915"/>
      <w:bookmarkEnd w:id="2916"/>
      <w:bookmarkEnd w:id="2917"/>
      <w:bookmarkEnd w:id="2918"/>
    </w:p>
    <w:p w14:paraId="63E3690E">
      <w:pPr>
        <w:ind w:firstLine="480"/>
        <w:rPr>
          <w:rFonts w:hint="eastAsia" w:ascii="宋体" w:hAnsi="宋体" w:eastAsia="宋体" w:cs="宋体"/>
        </w:rPr>
      </w:pPr>
      <w:r>
        <w:rPr>
          <w:rFonts w:hint="eastAsia" w:ascii="宋体" w:hAnsi="宋体" w:eastAsia="宋体" w:cs="宋体"/>
        </w:rPr>
        <w:t>工地“五集中”建设标准化要求：合理分区、封闭式管理。</w:t>
      </w:r>
    </w:p>
    <w:p w14:paraId="084471A6">
      <w:pPr>
        <w:ind w:firstLine="480"/>
        <w:rPr>
          <w:rFonts w:hint="eastAsia" w:ascii="宋体" w:hAnsi="宋体" w:eastAsia="宋体" w:cs="宋体"/>
        </w:rPr>
      </w:pPr>
      <w:r>
        <w:rPr>
          <w:rFonts w:hint="eastAsia" w:ascii="宋体" w:hAnsi="宋体" w:eastAsia="宋体" w:cs="宋体"/>
        </w:rPr>
        <w:t>场地硬化、排水通畅。项目部、钢筋加工场、预制场场地应采用C</w:t>
      </w:r>
      <w:r>
        <w:rPr>
          <w:rFonts w:hint="eastAsia" w:ascii="宋体" w:hAnsi="宋体" w:eastAsia="宋体" w:cs="宋体"/>
          <w:lang w:val="en-US" w:eastAsia="zh-CN"/>
        </w:rPr>
        <w:t>20</w:t>
      </w:r>
      <w:r>
        <w:rPr>
          <w:rFonts w:hint="eastAsia" w:ascii="宋体" w:hAnsi="宋体" w:eastAsia="宋体" w:cs="宋体"/>
        </w:rPr>
        <w:t>以上砼进行硬化。硬化厚度不小于1</w:t>
      </w:r>
      <w:r>
        <w:rPr>
          <w:rFonts w:hint="eastAsia" w:ascii="宋体" w:hAnsi="宋体" w:cs="宋体"/>
          <w:lang w:val="en-US" w:eastAsia="zh-CN"/>
        </w:rPr>
        <w:t>5</w:t>
      </w:r>
      <w:r>
        <w:rPr>
          <w:rFonts w:hint="eastAsia" w:ascii="宋体" w:hAnsi="宋体" w:eastAsia="宋体" w:cs="宋体"/>
        </w:rPr>
        <w:t>cm，作为行车道时厚度应不小于</w:t>
      </w:r>
      <w:r>
        <w:rPr>
          <w:rFonts w:hint="eastAsia" w:ascii="宋体" w:hAnsi="宋体" w:cs="宋体"/>
          <w:lang w:val="en-US" w:eastAsia="zh-CN"/>
        </w:rPr>
        <w:t>20</w:t>
      </w:r>
      <w:r>
        <w:rPr>
          <w:rFonts w:hint="eastAsia" w:ascii="宋体" w:hAnsi="宋体" w:eastAsia="宋体" w:cs="宋体"/>
        </w:rPr>
        <w:t>cm。</w:t>
      </w:r>
    </w:p>
    <w:p w14:paraId="624DC213">
      <w:pPr>
        <w:pStyle w:val="5"/>
        <w:numPr>
          <w:ilvl w:val="2"/>
          <w:numId w:val="0"/>
        </w:numPr>
        <w:spacing w:line="360" w:lineRule="auto"/>
        <w:ind w:left="720" w:leftChars="0" w:hanging="720" w:firstLineChars="0"/>
        <w:rPr>
          <w:color w:val="auto"/>
        </w:rPr>
      </w:pPr>
      <w:bookmarkStart w:id="2919" w:name="_Toc24131"/>
      <w:bookmarkStart w:id="2920" w:name="_Toc18771"/>
      <w:bookmarkStart w:id="2921" w:name="_Toc3557"/>
      <w:bookmarkStart w:id="2922" w:name="_Toc9959"/>
      <w:bookmarkStart w:id="2923" w:name="_Toc683"/>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.2.2.</w:t>
      </w:r>
      <w:r>
        <w:rPr>
          <w:rFonts w:hint="eastAsia"/>
          <w:color w:val="auto"/>
        </w:rPr>
        <w:t>安全文明标准化</w:t>
      </w:r>
      <w:bookmarkEnd w:id="2919"/>
      <w:bookmarkEnd w:id="2920"/>
      <w:bookmarkEnd w:id="2921"/>
      <w:bookmarkEnd w:id="2922"/>
      <w:bookmarkEnd w:id="2923"/>
    </w:p>
    <w:p w14:paraId="498B269B">
      <w:pPr>
        <w:ind w:firstLine="480"/>
        <w:rPr>
          <w:rFonts w:hint="eastAsia" w:ascii="宋体" w:hAnsi="宋体" w:eastAsia="宋体" w:cs="宋体"/>
        </w:rPr>
      </w:pPr>
      <w:r>
        <w:rPr>
          <w:rFonts w:hint="eastAsia" w:ascii="宋体" w:hAnsi="宋体" w:eastAsia="宋体" w:cs="宋体"/>
        </w:rPr>
        <w:t>生活办公区建设：</w:t>
      </w:r>
    </w:p>
    <w:p w14:paraId="46C1449C">
      <w:pPr>
        <w:ind w:firstLine="480"/>
        <w:rPr>
          <w:rFonts w:hint="eastAsia" w:ascii="宋体" w:hAnsi="宋体" w:eastAsia="宋体" w:cs="宋体"/>
        </w:rPr>
      </w:pPr>
      <w:r>
        <w:rPr>
          <w:rFonts w:hint="eastAsia" w:ascii="宋体" w:hAnsi="宋体" w:eastAsia="宋体" w:cs="宋体"/>
        </w:rPr>
        <w:t>1、合理选址。项目部拟定位置于</w:t>
      </w:r>
      <w:r>
        <w:rPr>
          <w:rFonts w:hint="eastAsia" w:ascii="宋体" w:hAnsi="宋体" w:cs="宋体"/>
          <w:lang w:val="en-US" w:eastAsia="zh-CN"/>
        </w:rPr>
        <w:t>K123+000主线北500米处</w:t>
      </w:r>
      <w:r>
        <w:rPr>
          <w:rFonts w:hint="eastAsia" w:ascii="宋体" w:hAnsi="宋体" w:eastAsia="宋体" w:cs="宋体"/>
        </w:rPr>
        <w:t>，无塌方、洪水、泥石流等不良地质，为地势平坦区域。</w:t>
      </w:r>
    </w:p>
    <w:p w14:paraId="316A4274">
      <w:pPr>
        <w:ind w:firstLine="480"/>
        <w:rPr>
          <w:rFonts w:hint="eastAsia" w:ascii="宋体" w:hAnsi="宋体" w:eastAsia="宋体" w:cs="宋体"/>
        </w:rPr>
      </w:pPr>
      <w:r>
        <w:rPr>
          <w:rFonts w:hint="eastAsia" w:ascii="宋体" w:hAnsi="宋体" w:eastAsia="宋体" w:cs="宋体"/>
        </w:rPr>
        <w:t>2、合理分区</w:t>
      </w:r>
      <w:r>
        <w:rPr>
          <w:rFonts w:hint="eastAsia" w:ascii="宋体" w:hAnsi="宋体" w:eastAsia="宋体" w:cs="宋体"/>
          <w:lang w:eastAsia="zh-CN"/>
        </w:rPr>
        <w:t>：</w:t>
      </w:r>
      <w:r>
        <w:rPr>
          <w:rFonts w:hint="eastAsia" w:ascii="宋体" w:hAnsi="宋体" w:eastAsia="宋体" w:cs="宋体"/>
        </w:rPr>
        <w:t>项目部拟采用</w:t>
      </w:r>
      <w:r>
        <w:rPr>
          <w:rFonts w:hint="eastAsia" w:ascii="宋体" w:hAnsi="宋体" w:cs="宋体"/>
          <w:lang w:val="en-US" w:eastAsia="zh-CN"/>
        </w:rPr>
        <w:t>自建驻地</w:t>
      </w:r>
      <w:r>
        <w:rPr>
          <w:rFonts w:hint="eastAsia" w:ascii="宋体" w:hAnsi="宋体" w:eastAsia="宋体" w:cs="宋体"/>
        </w:rPr>
        <w:t>，</w:t>
      </w:r>
      <w:r>
        <w:rPr>
          <w:rFonts w:hint="eastAsia" w:ascii="宋体" w:hAnsi="宋体" w:cs="宋体"/>
          <w:lang w:val="en-US" w:eastAsia="zh-CN"/>
        </w:rPr>
        <w:t>院落式结构，</w:t>
      </w:r>
      <w:r>
        <w:rPr>
          <w:rFonts w:hint="eastAsia" w:ascii="宋体" w:hAnsi="宋体" w:eastAsia="宋体" w:cs="宋体"/>
        </w:rPr>
        <w:t>划分办公区、宿舍区。</w:t>
      </w:r>
    </w:p>
    <w:p w14:paraId="4488B749">
      <w:pPr>
        <w:ind w:firstLine="480"/>
        <w:rPr>
          <w:rFonts w:hint="eastAsia" w:ascii="宋体" w:hAnsi="宋体" w:eastAsia="宋体" w:cs="宋体"/>
        </w:rPr>
      </w:pPr>
      <w:r>
        <w:rPr>
          <w:rFonts w:hint="eastAsia" w:ascii="宋体" w:hAnsi="宋体" w:eastAsia="宋体" w:cs="宋体"/>
        </w:rPr>
        <w:t>办公区设置项目</w:t>
      </w:r>
      <w:r>
        <w:rPr>
          <w:rFonts w:hint="eastAsia" w:ascii="宋体" w:hAnsi="宋体" w:eastAsia="宋体" w:cs="宋体"/>
          <w:lang w:eastAsia="zh-CN"/>
        </w:rPr>
        <w:t>：</w:t>
      </w:r>
      <w:r>
        <w:rPr>
          <w:rFonts w:hint="eastAsia" w:ascii="宋体" w:hAnsi="宋体" w:eastAsia="宋体" w:cs="宋体"/>
        </w:rPr>
        <w:t>经理室、项目总工室、项目副经理室、安全环保部、工程技术部、计划合同部、地方协调部、财务部、物资设备部、综合办公室、劳务办公室、工地试验室等科室。</w:t>
      </w:r>
    </w:p>
    <w:p w14:paraId="654A3ABC">
      <w:pPr>
        <w:ind w:firstLine="480"/>
        <w:rPr>
          <w:rFonts w:hint="eastAsia" w:ascii="宋体" w:hAnsi="宋体" w:eastAsia="宋体" w:cs="宋体"/>
        </w:rPr>
      </w:pPr>
      <w:r>
        <w:rPr>
          <w:rFonts w:hint="eastAsia" w:ascii="宋体" w:hAnsi="宋体" w:eastAsia="宋体" w:cs="宋体"/>
        </w:rPr>
        <w:t>附属设施齐全。项目部将配备餐厅、厕所、浴室、员工活动室、职工书屋等附属设施。</w:t>
      </w:r>
    </w:p>
    <w:p w14:paraId="7A35414B">
      <w:pPr>
        <w:ind w:firstLine="480"/>
        <w:rPr>
          <w:rFonts w:hint="eastAsia" w:ascii="宋体" w:hAnsi="宋体" w:eastAsia="宋体" w:cs="宋体"/>
        </w:rPr>
      </w:pPr>
      <w:r>
        <w:rPr>
          <w:rFonts w:hint="eastAsia" w:ascii="宋体" w:hAnsi="宋体" w:eastAsia="宋体" w:cs="宋体"/>
        </w:rPr>
        <w:t>消防设施配备齐全。项目部将配备足量的消防器材，并定期对消防器材进行检查和更新，定期进行消防演练。</w:t>
      </w:r>
    </w:p>
    <w:p w14:paraId="10EBE7E4">
      <w:pPr>
        <w:ind w:firstLine="480"/>
        <w:rPr>
          <w:rFonts w:hint="eastAsia" w:ascii="宋体" w:hAnsi="宋体" w:eastAsia="宋体" w:cs="宋体"/>
        </w:rPr>
      </w:pPr>
      <w:r>
        <w:rPr>
          <w:rFonts w:hint="eastAsia" w:ascii="宋体" w:hAnsi="宋体" w:eastAsia="宋体" w:cs="宋体"/>
        </w:rPr>
        <w:t>施工便道、便桥建设：施工便道、便桥的建设应结合施工平面布置，满足工程施工机械、材料进场的要求。施工期间指派专人负责对施工便道（便桥）的日常检查和养护，做到晴雨通车。</w:t>
      </w:r>
    </w:p>
    <w:p w14:paraId="49056D1E">
      <w:pPr>
        <w:ind w:firstLine="480"/>
        <w:rPr>
          <w:rFonts w:hint="eastAsia" w:ascii="宋体" w:hAnsi="宋体" w:eastAsia="宋体" w:cs="宋体"/>
        </w:rPr>
      </w:pPr>
      <w:r>
        <w:rPr>
          <w:rFonts w:hint="eastAsia" w:ascii="宋体" w:hAnsi="宋体" w:eastAsia="宋体" w:cs="宋体"/>
        </w:rPr>
        <w:t>临时用电设施建设：施工现场采用三相五线制和三级配电三级保护方式。线路原则上应在施工便道或通道的一侧临空架设，架设高度必须符合安全要求。各工点的配电箱一律采用标准配电箱，变压器和配电箱等设置明显的安全警示标志。所有动力设备应有可靠的接地保护和防雷措施，实行“一机一闸一箱一漏”制。</w:t>
      </w:r>
    </w:p>
    <w:p w14:paraId="6D99A11B">
      <w:pPr>
        <w:pStyle w:val="5"/>
        <w:numPr>
          <w:ilvl w:val="2"/>
          <w:numId w:val="0"/>
        </w:numPr>
        <w:spacing w:line="360" w:lineRule="auto"/>
        <w:ind w:left="720" w:leftChars="0" w:hanging="720" w:firstLineChars="0"/>
        <w:rPr>
          <w:color w:val="auto"/>
        </w:rPr>
      </w:pPr>
      <w:bookmarkStart w:id="2924" w:name="_Toc19585"/>
      <w:bookmarkStart w:id="2925" w:name="_Toc30703"/>
      <w:bookmarkStart w:id="2926" w:name="_Toc27344"/>
      <w:bookmarkStart w:id="2927" w:name="_Toc8230"/>
      <w:bookmarkStart w:id="2928" w:name="_Toc28700"/>
      <w:r>
        <w:rPr>
          <w:rFonts w:hint="default" w:ascii="Times New Roman" w:hAnsi="Times New Roman" w:eastAsia="宋体" w:cs="Times New Roman"/>
          <w:b/>
          <w:bCs/>
          <w:color w:val="auto"/>
          <w:kern w:val="2"/>
          <w:sz w:val="30"/>
          <w:szCs w:val="32"/>
          <w:lang w:val="en-US" w:eastAsia="zh-CN" w:bidi="ar-SA"/>
        </w:rPr>
        <w:t>1</w:t>
      </w:r>
      <w:r>
        <w:rPr>
          <w:rFonts w:hint="eastAsia" w:cs="Times New Roman"/>
          <w:b/>
          <w:bCs/>
          <w:color w:val="auto"/>
          <w:kern w:val="2"/>
          <w:sz w:val="30"/>
          <w:szCs w:val="32"/>
          <w:lang w:val="en-US" w:eastAsia="zh-CN" w:bidi="ar-SA"/>
        </w:rPr>
        <w:t>8</w:t>
      </w:r>
      <w:r>
        <w:rPr>
          <w:rFonts w:hint="default" w:ascii="Times New Roman" w:hAnsi="Times New Roman" w:eastAsia="宋体" w:cs="Times New Roman"/>
          <w:b/>
          <w:bCs/>
          <w:color w:val="auto"/>
          <w:kern w:val="2"/>
          <w:sz w:val="30"/>
          <w:szCs w:val="32"/>
          <w:lang w:val="en-US" w:eastAsia="zh-CN" w:bidi="ar-SA"/>
        </w:rPr>
        <w:t>.2.3.</w:t>
      </w:r>
      <w:r>
        <w:rPr>
          <w:rFonts w:hint="eastAsia"/>
          <w:color w:val="auto"/>
        </w:rPr>
        <w:t>信息化管理水平</w:t>
      </w:r>
      <w:bookmarkEnd w:id="2924"/>
      <w:bookmarkEnd w:id="2925"/>
      <w:bookmarkEnd w:id="2926"/>
      <w:bookmarkEnd w:id="2927"/>
      <w:bookmarkEnd w:id="2928"/>
    </w:p>
    <w:p w14:paraId="081767D3">
      <w:pPr>
        <w:ind w:firstLine="480"/>
        <w:rPr>
          <w:rFonts w:hint="eastAsia" w:ascii="宋体" w:hAnsi="宋体" w:eastAsia="宋体" w:cs="宋体"/>
        </w:rPr>
      </w:pPr>
      <w:r>
        <w:rPr>
          <w:rFonts w:hint="eastAsia" w:ascii="宋体" w:hAnsi="宋体" w:eastAsia="宋体" w:cs="宋体"/>
        </w:rPr>
        <w:t>建立规范的信息管理系统，实现信息的共享和流转，对项目信息进行分析、考核和评估。充分实现信息系统对工程项目信息的整体存档、管理功能，并实现信息与集团公司各项目业务管理平台的及时、准确对接、共享，保证各层级管理部门及领导可以实时获取有到有效项目信息。建立相应的考核管理制度，保证信息收集、存储、传递、应用各项工作的准确性、及时性、完整性。</w:t>
      </w:r>
    </w:p>
    <w:p w14:paraId="4EDFE10E">
      <w:pPr>
        <w:ind w:firstLine="480"/>
        <w:rPr>
          <w:rFonts w:hint="eastAsia" w:ascii="宋体" w:hAnsi="宋体" w:eastAsia="宋体" w:cs="宋体"/>
        </w:rPr>
      </w:pPr>
      <w:r>
        <w:rPr>
          <w:rFonts w:hint="eastAsia" w:ascii="宋体" w:hAnsi="宋体" w:eastAsia="宋体" w:cs="宋体"/>
        </w:rPr>
        <w:t>在日常的工程项目管理系统运营维护上，需按分类规范建立工程项目管理系统运营管理维护体系制度，确保工程信息的修改、更新、传递能全面、及时、准确、有效。</w:t>
      </w:r>
    </w:p>
    <w:p w14:paraId="7F7E3C10">
      <w:pPr>
        <w:ind w:firstLine="480"/>
        <w:rPr>
          <w:rFonts w:hint="eastAsia" w:ascii="宋体" w:hAnsi="宋体" w:eastAsia="宋体" w:cs="宋体"/>
        </w:rPr>
      </w:pPr>
      <w:r>
        <w:rPr>
          <w:rFonts w:hint="eastAsia" w:ascii="宋体" w:hAnsi="宋体" w:eastAsia="宋体" w:cs="宋体"/>
        </w:rPr>
        <w:t>指定专人，及时对工程信息的变化情况进行更新与记录。</w:t>
      </w:r>
    </w:p>
    <w:p w14:paraId="0E058947">
      <w:pPr>
        <w:ind w:firstLine="480"/>
        <w:rPr>
          <w:rFonts w:hint="eastAsia" w:ascii="宋体" w:hAnsi="宋体" w:eastAsia="宋体" w:cs="宋体"/>
        </w:rPr>
      </w:pPr>
      <w:r>
        <w:rPr>
          <w:rFonts w:hint="eastAsia" w:ascii="宋体" w:hAnsi="宋体" w:eastAsia="宋体" w:cs="宋体"/>
        </w:rPr>
        <w:t>组织专业技术人员，对承载工程项目管理系统的设施设备进行管理维护，为工程信息提供网络安全、数据安全等技术保障。</w:t>
      </w:r>
    </w:p>
    <w:p w14:paraId="3CB1D163">
      <w:pPr>
        <w:ind w:firstLine="480"/>
        <w:rPr>
          <w:rFonts w:hint="eastAsia" w:ascii="宋体" w:hAnsi="宋体" w:eastAsia="宋体" w:cs="宋体"/>
        </w:rPr>
      </w:pPr>
      <w:r>
        <w:rPr>
          <w:rFonts w:hint="eastAsia" w:ascii="宋体" w:hAnsi="宋体" w:eastAsia="宋体" w:cs="宋体"/>
        </w:rPr>
        <w:t>推行实名制管理，将项目所有参建人员录入业主信息化管理平台，并注重人员追踪，及时更新。</w:t>
      </w:r>
    </w:p>
    <w:p w14:paraId="682AB784">
      <w:pPr>
        <w:ind w:firstLine="480"/>
        <w:rPr>
          <w:rFonts w:hint="eastAsia" w:ascii="宋体" w:hAnsi="宋体" w:eastAsia="宋体" w:cs="宋体"/>
        </w:rPr>
      </w:pPr>
      <w:r>
        <w:rPr>
          <w:rFonts w:hint="eastAsia" w:ascii="宋体" w:hAnsi="宋体" w:eastAsia="宋体" w:cs="宋体"/>
        </w:rPr>
        <w:t>推行利用关键数据集中管控、隐蔽工程影像留档、安全预警和人工智能数控设备等先进管理方法确保工程质量安全。</w:t>
      </w:r>
    </w:p>
    <w:p w14:paraId="7B59E48A">
      <w:pPr>
        <w:ind w:firstLine="480"/>
        <w:rPr>
          <w:rFonts w:hint="eastAsia" w:ascii="宋体" w:hAnsi="宋体" w:eastAsia="宋体" w:cs="宋体"/>
        </w:rPr>
      </w:pPr>
      <w:bookmarkStart w:id="2929" w:name="_Toc26914"/>
      <w:bookmarkStart w:id="2930" w:name="_Toc6361"/>
      <w:bookmarkStart w:id="2931" w:name="_Toc29560"/>
      <w:bookmarkStart w:id="2932" w:name="_Toc3141"/>
      <w:r>
        <w:rPr>
          <w:rFonts w:hint="eastAsia" w:ascii="宋体" w:hAnsi="宋体" w:eastAsia="宋体" w:cs="宋体"/>
        </w:rPr>
        <w:t>智能化工艺水平提升</w:t>
      </w:r>
      <w:bookmarkEnd w:id="2929"/>
      <w:bookmarkEnd w:id="2930"/>
      <w:bookmarkEnd w:id="2931"/>
      <w:bookmarkEnd w:id="2932"/>
    </w:p>
    <w:p w14:paraId="743EFBB1">
      <w:pPr>
        <w:ind w:firstLine="480"/>
        <w:rPr>
          <w:rFonts w:hint="eastAsia" w:ascii="宋体" w:hAnsi="宋体" w:eastAsia="宋体" w:cs="宋体"/>
        </w:rPr>
      </w:pPr>
      <w:r>
        <w:rPr>
          <w:rFonts w:hint="eastAsia" w:ascii="宋体" w:hAnsi="宋体" w:eastAsia="宋体" w:cs="宋体"/>
        </w:rPr>
        <w:t>钢筋加工场采用智能数控设备作业，大大提高了工作效率和产品质量的同时，减少了工人因误操作而发生事故的可能性，安全系数大大提高。</w:t>
      </w:r>
    </w:p>
    <w:p w14:paraId="1C099E3D">
      <w:pPr>
        <w:ind w:firstLine="480"/>
        <w:rPr>
          <w:rFonts w:hint="eastAsia" w:ascii="宋体" w:hAnsi="宋体" w:eastAsia="宋体" w:cs="宋体"/>
        </w:rPr>
      </w:pPr>
      <w:r>
        <w:rPr>
          <w:rFonts w:hint="eastAsia" w:ascii="宋体" w:hAnsi="宋体" w:eastAsia="宋体" w:cs="宋体"/>
        </w:rPr>
        <w:t>数控钢筋笼成型机：</w:t>
      </w:r>
    </w:p>
    <w:p w14:paraId="75D924A7">
      <w:pPr>
        <w:ind w:firstLine="480"/>
        <w:rPr>
          <w:rFonts w:hint="eastAsia" w:ascii="宋体" w:hAnsi="宋体" w:eastAsia="宋体" w:cs="宋体"/>
        </w:rPr>
      </w:pPr>
      <w:r>
        <w:rPr>
          <w:rFonts w:hint="eastAsia" w:ascii="宋体" w:hAnsi="宋体" w:eastAsia="宋体" w:cs="宋体"/>
        </w:rPr>
        <w:t>是在手工焊制的基础上开发出的新型钢筋加工设备，采用了仿真技术和数控技术，与传统的钢筋笼成型方式相比，具有如下优势或特点：</w:t>
      </w:r>
    </w:p>
    <w:p w14:paraId="70626844">
      <w:pPr>
        <w:ind w:firstLine="480"/>
        <w:rPr>
          <w:rFonts w:hint="eastAsia" w:ascii="宋体" w:hAnsi="宋体" w:eastAsia="宋体" w:cs="宋体"/>
        </w:rPr>
      </w:pPr>
      <w:r>
        <w:rPr>
          <w:rFonts w:hint="eastAsia" w:ascii="宋体" w:hAnsi="宋体" w:eastAsia="宋体" w:cs="宋体"/>
        </w:rPr>
        <w:t>1、设备自动化程度高，加工成型速度快，工作效率高；</w:t>
      </w:r>
    </w:p>
    <w:p w14:paraId="380C5E79">
      <w:pPr>
        <w:ind w:firstLine="480"/>
        <w:rPr>
          <w:rFonts w:hint="eastAsia" w:ascii="宋体" w:hAnsi="宋体" w:eastAsia="宋体" w:cs="宋体"/>
        </w:rPr>
      </w:pPr>
      <w:r>
        <w:rPr>
          <w:rFonts w:hint="eastAsia" w:ascii="宋体" w:hAnsi="宋体" w:eastAsia="宋体" w:cs="宋体"/>
        </w:rPr>
        <w:t>2、加工质量稳定可靠：由于采用的是机械化作业，主筋、缠绕筋的间距均匀，精度高；由于采用机械旋转的方式，盘筋与主筋缠绕紧密；先成型后加内箍筋，钢筋笼直径一致，可确保钢筋笼同心度。产品质量完全达到规范要求。在实际中手工生产钢筋笼时工程监理几乎每天都到加工现场进行检查，而使用机械加工，监理对机械化加工的钢筋笼基本实行了“免检”；</w:t>
      </w:r>
    </w:p>
    <w:p w14:paraId="7D160D81">
      <w:pPr>
        <w:ind w:firstLine="480"/>
        <w:rPr>
          <w:rFonts w:hint="eastAsia" w:ascii="宋体" w:hAnsi="宋体" w:eastAsia="宋体" w:cs="宋体"/>
        </w:rPr>
      </w:pPr>
      <w:r>
        <w:rPr>
          <w:rFonts w:hint="eastAsia" w:ascii="宋体" w:hAnsi="宋体" w:eastAsia="宋体" w:cs="宋体"/>
        </w:rPr>
        <w:t>3、加工成本大大降低，完成同样任务量时，机械制作可节省人力3/4；</w:t>
      </w:r>
    </w:p>
    <w:p w14:paraId="3722C500">
      <w:pPr>
        <w:ind w:firstLine="480"/>
        <w:rPr>
          <w:rFonts w:hint="eastAsia" w:ascii="宋体" w:hAnsi="宋体" w:eastAsia="宋体" w:cs="宋体"/>
        </w:rPr>
      </w:pPr>
      <w:r>
        <w:rPr>
          <w:rFonts w:hint="eastAsia" w:ascii="宋体" w:hAnsi="宋体" w:eastAsia="宋体" w:cs="宋体"/>
        </w:rPr>
        <w:t>4、场地适应力强。可以根据现场的场地大小、需加工的分节钢筋笼的长度组合布置设备，解决了同类产品场地大小必须满足设备要求的现象；方便运输、拆装简单：整套设备采用模块化设计理念，非常适合工地方式的流动性大、经常搬迁的特点；</w:t>
      </w:r>
    </w:p>
    <w:p w14:paraId="5BC65899">
      <w:pPr>
        <w:ind w:firstLine="480"/>
        <w:rPr>
          <w:rFonts w:hint="eastAsia" w:ascii="宋体" w:hAnsi="宋体" w:eastAsia="宋体" w:cs="宋体"/>
        </w:rPr>
      </w:pPr>
      <w:r>
        <w:rPr>
          <w:rFonts w:hint="eastAsia" w:ascii="宋体" w:hAnsi="宋体" w:eastAsia="宋体" w:cs="宋体"/>
        </w:rPr>
        <w:t>5、工人疲劳强度大大降低，由于机械化作业，工人起辅助作用。施工形象大大得到提升；</w:t>
      </w:r>
    </w:p>
    <w:p w14:paraId="6A4D200B">
      <w:pPr>
        <w:ind w:firstLine="480"/>
        <w:rPr>
          <w:rFonts w:hint="eastAsia" w:ascii="宋体" w:hAnsi="宋体" w:eastAsia="宋体" w:cs="宋体"/>
        </w:rPr>
      </w:pPr>
      <w:r>
        <w:rPr>
          <w:rFonts w:hint="eastAsia" w:ascii="宋体" w:hAnsi="宋体" w:eastAsia="宋体" w:cs="宋体"/>
        </w:rPr>
        <w:t>6、箍筋不需搭接，较之手工作业节省材料1%，降低了施工成本.由于主筋在其圆周上分布均匀，多个钢筋笼搭接时很方便，节省了吊装时间；</w:t>
      </w:r>
    </w:p>
    <w:p w14:paraId="41D40A58">
      <w:pPr>
        <w:ind w:firstLine="480"/>
        <w:rPr>
          <w:rFonts w:hint="eastAsia" w:ascii="宋体" w:hAnsi="宋体" w:eastAsia="宋体" w:cs="宋体"/>
        </w:rPr>
      </w:pPr>
      <w:r>
        <w:rPr>
          <w:rFonts w:hint="eastAsia" w:ascii="宋体" w:hAnsi="宋体" w:eastAsia="宋体" w:cs="宋体"/>
        </w:rPr>
        <w:t>7、对于盘筋，可以配套冷拉设备，即除锈，又增加了钢筋抗拉强度，同时还产生出了效益；</w:t>
      </w:r>
    </w:p>
    <w:p w14:paraId="3A8A8A58">
      <w:pPr>
        <w:ind w:firstLine="480"/>
        <w:rPr>
          <w:rFonts w:hint="eastAsia" w:ascii="宋体" w:hAnsi="宋体" w:eastAsia="宋体" w:cs="宋体"/>
        </w:rPr>
      </w:pPr>
      <w:r>
        <w:rPr>
          <w:rFonts w:hint="eastAsia" w:ascii="宋体" w:hAnsi="宋体" w:eastAsia="宋体" w:cs="宋体"/>
        </w:rPr>
        <w:t>8、可以加工“双主筋”和有“对焊接点钢筋”的钢筋笼，而同类产品在设备上不能卷制上述两种主筋形式的钢筋笼</w:t>
      </w:r>
      <w:r>
        <w:rPr>
          <w:rFonts w:hint="eastAsia" w:ascii="宋体" w:hAnsi="宋体" w:eastAsia="宋体" w:cs="宋体"/>
          <w:lang w:eastAsia="zh-CN"/>
        </w:rPr>
        <w:t>。</w:t>
      </w:r>
      <w:r>
        <w:rPr>
          <w:rFonts w:hint="eastAsia" w:ascii="宋体" w:hAnsi="宋体" w:eastAsia="宋体" w:cs="宋体"/>
        </w:rPr>
        <w:t>采取的方法是：用人工在地面上二次加入到半成品的钢筋笼中；</w:t>
      </w:r>
    </w:p>
    <w:p w14:paraId="1CC00D27">
      <w:pPr>
        <w:ind w:firstLine="480"/>
        <w:rPr>
          <w:rFonts w:hint="eastAsia" w:ascii="宋体" w:hAnsi="宋体" w:eastAsia="宋体" w:cs="宋体"/>
        </w:rPr>
      </w:pPr>
      <w:r>
        <w:rPr>
          <w:rFonts w:hint="eastAsia" w:ascii="宋体" w:hAnsi="宋体" w:eastAsia="宋体" w:cs="宋体"/>
        </w:rPr>
        <w:t>9、内外箍筋可以同时在设备上完成。而同类产品在设备上只是完成了外盘圆箍筋的工作，内箍筋是在地面上人工二次添加焊接完成。</w:t>
      </w:r>
    </w:p>
    <w:p w14:paraId="3E79264B">
      <w:pPr>
        <w:pStyle w:val="2"/>
        <w:numPr>
          <w:ilvl w:val="0"/>
          <w:numId w:val="0"/>
        </w:numPr>
        <w:spacing w:line="360" w:lineRule="auto"/>
        <w:ind w:left="432" w:leftChars="0" w:hanging="432" w:firstLineChars="0"/>
        <w:jc w:val="left"/>
        <w:rPr>
          <w:color w:val="auto"/>
        </w:rPr>
      </w:pPr>
      <w:bookmarkStart w:id="2933" w:name="_Toc29862"/>
      <w:bookmarkStart w:id="2934" w:name="_Toc26719"/>
      <w:bookmarkStart w:id="2935" w:name="_Toc2500"/>
      <w:bookmarkStart w:id="2936" w:name="_Toc23762"/>
      <w:bookmarkStart w:id="2937" w:name="_Toc17370"/>
      <w:r>
        <w:rPr>
          <w:rFonts w:hint="eastAsia" w:cs="Times New Roman"/>
          <w:b/>
          <w:bCs/>
          <w:color w:val="auto"/>
          <w:kern w:val="36"/>
          <w:sz w:val="36"/>
          <w:szCs w:val="48"/>
          <w:lang w:val="en-US" w:eastAsia="zh-CN" w:bidi="ar-SA"/>
        </w:rPr>
        <w:t>第十九章</w:t>
      </w:r>
      <w:r>
        <w:rPr>
          <w:rFonts w:hint="default" w:ascii="宋体" w:hAnsi="宋体" w:eastAsia="宋体" w:cs="Times New Roman"/>
          <w:b/>
          <w:bCs/>
          <w:color w:val="auto"/>
          <w:kern w:val="36"/>
          <w:sz w:val="36"/>
          <w:szCs w:val="48"/>
          <w:lang w:val="en-US" w:eastAsia="zh-CN" w:bidi="ar-SA"/>
        </w:rPr>
        <w:t>.</w:t>
      </w:r>
      <w:r>
        <w:rPr>
          <w:rFonts w:hint="eastAsia"/>
          <w:color w:val="auto"/>
        </w:rPr>
        <w:t>其他</w:t>
      </w:r>
      <w:bookmarkEnd w:id="2769"/>
      <w:bookmarkEnd w:id="2770"/>
      <w:bookmarkEnd w:id="2771"/>
      <w:bookmarkEnd w:id="2772"/>
      <w:bookmarkEnd w:id="2773"/>
      <w:bookmarkEnd w:id="2774"/>
      <w:bookmarkEnd w:id="2775"/>
      <w:bookmarkEnd w:id="2776"/>
      <w:bookmarkEnd w:id="2777"/>
      <w:bookmarkEnd w:id="2778"/>
      <w:bookmarkEnd w:id="2779"/>
      <w:bookmarkEnd w:id="2933"/>
      <w:bookmarkEnd w:id="2934"/>
      <w:bookmarkEnd w:id="2935"/>
      <w:bookmarkEnd w:id="2936"/>
      <w:bookmarkEnd w:id="2937"/>
    </w:p>
    <w:p w14:paraId="531583E6">
      <w:pPr>
        <w:pStyle w:val="4"/>
        <w:numPr>
          <w:ilvl w:val="1"/>
          <w:numId w:val="0"/>
        </w:numPr>
        <w:spacing w:line="360" w:lineRule="auto"/>
        <w:ind w:firstLine="0" w:firstLineChars="0"/>
        <w:rPr>
          <w:color w:val="auto"/>
        </w:rPr>
      </w:pPr>
      <w:bookmarkStart w:id="2938" w:name="_Toc26135"/>
      <w:bookmarkStart w:id="2939" w:name="_Toc260037239"/>
      <w:bookmarkStart w:id="2940" w:name="_Toc392933597"/>
      <w:bookmarkStart w:id="2941" w:name="_Toc4385"/>
      <w:bookmarkStart w:id="2942" w:name="_Toc260036609"/>
      <w:bookmarkStart w:id="2943" w:name="_Toc2654"/>
      <w:bookmarkStart w:id="2944" w:name="_Toc32236"/>
      <w:bookmarkStart w:id="2945" w:name="_Toc27847"/>
      <w:bookmarkStart w:id="2946" w:name="_Toc31225"/>
      <w:bookmarkStart w:id="2947" w:name="_Toc392165674"/>
      <w:bookmarkStart w:id="2948" w:name="_Toc24515"/>
      <w:bookmarkStart w:id="2949" w:name="_Toc30904"/>
      <w:bookmarkStart w:id="2950" w:name="_Toc22554"/>
      <w:bookmarkStart w:id="2951" w:name="_Toc3899"/>
      <w:bookmarkStart w:id="2952" w:name="_Toc7008"/>
      <w:bookmarkStart w:id="2953" w:name="_Toc26785"/>
      <w:bookmarkStart w:id="2954" w:name="_Toc57607083"/>
      <w:bookmarkStart w:id="2955" w:name="_Toc232929490"/>
      <w:r>
        <w:rPr>
          <w:rFonts w:hint="eastAsia" w:cs="Times New Roman"/>
          <w:b/>
          <w:bCs/>
          <w:color w:val="auto"/>
          <w:kern w:val="2"/>
          <w:sz w:val="32"/>
          <w:szCs w:val="32"/>
          <w:lang w:val="en-US" w:eastAsia="zh-CN" w:bidi="ar-SA"/>
        </w:rPr>
        <w:t>19</w:t>
      </w:r>
      <w:r>
        <w:rPr>
          <w:rFonts w:hint="default" w:ascii="Arial" w:hAnsi="Arial" w:eastAsia="宋体" w:cs="Times New Roman"/>
          <w:b/>
          <w:bCs/>
          <w:color w:val="auto"/>
          <w:kern w:val="2"/>
          <w:sz w:val="32"/>
          <w:szCs w:val="32"/>
          <w:lang w:val="en-US" w:eastAsia="zh-CN" w:bidi="ar-SA"/>
        </w:rPr>
        <w:t>.1.</w:t>
      </w:r>
      <w:r>
        <w:rPr>
          <w:rFonts w:hint="eastAsia"/>
          <w:color w:val="auto"/>
        </w:rPr>
        <w:t>廉政建设保证体系</w:t>
      </w:r>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p>
    <w:p w14:paraId="3B1456CE">
      <w:pPr>
        <w:ind w:firstLine="480"/>
        <w:rPr>
          <w:rFonts w:hint="eastAsia" w:ascii="宋体" w:hAnsi="宋体" w:eastAsia="宋体" w:cs="宋体"/>
        </w:rPr>
      </w:pPr>
      <w:r>
        <w:rPr>
          <w:rFonts w:hint="eastAsia" w:ascii="宋体" w:hAnsi="宋体" w:eastAsia="宋体" w:cs="宋体"/>
        </w:rPr>
        <w:t>廉政建设保证体系详见下图。</w:t>
      </w:r>
    </w:p>
    <w:p w14:paraId="66E4EAC2">
      <w:pPr>
        <w:pStyle w:val="4"/>
        <w:numPr>
          <w:ilvl w:val="1"/>
          <w:numId w:val="0"/>
        </w:numPr>
        <w:spacing w:line="360" w:lineRule="auto"/>
        <w:ind w:firstLine="0" w:firstLineChars="0"/>
        <w:rPr>
          <w:color w:val="auto"/>
        </w:rPr>
      </w:pPr>
      <w:bookmarkStart w:id="2956" w:name="_Toc4033"/>
      <w:bookmarkStart w:id="2957" w:name="_Toc18810"/>
      <w:bookmarkStart w:id="2958" w:name="_Toc260037240"/>
      <w:bookmarkStart w:id="2959" w:name="_Toc392933598"/>
      <w:bookmarkStart w:id="2960" w:name="_Toc5836"/>
      <w:bookmarkStart w:id="2961" w:name="_Toc2765"/>
      <w:bookmarkStart w:id="2962" w:name="_Toc2001"/>
      <w:bookmarkStart w:id="2963" w:name="_Toc19764"/>
      <w:bookmarkStart w:id="2964" w:name="_Toc3686"/>
      <w:bookmarkStart w:id="2965" w:name="_Toc15787"/>
      <w:bookmarkStart w:id="2966" w:name="_Toc29419"/>
      <w:bookmarkStart w:id="2967" w:name="_Toc11961"/>
      <w:bookmarkStart w:id="2968" w:name="_Toc260036610"/>
      <w:bookmarkStart w:id="2969" w:name="_Toc10229"/>
      <w:bookmarkStart w:id="2970" w:name="_Toc392165675"/>
      <w:bookmarkStart w:id="2971" w:name="_Toc32183"/>
      <w:r>
        <w:rPr>
          <w:rFonts w:hint="eastAsia" w:cs="Times New Roman"/>
          <w:b/>
          <w:bCs/>
          <w:color w:val="auto"/>
          <w:kern w:val="2"/>
          <w:sz w:val="32"/>
          <w:szCs w:val="32"/>
          <w:lang w:val="en-US" w:eastAsia="zh-CN" w:bidi="ar-SA"/>
        </w:rPr>
        <w:t>19</w:t>
      </w:r>
      <w:r>
        <w:rPr>
          <w:rFonts w:hint="default" w:ascii="Arial" w:hAnsi="Arial" w:eastAsia="宋体" w:cs="Times New Roman"/>
          <w:b/>
          <w:bCs/>
          <w:color w:val="auto"/>
          <w:kern w:val="2"/>
          <w:sz w:val="32"/>
          <w:szCs w:val="32"/>
          <w:lang w:val="en-US" w:eastAsia="zh-CN" w:bidi="ar-SA"/>
        </w:rPr>
        <w:t>.2.</w:t>
      </w:r>
      <w:r>
        <w:rPr>
          <w:rFonts w:hint="eastAsia"/>
          <w:color w:val="auto"/>
        </w:rPr>
        <w:t>廉政建设保证措施</w:t>
      </w:r>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p>
    <w:p w14:paraId="3F1A773E">
      <w:pPr>
        <w:ind w:firstLine="480"/>
        <w:rPr>
          <w:rFonts w:hint="eastAsia" w:ascii="宋体" w:hAnsi="宋体" w:eastAsia="宋体" w:cs="宋体"/>
        </w:rPr>
      </w:pPr>
      <w:r>
        <w:rPr>
          <w:rFonts w:hint="eastAsia" w:ascii="宋体" w:hAnsi="宋体" w:eastAsia="宋体" w:cs="宋体"/>
        </w:rPr>
        <w:t>⑴领导班子成员和全体党员干部要认真学习《廉政准则》和《中国共产党纪律处分条例》，增强廉洁自律意识。</w:t>
      </w:r>
    </w:p>
    <w:p w14:paraId="1CAA7528">
      <w:pPr>
        <w:ind w:firstLine="480"/>
        <w:rPr>
          <w:rFonts w:hint="eastAsia" w:ascii="宋体" w:hAnsi="宋体" w:eastAsia="宋体" w:cs="宋体"/>
        </w:rPr>
      </w:pPr>
      <w:r>
        <w:rPr>
          <w:rFonts w:hint="eastAsia" w:ascii="宋体" w:hAnsi="宋体" w:eastAsia="宋体" w:cs="宋体"/>
        </w:rPr>
        <w:t>⑵成立以项目经理为第一责任人，以党支部书记为组长的廉政工作领导小组，负责对廉政工作的监督、检查。</w:t>
      </w:r>
    </w:p>
    <w:p w14:paraId="4ABB983F">
      <w:pPr>
        <w:ind w:firstLine="480"/>
        <w:rPr>
          <w:rFonts w:hint="eastAsia" w:ascii="宋体" w:hAnsi="宋体" w:eastAsia="宋体" w:cs="宋体"/>
        </w:rPr>
      </w:pPr>
      <w:r>
        <w:rPr>
          <w:rFonts w:hint="eastAsia" w:ascii="宋体" w:hAnsi="宋体" w:eastAsia="宋体" w:cs="宋体"/>
        </w:rPr>
        <w:t>⑶项目部选定综合办公室作为廉政建设的监督机构，定期进行宣传教育、学习法律法规、检查廉政建设情况等，从思想、制度、检查等方面确保施工中无违规违纪现象。</w:t>
      </w:r>
    </w:p>
    <w:p w14:paraId="3F878EBB">
      <w:pPr>
        <w:ind w:firstLine="480"/>
        <w:rPr>
          <w:rFonts w:hint="eastAsia" w:ascii="宋体" w:hAnsi="宋体" w:eastAsia="宋体" w:cs="宋体"/>
        </w:rPr>
      </w:pPr>
      <w:r>
        <w:rPr>
          <w:rFonts w:hint="eastAsia" w:ascii="宋体" w:hAnsi="宋体" w:eastAsia="宋体" w:cs="宋体"/>
        </w:rPr>
        <w:t>⑷广泛开展廉政教育活动和职业道德教育，完善举报制度，公布举报电话，设置举报信箱，设立廉政告示牌，指派专人负责举报处理，保护和奖励举报有功人员。并加强与业主单位、监理单位之间的相互监督。</w:t>
      </w:r>
    </w:p>
    <w:p w14:paraId="2A3D5DF0">
      <w:pPr>
        <w:pStyle w:val="4"/>
        <w:numPr>
          <w:ilvl w:val="1"/>
          <w:numId w:val="0"/>
        </w:numPr>
        <w:spacing w:line="360" w:lineRule="auto"/>
        <w:ind w:firstLine="0" w:firstLineChars="0"/>
        <w:rPr>
          <w:color w:val="auto"/>
        </w:rPr>
      </w:pPr>
      <w:bookmarkStart w:id="2972" w:name="_Toc392165676"/>
      <w:bookmarkStart w:id="2973" w:name="_Toc28687"/>
      <w:bookmarkStart w:id="2974" w:name="_Toc7128"/>
      <w:bookmarkStart w:id="2975" w:name="_Toc18219"/>
      <w:bookmarkStart w:id="2976" w:name="_Toc3946"/>
      <w:bookmarkStart w:id="2977" w:name="_Toc7780"/>
      <w:bookmarkStart w:id="2978" w:name="_Toc18598"/>
      <w:bookmarkStart w:id="2979" w:name="_Toc260037241"/>
      <w:bookmarkStart w:id="2980" w:name="_Toc13637"/>
      <w:bookmarkStart w:id="2981" w:name="_Toc260036611"/>
      <w:bookmarkStart w:id="2982" w:name="_Toc392933599"/>
      <w:bookmarkStart w:id="2983" w:name="_Toc36"/>
      <w:bookmarkStart w:id="2984" w:name="_Toc13107"/>
      <w:bookmarkStart w:id="2985" w:name="_Toc3618"/>
      <w:bookmarkStart w:id="2986" w:name="_Toc22042"/>
      <w:bookmarkStart w:id="2987" w:name="_Toc16875"/>
      <w:r>
        <w:rPr>
          <w:rFonts w:hint="eastAsia" w:cs="Times New Roman"/>
          <w:b/>
          <w:bCs/>
          <w:color w:val="auto"/>
          <w:kern w:val="2"/>
          <w:sz w:val="32"/>
          <w:szCs w:val="32"/>
          <w:lang w:val="en-US" w:eastAsia="zh-CN" w:bidi="ar-SA"/>
        </w:rPr>
        <w:t>19</w:t>
      </w:r>
      <w:r>
        <w:rPr>
          <w:rFonts w:hint="default" w:ascii="Arial" w:hAnsi="Arial" w:eastAsia="宋体" w:cs="Times New Roman"/>
          <w:b/>
          <w:bCs/>
          <w:color w:val="auto"/>
          <w:kern w:val="2"/>
          <w:sz w:val="32"/>
          <w:szCs w:val="32"/>
          <w:lang w:val="en-US" w:eastAsia="zh-CN" w:bidi="ar-SA"/>
        </w:rPr>
        <w:t>.3.</w:t>
      </w:r>
      <w:r>
        <w:rPr>
          <w:rFonts w:hint="eastAsia"/>
          <w:color w:val="auto"/>
        </w:rPr>
        <w:t>施工后期场地恢复措施</w:t>
      </w:r>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p>
    <w:p w14:paraId="1FC8F733">
      <w:pPr>
        <w:ind w:firstLine="480"/>
        <w:rPr>
          <w:rFonts w:hint="eastAsia" w:ascii="宋体" w:hAnsi="宋体" w:eastAsia="宋体" w:cs="宋体"/>
        </w:rPr>
      </w:pPr>
      <w:r>
        <w:rPr>
          <w:rFonts w:hint="eastAsia" w:ascii="宋体" w:hAnsi="宋体" w:eastAsia="宋体" w:cs="宋体"/>
        </w:rPr>
        <w:t>⑴与土地管理部门签订租地合同时，明确土地恢复标准。</w:t>
      </w:r>
    </w:p>
    <w:p w14:paraId="0A2D9C53">
      <w:pPr>
        <w:ind w:firstLine="480"/>
        <w:rPr>
          <w:rFonts w:hint="eastAsia" w:ascii="宋体" w:hAnsi="宋体" w:eastAsia="宋体" w:cs="宋体"/>
        </w:rPr>
      </w:pPr>
      <w:r>
        <w:rPr>
          <w:rFonts w:hint="eastAsia" w:ascii="宋体" w:hAnsi="宋体" w:eastAsia="宋体" w:cs="宋体"/>
        </w:rPr>
        <w:t>⑵临时用地使用完毕后，立即进行原有道路和耕地等恢复工作。完工清场依据完工一段、清理一段、防护一段的工作原则进行。安排专人严格监督、检查完工清场工作，并记录归档。</w:t>
      </w:r>
    </w:p>
    <w:p w14:paraId="4579AFC0">
      <w:pPr>
        <w:ind w:firstLine="480"/>
        <w:rPr>
          <w:rFonts w:hint="eastAsia" w:ascii="宋体" w:hAnsi="宋体" w:eastAsia="宋体" w:cs="宋体"/>
        </w:rPr>
      </w:pPr>
      <w:r>
        <w:rPr>
          <w:rFonts w:hint="eastAsia" w:ascii="宋体" w:hAnsi="宋体" w:eastAsia="宋体" w:cs="宋体"/>
        </w:rPr>
        <w:t>⑶清场工作应加强对施工过程中遗留的污染源进行彻底调查，并分类处理。</w:t>
      </w:r>
    </w:p>
    <w:p w14:paraId="3C6CA9F6">
      <w:pPr>
        <w:pStyle w:val="4"/>
        <w:numPr>
          <w:ilvl w:val="1"/>
          <w:numId w:val="0"/>
        </w:numPr>
        <w:spacing w:line="360" w:lineRule="auto"/>
        <w:ind w:firstLine="0" w:firstLineChars="0"/>
        <w:rPr>
          <w:color w:val="auto"/>
        </w:rPr>
      </w:pPr>
      <w:bookmarkStart w:id="2988" w:name="_Toc80"/>
      <w:bookmarkStart w:id="2989" w:name="_Toc6572"/>
      <w:bookmarkStart w:id="2990" w:name="_Toc392165677"/>
      <w:bookmarkStart w:id="2991" w:name="_Toc232929506"/>
      <w:bookmarkStart w:id="2992" w:name="_Toc12108"/>
      <w:bookmarkStart w:id="2993" w:name="_Toc12006"/>
      <w:bookmarkStart w:id="2994" w:name="_Toc22180"/>
      <w:bookmarkStart w:id="2995" w:name="_Toc13724"/>
      <w:bookmarkStart w:id="2996" w:name="_Toc26890"/>
      <w:bookmarkStart w:id="2997" w:name="_Toc392933600"/>
      <w:bookmarkStart w:id="2998" w:name="_Toc11860"/>
      <w:bookmarkStart w:id="2999" w:name="_Toc260037243"/>
      <w:bookmarkStart w:id="3000" w:name="_Toc30417"/>
      <w:bookmarkStart w:id="3001" w:name="_Toc6426"/>
      <w:bookmarkStart w:id="3002" w:name="_Toc25244"/>
      <w:bookmarkStart w:id="3003" w:name="_Toc260036613"/>
      <w:bookmarkStart w:id="3004" w:name="_Toc1868"/>
      <w:r>
        <w:rPr>
          <w:rFonts w:hint="eastAsia" w:cs="Times New Roman"/>
          <w:b/>
          <w:bCs/>
          <w:color w:val="auto"/>
          <w:kern w:val="2"/>
          <w:sz w:val="32"/>
          <w:szCs w:val="32"/>
          <w:lang w:val="en-US" w:eastAsia="zh-CN" w:bidi="ar-SA"/>
        </w:rPr>
        <w:t>19</w:t>
      </w:r>
      <w:r>
        <w:rPr>
          <w:rFonts w:hint="default" w:ascii="Arial" w:hAnsi="Arial" w:eastAsia="宋体" w:cs="Times New Roman"/>
          <w:b/>
          <w:bCs/>
          <w:color w:val="auto"/>
          <w:kern w:val="2"/>
          <w:sz w:val="32"/>
          <w:szCs w:val="32"/>
          <w:lang w:val="en-US" w:eastAsia="zh-CN" w:bidi="ar-SA"/>
        </w:rPr>
        <w:t>.4.</w:t>
      </w:r>
      <w:r>
        <w:rPr>
          <w:rFonts w:hint="eastAsia"/>
          <w:color w:val="auto"/>
        </w:rPr>
        <w:t>农民工工资管理</w:t>
      </w:r>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p>
    <w:p w14:paraId="01D87FC0">
      <w:pPr>
        <w:ind w:firstLine="480"/>
        <w:rPr>
          <w:rFonts w:hint="eastAsia" w:ascii="宋体" w:hAnsi="宋体" w:eastAsia="宋体" w:cs="宋体"/>
        </w:rPr>
      </w:pPr>
      <w:r>
        <w:rPr>
          <w:rFonts w:hint="eastAsia" w:ascii="宋体" w:hAnsi="宋体" w:eastAsia="宋体" w:cs="宋体"/>
        </w:rPr>
        <w:t>施工中严格遵守各级政府提出的关于不拖欠民工工资的文件精神，严格工程资金管理，确保专款专用。</w:t>
      </w:r>
    </w:p>
    <w:p w14:paraId="41B086EE">
      <w:pPr>
        <w:ind w:firstLine="480"/>
        <w:rPr>
          <w:rFonts w:hint="eastAsia" w:ascii="宋体" w:hAnsi="宋体" w:eastAsia="宋体" w:cs="宋体"/>
          <w:lang w:val="zh-CN"/>
        </w:rPr>
      </w:pPr>
      <w:bookmarkStart w:id="3005" w:name="_Toc392933601"/>
      <w:bookmarkStart w:id="3006" w:name="_Toc260036618"/>
      <w:bookmarkStart w:id="3007" w:name="_Toc19598"/>
      <w:bookmarkStart w:id="3008" w:name="_Toc260037248"/>
      <w:bookmarkStart w:id="3009" w:name="_Toc392165678"/>
      <w:bookmarkStart w:id="3010" w:name="_Toc12140"/>
      <w:bookmarkStart w:id="3011" w:name="_Toc29538"/>
      <w:bookmarkStart w:id="3012" w:name="_Toc6287"/>
      <w:bookmarkStart w:id="3013" w:name="_Toc4904"/>
      <w:bookmarkStart w:id="3014" w:name="_Toc4145"/>
      <w:bookmarkStart w:id="3015" w:name="_Toc4845"/>
      <w:r>
        <w:rPr>
          <w:rFonts w:hint="eastAsia" w:ascii="宋体" w:hAnsi="宋体" w:eastAsia="宋体" w:cs="宋体"/>
          <w:lang w:val="zh-CN"/>
        </w:rPr>
        <w:t>实行农民工工资保障情况季报制度，每季度末连同重点工程建设情况一并报送上级主管部门；对照《福建省普通国省干线公路建设项目从业单位信用考核综合评分办法》要求，按时上传农民工工资管理内业资料。</w:t>
      </w:r>
    </w:p>
    <w:p w14:paraId="0C81A86D">
      <w:pPr>
        <w:ind w:firstLine="480"/>
        <w:rPr>
          <w:rFonts w:hint="eastAsia" w:ascii="宋体" w:hAnsi="宋体" w:eastAsia="宋体" w:cs="宋体"/>
          <w:lang w:val="zh-CN"/>
        </w:rPr>
      </w:pPr>
      <w:r>
        <w:rPr>
          <w:rFonts w:hint="eastAsia" w:ascii="宋体" w:hAnsi="宋体" w:eastAsia="宋体" w:cs="宋体"/>
          <w:lang w:val="zh-CN"/>
        </w:rPr>
        <w:t>对施工班组实行信用管理，建立班组红黑名单管理制度，并将考核的情况和结果按规定报相关主管门，引导班组管理规范化，促进施工班组对信用的重视和珍惜。</w:t>
      </w:r>
    </w:p>
    <w:p w14:paraId="4E8D88F0">
      <w:pPr>
        <w:ind w:firstLine="480"/>
        <w:jc w:val="center"/>
        <w:rPr>
          <w:lang w:val="zh-CN"/>
        </w:rPr>
      </w:pPr>
      <w:r>
        <w:rPr>
          <w:rFonts w:hint="eastAsia" w:ascii="宋体" w:hAnsi="宋体" w:eastAsia="宋体" w:cs="宋体"/>
          <w:lang w:val="zh-CN"/>
        </w:rPr>
        <w:t>完善退场管理。农民工中途退场或者工作任务结束退场时，结清工资，签订退场无欠薪声明，并经班组长确认、项目部见证、总监办核实。</w:t>
      </w:r>
      <w:r>
        <w:rPr>
          <w:rFonts w:hint="eastAsia" w:ascii="宋体" w:hAnsi="宋体" w:eastAsia="宋体" w:cs="宋体"/>
        </w:rPr>
        <w:t>并积极创建“无欠薪项目部”活动</w:t>
      </w:r>
      <w:r>
        <w:rPr>
          <w:rFonts w:hint="eastAsia" w:ascii="宋体" w:hAnsi="宋体" w:cs="宋体"/>
          <w:lang w:eastAsia="zh-CN"/>
        </w:rPr>
        <w:t>。</w:t>
      </w:r>
      <w:r>
        <w:rPr>
          <w:rFonts w:hint="eastAsia" w:ascii="宋体" w:hAnsi="宋体" w:eastAsia="宋体" w:cs="宋体"/>
        </w:rPr>
        <w:t>简要工作事项</w:t>
      </w:r>
      <w:r>
        <w:drawing>
          <wp:inline distT="0" distB="0" distL="114300" distR="114300">
            <wp:extent cx="5781675" cy="3902075"/>
            <wp:effectExtent l="0" t="0" r="9525" b="14605"/>
            <wp:docPr id="151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图片 75"/>
                    <pic:cNvPicPr>
                      <a:picLocks noChangeAspect="1"/>
                    </pic:cNvPicPr>
                  </pic:nvPicPr>
                  <pic:blipFill>
                    <a:blip r:embed="rId157"/>
                    <a:stretch>
                      <a:fillRect/>
                    </a:stretch>
                  </pic:blipFill>
                  <pic:spPr>
                    <a:xfrm>
                      <a:off x="0" y="0"/>
                      <a:ext cx="5781675" cy="3902075"/>
                    </a:xfrm>
                    <a:prstGeom prst="rect">
                      <a:avLst/>
                    </a:prstGeom>
                    <a:noFill/>
                    <a:ln>
                      <a:noFill/>
                    </a:ln>
                  </pic:spPr>
                </pic:pic>
              </a:graphicData>
            </a:graphic>
          </wp:inline>
        </w:drawing>
      </w:r>
    </w:p>
    <w:p w14:paraId="16A199D1">
      <w:pPr>
        <w:pStyle w:val="4"/>
        <w:numPr>
          <w:ilvl w:val="1"/>
          <w:numId w:val="0"/>
        </w:numPr>
        <w:spacing w:line="360" w:lineRule="auto"/>
        <w:ind w:firstLine="0" w:firstLineChars="0"/>
        <w:rPr>
          <w:color w:val="auto"/>
        </w:rPr>
      </w:pPr>
      <w:bookmarkStart w:id="3016" w:name="_Toc10226"/>
      <w:bookmarkStart w:id="3017" w:name="_Toc10562"/>
      <w:bookmarkStart w:id="3018" w:name="_Toc6315"/>
      <w:bookmarkStart w:id="3019" w:name="_Toc29424"/>
      <w:bookmarkStart w:id="3020" w:name="_Toc9561"/>
      <w:r>
        <w:rPr>
          <w:rFonts w:hint="eastAsia" w:cs="Times New Roman"/>
          <w:b/>
          <w:bCs/>
          <w:color w:val="auto"/>
          <w:kern w:val="2"/>
          <w:sz w:val="32"/>
          <w:szCs w:val="32"/>
          <w:lang w:val="en-US" w:eastAsia="zh-CN" w:bidi="ar-SA"/>
        </w:rPr>
        <w:t>19</w:t>
      </w:r>
      <w:r>
        <w:rPr>
          <w:rFonts w:hint="default" w:ascii="Arial" w:hAnsi="Arial" w:eastAsia="宋体" w:cs="Times New Roman"/>
          <w:b/>
          <w:bCs/>
          <w:color w:val="auto"/>
          <w:kern w:val="2"/>
          <w:sz w:val="32"/>
          <w:szCs w:val="32"/>
          <w:lang w:val="en-US" w:eastAsia="zh-CN" w:bidi="ar-SA"/>
        </w:rPr>
        <w:t>.5.</w:t>
      </w:r>
      <w:r>
        <w:rPr>
          <w:rFonts w:hint="eastAsia"/>
          <w:color w:val="auto"/>
        </w:rPr>
        <w:t>地上地下管线保护措施</w:t>
      </w:r>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p>
    <w:p w14:paraId="19CA75F6">
      <w:pPr>
        <w:ind w:firstLine="480"/>
        <w:rPr>
          <w:rFonts w:hint="eastAsia" w:ascii="宋体" w:hAnsi="宋体" w:eastAsia="宋体" w:cs="宋体"/>
        </w:rPr>
      </w:pPr>
      <w:r>
        <w:rPr>
          <w:rFonts w:hint="eastAsia" w:ascii="宋体" w:hAnsi="宋体" w:eastAsia="宋体" w:cs="宋体"/>
        </w:rPr>
        <w:t>⑴施工时保护管线根据“谁施工谁负责”的原则，在施工期间及工程范围内对各类地下管线保护工作全面负责。</w:t>
      </w:r>
    </w:p>
    <w:p w14:paraId="58E82A68">
      <w:pPr>
        <w:ind w:firstLine="480"/>
        <w:rPr>
          <w:rFonts w:hint="eastAsia" w:ascii="宋体" w:hAnsi="宋体" w:eastAsia="宋体" w:cs="宋体"/>
        </w:rPr>
      </w:pPr>
      <w:r>
        <w:rPr>
          <w:rFonts w:hint="eastAsia" w:ascii="宋体" w:hAnsi="宋体" w:eastAsia="宋体" w:cs="宋体"/>
        </w:rPr>
        <w:t>⑵施工前制定应急措施，配备好抢修器材，详细阅读、熟悉掌握设计单位提供的地下管线图纸资料，如发现管线现状与交底内容、勘测资料不符时，立即报告建设单位和有关管线单位，商议补救措施，以便及时抢修。一旦发生管线损坏，在24小时内报上级部门和业主单位，并积极组织力量协助有关管线主权单位进行抢修。</w:t>
      </w:r>
    </w:p>
    <w:p w14:paraId="7C1940C1">
      <w:pPr>
        <w:ind w:firstLine="0" w:firstLineChars="0"/>
        <w:rPr>
          <w:rFonts w:hint="eastAsia" w:ascii="宋体" w:hAnsi="宋体" w:eastAsia="宋体" w:cs="宋体"/>
        </w:rPr>
        <w:sectPr>
          <w:headerReference r:id="rId10" w:type="default"/>
          <w:pgSz w:w="11906" w:h="16838"/>
          <w:pgMar w:top="1440" w:right="1247" w:bottom="1440" w:left="1417" w:header="850" w:footer="992" w:gutter="0"/>
          <w:pgNumType w:fmt="numberInDash"/>
          <w:cols w:space="720" w:num="1"/>
          <w:docGrid w:linePitch="326" w:charSpace="0"/>
        </w:sectPr>
      </w:pPr>
    </w:p>
    <w:p w14:paraId="6AC913CF">
      <w:pPr>
        <w:ind w:firstLine="5040" w:firstLineChars="2100"/>
        <w:rPr>
          <w:rFonts w:hint="eastAsia"/>
          <w:u w:val="double"/>
        </w:rPr>
      </w:pPr>
      <w:r>
        <w:rPr>
          <w:u w:val="double"/>
        </w:rPr>
        <mc:AlternateContent>
          <mc:Choice Requires="wpg">
            <w:drawing>
              <wp:anchor distT="0" distB="0" distL="114300" distR="114300" simplePos="0" relativeHeight="251667456" behindDoc="0" locked="0" layoutInCell="1" allowOverlap="1">
                <wp:simplePos x="0" y="0"/>
                <wp:positionH relativeFrom="column">
                  <wp:posOffset>32385</wp:posOffset>
                </wp:positionH>
                <wp:positionV relativeFrom="paragraph">
                  <wp:posOffset>118110</wp:posOffset>
                </wp:positionV>
                <wp:extent cx="9096375" cy="5170805"/>
                <wp:effectExtent l="4445" t="4445" r="12700" b="6350"/>
                <wp:wrapTopAndBottom/>
                <wp:docPr id="822" name="组合 443"/>
                <wp:cNvGraphicFramePr/>
                <a:graphic xmlns:a="http://schemas.openxmlformats.org/drawingml/2006/main">
                  <a:graphicData uri="http://schemas.microsoft.com/office/word/2010/wordprocessingGroup">
                    <wpg:wgp>
                      <wpg:cNvGrpSpPr/>
                      <wpg:grpSpPr>
                        <a:xfrm>
                          <a:off x="0" y="0"/>
                          <a:ext cx="9096375" cy="5170805"/>
                          <a:chOff x="32" y="373"/>
                          <a:chExt cx="14326" cy="8143"/>
                        </a:xfrm>
                      </wpg:grpSpPr>
                      <wps:wsp>
                        <wps:cNvPr id="724" name="文本框 4975" descr="蓝色面巾纸"/>
                        <wps:cNvSpPr txBox="1"/>
                        <wps:spPr>
                          <a:xfrm>
                            <a:off x="32" y="2803"/>
                            <a:ext cx="447" cy="22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E26F870">
                              <w:pPr>
                                <w:spacing w:line="300" w:lineRule="exact"/>
                                <w:ind w:firstLine="0" w:firstLineChars="0"/>
                                <w:jc w:val="both"/>
                                <w:rPr>
                                  <w:sz w:val="21"/>
                                </w:rPr>
                              </w:pPr>
                              <w:r>
                                <w:rPr>
                                  <w:rFonts w:hint="eastAsia"/>
                                  <w:sz w:val="21"/>
                                </w:rPr>
                                <w:t>普及教育</w:t>
                              </w:r>
                            </w:p>
                          </w:txbxContent>
                        </wps:txbx>
                        <wps:bodyPr lIns="54000" tIns="45720" rIns="54000" bIns="45720" upright="1"/>
                      </wps:wsp>
                      <wps:wsp>
                        <wps:cNvPr id="725" name="文本框 4976" descr="蓝色面巾纸"/>
                        <wps:cNvSpPr txBox="1"/>
                        <wps:spPr>
                          <a:xfrm>
                            <a:off x="6528" y="373"/>
                            <a:ext cx="2417" cy="48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BB32AB0">
                              <w:pPr>
                                <w:ind w:firstLine="31680"/>
                              </w:pPr>
                              <w:r>
                                <w:rPr>
                                  <w:rFonts w:hint="eastAsia"/>
                                </w:rPr>
                                <w:t>廉政建设保证体系</w:t>
                              </w:r>
                            </w:p>
                          </w:txbxContent>
                        </wps:txbx>
                        <wps:bodyPr lIns="91440" tIns="10800" rIns="91440" bIns="10800" upright="1"/>
                      </wps:wsp>
                      <wps:wsp>
                        <wps:cNvPr id="726" name="文本框 4977" descr="蓝色面巾纸"/>
                        <wps:cNvSpPr txBox="1"/>
                        <wps:spPr>
                          <a:xfrm>
                            <a:off x="771" y="1506"/>
                            <a:ext cx="1385" cy="48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5B5AD1A">
                              <w:pPr>
                                <w:spacing w:line="260" w:lineRule="exact"/>
                                <w:ind w:firstLine="0" w:firstLineChars="0"/>
                                <w:jc w:val="center"/>
                                <w:rPr>
                                  <w:sz w:val="21"/>
                                </w:rPr>
                              </w:pPr>
                              <w:r>
                                <w:rPr>
                                  <w:rFonts w:hint="eastAsia"/>
                                  <w:sz w:val="21"/>
                                </w:rPr>
                                <w:t>思想保证</w:t>
                              </w:r>
                            </w:p>
                          </w:txbxContent>
                        </wps:txbx>
                        <wps:bodyPr upright="1"/>
                      </wps:wsp>
                      <wps:wsp>
                        <wps:cNvPr id="727" name="文本框 4978" descr="蓝色面巾纸"/>
                        <wps:cNvSpPr txBox="1"/>
                        <wps:spPr>
                          <a:xfrm>
                            <a:off x="4222" y="1506"/>
                            <a:ext cx="1500" cy="48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1D1FEEC">
                              <w:pPr>
                                <w:spacing w:line="260" w:lineRule="exact"/>
                                <w:ind w:firstLine="0" w:firstLineChars="0"/>
                                <w:jc w:val="center"/>
                                <w:rPr>
                                  <w:sz w:val="21"/>
                                </w:rPr>
                              </w:pPr>
                              <w:r>
                                <w:rPr>
                                  <w:rFonts w:hint="eastAsia"/>
                                  <w:sz w:val="21"/>
                                </w:rPr>
                                <w:t>组织保证</w:t>
                              </w:r>
                            </w:p>
                          </w:txbxContent>
                        </wps:txbx>
                        <wps:bodyPr upright="1"/>
                      </wps:wsp>
                      <wps:wsp>
                        <wps:cNvPr id="728" name="文本框 4979" descr="蓝色面巾纸"/>
                        <wps:cNvSpPr txBox="1"/>
                        <wps:spPr>
                          <a:xfrm>
                            <a:off x="8989" y="1668"/>
                            <a:ext cx="1269" cy="48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89EB36D">
                              <w:pPr>
                                <w:spacing w:line="260" w:lineRule="exact"/>
                                <w:ind w:firstLine="0" w:firstLineChars="0"/>
                                <w:jc w:val="center"/>
                                <w:rPr>
                                  <w:sz w:val="21"/>
                                </w:rPr>
                              </w:pPr>
                              <w:r>
                                <w:rPr>
                                  <w:rFonts w:hint="eastAsia"/>
                                  <w:sz w:val="21"/>
                                </w:rPr>
                                <w:t>检查保证</w:t>
                              </w:r>
                            </w:p>
                          </w:txbxContent>
                        </wps:txbx>
                        <wps:bodyPr lIns="18000" tIns="10800" rIns="18000" bIns="10800" upright="1"/>
                      </wps:wsp>
                      <wps:wsp>
                        <wps:cNvPr id="729" name="文本框 4980" descr="蓝色面巾纸"/>
                        <wps:cNvSpPr txBox="1"/>
                        <wps:spPr>
                          <a:xfrm>
                            <a:off x="12070" y="1672"/>
                            <a:ext cx="1793" cy="48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64C039B">
                              <w:pPr>
                                <w:spacing w:line="260" w:lineRule="exact"/>
                                <w:ind w:firstLine="0" w:firstLineChars="0"/>
                                <w:jc w:val="center"/>
                                <w:rPr>
                                  <w:sz w:val="21"/>
                                </w:rPr>
                              </w:pPr>
                              <w:r>
                                <w:rPr>
                                  <w:rFonts w:hint="eastAsia"/>
                                  <w:sz w:val="21"/>
                                </w:rPr>
                                <w:t>制度保证</w:t>
                              </w:r>
                            </w:p>
                          </w:txbxContent>
                        </wps:txbx>
                        <wps:bodyPr upright="1"/>
                      </wps:wsp>
                      <wps:wsp>
                        <wps:cNvPr id="730" name="文本框 4981" descr="蓝色面巾纸"/>
                        <wps:cNvSpPr txBox="1"/>
                        <wps:spPr>
                          <a:xfrm>
                            <a:off x="689" y="2803"/>
                            <a:ext cx="447" cy="22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DEB4104">
                              <w:pPr>
                                <w:spacing w:line="260" w:lineRule="exact"/>
                                <w:ind w:firstLine="0" w:firstLineChars="0"/>
                                <w:rPr>
                                  <w:sz w:val="21"/>
                                </w:rPr>
                              </w:pPr>
                              <w:r>
                                <w:rPr>
                                  <w:rFonts w:hint="eastAsia"/>
                                  <w:sz w:val="21"/>
                                </w:rPr>
                                <w:t>从业教育</w:t>
                              </w:r>
                            </w:p>
                          </w:txbxContent>
                        </wps:txbx>
                        <wps:bodyPr lIns="54000" tIns="45720" rIns="54000" bIns="45720" upright="1"/>
                      </wps:wsp>
                      <wps:wsp>
                        <wps:cNvPr id="731" name="文本框 4982" descr="蓝色面巾纸"/>
                        <wps:cNvSpPr txBox="1"/>
                        <wps:spPr>
                          <a:xfrm>
                            <a:off x="1346" y="2803"/>
                            <a:ext cx="447" cy="22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EC0F886">
                              <w:pPr>
                                <w:spacing w:line="260" w:lineRule="exact"/>
                                <w:ind w:firstLine="0" w:firstLineChars="0"/>
                                <w:rPr>
                                  <w:sz w:val="21"/>
                                </w:rPr>
                              </w:pPr>
                              <w:r>
                                <w:rPr>
                                  <w:rFonts w:hint="eastAsia"/>
                                  <w:sz w:val="21"/>
                                </w:rPr>
                                <w:t>廉政建设教育</w:t>
                              </w:r>
                            </w:p>
                          </w:txbxContent>
                        </wps:txbx>
                        <wps:bodyPr lIns="54000" tIns="45720" rIns="54000" bIns="45720" upright="1"/>
                      </wps:wsp>
                      <wps:wsp>
                        <wps:cNvPr id="732" name="文本框 4983" descr="蓝色面巾纸"/>
                        <wps:cNvSpPr txBox="1"/>
                        <wps:spPr>
                          <a:xfrm>
                            <a:off x="2003" y="2803"/>
                            <a:ext cx="446" cy="226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DEC52FD">
                              <w:pPr>
                                <w:spacing w:line="260" w:lineRule="exact"/>
                                <w:ind w:firstLine="0" w:firstLineChars="0"/>
                                <w:rPr>
                                  <w:sz w:val="21"/>
                                </w:rPr>
                              </w:pPr>
                              <w:r>
                                <w:rPr>
                                  <w:rFonts w:hint="eastAsia"/>
                                  <w:sz w:val="21"/>
                                </w:rPr>
                                <w:t>法制法规教育</w:t>
                              </w:r>
                            </w:p>
                          </w:txbxContent>
                        </wps:txbx>
                        <wps:bodyPr lIns="54000" tIns="45720" rIns="54000" bIns="45720" upright="1"/>
                      </wps:wsp>
                      <wps:wsp>
                        <wps:cNvPr id="733" name="文本框 4984" descr="蓝色面巾纸"/>
                        <wps:cNvSpPr txBox="1"/>
                        <wps:spPr>
                          <a:xfrm>
                            <a:off x="311" y="5882"/>
                            <a:ext cx="2394" cy="809"/>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A0F92C1">
                              <w:pPr>
                                <w:spacing w:line="260" w:lineRule="exact"/>
                                <w:ind w:firstLine="0" w:firstLineChars="0"/>
                                <w:rPr>
                                  <w:sz w:val="21"/>
                                </w:rPr>
                              </w:pPr>
                              <w:r>
                                <w:rPr>
                                  <w:rFonts w:hint="eastAsia"/>
                                  <w:sz w:val="21"/>
                                </w:rPr>
                                <w:t>强化廉政建设教育，增强党性，提高觉悟</w:t>
                              </w:r>
                            </w:p>
                          </w:txbxContent>
                        </wps:txbx>
                        <wps:bodyPr lIns="54000" tIns="10800" rIns="18000" bIns="10800" upright="1"/>
                      </wps:wsp>
                      <wps:wsp>
                        <wps:cNvPr id="734" name="文本框 4985" descr="蓝色面巾纸"/>
                        <wps:cNvSpPr txBox="1"/>
                        <wps:spPr>
                          <a:xfrm>
                            <a:off x="3414" y="2317"/>
                            <a:ext cx="3010"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A69A4C5">
                              <w:pPr>
                                <w:spacing w:line="260" w:lineRule="exact"/>
                                <w:ind w:left="0" w:leftChars="0" w:firstLine="0" w:firstLineChars="0"/>
                                <w:jc w:val="center"/>
                                <w:rPr>
                                  <w:sz w:val="21"/>
                                </w:rPr>
                              </w:pPr>
                              <w:r>
                                <w:rPr>
                                  <w:rFonts w:hint="eastAsia"/>
                                  <w:sz w:val="21"/>
                                </w:rPr>
                                <w:t>经理部廉政建设领导小组</w:t>
                              </w:r>
                            </w:p>
                          </w:txbxContent>
                        </wps:txbx>
                        <wps:bodyPr upright="1"/>
                      </wps:wsp>
                      <wps:wsp>
                        <wps:cNvPr id="735" name="文本框 4986" descr="蓝色面巾纸"/>
                        <wps:cNvSpPr txBox="1"/>
                        <wps:spPr>
                          <a:xfrm>
                            <a:off x="3634" y="3127"/>
                            <a:ext cx="2571"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2B4D342">
                              <w:pPr>
                                <w:spacing w:line="260" w:lineRule="exact"/>
                                <w:ind w:firstLine="31680"/>
                                <w:jc w:val="center"/>
                                <w:rPr>
                                  <w:sz w:val="21"/>
                                </w:rPr>
                              </w:pPr>
                              <w:r>
                                <w:rPr>
                                  <w:rFonts w:hint="eastAsia"/>
                                  <w:sz w:val="21"/>
                                </w:rPr>
                                <w:t>办公室</w:t>
                              </w:r>
                              <w:r>
                                <w:rPr>
                                  <w:sz w:val="21"/>
                                </w:rPr>
                                <w:t>(</w:t>
                              </w:r>
                              <w:r>
                                <w:rPr>
                                  <w:rFonts w:hint="eastAsia"/>
                                  <w:sz w:val="21"/>
                                </w:rPr>
                                <w:t>设专人负责</w:t>
                              </w:r>
                              <w:r>
                                <w:rPr>
                                  <w:sz w:val="21"/>
                                </w:rPr>
                                <w:t>)</w:t>
                              </w:r>
                            </w:p>
                          </w:txbxContent>
                        </wps:txbx>
                        <wps:bodyPr upright="1"/>
                      </wps:wsp>
                      <wps:wsp>
                        <wps:cNvPr id="736" name="文本框 4987" descr="蓝色面巾纸"/>
                        <wps:cNvSpPr txBox="1"/>
                        <wps:spPr>
                          <a:xfrm>
                            <a:off x="2623" y="4249"/>
                            <a:ext cx="2264" cy="48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610CE7F">
                              <w:pPr>
                                <w:spacing w:line="260" w:lineRule="exact"/>
                                <w:ind w:firstLine="0" w:firstLineChars="0"/>
                                <w:jc w:val="center"/>
                                <w:rPr>
                                  <w:sz w:val="21"/>
                                </w:rPr>
                              </w:pPr>
                              <w:r>
                                <w:rPr>
                                  <w:rFonts w:hint="eastAsia"/>
                                  <w:sz w:val="21"/>
                                </w:rPr>
                                <w:t>队廉政建设领导小组</w:t>
                              </w:r>
                            </w:p>
                          </w:txbxContent>
                        </wps:txbx>
                        <wps:bodyPr lIns="18000" tIns="45720" rIns="18000" bIns="45720" upright="1"/>
                      </wps:wsp>
                      <wps:wsp>
                        <wps:cNvPr id="737" name="文本框 4988" descr="蓝色面巾纸"/>
                        <wps:cNvSpPr txBox="1"/>
                        <wps:spPr>
                          <a:xfrm>
                            <a:off x="5151" y="4261"/>
                            <a:ext cx="1822" cy="48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62E7BE43">
                              <w:pPr>
                                <w:spacing w:line="260" w:lineRule="exact"/>
                                <w:ind w:firstLine="0" w:firstLineChars="0"/>
                                <w:jc w:val="center"/>
                                <w:rPr>
                                  <w:sz w:val="21"/>
                                </w:rPr>
                              </w:pPr>
                              <w:r>
                                <w:rPr>
                                  <w:rFonts w:hint="eastAsia"/>
                                  <w:sz w:val="21"/>
                                </w:rPr>
                                <w:t>专</w:t>
                              </w:r>
                              <w:r>
                                <w:rPr>
                                  <w:sz w:val="21"/>
                                </w:rPr>
                                <w:t>(</w:t>
                              </w:r>
                              <w:r>
                                <w:rPr>
                                  <w:rFonts w:hint="eastAsia"/>
                                  <w:sz w:val="21"/>
                                </w:rPr>
                                <w:t>兼</w:t>
                              </w:r>
                              <w:r>
                                <w:rPr>
                                  <w:sz w:val="21"/>
                                </w:rPr>
                                <w:t>)</w:t>
                              </w:r>
                              <w:r>
                                <w:rPr>
                                  <w:rFonts w:hint="eastAsia"/>
                                  <w:sz w:val="21"/>
                                </w:rPr>
                                <w:t>职纪检员</w:t>
                              </w:r>
                            </w:p>
                          </w:txbxContent>
                        </wps:txbx>
                        <wps:bodyPr lIns="54000" tIns="45720" rIns="18000" bIns="45720" upright="1"/>
                      </wps:wsp>
                      <wps:wsp>
                        <wps:cNvPr id="738" name="文本框 4989" descr="蓝色面巾纸"/>
                        <wps:cNvSpPr txBox="1"/>
                        <wps:spPr>
                          <a:xfrm>
                            <a:off x="8467" y="2641"/>
                            <a:ext cx="2192"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BDA4F53">
                              <w:pPr>
                                <w:spacing w:line="260" w:lineRule="exact"/>
                                <w:ind w:left="0" w:leftChars="0" w:firstLine="0" w:firstLineChars="0"/>
                                <w:jc w:val="center"/>
                                <w:rPr>
                                  <w:sz w:val="21"/>
                                </w:rPr>
                              </w:pPr>
                              <w:r>
                                <w:rPr>
                                  <w:rFonts w:hint="eastAsia"/>
                                  <w:sz w:val="21"/>
                                </w:rPr>
                                <w:t>部每季一次检查</w:t>
                              </w:r>
                            </w:p>
                          </w:txbxContent>
                        </wps:txbx>
                        <wps:bodyPr upright="1"/>
                      </wps:wsp>
                      <wps:wsp>
                        <wps:cNvPr id="739" name="文本框 4990" descr="蓝色面巾纸"/>
                        <wps:cNvSpPr txBox="1"/>
                        <wps:spPr>
                          <a:xfrm>
                            <a:off x="8467" y="3451"/>
                            <a:ext cx="2192"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1F3F757">
                              <w:pPr>
                                <w:spacing w:line="260" w:lineRule="exact"/>
                                <w:ind w:left="0" w:leftChars="0" w:firstLine="0" w:firstLineChars="0"/>
                                <w:jc w:val="center"/>
                                <w:rPr>
                                  <w:sz w:val="21"/>
                                </w:rPr>
                              </w:pPr>
                              <w:r>
                                <w:rPr>
                                  <w:rFonts w:hint="eastAsia"/>
                                  <w:sz w:val="21"/>
                                </w:rPr>
                                <w:t>队每月一次检查</w:t>
                              </w:r>
                            </w:p>
                          </w:txbxContent>
                        </wps:txbx>
                        <wps:bodyPr upright="1"/>
                      </wps:wsp>
                      <wps:wsp>
                        <wps:cNvPr id="740" name="文本框 4991" descr="蓝色面巾纸"/>
                        <wps:cNvSpPr txBox="1"/>
                        <wps:spPr>
                          <a:xfrm>
                            <a:off x="8467" y="4423"/>
                            <a:ext cx="2192" cy="487"/>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C6E26F9">
                              <w:pPr>
                                <w:spacing w:line="260" w:lineRule="exact"/>
                                <w:ind w:left="0" w:leftChars="0" w:firstLine="0" w:firstLineChars="0"/>
                                <w:jc w:val="center"/>
                                <w:rPr>
                                  <w:sz w:val="21"/>
                                </w:rPr>
                              </w:pPr>
                              <w:r>
                                <w:rPr>
                                  <w:rFonts w:hint="eastAsia"/>
                                  <w:sz w:val="21"/>
                                </w:rPr>
                                <w:t>工班每周一次检查</w:t>
                              </w:r>
                            </w:p>
                          </w:txbxContent>
                        </wps:txbx>
                        <wps:bodyPr lIns="54000" tIns="45720" rIns="18000" bIns="45720" upright="1"/>
                      </wps:wsp>
                      <wps:wsp>
                        <wps:cNvPr id="741" name="文本框 4992" descr="蓝色面巾纸"/>
                        <wps:cNvSpPr txBox="1"/>
                        <wps:spPr>
                          <a:xfrm>
                            <a:off x="8583" y="5234"/>
                            <a:ext cx="2076"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0B4D0A69">
                              <w:pPr>
                                <w:spacing w:line="260" w:lineRule="exact"/>
                                <w:ind w:firstLine="31680"/>
                                <w:rPr>
                                  <w:sz w:val="21"/>
                                </w:rPr>
                              </w:pPr>
                              <w:r>
                                <w:rPr>
                                  <w:rFonts w:hint="eastAsia"/>
                                  <w:sz w:val="21"/>
                                </w:rPr>
                                <w:t>班组每天检查</w:t>
                              </w:r>
                            </w:p>
                          </w:txbxContent>
                        </wps:txbx>
                        <wps:bodyPr upright="1"/>
                      </wps:wsp>
                      <wps:wsp>
                        <wps:cNvPr id="742" name="文本框 4993" descr="蓝色面巾纸"/>
                        <wps:cNvSpPr txBox="1"/>
                        <wps:spPr>
                          <a:xfrm>
                            <a:off x="7310" y="3451"/>
                            <a:ext cx="447" cy="194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92CAF21">
                              <w:pPr>
                                <w:spacing w:line="260" w:lineRule="exact"/>
                                <w:ind w:firstLine="0" w:firstLineChars="0"/>
                                <w:rPr>
                                  <w:sz w:val="21"/>
                                </w:rPr>
                              </w:pPr>
                              <w:r>
                                <w:rPr>
                                  <w:rFonts w:hint="eastAsia"/>
                                  <w:sz w:val="21"/>
                                </w:rPr>
                                <w:t>定期检查</w:t>
                              </w:r>
                            </w:p>
                          </w:txbxContent>
                        </wps:txbx>
                        <wps:bodyPr lIns="54000" tIns="45720" rIns="54000" bIns="45720" upright="1"/>
                      </wps:wsp>
                      <wps:wsp>
                        <wps:cNvPr id="743" name="文本框 4994" descr="蓝色面巾纸"/>
                        <wps:cNvSpPr txBox="1"/>
                        <wps:spPr>
                          <a:xfrm>
                            <a:off x="10826" y="2857"/>
                            <a:ext cx="447" cy="2783"/>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472E3E0">
                              <w:pPr>
                                <w:spacing w:line="260" w:lineRule="exact"/>
                                <w:ind w:firstLine="31680"/>
                                <w:jc w:val="center"/>
                                <w:rPr>
                                  <w:rFonts w:ascii="宋体"/>
                                  <w:sz w:val="21"/>
                                </w:rPr>
                              </w:pPr>
                              <w:r>
                                <w:rPr>
                                  <w:rFonts w:hint="eastAsia" w:ascii="宋体"/>
                                  <w:sz w:val="21"/>
                                </w:rPr>
                                <w:t>上上级</w:t>
                              </w:r>
                              <w:r>
                                <w:rPr>
                                  <w:rFonts w:hint="eastAsia"/>
                                  <w:sz w:val="21"/>
                                </w:rPr>
                                <w:t>部门</w:t>
                              </w:r>
                              <w:r>
                                <w:rPr>
                                  <w:rFonts w:hint="eastAsia" w:ascii="宋体"/>
                                  <w:sz w:val="21"/>
                                </w:rPr>
                                <w:t>检查</w:t>
                              </w:r>
                            </w:p>
                          </w:txbxContent>
                        </wps:txbx>
                        <wps:bodyPr lIns="54000" tIns="45720" rIns="54000" bIns="45720" upright="1"/>
                      </wps:wsp>
                      <wps:wsp>
                        <wps:cNvPr id="744" name="文本框 4995" descr="蓝色面巾纸"/>
                        <wps:cNvSpPr txBox="1"/>
                        <wps:spPr>
                          <a:xfrm>
                            <a:off x="3090" y="5720"/>
                            <a:ext cx="1269"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8FFF3CC">
                              <w:pPr>
                                <w:spacing w:line="260" w:lineRule="exact"/>
                                <w:ind w:firstLine="0" w:firstLineChars="0"/>
                                <w:jc w:val="center"/>
                                <w:rPr>
                                  <w:sz w:val="21"/>
                                </w:rPr>
                              </w:pPr>
                              <w:r>
                                <w:rPr>
                                  <w:rFonts w:hint="eastAsia"/>
                                  <w:sz w:val="21"/>
                                </w:rPr>
                                <w:t>班组长</w:t>
                              </w:r>
                            </w:p>
                          </w:txbxContent>
                        </wps:txbx>
                        <wps:bodyPr upright="1"/>
                      </wps:wsp>
                      <wps:wsp>
                        <wps:cNvPr id="745" name="文本框 4996" descr="蓝色面巾纸"/>
                        <wps:cNvSpPr txBox="1"/>
                        <wps:spPr>
                          <a:xfrm>
                            <a:off x="5513" y="5720"/>
                            <a:ext cx="1499"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F84FC13">
                              <w:pPr>
                                <w:spacing w:line="260" w:lineRule="exact"/>
                                <w:ind w:firstLine="0" w:firstLineChars="0"/>
                                <w:jc w:val="center"/>
                                <w:rPr>
                                  <w:sz w:val="21"/>
                                </w:rPr>
                              </w:pPr>
                              <w:r>
                                <w:rPr>
                                  <w:rFonts w:hint="eastAsia"/>
                                  <w:sz w:val="21"/>
                                </w:rPr>
                                <w:t>义务纪检员</w:t>
                              </w:r>
                            </w:p>
                          </w:txbxContent>
                        </wps:txbx>
                        <wps:bodyPr upright="1"/>
                      </wps:wsp>
                      <wps:wsp>
                        <wps:cNvPr id="746" name="文本框 4997" descr="蓝色面巾纸"/>
                        <wps:cNvSpPr txBox="1"/>
                        <wps:spPr>
                          <a:xfrm>
                            <a:off x="3612" y="6853"/>
                            <a:ext cx="2681"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15684657">
                              <w:pPr>
                                <w:spacing w:line="260" w:lineRule="exact"/>
                                <w:ind w:firstLine="31680"/>
                                <w:jc w:val="center"/>
                                <w:rPr>
                                  <w:sz w:val="21"/>
                                </w:rPr>
                              </w:pPr>
                              <w:r>
                                <w:rPr>
                                  <w:rFonts w:hint="eastAsia"/>
                                  <w:sz w:val="21"/>
                                </w:rPr>
                                <w:t>开展廉政建设评比活动</w:t>
                              </w:r>
                            </w:p>
                          </w:txbxContent>
                        </wps:txbx>
                        <wps:bodyPr lIns="54000" tIns="10800" rIns="18000" bIns="10800" upright="1"/>
                      </wps:wsp>
                      <wps:wsp>
                        <wps:cNvPr id="747" name="文本框 4998" descr="蓝色面巾纸"/>
                        <wps:cNvSpPr txBox="1"/>
                        <wps:spPr>
                          <a:xfrm>
                            <a:off x="8413" y="6206"/>
                            <a:ext cx="2604" cy="82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74BAF2B7">
                              <w:pPr>
                                <w:spacing w:line="260" w:lineRule="exact"/>
                                <w:ind w:firstLine="0" w:firstLineChars="0"/>
                                <w:jc w:val="center"/>
                                <w:rPr>
                                  <w:sz w:val="21"/>
                                </w:rPr>
                              </w:pPr>
                              <w:r>
                                <w:rPr>
                                  <w:rFonts w:hint="eastAsia"/>
                                  <w:sz w:val="21"/>
                                </w:rPr>
                                <w:t>未达标的部门或个人，限期整改逐一落实</w:t>
                              </w:r>
                            </w:p>
                          </w:txbxContent>
                        </wps:txbx>
                        <wps:bodyPr lIns="18000" tIns="10800" rIns="18000" bIns="10800" upright="1"/>
                      </wps:wsp>
                      <wps:wsp>
                        <wps:cNvPr id="748" name="文本框 4999" descr="蓝色面巾纸"/>
                        <wps:cNvSpPr txBox="1"/>
                        <wps:spPr>
                          <a:xfrm>
                            <a:off x="12273" y="2803"/>
                            <a:ext cx="584" cy="356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94CC2CA">
                              <w:pPr>
                                <w:spacing w:line="260" w:lineRule="exact"/>
                                <w:ind w:firstLine="0" w:firstLineChars="0"/>
                                <w:rPr>
                                  <w:sz w:val="21"/>
                                </w:rPr>
                              </w:pPr>
                              <w:r>
                                <w:rPr>
                                  <w:rFonts w:hint="eastAsia"/>
                                  <w:sz w:val="21"/>
                                </w:rPr>
                                <w:t>贯彻国家及各部委的法规文件精神</w:t>
                              </w:r>
                            </w:p>
                            <w:p w14:paraId="36E72464">
                              <w:pPr>
                                <w:spacing w:line="260" w:lineRule="exact"/>
                                <w:ind w:firstLine="31680"/>
                              </w:pPr>
                            </w:p>
                          </w:txbxContent>
                        </wps:txbx>
                        <wps:bodyPr lIns="18000" tIns="45720" rIns="18000" bIns="45720" upright="1"/>
                      </wps:wsp>
                      <wps:wsp>
                        <wps:cNvPr id="749" name="文本框 5000" descr="蓝色面巾纸"/>
                        <wps:cNvSpPr txBox="1"/>
                        <wps:spPr>
                          <a:xfrm>
                            <a:off x="13090" y="2803"/>
                            <a:ext cx="575" cy="356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53413A98">
                              <w:pPr>
                                <w:spacing w:line="260" w:lineRule="exact"/>
                                <w:ind w:firstLine="0" w:firstLineChars="0"/>
                                <w:rPr>
                                  <w:sz w:val="21"/>
                                </w:rPr>
                              </w:pPr>
                              <w:r>
                                <w:rPr>
                                  <w:rFonts w:hint="eastAsia"/>
                                  <w:sz w:val="21"/>
                                </w:rPr>
                                <w:t>认真贯彻公司党员廉洁自律实用手册</w:t>
                              </w:r>
                            </w:p>
                          </w:txbxContent>
                        </wps:txbx>
                        <wps:bodyPr lIns="18000" tIns="45720" rIns="18000" bIns="45720" upright="1"/>
                      </wps:wsp>
                      <wps:wsp>
                        <wps:cNvPr id="750" name="文本框 5001" descr="蓝色面巾纸"/>
                        <wps:cNvSpPr txBox="1"/>
                        <wps:spPr>
                          <a:xfrm>
                            <a:off x="13781" y="2803"/>
                            <a:ext cx="577" cy="3564"/>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395DBEB4">
                              <w:pPr>
                                <w:spacing w:line="260" w:lineRule="exact"/>
                                <w:ind w:firstLine="0" w:firstLineChars="0"/>
                                <w:rPr>
                                  <w:sz w:val="21"/>
                                </w:rPr>
                              </w:pPr>
                              <w:r>
                                <w:rPr>
                                  <w:rFonts w:hint="eastAsia"/>
                                  <w:sz w:val="21"/>
                                </w:rPr>
                                <w:t>标本兼治综合治理惩防并举注重预防</w:t>
                              </w:r>
                            </w:p>
                          </w:txbxContent>
                        </wps:txbx>
                        <wps:bodyPr lIns="18000" tIns="45720" rIns="18000" bIns="45720" upright="1"/>
                      </wps:wsp>
                      <wps:wsp>
                        <wps:cNvPr id="751" name="文本框 5002" descr="蓝色面巾纸"/>
                        <wps:cNvSpPr txBox="1"/>
                        <wps:spPr>
                          <a:xfrm>
                            <a:off x="11477" y="6820"/>
                            <a:ext cx="2878" cy="678"/>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26D1FCDB">
                              <w:pPr>
                                <w:spacing w:line="260" w:lineRule="exact"/>
                                <w:ind w:firstLine="0" w:firstLineChars="0"/>
                                <w:jc w:val="center"/>
                                <w:rPr>
                                  <w:sz w:val="21"/>
                                </w:rPr>
                              </w:pPr>
                              <w:r>
                                <w:rPr>
                                  <w:rFonts w:hint="eastAsia"/>
                                  <w:sz w:val="21"/>
                                </w:rPr>
                                <w:t>用科学、健全的制度保证廉政建设目标的实现</w:t>
                              </w:r>
                            </w:p>
                          </w:txbxContent>
                        </wps:txbx>
                        <wps:bodyPr lIns="91440" tIns="10800" rIns="91440" bIns="10800" upright="1"/>
                      </wps:wsp>
                      <wps:wsp>
                        <wps:cNvPr id="752" name="直线 5003"/>
                        <wps:cNvCnPr/>
                        <wps:spPr>
                          <a:xfrm>
                            <a:off x="1460" y="1182"/>
                            <a:ext cx="11487" cy="0"/>
                          </a:xfrm>
                          <a:prstGeom prst="line">
                            <a:avLst/>
                          </a:prstGeom>
                          <a:ln w="3175" cap="flat" cmpd="sng">
                            <a:solidFill>
                              <a:srgbClr val="000000"/>
                            </a:solidFill>
                            <a:prstDash val="solid"/>
                            <a:headEnd type="none" w="med" len="med"/>
                            <a:tailEnd type="none" w="med" len="med"/>
                          </a:ln>
                        </wps:spPr>
                        <wps:bodyPr upright="1"/>
                      </wps:wsp>
                      <wps:wsp>
                        <wps:cNvPr id="753" name="直线 5004"/>
                        <wps:cNvCnPr/>
                        <wps:spPr>
                          <a:xfrm>
                            <a:off x="7709" y="858"/>
                            <a:ext cx="0" cy="324"/>
                          </a:xfrm>
                          <a:prstGeom prst="line">
                            <a:avLst/>
                          </a:prstGeom>
                          <a:ln w="3175" cap="flat" cmpd="sng">
                            <a:solidFill>
                              <a:srgbClr val="000000"/>
                            </a:solidFill>
                            <a:prstDash val="solid"/>
                            <a:headEnd type="none" w="med" len="med"/>
                            <a:tailEnd type="triangle" w="med" len="med"/>
                          </a:ln>
                        </wps:spPr>
                        <wps:bodyPr upright="1"/>
                      </wps:wsp>
                      <wps:wsp>
                        <wps:cNvPr id="754" name="直线 5005"/>
                        <wps:cNvCnPr/>
                        <wps:spPr>
                          <a:xfrm>
                            <a:off x="1464" y="1182"/>
                            <a:ext cx="0" cy="324"/>
                          </a:xfrm>
                          <a:prstGeom prst="line">
                            <a:avLst/>
                          </a:prstGeom>
                          <a:ln w="3175" cap="flat" cmpd="sng">
                            <a:solidFill>
                              <a:srgbClr val="000000"/>
                            </a:solidFill>
                            <a:prstDash val="solid"/>
                            <a:headEnd type="none" w="med" len="med"/>
                            <a:tailEnd type="triangle" w="med" len="med"/>
                          </a:ln>
                        </wps:spPr>
                        <wps:bodyPr upright="1"/>
                      </wps:wsp>
                      <wps:wsp>
                        <wps:cNvPr id="755" name="直线 5006"/>
                        <wps:cNvCnPr/>
                        <wps:spPr>
                          <a:xfrm>
                            <a:off x="315" y="2504"/>
                            <a:ext cx="1942" cy="0"/>
                          </a:xfrm>
                          <a:prstGeom prst="line">
                            <a:avLst/>
                          </a:prstGeom>
                          <a:ln w="3175" cap="flat" cmpd="sng">
                            <a:solidFill>
                              <a:srgbClr val="000000"/>
                            </a:solidFill>
                            <a:prstDash val="solid"/>
                            <a:headEnd type="none" w="med" len="med"/>
                            <a:tailEnd type="none" w="med" len="med"/>
                          </a:ln>
                        </wps:spPr>
                        <wps:bodyPr upright="1"/>
                      </wps:wsp>
                      <wps:wsp>
                        <wps:cNvPr id="756" name="直线 5007"/>
                        <wps:cNvCnPr/>
                        <wps:spPr>
                          <a:xfrm>
                            <a:off x="1464" y="1993"/>
                            <a:ext cx="0" cy="486"/>
                          </a:xfrm>
                          <a:prstGeom prst="line">
                            <a:avLst/>
                          </a:prstGeom>
                          <a:ln w="3175" cap="flat" cmpd="sng">
                            <a:solidFill>
                              <a:srgbClr val="000000"/>
                            </a:solidFill>
                            <a:prstDash val="solid"/>
                            <a:headEnd type="none" w="med" len="med"/>
                            <a:tailEnd type="triangle" w="med" len="med"/>
                          </a:ln>
                        </wps:spPr>
                        <wps:bodyPr upright="1"/>
                      </wps:wsp>
                      <wps:wsp>
                        <wps:cNvPr id="757" name="直线 5008"/>
                        <wps:cNvCnPr/>
                        <wps:spPr>
                          <a:xfrm>
                            <a:off x="311" y="2504"/>
                            <a:ext cx="0" cy="324"/>
                          </a:xfrm>
                          <a:prstGeom prst="line">
                            <a:avLst/>
                          </a:prstGeom>
                          <a:ln w="3175" cap="flat" cmpd="sng">
                            <a:solidFill>
                              <a:srgbClr val="000000"/>
                            </a:solidFill>
                            <a:prstDash val="solid"/>
                            <a:headEnd type="none" w="med" len="med"/>
                            <a:tailEnd type="triangle" w="med" len="med"/>
                          </a:ln>
                        </wps:spPr>
                        <wps:bodyPr upright="1"/>
                      </wps:wsp>
                      <wps:wsp>
                        <wps:cNvPr id="758" name="直线 5009"/>
                        <wps:cNvCnPr/>
                        <wps:spPr>
                          <a:xfrm>
                            <a:off x="1585" y="2504"/>
                            <a:ext cx="0" cy="311"/>
                          </a:xfrm>
                          <a:prstGeom prst="line">
                            <a:avLst/>
                          </a:prstGeom>
                          <a:ln w="3175" cap="flat" cmpd="sng">
                            <a:solidFill>
                              <a:srgbClr val="000000"/>
                            </a:solidFill>
                            <a:prstDash val="solid"/>
                            <a:headEnd type="none" w="med" len="med"/>
                            <a:tailEnd type="triangle" w="med" len="med"/>
                          </a:ln>
                        </wps:spPr>
                        <wps:bodyPr upright="1"/>
                      </wps:wsp>
                      <wps:wsp>
                        <wps:cNvPr id="759" name="直线 5010"/>
                        <wps:cNvCnPr/>
                        <wps:spPr>
                          <a:xfrm>
                            <a:off x="2221" y="2504"/>
                            <a:ext cx="0" cy="324"/>
                          </a:xfrm>
                          <a:prstGeom prst="line">
                            <a:avLst/>
                          </a:prstGeom>
                          <a:ln w="3175" cap="flat" cmpd="sng">
                            <a:solidFill>
                              <a:srgbClr val="000000"/>
                            </a:solidFill>
                            <a:prstDash val="solid"/>
                            <a:headEnd type="none" w="med" len="med"/>
                            <a:tailEnd type="triangle" w="med" len="med"/>
                          </a:ln>
                        </wps:spPr>
                        <wps:bodyPr upright="1"/>
                      </wps:wsp>
                      <wps:wsp>
                        <wps:cNvPr id="760" name="直线 5011"/>
                        <wps:cNvCnPr/>
                        <wps:spPr>
                          <a:xfrm>
                            <a:off x="1585" y="5080"/>
                            <a:ext cx="0" cy="324"/>
                          </a:xfrm>
                          <a:prstGeom prst="line">
                            <a:avLst/>
                          </a:prstGeom>
                          <a:ln w="3175" cap="flat" cmpd="sng">
                            <a:solidFill>
                              <a:srgbClr val="000000"/>
                            </a:solidFill>
                            <a:prstDash val="solid"/>
                            <a:headEnd type="none" w="med" len="med"/>
                            <a:tailEnd type="triangle" w="med" len="med"/>
                          </a:ln>
                        </wps:spPr>
                        <wps:bodyPr upright="1"/>
                      </wps:wsp>
                      <wps:wsp>
                        <wps:cNvPr id="761" name="直线 5012"/>
                        <wps:cNvCnPr/>
                        <wps:spPr>
                          <a:xfrm>
                            <a:off x="2221" y="5080"/>
                            <a:ext cx="0" cy="324"/>
                          </a:xfrm>
                          <a:prstGeom prst="line">
                            <a:avLst/>
                          </a:prstGeom>
                          <a:ln w="3175" cap="flat" cmpd="sng">
                            <a:solidFill>
                              <a:srgbClr val="000000"/>
                            </a:solidFill>
                            <a:prstDash val="solid"/>
                            <a:headEnd type="none" w="med" len="med"/>
                            <a:tailEnd type="triangle" w="med" len="med"/>
                          </a:ln>
                        </wps:spPr>
                        <wps:bodyPr upright="1"/>
                      </wps:wsp>
                      <wps:wsp>
                        <wps:cNvPr id="762" name="直线 5013"/>
                        <wps:cNvCnPr/>
                        <wps:spPr>
                          <a:xfrm>
                            <a:off x="1464" y="5396"/>
                            <a:ext cx="0" cy="486"/>
                          </a:xfrm>
                          <a:prstGeom prst="line">
                            <a:avLst/>
                          </a:prstGeom>
                          <a:ln w="3175" cap="flat" cmpd="sng">
                            <a:solidFill>
                              <a:srgbClr val="000000"/>
                            </a:solidFill>
                            <a:prstDash val="solid"/>
                            <a:headEnd type="none" w="med" len="med"/>
                            <a:tailEnd type="triangle" w="med" len="med"/>
                          </a:ln>
                        </wps:spPr>
                        <wps:bodyPr upright="1"/>
                      </wps:wsp>
                      <wps:wsp>
                        <wps:cNvPr id="763" name="直线 5014"/>
                        <wps:cNvCnPr/>
                        <wps:spPr>
                          <a:xfrm>
                            <a:off x="4936" y="1182"/>
                            <a:ext cx="0" cy="324"/>
                          </a:xfrm>
                          <a:prstGeom prst="line">
                            <a:avLst/>
                          </a:prstGeom>
                          <a:ln w="3175" cap="flat" cmpd="sng">
                            <a:solidFill>
                              <a:srgbClr val="000000"/>
                            </a:solidFill>
                            <a:prstDash val="solid"/>
                            <a:headEnd type="none" w="med" len="med"/>
                            <a:tailEnd type="triangle" w="med" len="med"/>
                          </a:ln>
                        </wps:spPr>
                        <wps:bodyPr upright="1"/>
                      </wps:wsp>
                      <wps:wsp>
                        <wps:cNvPr id="764" name="直线 5015"/>
                        <wps:cNvCnPr/>
                        <wps:spPr>
                          <a:xfrm>
                            <a:off x="4936" y="1993"/>
                            <a:ext cx="0" cy="324"/>
                          </a:xfrm>
                          <a:prstGeom prst="line">
                            <a:avLst/>
                          </a:prstGeom>
                          <a:ln w="3175" cap="flat" cmpd="sng">
                            <a:solidFill>
                              <a:srgbClr val="000000"/>
                            </a:solidFill>
                            <a:prstDash val="solid"/>
                            <a:headEnd type="none" w="med" len="med"/>
                            <a:tailEnd type="triangle" w="med" len="med"/>
                          </a:ln>
                        </wps:spPr>
                        <wps:bodyPr upright="1"/>
                      </wps:wsp>
                      <wps:wsp>
                        <wps:cNvPr id="765" name="直线 5016"/>
                        <wps:cNvCnPr/>
                        <wps:spPr>
                          <a:xfrm>
                            <a:off x="4936" y="2803"/>
                            <a:ext cx="0" cy="324"/>
                          </a:xfrm>
                          <a:prstGeom prst="line">
                            <a:avLst/>
                          </a:prstGeom>
                          <a:ln w="3175" cap="flat" cmpd="sng">
                            <a:solidFill>
                              <a:srgbClr val="000000"/>
                            </a:solidFill>
                            <a:prstDash val="solid"/>
                            <a:headEnd type="none" w="med" len="med"/>
                            <a:tailEnd type="triangle" w="med" len="med"/>
                          </a:ln>
                        </wps:spPr>
                        <wps:bodyPr upright="1"/>
                      </wps:wsp>
                      <wps:wsp>
                        <wps:cNvPr id="766" name="直线 5017"/>
                        <wps:cNvCnPr/>
                        <wps:spPr>
                          <a:xfrm>
                            <a:off x="3667" y="3937"/>
                            <a:ext cx="2538" cy="0"/>
                          </a:xfrm>
                          <a:prstGeom prst="line">
                            <a:avLst/>
                          </a:prstGeom>
                          <a:ln w="3175" cap="flat" cmpd="sng">
                            <a:solidFill>
                              <a:srgbClr val="000000"/>
                            </a:solidFill>
                            <a:prstDash val="solid"/>
                            <a:headEnd type="none" w="med" len="med"/>
                            <a:tailEnd type="none" w="med" len="med"/>
                          </a:ln>
                        </wps:spPr>
                        <wps:bodyPr upright="1"/>
                      </wps:wsp>
                      <wps:wsp>
                        <wps:cNvPr id="767" name="直线 5018"/>
                        <wps:cNvCnPr/>
                        <wps:spPr>
                          <a:xfrm>
                            <a:off x="4936" y="3613"/>
                            <a:ext cx="0" cy="324"/>
                          </a:xfrm>
                          <a:prstGeom prst="line">
                            <a:avLst/>
                          </a:prstGeom>
                          <a:ln w="3175" cap="flat" cmpd="sng">
                            <a:solidFill>
                              <a:srgbClr val="000000"/>
                            </a:solidFill>
                            <a:prstDash val="solid"/>
                            <a:headEnd type="none" w="med" len="med"/>
                            <a:tailEnd type="triangle" w="med" len="med"/>
                          </a:ln>
                        </wps:spPr>
                        <wps:bodyPr upright="1"/>
                      </wps:wsp>
                      <wps:wsp>
                        <wps:cNvPr id="768" name="直线 5019"/>
                        <wps:cNvCnPr/>
                        <wps:spPr>
                          <a:xfrm>
                            <a:off x="3667" y="3937"/>
                            <a:ext cx="0" cy="324"/>
                          </a:xfrm>
                          <a:prstGeom prst="line">
                            <a:avLst/>
                          </a:prstGeom>
                          <a:ln w="3175" cap="flat" cmpd="sng">
                            <a:solidFill>
                              <a:srgbClr val="000000"/>
                            </a:solidFill>
                            <a:prstDash val="solid"/>
                            <a:headEnd type="none" w="med" len="med"/>
                            <a:tailEnd type="triangle" w="med" len="med"/>
                          </a:ln>
                        </wps:spPr>
                        <wps:bodyPr upright="1"/>
                      </wps:wsp>
                      <wps:wsp>
                        <wps:cNvPr id="769" name="直线 5020"/>
                        <wps:cNvCnPr/>
                        <wps:spPr>
                          <a:xfrm>
                            <a:off x="6205" y="3937"/>
                            <a:ext cx="0" cy="324"/>
                          </a:xfrm>
                          <a:prstGeom prst="line">
                            <a:avLst/>
                          </a:prstGeom>
                          <a:ln w="3175" cap="flat" cmpd="sng">
                            <a:solidFill>
                              <a:srgbClr val="000000"/>
                            </a:solidFill>
                            <a:prstDash val="solid"/>
                            <a:headEnd type="none" w="med" len="med"/>
                            <a:tailEnd type="triangle" w="med" len="med"/>
                          </a:ln>
                        </wps:spPr>
                        <wps:bodyPr upright="1"/>
                      </wps:wsp>
                      <wps:wsp>
                        <wps:cNvPr id="770" name="直线 5021"/>
                        <wps:cNvCnPr/>
                        <wps:spPr>
                          <a:xfrm>
                            <a:off x="4887" y="4478"/>
                            <a:ext cx="230" cy="0"/>
                          </a:xfrm>
                          <a:prstGeom prst="line">
                            <a:avLst/>
                          </a:prstGeom>
                          <a:ln w="3175" cap="flat" cmpd="sng">
                            <a:solidFill>
                              <a:srgbClr val="000000"/>
                            </a:solidFill>
                            <a:prstDash val="solid"/>
                            <a:headEnd type="none" w="med" len="med"/>
                            <a:tailEnd type="triangle" w="med" len="med"/>
                          </a:ln>
                        </wps:spPr>
                        <wps:bodyPr upright="1"/>
                      </wps:wsp>
                      <wps:wsp>
                        <wps:cNvPr id="771" name="直线 5022"/>
                        <wps:cNvCnPr/>
                        <wps:spPr>
                          <a:xfrm>
                            <a:off x="3667" y="5396"/>
                            <a:ext cx="0" cy="324"/>
                          </a:xfrm>
                          <a:prstGeom prst="line">
                            <a:avLst/>
                          </a:prstGeom>
                          <a:ln w="3175" cap="flat" cmpd="sng">
                            <a:solidFill>
                              <a:srgbClr val="000000"/>
                            </a:solidFill>
                            <a:prstDash val="solid"/>
                            <a:headEnd type="none" w="med" len="med"/>
                            <a:tailEnd type="triangle" w="med" len="med"/>
                          </a:ln>
                        </wps:spPr>
                        <wps:bodyPr upright="1"/>
                      </wps:wsp>
                      <wps:wsp>
                        <wps:cNvPr id="772" name="直线 5023"/>
                        <wps:cNvCnPr/>
                        <wps:spPr>
                          <a:xfrm>
                            <a:off x="6205" y="5396"/>
                            <a:ext cx="0" cy="324"/>
                          </a:xfrm>
                          <a:prstGeom prst="line">
                            <a:avLst/>
                          </a:prstGeom>
                          <a:ln w="3175" cap="flat" cmpd="sng">
                            <a:solidFill>
                              <a:srgbClr val="000000"/>
                            </a:solidFill>
                            <a:prstDash val="solid"/>
                            <a:headEnd type="none" w="med" len="med"/>
                            <a:tailEnd type="triangle" w="med" len="med"/>
                          </a:ln>
                        </wps:spPr>
                        <wps:bodyPr upright="1"/>
                      </wps:wsp>
                      <wps:wsp>
                        <wps:cNvPr id="773" name="直线 5024"/>
                        <wps:cNvCnPr/>
                        <wps:spPr>
                          <a:xfrm>
                            <a:off x="3667" y="5396"/>
                            <a:ext cx="2538" cy="0"/>
                          </a:xfrm>
                          <a:prstGeom prst="line">
                            <a:avLst/>
                          </a:prstGeom>
                          <a:ln w="3175" cap="flat" cmpd="sng">
                            <a:solidFill>
                              <a:srgbClr val="000000"/>
                            </a:solidFill>
                            <a:prstDash val="solid"/>
                            <a:headEnd type="none" w="med" len="med"/>
                            <a:tailEnd type="none" w="med" len="med"/>
                          </a:ln>
                        </wps:spPr>
                        <wps:bodyPr upright="1"/>
                      </wps:wsp>
                      <wps:wsp>
                        <wps:cNvPr id="774" name="直线 5025"/>
                        <wps:cNvCnPr/>
                        <wps:spPr>
                          <a:xfrm flipV="1">
                            <a:off x="3667" y="5072"/>
                            <a:ext cx="2538" cy="0"/>
                          </a:xfrm>
                          <a:prstGeom prst="line">
                            <a:avLst/>
                          </a:prstGeom>
                          <a:ln w="3175" cap="flat" cmpd="sng">
                            <a:solidFill>
                              <a:srgbClr val="000000"/>
                            </a:solidFill>
                            <a:prstDash val="solid"/>
                            <a:headEnd type="none" w="med" len="med"/>
                            <a:tailEnd type="none" w="med" len="med"/>
                          </a:ln>
                        </wps:spPr>
                        <wps:bodyPr upright="1"/>
                      </wps:wsp>
                      <wps:wsp>
                        <wps:cNvPr id="775" name="直线 5026"/>
                        <wps:cNvCnPr/>
                        <wps:spPr>
                          <a:xfrm>
                            <a:off x="4936" y="5072"/>
                            <a:ext cx="0" cy="324"/>
                          </a:xfrm>
                          <a:prstGeom prst="line">
                            <a:avLst/>
                          </a:prstGeom>
                          <a:ln w="3175" cap="flat" cmpd="sng">
                            <a:solidFill>
                              <a:srgbClr val="000000"/>
                            </a:solidFill>
                            <a:prstDash val="solid"/>
                            <a:headEnd type="none" w="med" len="med"/>
                            <a:tailEnd type="triangle" w="med" len="med"/>
                          </a:ln>
                        </wps:spPr>
                        <wps:bodyPr upright="1"/>
                      </wps:wsp>
                      <wps:wsp>
                        <wps:cNvPr id="776" name="直线 5027"/>
                        <wps:cNvCnPr/>
                        <wps:spPr>
                          <a:xfrm>
                            <a:off x="3667" y="4748"/>
                            <a:ext cx="0" cy="324"/>
                          </a:xfrm>
                          <a:prstGeom prst="line">
                            <a:avLst/>
                          </a:prstGeom>
                          <a:ln w="3175" cap="flat" cmpd="sng">
                            <a:solidFill>
                              <a:srgbClr val="000000"/>
                            </a:solidFill>
                            <a:prstDash val="solid"/>
                            <a:headEnd type="none" w="med" len="med"/>
                            <a:tailEnd type="triangle" w="med" len="med"/>
                          </a:ln>
                        </wps:spPr>
                        <wps:bodyPr upright="1"/>
                      </wps:wsp>
                      <wps:wsp>
                        <wps:cNvPr id="777" name="直线 5028"/>
                        <wps:cNvCnPr/>
                        <wps:spPr>
                          <a:xfrm>
                            <a:off x="6205" y="4748"/>
                            <a:ext cx="0" cy="324"/>
                          </a:xfrm>
                          <a:prstGeom prst="line">
                            <a:avLst/>
                          </a:prstGeom>
                          <a:ln w="3175" cap="flat" cmpd="sng">
                            <a:solidFill>
                              <a:srgbClr val="000000"/>
                            </a:solidFill>
                            <a:prstDash val="solid"/>
                            <a:headEnd type="none" w="med" len="med"/>
                            <a:tailEnd type="triangle" w="med" len="med"/>
                          </a:ln>
                        </wps:spPr>
                        <wps:bodyPr upright="1"/>
                      </wps:wsp>
                      <wps:wsp>
                        <wps:cNvPr id="778" name="直线 5029"/>
                        <wps:cNvCnPr/>
                        <wps:spPr>
                          <a:xfrm>
                            <a:off x="3667" y="6529"/>
                            <a:ext cx="2538" cy="0"/>
                          </a:xfrm>
                          <a:prstGeom prst="line">
                            <a:avLst/>
                          </a:prstGeom>
                          <a:ln w="3175" cap="flat" cmpd="sng">
                            <a:solidFill>
                              <a:srgbClr val="000000"/>
                            </a:solidFill>
                            <a:prstDash val="solid"/>
                            <a:headEnd type="none" w="med" len="med"/>
                            <a:tailEnd type="none" w="med" len="med"/>
                          </a:ln>
                        </wps:spPr>
                        <wps:bodyPr upright="1"/>
                      </wps:wsp>
                      <wps:wsp>
                        <wps:cNvPr id="779" name="直线 5030"/>
                        <wps:cNvCnPr/>
                        <wps:spPr>
                          <a:xfrm>
                            <a:off x="3667" y="6206"/>
                            <a:ext cx="0" cy="323"/>
                          </a:xfrm>
                          <a:prstGeom prst="line">
                            <a:avLst/>
                          </a:prstGeom>
                          <a:ln w="3175" cap="flat" cmpd="sng">
                            <a:solidFill>
                              <a:srgbClr val="000000"/>
                            </a:solidFill>
                            <a:prstDash val="solid"/>
                            <a:headEnd type="none" w="med" len="med"/>
                            <a:tailEnd type="triangle" w="med" len="med"/>
                          </a:ln>
                        </wps:spPr>
                        <wps:bodyPr upright="1"/>
                      </wps:wsp>
                      <wps:wsp>
                        <wps:cNvPr id="780" name="直线 5031"/>
                        <wps:cNvCnPr/>
                        <wps:spPr>
                          <a:xfrm>
                            <a:off x="6205" y="6206"/>
                            <a:ext cx="0" cy="323"/>
                          </a:xfrm>
                          <a:prstGeom prst="line">
                            <a:avLst/>
                          </a:prstGeom>
                          <a:ln w="3175" cap="flat" cmpd="sng">
                            <a:solidFill>
                              <a:srgbClr val="000000"/>
                            </a:solidFill>
                            <a:prstDash val="solid"/>
                            <a:headEnd type="none" w="med" len="med"/>
                            <a:tailEnd type="triangle" w="med" len="med"/>
                          </a:ln>
                        </wps:spPr>
                        <wps:bodyPr upright="1"/>
                      </wps:wsp>
                      <wps:wsp>
                        <wps:cNvPr id="781" name="直线 5032"/>
                        <wps:cNvCnPr/>
                        <wps:spPr>
                          <a:xfrm>
                            <a:off x="4936" y="6529"/>
                            <a:ext cx="0" cy="324"/>
                          </a:xfrm>
                          <a:prstGeom prst="line">
                            <a:avLst/>
                          </a:prstGeom>
                          <a:ln w="3175" cap="flat" cmpd="sng">
                            <a:solidFill>
                              <a:srgbClr val="000000"/>
                            </a:solidFill>
                            <a:prstDash val="solid"/>
                            <a:headEnd type="none" w="med" len="med"/>
                            <a:tailEnd type="triangle" w="med" len="med"/>
                          </a:ln>
                        </wps:spPr>
                        <wps:bodyPr upright="1"/>
                      </wps:wsp>
                      <wps:wsp>
                        <wps:cNvPr id="782" name="直线 5033"/>
                        <wps:cNvCnPr/>
                        <wps:spPr>
                          <a:xfrm>
                            <a:off x="9566" y="1182"/>
                            <a:ext cx="0" cy="486"/>
                          </a:xfrm>
                          <a:prstGeom prst="line">
                            <a:avLst/>
                          </a:prstGeom>
                          <a:ln w="3175" cap="flat" cmpd="sng">
                            <a:solidFill>
                              <a:srgbClr val="000000"/>
                            </a:solidFill>
                            <a:prstDash val="solid"/>
                            <a:headEnd type="none" w="med" len="med"/>
                            <a:tailEnd type="triangle" w="med" len="med"/>
                          </a:ln>
                        </wps:spPr>
                        <wps:bodyPr upright="1"/>
                      </wps:wsp>
                      <wps:wsp>
                        <wps:cNvPr id="783" name="直线 5034"/>
                        <wps:cNvCnPr/>
                        <wps:spPr>
                          <a:xfrm>
                            <a:off x="9566" y="2155"/>
                            <a:ext cx="0" cy="324"/>
                          </a:xfrm>
                          <a:prstGeom prst="line">
                            <a:avLst/>
                          </a:prstGeom>
                          <a:ln w="3175" cap="flat" cmpd="sng">
                            <a:solidFill>
                              <a:srgbClr val="000000"/>
                            </a:solidFill>
                            <a:prstDash val="solid"/>
                            <a:headEnd type="none" w="med" len="med"/>
                            <a:tailEnd type="triangle" w="med" len="med"/>
                          </a:ln>
                        </wps:spPr>
                        <wps:bodyPr upright="1"/>
                      </wps:wsp>
                      <wps:wsp>
                        <wps:cNvPr id="784" name="直线 5035"/>
                        <wps:cNvCnPr/>
                        <wps:spPr>
                          <a:xfrm>
                            <a:off x="7490" y="2479"/>
                            <a:ext cx="3922" cy="0"/>
                          </a:xfrm>
                          <a:prstGeom prst="line">
                            <a:avLst/>
                          </a:prstGeom>
                          <a:ln w="3175" cap="flat" cmpd="sng">
                            <a:solidFill>
                              <a:srgbClr val="000000"/>
                            </a:solidFill>
                            <a:prstDash val="solid"/>
                            <a:headEnd type="none" w="med" len="med"/>
                            <a:tailEnd type="none" w="med" len="med"/>
                          </a:ln>
                        </wps:spPr>
                        <wps:bodyPr upright="1"/>
                      </wps:wsp>
                      <wps:wsp>
                        <wps:cNvPr id="785" name="直线 5036"/>
                        <wps:cNvCnPr/>
                        <wps:spPr>
                          <a:xfrm>
                            <a:off x="7490" y="2479"/>
                            <a:ext cx="0" cy="972"/>
                          </a:xfrm>
                          <a:prstGeom prst="line">
                            <a:avLst/>
                          </a:prstGeom>
                          <a:ln w="3175" cap="flat" cmpd="sng">
                            <a:solidFill>
                              <a:srgbClr val="000000"/>
                            </a:solidFill>
                            <a:prstDash val="solid"/>
                            <a:headEnd type="none" w="med" len="med"/>
                            <a:tailEnd type="triangle" w="med" len="med"/>
                          </a:ln>
                        </wps:spPr>
                        <wps:bodyPr upright="1"/>
                      </wps:wsp>
                      <wps:wsp>
                        <wps:cNvPr id="786" name="直线 5037"/>
                        <wps:cNvCnPr/>
                        <wps:spPr>
                          <a:xfrm>
                            <a:off x="8006" y="2803"/>
                            <a:ext cx="0" cy="2755"/>
                          </a:xfrm>
                          <a:prstGeom prst="line">
                            <a:avLst/>
                          </a:prstGeom>
                          <a:ln w="3175" cap="flat" cmpd="sng">
                            <a:solidFill>
                              <a:srgbClr val="000000"/>
                            </a:solidFill>
                            <a:prstDash val="solid"/>
                            <a:headEnd type="none" w="med" len="med"/>
                            <a:tailEnd type="triangle" w="med" len="med"/>
                          </a:ln>
                        </wps:spPr>
                        <wps:bodyPr upright="1"/>
                      </wps:wsp>
                      <wps:wsp>
                        <wps:cNvPr id="787" name="直线 5038"/>
                        <wps:cNvCnPr/>
                        <wps:spPr>
                          <a:xfrm>
                            <a:off x="8006" y="2803"/>
                            <a:ext cx="461" cy="0"/>
                          </a:xfrm>
                          <a:prstGeom prst="line">
                            <a:avLst/>
                          </a:prstGeom>
                          <a:ln w="3175" cap="flat" cmpd="sng">
                            <a:solidFill>
                              <a:srgbClr val="000000"/>
                            </a:solidFill>
                            <a:prstDash val="solid"/>
                            <a:headEnd type="none" w="med" len="med"/>
                            <a:tailEnd type="triangle" w="med" len="med"/>
                          </a:ln>
                        </wps:spPr>
                        <wps:bodyPr upright="1"/>
                      </wps:wsp>
                      <wps:wsp>
                        <wps:cNvPr id="788" name="直线 5039"/>
                        <wps:cNvCnPr/>
                        <wps:spPr>
                          <a:xfrm>
                            <a:off x="8006" y="3613"/>
                            <a:ext cx="461" cy="0"/>
                          </a:xfrm>
                          <a:prstGeom prst="line">
                            <a:avLst/>
                          </a:prstGeom>
                          <a:ln w="3175" cap="flat" cmpd="sng">
                            <a:solidFill>
                              <a:srgbClr val="000000"/>
                            </a:solidFill>
                            <a:prstDash val="solid"/>
                            <a:headEnd type="none" w="med" len="med"/>
                            <a:tailEnd type="triangle" w="med" len="med"/>
                          </a:ln>
                        </wps:spPr>
                        <wps:bodyPr upright="1"/>
                      </wps:wsp>
                      <wps:wsp>
                        <wps:cNvPr id="789" name="直线 5040"/>
                        <wps:cNvCnPr/>
                        <wps:spPr>
                          <a:xfrm>
                            <a:off x="8006" y="4748"/>
                            <a:ext cx="461" cy="0"/>
                          </a:xfrm>
                          <a:prstGeom prst="line">
                            <a:avLst/>
                          </a:prstGeom>
                          <a:ln w="3175" cap="flat" cmpd="sng">
                            <a:solidFill>
                              <a:srgbClr val="000000"/>
                            </a:solidFill>
                            <a:prstDash val="solid"/>
                            <a:headEnd type="none" w="med" len="med"/>
                            <a:tailEnd type="triangle" w="med" len="med"/>
                          </a:ln>
                        </wps:spPr>
                        <wps:bodyPr upright="1"/>
                      </wps:wsp>
                      <wps:wsp>
                        <wps:cNvPr id="790" name="直线 5041"/>
                        <wps:cNvCnPr/>
                        <wps:spPr>
                          <a:xfrm>
                            <a:off x="8006" y="5558"/>
                            <a:ext cx="577" cy="0"/>
                          </a:xfrm>
                          <a:prstGeom prst="line">
                            <a:avLst/>
                          </a:prstGeom>
                          <a:ln w="3175" cap="flat" cmpd="sng">
                            <a:solidFill>
                              <a:srgbClr val="000000"/>
                            </a:solidFill>
                            <a:prstDash val="solid"/>
                            <a:headEnd type="none" w="med" len="med"/>
                            <a:tailEnd type="triangle" w="med" len="med"/>
                          </a:ln>
                        </wps:spPr>
                        <wps:bodyPr upright="1"/>
                      </wps:wsp>
                      <wps:wsp>
                        <wps:cNvPr id="791" name="直线 5042"/>
                        <wps:cNvCnPr/>
                        <wps:spPr>
                          <a:xfrm>
                            <a:off x="7750" y="4423"/>
                            <a:ext cx="265" cy="0"/>
                          </a:xfrm>
                          <a:prstGeom prst="line">
                            <a:avLst/>
                          </a:prstGeom>
                          <a:ln w="3175" cap="flat" cmpd="sng">
                            <a:solidFill>
                              <a:srgbClr val="000000"/>
                            </a:solidFill>
                            <a:prstDash val="solid"/>
                            <a:headEnd type="none" w="med" len="med"/>
                            <a:tailEnd type="triangle" w="med" len="med"/>
                          </a:ln>
                        </wps:spPr>
                        <wps:bodyPr upright="1"/>
                      </wps:wsp>
                      <wps:wsp>
                        <wps:cNvPr id="792" name="直线 5043"/>
                        <wps:cNvCnPr/>
                        <wps:spPr>
                          <a:xfrm>
                            <a:off x="11121" y="2479"/>
                            <a:ext cx="0" cy="358"/>
                          </a:xfrm>
                          <a:prstGeom prst="line">
                            <a:avLst/>
                          </a:prstGeom>
                          <a:ln w="3175" cap="flat" cmpd="sng">
                            <a:solidFill>
                              <a:srgbClr val="000000"/>
                            </a:solidFill>
                            <a:prstDash val="solid"/>
                            <a:headEnd type="none" w="med" len="med"/>
                            <a:tailEnd type="triangle" w="med" len="med"/>
                          </a:ln>
                        </wps:spPr>
                        <wps:bodyPr upright="1"/>
                      </wps:wsp>
                      <wps:wsp>
                        <wps:cNvPr id="793" name="直线 5044"/>
                        <wps:cNvCnPr/>
                        <wps:spPr>
                          <a:xfrm>
                            <a:off x="7490" y="5396"/>
                            <a:ext cx="0" cy="486"/>
                          </a:xfrm>
                          <a:prstGeom prst="line">
                            <a:avLst/>
                          </a:prstGeom>
                          <a:ln w="3175" cap="flat" cmpd="sng">
                            <a:solidFill>
                              <a:srgbClr val="000000"/>
                            </a:solidFill>
                            <a:prstDash val="solid"/>
                            <a:headEnd type="none" w="med" len="med"/>
                            <a:tailEnd type="triangle" w="med" len="med"/>
                          </a:ln>
                        </wps:spPr>
                        <wps:bodyPr upright="1"/>
                      </wps:wsp>
                      <wps:wsp>
                        <wps:cNvPr id="794" name="直线 5045"/>
                        <wps:cNvCnPr/>
                        <wps:spPr>
                          <a:xfrm>
                            <a:off x="11121" y="5640"/>
                            <a:ext cx="0" cy="249"/>
                          </a:xfrm>
                          <a:prstGeom prst="line">
                            <a:avLst/>
                          </a:prstGeom>
                          <a:ln w="3175" cap="flat" cmpd="sng">
                            <a:solidFill>
                              <a:srgbClr val="000000"/>
                            </a:solidFill>
                            <a:prstDash val="solid"/>
                            <a:headEnd type="none" w="med" len="med"/>
                            <a:tailEnd type="triangle" w="med" len="med"/>
                          </a:ln>
                        </wps:spPr>
                        <wps:bodyPr upright="1"/>
                      </wps:wsp>
                      <wps:wsp>
                        <wps:cNvPr id="795" name="直线 5046"/>
                        <wps:cNvCnPr/>
                        <wps:spPr>
                          <a:xfrm>
                            <a:off x="7490" y="5882"/>
                            <a:ext cx="3922" cy="0"/>
                          </a:xfrm>
                          <a:prstGeom prst="line">
                            <a:avLst/>
                          </a:prstGeom>
                          <a:ln w="3175" cap="flat" cmpd="sng">
                            <a:solidFill>
                              <a:srgbClr val="000000"/>
                            </a:solidFill>
                            <a:prstDash val="solid"/>
                            <a:headEnd type="none" w="med" len="med"/>
                            <a:tailEnd type="none" w="med" len="med"/>
                          </a:ln>
                        </wps:spPr>
                        <wps:bodyPr upright="1"/>
                      </wps:wsp>
                      <wps:wsp>
                        <wps:cNvPr id="796" name="直线 5047"/>
                        <wps:cNvCnPr/>
                        <wps:spPr>
                          <a:xfrm>
                            <a:off x="9797" y="5720"/>
                            <a:ext cx="0" cy="486"/>
                          </a:xfrm>
                          <a:prstGeom prst="line">
                            <a:avLst/>
                          </a:prstGeom>
                          <a:ln w="3175" cap="flat" cmpd="sng">
                            <a:solidFill>
                              <a:srgbClr val="000000"/>
                            </a:solidFill>
                            <a:prstDash val="solid"/>
                            <a:headEnd type="none" w="med" len="med"/>
                            <a:tailEnd type="triangle" w="med" len="med"/>
                          </a:ln>
                        </wps:spPr>
                        <wps:bodyPr upright="1"/>
                      </wps:wsp>
                      <wps:wsp>
                        <wps:cNvPr id="797" name="直线 5048"/>
                        <wps:cNvCnPr/>
                        <wps:spPr>
                          <a:xfrm>
                            <a:off x="12957" y="1182"/>
                            <a:ext cx="0" cy="486"/>
                          </a:xfrm>
                          <a:prstGeom prst="line">
                            <a:avLst/>
                          </a:prstGeom>
                          <a:ln w="3175" cap="flat" cmpd="sng">
                            <a:solidFill>
                              <a:srgbClr val="000000"/>
                            </a:solidFill>
                            <a:prstDash val="solid"/>
                            <a:headEnd type="none" w="med" len="med"/>
                            <a:tailEnd type="triangle" w="med" len="med"/>
                          </a:ln>
                        </wps:spPr>
                        <wps:bodyPr upright="1"/>
                      </wps:wsp>
                      <wps:wsp>
                        <wps:cNvPr id="798" name="直线 5049"/>
                        <wps:cNvCnPr/>
                        <wps:spPr>
                          <a:xfrm>
                            <a:off x="11776" y="2479"/>
                            <a:ext cx="2351" cy="0"/>
                          </a:xfrm>
                          <a:prstGeom prst="line">
                            <a:avLst/>
                          </a:prstGeom>
                          <a:ln w="3175" cap="flat" cmpd="sng">
                            <a:solidFill>
                              <a:srgbClr val="000000"/>
                            </a:solidFill>
                            <a:prstDash val="solid"/>
                            <a:headEnd type="none" w="med" len="med"/>
                            <a:tailEnd type="none" w="med" len="med"/>
                          </a:ln>
                        </wps:spPr>
                        <wps:bodyPr upright="1"/>
                      </wps:wsp>
                      <wps:wsp>
                        <wps:cNvPr id="799" name="直线 5050"/>
                        <wps:cNvCnPr/>
                        <wps:spPr>
                          <a:xfrm>
                            <a:off x="12974" y="2155"/>
                            <a:ext cx="0" cy="324"/>
                          </a:xfrm>
                          <a:prstGeom prst="line">
                            <a:avLst/>
                          </a:prstGeom>
                          <a:ln w="3175" cap="flat" cmpd="sng">
                            <a:solidFill>
                              <a:srgbClr val="000000"/>
                            </a:solidFill>
                            <a:prstDash val="solid"/>
                            <a:headEnd type="none" w="med" len="med"/>
                            <a:tailEnd type="triangle" w="med" len="med"/>
                          </a:ln>
                        </wps:spPr>
                        <wps:bodyPr upright="1"/>
                      </wps:wsp>
                      <wps:wsp>
                        <wps:cNvPr id="800" name="直线 5051"/>
                        <wps:cNvCnPr/>
                        <wps:spPr>
                          <a:xfrm>
                            <a:off x="11776" y="2491"/>
                            <a:ext cx="0" cy="324"/>
                          </a:xfrm>
                          <a:prstGeom prst="line">
                            <a:avLst/>
                          </a:prstGeom>
                          <a:ln w="3175" cap="flat" cmpd="sng">
                            <a:solidFill>
                              <a:srgbClr val="000000"/>
                            </a:solidFill>
                            <a:prstDash val="solid"/>
                            <a:headEnd type="none" w="med" len="med"/>
                            <a:tailEnd type="triangle" w="med" len="med"/>
                          </a:ln>
                        </wps:spPr>
                        <wps:bodyPr upright="1"/>
                      </wps:wsp>
                      <wps:wsp>
                        <wps:cNvPr id="801" name="直线 5052"/>
                        <wps:cNvCnPr/>
                        <wps:spPr>
                          <a:xfrm>
                            <a:off x="12568" y="2483"/>
                            <a:ext cx="0" cy="325"/>
                          </a:xfrm>
                          <a:prstGeom prst="line">
                            <a:avLst/>
                          </a:prstGeom>
                          <a:ln w="3175" cap="flat" cmpd="sng">
                            <a:solidFill>
                              <a:srgbClr val="000000"/>
                            </a:solidFill>
                            <a:prstDash val="solid"/>
                            <a:headEnd type="none" w="med" len="med"/>
                            <a:tailEnd type="triangle" w="med" len="med"/>
                          </a:ln>
                        </wps:spPr>
                        <wps:bodyPr upright="1"/>
                      </wps:wsp>
                      <wps:wsp>
                        <wps:cNvPr id="802" name="直线 5053"/>
                        <wps:cNvCnPr/>
                        <wps:spPr>
                          <a:xfrm>
                            <a:off x="13319" y="2479"/>
                            <a:ext cx="0" cy="324"/>
                          </a:xfrm>
                          <a:prstGeom prst="line">
                            <a:avLst/>
                          </a:prstGeom>
                          <a:ln w="3175" cap="flat" cmpd="sng">
                            <a:solidFill>
                              <a:srgbClr val="000000"/>
                            </a:solidFill>
                            <a:prstDash val="solid"/>
                            <a:headEnd type="none" w="med" len="med"/>
                            <a:tailEnd type="triangle" w="med" len="med"/>
                          </a:ln>
                        </wps:spPr>
                        <wps:bodyPr upright="1"/>
                      </wps:wsp>
                      <wps:wsp>
                        <wps:cNvPr id="803" name="直线 5054"/>
                        <wps:cNvCnPr/>
                        <wps:spPr>
                          <a:xfrm>
                            <a:off x="14127" y="2479"/>
                            <a:ext cx="0" cy="324"/>
                          </a:xfrm>
                          <a:prstGeom prst="line">
                            <a:avLst/>
                          </a:prstGeom>
                          <a:ln w="3175" cap="flat" cmpd="sng">
                            <a:solidFill>
                              <a:srgbClr val="000000"/>
                            </a:solidFill>
                            <a:prstDash val="solid"/>
                            <a:headEnd type="none" w="med" len="med"/>
                            <a:tailEnd type="triangle" w="med" len="med"/>
                          </a:ln>
                        </wps:spPr>
                        <wps:bodyPr upright="1"/>
                      </wps:wsp>
                      <wps:wsp>
                        <wps:cNvPr id="804" name="直线 5055"/>
                        <wps:cNvCnPr/>
                        <wps:spPr>
                          <a:xfrm>
                            <a:off x="11798" y="6529"/>
                            <a:ext cx="2213" cy="0"/>
                          </a:xfrm>
                          <a:prstGeom prst="line">
                            <a:avLst/>
                          </a:prstGeom>
                          <a:ln w="3175" cap="flat" cmpd="sng">
                            <a:solidFill>
                              <a:srgbClr val="000000"/>
                            </a:solidFill>
                            <a:prstDash val="solid"/>
                            <a:headEnd type="none" w="med" len="med"/>
                            <a:tailEnd type="none" w="med" len="med"/>
                          </a:ln>
                        </wps:spPr>
                        <wps:bodyPr upright="1"/>
                      </wps:wsp>
                      <wps:wsp>
                        <wps:cNvPr id="805" name="直线 5056"/>
                        <wps:cNvCnPr/>
                        <wps:spPr>
                          <a:xfrm>
                            <a:off x="13006" y="6533"/>
                            <a:ext cx="0" cy="297"/>
                          </a:xfrm>
                          <a:prstGeom prst="line">
                            <a:avLst/>
                          </a:prstGeom>
                          <a:ln w="3175" cap="flat" cmpd="sng">
                            <a:solidFill>
                              <a:srgbClr val="000000"/>
                            </a:solidFill>
                            <a:prstDash val="solid"/>
                            <a:headEnd type="none" w="med" len="med"/>
                            <a:tailEnd type="triangle" w="med" len="med"/>
                          </a:ln>
                        </wps:spPr>
                        <wps:bodyPr upright="1"/>
                      </wps:wsp>
                      <wps:wsp>
                        <wps:cNvPr id="806" name="直线 5057"/>
                        <wps:cNvCnPr/>
                        <wps:spPr>
                          <a:xfrm>
                            <a:off x="11798" y="6367"/>
                            <a:ext cx="0" cy="162"/>
                          </a:xfrm>
                          <a:prstGeom prst="line">
                            <a:avLst/>
                          </a:prstGeom>
                          <a:ln w="3175" cap="flat" cmpd="sng">
                            <a:solidFill>
                              <a:srgbClr val="000000"/>
                            </a:solidFill>
                            <a:prstDash val="solid"/>
                            <a:headEnd type="none" w="med" len="med"/>
                            <a:tailEnd type="triangle" w="med" len="med"/>
                          </a:ln>
                        </wps:spPr>
                        <wps:bodyPr upright="1"/>
                      </wps:wsp>
                      <wps:wsp>
                        <wps:cNvPr id="807" name="直线 5058"/>
                        <wps:cNvCnPr/>
                        <wps:spPr>
                          <a:xfrm>
                            <a:off x="12628" y="6367"/>
                            <a:ext cx="0" cy="162"/>
                          </a:xfrm>
                          <a:prstGeom prst="line">
                            <a:avLst/>
                          </a:prstGeom>
                          <a:ln w="3175" cap="flat" cmpd="sng">
                            <a:solidFill>
                              <a:srgbClr val="000000"/>
                            </a:solidFill>
                            <a:prstDash val="solid"/>
                            <a:headEnd type="none" w="med" len="med"/>
                            <a:tailEnd type="triangle" w="med" len="med"/>
                          </a:ln>
                        </wps:spPr>
                        <wps:bodyPr upright="1"/>
                      </wps:wsp>
                      <wps:wsp>
                        <wps:cNvPr id="808" name="直线 5059"/>
                        <wps:cNvCnPr/>
                        <wps:spPr>
                          <a:xfrm>
                            <a:off x="13435" y="6367"/>
                            <a:ext cx="0" cy="162"/>
                          </a:xfrm>
                          <a:prstGeom prst="line">
                            <a:avLst/>
                          </a:prstGeom>
                          <a:ln w="3175" cap="flat" cmpd="sng">
                            <a:solidFill>
                              <a:srgbClr val="000000"/>
                            </a:solidFill>
                            <a:prstDash val="solid"/>
                            <a:headEnd type="none" w="med" len="med"/>
                            <a:tailEnd type="triangle" w="med" len="med"/>
                          </a:ln>
                        </wps:spPr>
                        <wps:bodyPr upright="1"/>
                      </wps:wsp>
                      <wps:wsp>
                        <wps:cNvPr id="809" name="直线 5060"/>
                        <wps:cNvCnPr/>
                        <wps:spPr>
                          <a:xfrm>
                            <a:off x="14011" y="6367"/>
                            <a:ext cx="0" cy="162"/>
                          </a:xfrm>
                          <a:prstGeom prst="line">
                            <a:avLst/>
                          </a:prstGeom>
                          <a:ln w="3175" cap="flat" cmpd="sng">
                            <a:solidFill>
                              <a:srgbClr val="000000"/>
                            </a:solidFill>
                            <a:prstDash val="solid"/>
                            <a:headEnd type="none" w="med" len="med"/>
                            <a:tailEnd type="triangle" w="med" len="med"/>
                          </a:ln>
                        </wps:spPr>
                        <wps:bodyPr upright="1"/>
                      </wps:wsp>
                      <wps:wsp>
                        <wps:cNvPr id="810" name="文本框 5061" descr="蓝色面巾纸"/>
                        <wps:cNvSpPr txBox="1"/>
                        <wps:spPr>
                          <a:xfrm>
                            <a:off x="5900" y="8030"/>
                            <a:ext cx="3620" cy="486"/>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8BAAED3">
                              <w:pPr>
                                <w:spacing w:line="260" w:lineRule="exact"/>
                                <w:ind w:firstLine="31680"/>
                                <w:jc w:val="center"/>
                                <w:rPr>
                                  <w:sz w:val="21"/>
                                </w:rPr>
                              </w:pPr>
                              <w:r>
                                <w:rPr>
                                  <w:rFonts w:hint="eastAsia"/>
                                  <w:sz w:val="21"/>
                                </w:rPr>
                                <w:t>廉洁高效，工程优质，干部优秀</w:t>
                              </w:r>
                            </w:p>
                          </w:txbxContent>
                        </wps:txbx>
                        <wps:bodyPr upright="1"/>
                      </wps:wsp>
                      <wps:wsp>
                        <wps:cNvPr id="811" name="直线 5062"/>
                        <wps:cNvCnPr/>
                        <wps:spPr>
                          <a:xfrm>
                            <a:off x="1459" y="6691"/>
                            <a:ext cx="0" cy="1006"/>
                          </a:xfrm>
                          <a:prstGeom prst="line">
                            <a:avLst/>
                          </a:prstGeom>
                          <a:ln w="3175" cap="flat" cmpd="sng">
                            <a:solidFill>
                              <a:srgbClr val="000000"/>
                            </a:solidFill>
                            <a:prstDash val="solid"/>
                            <a:headEnd type="none" w="med" len="med"/>
                            <a:tailEnd type="triangle" w="med" len="med"/>
                          </a:ln>
                        </wps:spPr>
                        <wps:bodyPr upright="1"/>
                      </wps:wsp>
                      <wps:wsp>
                        <wps:cNvPr id="812" name="直线 5063"/>
                        <wps:cNvCnPr/>
                        <wps:spPr>
                          <a:xfrm>
                            <a:off x="4936" y="7339"/>
                            <a:ext cx="0" cy="358"/>
                          </a:xfrm>
                          <a:prstGeom prst="line">
                            <a:avLst/>
                          </a:prstGeom>
                          <a:ln w="3175" cap="flat" cmpd="sng">
                            <a:solidFill>
                              <a:srgbClr val="000000"/>
                            </a:solidFill>
                            <a:prstDash val="solid"/>
                            <a:headEnd type="none" w="med" len="med"/>
                            <a:tailEnd type="triangle" w="med" len="med"/>
                          </a:ln>
                        </wps:spPr>
                        <wps:bodyPr upright="1"/>
                      </wps:wsp>
                      <wps:wsp>
                        <wps:cNvPr id="813" name="直线 5064"/>
                        <wps:cNvCnPr/>
                        <wps:spPr>
                          <a:xfrm>
                            <a:off x="13041" y="7508"/>
                            <a:ext cx="0" cy="228"/>
                          </a:xfrm>
                          <a:prstGeom prst="line">
                            <a:avLst/>
                          </a:prstGeom>
                          <a:ln w="3175" cap="flat" cmpd="sng">
                            <a:solidFill>
                              <a:srgbClr val="000000"/>
                            </a:solidFill>
                            <a:prstDash val="solid"/>
                            <a:headEnd type="none" w="med" len="med"/>
                            <a:tailEnd type="triangle" w="med" len="med"/>
                          </a:ln>
                        </wps:spPr>
                        <wps:bodyPr upright="1"/>
                      </wps:wsp>
                      <wps:wsp>
                        <wps:cNvPr id="814" name="直线 5065"/>
                        <wps:cNvCnPr/>
                        <wps:spPr>
                          <a:xfrm>
                            <a:off x="9797" y="7042"/>
                            <a:ext cx="0" cy="666"/>
                          </a:xfrm>
                          <a:prstGeom prst="line">
                            <a:avLst/>
                          </a:prstGeom>
                          <a:ln w="3175" cap="flat" cmpd="sng">
                            <a:solidFill>
                              <a:srgbClr val="000000"/>
                            </a:solidFill>
                            <a:prstDash val="solid"/>
                            <a:headEnd type="none" w="med" len="med"/>
                            <a:tailEnd type="triangle" w="med" len="med"/>
                          </a:ln>
                        </wps:spPr>
                        <wps:bodyPr upright="1"/>
                      </wps:wsp>
                      <wps:wsp>
                        <wps:cNvPr id="815" name="直线 5066"/>
                        <wps:cNvCnPr/>
                        <wps:spPr>
                          <a:xfrm>
                            <a:off x="1453" y="7718"/>
                            <a:ext cx="11604" cy="0"/>
                          </a:xfrm>
                          <a:prstGeom prst="line">
                            <a:avLst/>
                          </a:prstGeom>
                          <a:ln w="3175" cap="flat" cmpd="sng">
                            <a:solidFill>
                              <a:srgbClr val="000000"/>
                            </a:solidFill>
                            <a:prstDash val="solid"/>
                            <a:headEnd type="none" w="med" len="med"/>
                            <a:tailEnd type="none" w="med" len="med"/>
                          </a:ln>
                        </wps:spPr>
                        <wps:bodyPr upright="1"/>
                      </wps:wsp>
                      <wps:wsp>
                        <wps:cNvPr id="816" name="直线 5067"/>
                        <wps:cNvCnPr/>
                        <wps:spPr>
                          <a:xfrm>
                            <a:off x="7709" y="7706"/>
                            <a:ext cx="0" cy="324"/>
                          </a:xfrm>
                          <a:prstGeom prst="line">
                            <a:avLst/>
                          </a:prstGeom>
                          <a:ln w="3175" cap="flat" cmpd="sng">
                            <a:solidFill>
                              <a:srgbClr val="000000"/>
                            </a:solidFill>
                            <a:prstDash val="solid"/>
                            <a:headEnd type="none" w="med" len="med"/>
                            <a:tailEnd type="triangle" w="med" len="med"/>
                          </a:ln>
                        </wps:spPr>
                        <wps:bodyPr upright="1"/>
                      </wps:wsp>
                      <wps:wsp>
                        <wps:cNvPr id="817" name="文本框 5068" descr="蓝色面巾纸"/>
                        <wps:cNvSpPr txBox="1"/>
                        <wps:spPr>
                          <a:xfrm>
                            <a:off x="11458" y="2815"/>
                            <a:ext cx="609" cy="3515"/>
                          </a:xfrm>
                          <a:prstGeom prst="rect">
                            <a:avLst/>
                          </a:prstGeom>
                          <a:solidFill>
                            <a:srgbClr val="C6D9F1"/>
                          </a:solidFill>
                          <a:ln w="3175" cap="flat" cmpd="sng">
                            <a:solidFill>
                              <a:srgbClr val="000000"/>
                            </a:solidFill>
                            <a:prstDash val="solid"/>
                            <a:miter/>
                            <a:headEnd type="none" w="med" len="med"/>
                            <a:tailEnd type="none" w="med" len="med"/>
                          </a:ln>
                        </wps:spPr>
                        <wps:txbx>
                          <w:txbxContent>
                            <w:p w14:paraId="4888B335">
                              <w:pPr>
                                <w:spacing w:line="260" w:lineRule="exact"/>
                                <w:ind w:firstLine="0" w:firstLineChars="0"/>
                                <w:rPr>
                                  <w:sz w:val="21"/>
                                </w:rPr>
                              </w:pPr>
                              <w:r>
                                <w:rPr>
                                  <w:rFonts w:hint="eastAsia"/>
                                  <w:sz w:val="21"/>
                                </w:rPr>
                                <w:t>贯彻局集团关于党风廉政建设责任制实施细则</w:t>
                              </w:r>
                            </w:p>
                          </w:txbxContent>
                        </wps:txbx>
                        <wps:bodyPr lIns="18000" tIns="45720" rIns="18000" bIns="45720" upright="1"/>
                      </wps:wsp>
                      <wps:wsp>
                        <wps:cNvPr id="818" name="直线 5069"/>
                        <wps:cNvCnPr/>
                        <wps:spPr>
                          <a:xfrm>
                            <a:off x="288" y="5080"/>
                            <a:ext cx="0" cy="324"/>
                          </a:xfrm>
                          <a:prstGeom prst="line">
                            <a:avLst/>
                          </a:prstGeom>
                          <a:ln w="3175" cap="flat" cmpd="sng">
                            <a:solidFill>
                              <a:srgbClr val="000000"/>
                            </a:solidFill>
                            <a:prstDash val="solid"/>
                            <a:headEnd type="none" w="med" len="med"/>
                            <a:tailEnd type="triangle" w="med" len="med"/>
                          </a:ln>
                        </wps:spPr>
                        <wps:bodyPr upright="1"/>
                      </wps:wsp>
                      <wps:wsp>
                        <wps:cNvPr id="819" name="直线 5070"/>
                        <wps:cNvCnPr/>
                        <wps:spPr>
                          <a:xfrm>
                            <a:off x="881" y="5080"/>
                            <a:ext cx="0" cy="324"/>
                          </a:xfrm>
                          <a:prstGeom prst="line">
                            <a:avLst/>
                          </a:prstGeom>
                          <a:ln w="3175" cap="flat" cmpd="sng">
                            <a:solidFill>
                              <a:srgbClr val="000000"/>
                            </a:solidFill>
                            <a:prstDash val="solid"/>
                            <a:headEnd type="none" w="med" len="med"/>
                            <a:tailEnd type="triangle" w="med" len="med"/>
                          </a:ln>
                        </wps:spPr>
                        <wps:bodyPr upright="1"/>
                      </wps:wsp>
                      <wps:wsp>
                        <wps:cNvPr id="820" name="直线 5071"/>
                        <wps:cNvCnPr/>
                        <wps:spPr>
                          <a:xfrm>
                            <a:off x="288" y="5391"/>
                            <a:ext cx="1943" cy="0"/>
                          </a:xfrm>
                          <a:prstGeom prst="line">
                            <a:avLst/>
                          </a:prstGeom>
                          <a:ln w="3175" cap="flat" cmpd="sng">
                            <a:solidFill>
                              <a:srgbClr val="000000"/>
                            </a:solidFill>
                            <a:prstDash val="solid"/>
                            <a:headEnd type="none" w="med" len="med"/>
                            <a:tailEnd type="none" w="med" len="med"/>
                          </a:ln>
                        </wps:spPr>
                        <wps:bodyPr upright="1"/>
                      </wps:wsp>
                      <wps:wsp>
                        <wps:cNvPr id="821" name="直线 5072"/>
                        <wps:cNvCnPr/>
                        <wps:spPr>
                          <a:xfrm>
                            <a:off x="904" y="2504"/>
                            <a:ext cx="0" cy="324"/>
                          </a:xfrm>
                          <a:prstGeom prst="line">
                            <a:avLst/>
                          </a:prstGeom>
                          <a:ln w="3175" cap="flat" cmpd="sng">
                            <a:solidFill>
                              <a:srgbClr val="000000"/>
                            </a:solidFill>
                            <a:prstDash val="solid"/>
                            <a:headEnd type="none" w="med" len="med"/>
                            <a:tailEnd type="triangle" w="med" len="med"/>
                          </a:ln>
                        </wps:spPr>
                        <wps:bodyPr upright="1"/>
                      </wps:wsp>
                    </wpg:wgp>
                  </a:graphicData>
                </a:graphic>
              </wp:anchor>
            </w:drawing>
          </mc:Choice>
          <mc:Fallback>
            <w:pict>
              <v:group id="组合 443" o:spid="_x0000_s1026" o:spt="203" style="position:absolute;left:0pt;margin-left:2.55pt;margin-top:9.3pt;height:407.15pt;width:716.25pt;mso-wrap-distance-bottom:0pt;mso-wrap-distance-top:0pt;z-index:251667456;mso-width-relative:page;mso-height-relative:page;" coordorigin="32,373" coordsize="14326,8143" o:gfxdata="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">
                <o:lock v:ext="edit" aspectratio="f"/>
                <v:shape id="文本框 4975" o:spid="_x0000_s1026" o:spt="202" alt="蓝色面巾纸" type="#_x0000_t202" style="position:absolute;left:32;top:2803;height:2269;width:447;" fillcolor="#C6D9F1" filled="t" stroked="t" coordsize="21600,21600" o:gfxdata="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Xnmu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1.5mm,1.27mm,1.5mm,1.27mm">
                    <w:txbxContent>
                      <w:p w14:paraId="5E26F870">
                        <w:pPr>
                          <w:spacing w:line="300" w:lineRule="exact"/>
                          <w:ind w:firstLine="0" w:firstLineChars="0"/>
                          <w:jc w:val="both"/>
                          <w:rPr>
                            <w:sz w:val="21"/>
                          </w:rPr>
                        </w:pPr>
                        <w:r>
                          <w:rPr>
                            <w:rFonts w:hint="eastAsia"/>
                            <w:sz w:val="21"/>
                          </w:rPr>
                          <w:t>普及教育</w:t>
                        </w:r>
                      </w:p>
                    </w:txbxContent>
                  </v:textbox>
                </v:shape>
                <v:shape id="文本框 4976" o:spid="_x0000_s1026" o:spt="202" alt="蓝色面巾纸" type="#_x0000_t202" style="position:absolute;left:6528;top:373;height:485;width:2417;" fillcolor="#C6D9F1" filled="t" stroked="t" coordsize="21600,21600" o:gfxdata="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3Riv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2.54mm,0.3mm,2.54mm,0.3mm">
                    <w:txbxContent>
                      <w:p w14:paraId="4BB32AB0">
                        <w:pPr>
                          <w:ind w:firstLine="31680"/>
                        </w:pPr>
                        <w:r>
                          <w:rPr>
                            <w:rFonts w:hint="eastAsia"/>
                          </w:rPr>
                          <w:t>廉政建设保证体系</w:t>
                        </w:r>
                      </w:p>
                    </w:txbxContent>
                  </v:textbox>
                </v:shape>
                <v:shape id="文本框 4977" o:spid="_x0000_s1026" o:spt="202" alt="蓝色面巾纸" type="#_x0000_t202" style="position:absolute;left:771;top:1506;height:487;width:1385;" fillcolor="#C6D9F1" filled="t" stroked="t" coordsize="21600,21600" o:gfxdata="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sXyl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45B5AD1A">
                        <w:pPr>
                          <w:spacing w:line="260" w:lineRule="exact"/>
                          <w:ind w:firstLine="0" w:firstLineChars="0"/>
                          <w:jc w:val="center"/>
                          <w:rPr>
                            <w:sz w:val="21"/>
                          </w:rPr>
                        </w:pPr>
                        <w:r>
                          <w:rPr>
                            <w:rFonts w:hint="eastAsia"/>
                            <w:sz w:val="21"/>
                          </w:rPr>
                          <w:t>思想保证</w:t>
                        </w:r>
                      </w:p>
                    </w:txbxContent>
                  </v:textbox>
                </v:shape>
                <v:shape id="文本框 4978" o:spid="_x0000_s1026" o:spt="202" alt="蓝色面巾纸" type="#_x0000_t202" style="position:absolute;left:4222;top:1506;height:487;width:1500;" fillcolor="#C6D9F1" filled="t" stroked="t" coordsize="21600,21600" o:gfxdata="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lXD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01D1FEEC">
                        <w:pPr>
                          <w:spacing w:line="260" w:lineRule="exact"/>
                          <w:ind w:firstLine="0" w:firstLineChars="0"/>
                          <w:jc w:val="center"/>
                          <w:rPr>
                            <w:sz w:val="21"/>
                          </w:rPr>
                        </w:pPr>
                        <w:r>
                          <w:rPr>
                            <w:rFonts w:hint="eastAsia"/>
                            <w:sz w:val="21"/>
                          </w:rPr>
                          <w:t>组织保证</w:t>
                        </w:r>
                      </w:p>
                    </w:txbxContent>
                  </v:textbox>
                </v:shape>
                <v:shape id="文本框 4979" o:spid="_x0000_s1026" o:spt="202" alt="蓝色面巾纸" type="#_x0000_t202" style="position:absolute;left:8989;top:1668;height:487;width:1269;" fillcolor="#C6D9F1" filled="t" stroked="t" coordsize="21600,21600" o:gfxdata="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axcCbsAAADc&#10;AAAADwAAAAAAAAABACAAAAAiAAAAZHJzL2Rvd25yZXYueG1sUEsBAhQAFAAAAAgAh07iQDMvBZ47&#10;AAAAOQAAABAAAAAAAAAAAQAgAAAACgEAAGRycy9zaGFwZXhtbC54bWxQSwUGAAAAAAYABgBbAQAA&#10;tAMAAAAA&#10;">
                  <v:fill on="t" focussize="0,0"/>
                  <v:stroke weight="0.25pt" color="#000000" joinstyle="miter"/>
                  <v:imagedata o:title=""/>
                  <o:lock v:ext="edit" aspectratio="f"/>
                  <v:textbox inset="0.5mm,0.3mm,0.5mm,0.3mm">
                    <w:txbxContent>
                      <w:p w14:paraId="189EB36D">
                        <w:pPr>
                          <w:spacing w:line="260" w:lineRule="exact"/>
                          <w:ind w:firstLine="0" w:firstLineChars="0"/>
                          <w:jc w:val="center"/>
                          <w:rPr>
                            <w:sz w:val="21"/>
                          </w:rPr>
                        </w:pPr>
                        <w:r>
                          <w:rPr>
                            <w:rFonts w:hint="eastAsia"/>
                            <w:sz w:val="21"/>
                          </w:rPr>
                          <w:t>检查保证</w:t>
                        </w:r>
                      </w:p>
                    </w:txbxContent>
                  </v:textbox>
                </v:shape>
                <v:shape id="文本框 4980" o:spid="_x0000_s1026" o:spt="202" alt="蓝色面巾纸" type="#_x0000_t202" style="position:absolute;left:12070;top:1672;height:487;width:1793;" fillcolor="#C6D9F1" filled="t" stroked="t" coordsize="21600,21600" o:gfxdata="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1pm5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564C039B">
                        <w:pPr>
                          <w:spacing w:line="260" w:lineRule="exact"/>
                          <w:ind w:firstLine="0" w:firstLineChars="0"/>
                          <w:jc w:val="center"/>
                          <w:rPr>
                            <w:sz w:val="21"/>
                          </w:rPr>
                        </w:pPr>
                        <w:r>
                          <w:rPr>
                            <w:rFonts w:hint="eastAsia"/>
                            <w:sz w:val="21"/>
                          </w:rPr>
                          <w:t>制度保证</w:t>
                        </w:r>
                      </w:p>
                    </w:txbxContent>
                  </v:textbox>
                </v:shape>
                <v:shape id="文本框 4981" o:spid="_x0000_s1026" o:spt="202" alt="蓝色面巾纸" type="#_x0000_t202" style="position:absolute;left:689;top:2803;height:2269;width:447;" fillcolor="#C6D9F1" filled="t" stroked="t" coordsize="21600,21600" o:gfxdata="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m3Zl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1.5mm,1.27mm,1.5mm,1.27mm">
                    <w:txbxContent>
                      <w:p w14:paraId="7DEB4104">
                        <w:pPr>
                          <w:spacing w:line="260" w:lineRule="exact"/>
                          <w:ind w:firstLine="0" w:firstLineChars="0"/>
                          <w:rPr>
                            <w:sz w:val="21"/>
                          </w:rPr>
                        </w:pPr>
                        <w:r>
                          <w:rPr>
                            <w:rFonts w:hint="eastAsia"/>
                            <w:sz w:val="21"/>
                          </w:rPr>
                          <w:t>从业教育</w:t>
                        </w:r>
                      </w:p>
                    </w:txbxContent>
                  </v:textbox>
                </v:shape>
                <v:shape id="文本框 4982" o:spid="_x0000_s1026" o:spt="202" alt="蓝色面巾纸" type="#_x0000_t202" style="position:absolute;left:1346;top:2803;height:2269;width:447;" fillcolor="#C6D9F1" filled="t" stroked="t" coordsize="21600,21600" o:gfxdata="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19P+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5mm,1.27mm,1.5mm,1.27mm">
                    <w:txbxContent>
                      <w:p w14:paraId="2EC0F886">
                        <w:pPr>
                          <w:spacing w:line="260" w:lineRule="exact"/>
                          <w:ind w:firstLine="0" w:firstLineChars="0"/>
                          <w:rPr>
                            <w:sz w:val="21"/>
                          </w:rPr>
                        </w:pPr>
                        <w:r>
                          <w:rPr>
                            <w:rFonts w:hint="eastAsia"/>
                            <w:sz w:val="21"/>
                          </w:rPr>
                          <w:t>廉政建设教育</w:t>
                        </w:r>
                      </w:p>
                    </w:txbxContent>
                  </v:textbox>
                </v:shape>
                <v:shape id="文本框 4983" o:spid="_x0000_s1026" o:spt="202" alt="蓝色面巾纸" type="#_x0000_t202" style="position:absolute;left:2003;top:2803;height:2269;width:446;" fillcolor="#C6D9F1" filled="t" stroked="t" coordsize="21600,21600" o:gfxdata="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BU2J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inset="1.5mm,1.27mm,1.5mm,1.27mm">
                    <w:txbxContent>
                      <w:p w14:paraId="6DEC52FD">
                        <w:pPr>
                          <w:spacing w:line="260" w:lineRule="exact"/>
                          <w:ind w:firstLine="0" w:firstLineChars="0"/>
                          <w:rPr>
                            <w:sz w:val="21"/>
                          </w:rPr>
                        </w:pPr>
                        <w:r>
                          <w:rPr>
                            <w:rFonts w:hint="eastAsia"/>
                            <w:sz w:val="21"/>
                          </w:rPr>
                          <w:t>法制法规教育</w:t>
                        </w:r>
                      </w:p>
                    </w:txbxContent>
                  </v:textbox>
                </v:shape>
                <v:shape id="文本框 4984" o:spid="_x0000_s1026" o:spt="202" alt="蓝色面巾纸" type="#_x0000_t202" style="position:absolute;left:311;top:5882;height:809;width:2394;" fillcolor="#C6D9F1" filled="t" stroked="t" coordsize="21600,21600" o:gfxdata="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jsey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5mm,0.3mm,0.5mm,0.3mm">
                    <w:txbxContent>
                      <w:p w14:paraId="6A0F92C1">
                        <w:pPr>
                          <w:spacing w:line="260" w:lineRule="exact"/>
                          <w:ind w:firstLine="0" w:firstLineChars="0"/>
                          <w:rPr>
                            <w:sz w:val="21"/>
                          </w:rPr>
                        </w:pPr>
                        <w:r>
                          <w:rPr>
                            <w:rFonts w:hint="eastAsia"/>
                            <w:sz w:val="21"/>
                          </w:rPr>
                          <w:t>强化廉政建设教育，增强党性，提高觉悟</w:t>
                        </w:r>
                      </w:p>
                    </w:txbxContent>
                  </v:textbox>
                </v:shape>
                <v:shape id="文本框 4985" o:spid="_x0000_s1026" o:spt="202" alt="蓝色面巾纸" type="#_x0000_t202" style="position:absolute;left:3414;top:2317;height:486;width:3010;" fillcolor="#C6D9F1" filled="t" stroked="t" coordsize="21600,21600" o:gfxdata="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CX6S/&#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1A69A4C5">
                        <w:pPr>
                          <w:spacing w:line="260" w:lineRule="exact"/>
                          <w:ind w:left="0" w:leftChars="0" w:firstLine="0" w:firstLineChars="0"/>
                          <w:jc w:val="center"/>
                          <w:rPr>
                            <w:sz w:val="21"/>
                          </w:rPr>
                        </w:pPr>
                        <w:r>
                          <w:rPr>
                            <w:rFonts w:hint="eastAsia"/>
                            <w:sz w:val="21"/>
                          </w:rPr>
                          <w:t>经理部廉政建设领导小组</w:t>
                        </w:r>
                      </w:p>
                    </w:txbxContent>
                  </v:textbox>
                </v:shape>
                <v:shape id="文本框 4986" o:spid="_x0000_s1026" o:spt="202" alt="蓝色面巾纸" type="#_x0000_t202" style="position:absolute;left:3634;top:3127;height:486;width:2571;" fillcolor="#C6D9F1" filled="t" stroked="t" coordsize="21600,21600" o:gfxdata="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O+j+/&#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12B4D342">
                        <w:pPr>
                          <w:spacing w:line="260" w:lineRule="exact"/>
                          <w:ind w:firstLine="31680"/>
                          <w:jc w:val="center"/>
                          <w:rPr>
                            <w:sz w:val="21"/>
                          </w:rPr>
                        </w:pPr>
                        <w:r>
                          <w:rPr>
                            <w:rFonts w:hint="eastAsia"/>
                            <w:sz w:val="21"/>
                          </w:rPr>
                          <w:t>办公室</w:t>
                        </w:r>
                        <w:r>
                          <w:rPr>
                            <w:sz w:val="21"/>
                          </w:rPr>
                          <w:t>(</w:t>
                        </w:r>
                        <w:r>
                          <w:rPr>
                            <w:rFonts w:hint="eastAsia"/>
                            <w:sz w:val="21"/>
                          </w:rPr>
                          <w:t>设专人负责</w:t>
                        </w:r>
                        <w:r>
                          <w:rPr>
                            <w:sz w:val="21"/>
                          </w:rPr>
                          <w:t>)</w:t>
                        </w:r>
                      </w:p>
                    </w:txbxContent>
                  </v:textbox>
                </v:shape>
                <v:shape id="文本框 4987" o:spid="_x0000_s1026" o:spt="202" alt="蓝色面巾纸" type="#_x0000_t202" style="position:absolute;left:2623;top:4249;height:485;width:2264;" fillcolor="#C6D9F1" filled="t" stroked="t" coordsize="21600,21600" o:gfxdata="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3rZn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5mm,1.27mm,0.5mm,1.27mm">
                    <w:txbxContent>
                      <w:p w14:paraId="7610CE7F">
                        <w:pPr>
                          <w:spacing w:line="260" w:lineRule="exact"/>
                          <w:ind w:firstLine="0" w:firstLineChars="0"/>
                          <w:jc w:val="center"/>
                          <w:rPr>
                            <w:sz w:val="21"/>
                          </w:rPr>
                        </w:pPr>
                        <w:r>
                          <w:rPr>
                            <w:rFonts w:hint="eastAsia"/>
                            <w:sz w:val="21"/>
                          </w:rPr>
                          <w:t>队廉政建设领导小组</w:t>
                        </w:r>
                      </w:p>
                    </w:txbxContent>
                  </v:textbox>
                </v:shape>
                <v:shape id="文本框 4988" o:spid="_x0000_s1026" o:spt="202" alt="蓝色面巾纸" type="#_x0000_t202" style="position:absolute;left:5151;top:4261;height:487;width:1822;" fillcolor="#C6D9F1" filled="t" stroked="t" coordsize="21600,21600" o:gfxdata="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90z7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inset="1.5mm,1.27mm,0.5mm,1.27mm">
                    <w:txbxContent>
                      <w:p w14:paraId="62E7BE43">
                        <w:pPr>
                          <w:spacing w:line="260" w:lineRule="exact"/>
                          <w:ind w:firstLine="0" w:firstLineChars="0"/>
                          <w:jc w:val="center"/>
                          <w:rPr>
                            <w:sz w:val="21"/>
                          </w:rPr>
                        </w:pPr>
                        <w:r>
                          <w:rPr>
                            <w:rFonts w:hint="eastAsia"/>
                            <w:sz w:val="21"/>
                          </w:rPr>
                          <w:t>专</w:t>
                        </w:r>
                        <w:r>
                          <w:rPr>
                            <w:sz w:val="21"/>
                          </w:rPr>
                          <w:t>(</w:t>
                        </w:r>
                        <w:r>
                          <w:rPr>
                            <w:rFonts w:hint="eastAsia"/>
                            <w:sz w:val="21"/>
                          </w:rPr>
                          <w:t>兼</w:t>
                        </w:r>
                        <w:r>
                          <w:rPr>
                            <w:sz w:val="21"/>
                          </w:rPr>
                          <w:t>)</w:t>
                        </w:r>
                        <w:r>
                          <w:rPr>
                            <w:rFonts w:hint="eastAsia"/>
                            <w:sz w:val="21"/>
                          </w:rPr>
                          <w:t>职纪检员</w:t>
                        </w:r>
                      </w:p>
                    </w:txbxContent>
                  </v:textbox>
                </v:shape>
                <v:shape id="文本框 4989" o:spid="_x0000_s1026" o:spt="202" alt="蓝色面巾纸" type="#_x0000_t202" style="position:absolute;left:8467;top:2641;height:486;width:2192;" fillcolor="#C6D9F1" filled="t" stroked="t" coordsize="21600,21600" o:gfxdata="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PVaG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w:txbxContent>
                      <w:p w14:paraId="1BDA4F53">
                        <w:pPr>
                          <w:spacing w:line="260" w:lineRule="exact"/>
                          <w:ind w:left="0" w:leftChars="0" w:firstLine="0" w:firstLineChars="0"/>
                          <w:jc w:val="center"/>
                          <w:rPr>
                            <w:sz w:val="21"/>
                          </w:rPr>
                        </w:pPr>
                        <w:r>
                          <w:rPr>
                            <w:rFonts w:hint="eastAsia"/>
                            <w:sz w:val="21"/>
                          </w:rPr>
                          <w:t>部每季一次检查</w:t>
                        </w:r>
                      </w:p>
                    </w:txbxContent>
                  </v:textbox>
                </v:shape>
                <v:shape id="文本框 4990" o:spid="_x0000_s1026" o:spt="202" alt="蓝色面巾纸" type="#_x0000_t202" style="position:absolute;left:8467;top:3451;height:486;width:2192;" fillcolor="#C6D9F1" filled="t" stroked="t" coordsize="21600,21600" o:gfxdata="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D8Dq/&#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71F3F757">
                        <w:pPr>
                          <w:spacing w:line="260" w:lineRule="exact"/>
                          <w:ind w:left="0" w:leftChars="0" w:firstLine="0" w:firstLineChars="0"/>
                          <w:jc w:val="center"/>
                          <w:rPr>
                            <w:sz w:val="21"/>
                          </w:rPr>
                        </w:pPr>
                        <w:r>
                          <w:rPr>
                            <w:rFonts w:hint="eastAsia"/>
                            <w:sz w:val="21"/>
                          </w:rPr>
                          <w:t>队每月一次检查</w:t>
                        </w:r>
                      </w:p>
                    </w:txbxContent>
                  </v:textbox>
                </v:shape>
                <v:shape id="文本框 4991" o:spid="_x0000_s1026" o:spt="202" alt="蓝色面巾纸" type="#_x0000_t202" style="position:absolute;left:8467;top:4423;height:487;width:2192;" fillcolor="#C6D9F1" filled="t" stroked="t" coordsize="21600,21600" o:gfxdata="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xin8rgAAADcAAAA&#10;DwAAAAAAAAABACAAAAAiAAAAZHJzL2Rvd25yZXYueG1sUEsBAhQAFAAAAAgAh07iQDMvBZ47AAAA&#10;OQAAABAAAAAAAAAAAQAgAAAABwEAAGRycy9zaGFwZXhtbC54bWxQSwUGAAAAAAYABgBbAQAAsQMA&#10;AAAA&#10;">
                  <v:fill on="t" focussize="0,0"/>
                  <v:stroke weight="0.25pt" color="#000000" joinstyle="miter"/>
                  <v:imagedata o:title=""/>
                  <o:lock v:ext="edit" aspectratio="f"/>
                  <v:textbox inset="1.5mm,1.27mm,0.5mm,1.27mm">
                    <w:txbxContent>
                      <w:p w14:paraId="4C6E26F9">
                        <w:pPr>
                          <w:spacing w:line="260" w:lineRule="exact"/>
                          <w:ind w:left="0" w:leftChars="0" w:firstLine="0" w:firstLineChars="0"/>
                          <w:jc w:val="center"/>
                          <w:rPr>
                            <w:sz w:val="21"/>
                          </w:rPr>
                        </w:pPr>
                        <w:r>
                          <w:rPr>
                            <w:rFonts w:hint="eastAsia"/>
                            <w:sz w:val="21"/>
                          </w:rPr>
                          <w:t>工班每周一次检查</w:t>
                        </w:r>
                      </w:p>
                    </w:txbxContent>
                  </v:textbox>
                </v:shape>
                <v:shape id="文本框 4992" o:spid="_x0000_s1026" o:spt="202" alt="蓝色面巾纸" type="#_x0000_t202" style="position:absolute;left:8583;top:5234;height:486;width:2076;" fillcolor="#C6D9F1" filled="t" stroked="t" coordsize="21600,21600" o:gfxdata="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OPQ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w:txbxContent>
                      <w:p w14:paraId="0B4D0A69">
                        <w:pPr>
                          <w:spacing w:line="260" w:lineRule="exact"/>
                          <w:ind w:firstLine="31680"/>
                          <w:rPr>
                            <w:sz w:val="21"/>
                          </w:rPr>
                        </w:pPr>
                        <w:r>
                          <w:rPr>
                            <w:rFonts w:hint="eastAsia"/>
                            <w:sz w:val="21"/>
                          </w:rPr>
                          <w:t>班组每天检查</w:t>
                        </w:r>
                      </w:p>
                    </w:txbxContent>
                  </v:textbox>
                </v:shape>
                <v:shape id="文本框 4993" o:spid="_x0000_s1026" o:spt="202" alt="蓝色面巾纸" type="#_x0000_t202" style="position:absolute;left:7310;top:3451;height:1945;width:447;" fillcolor="#C6D9F1" filled="t" stroked="t" coordsize="21600,21600" o:gfxdata="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M+9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1.5mm,1.27mm,1.5mm,1.27mm">
                    <w:txbxContent>
                      <w:p w14:paraId="792CAF21">
                        <w:pPr>
                          <w:spacing w:line="260" w:lineRule="exact"/>
                          <w:ind w:firstLine="0" w:firstLineChars="0"/>
                          <w:rPr>
                            <w:sz w:val="21"/>
                          </w:rPr>
                        </w:pPr>
                        <w:r>
                          <w:rPr>
                            <w:rFonts w:hint="eastAsia"/>
                            <w:sz w:val="21"/>
                          </w:rPr>
                          <w:t>定期检查</w:t>
                        </w:r>
                      </w:p>
                    </w:txbxContent>
                  </v:textbox>
                </v:shape>
                <v:shape id="文本框 4994" o:spid="_x0000_s1026" o:spt="202" alt="蓝色面巾纸" type="#_x0000_t202" style="position:absolute;left:10826;top:2857;height:2783;width:447;" fillcolor="#C6D9F1" filled="t" stroked="t" coordsize="21600,21600" o:gfxdata="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bb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1.5mm,1.27mm,1.5mm,1.27mm">
                    <w:txbxContent>
                      <w:p w14:paraId="5472E3E0">
                        <w:pPr>
                          <w:spacing w:line="260" w:lineRule="exact"/>
                          <w:ind w:firstLine="31680"/>
                          <w:jc w:val="center"/>
                          <w:rPr>
                            <w:rFonts w:ascii="宋体"/>
                            <w:sz w:val="21"/>
                          </w:rPr>
                        </w:pPr>
                        <w:r>
                          <w:rPr>
                            <w:rFonts w:hint="eastAsia" w:ascii="宋体"/>
                            <w:sz w:val="21"/>
                          </w:rPr>
                          <w:t>上上级</w:t>
                        </w:r>
                        <w:r>
                          <w:rPr>
                            <w:rFonts w:hint="eastAsia"/>
                            <w:sz w:val="21"/>
                          </w:rPr>
                          <w:t>部门</w:t>
                        </w:r>
                        <w:r>
                          <w:rPr>
                            <w:rFonts w:hint="eastAsia" w:ascii="宋体"/>
                            <w:sz w:val="21"/>
                          </w:rPr>
                          <w:t>检查</w:t>
                        </w:r>
                      </w:p>
                    </w:txbxContent>
                  </v:textbox>
                </v:shape>
                <v:shape id="文本框 4995" o:spid="_x0000_s1026" o:spt="202" alt="蓝色面巾纸" type="#_x0000_t202" style="position:absolute;left:3090;top:5720;height:486;width:1269;" fillcolor="#C6D9F1" filled="t" stroked="t" coordsize="21600,21600" o:gfxdata="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hCzZvQAA&#10;ANwAAAAPAAAAAAAAAAEAIAAAACIAAABkcnMvZG93bnJldi54bWxQSwECFAAUAAAACACHTuJAMy8F&#10;njsAAAA5AAAAEAAAAAAAAAABACAAAAAMAQAAZHJzL3NoYXBleG1sLnhtbFBLBQYAAAAABgAGAFsB&#10;AAC2AwAAAAA=&#10;">
                  <v:fill on="t" focussize="0,0"/>
                  <v:stroke weight="0.25pt" color="#000000" joinstyle="miter"/>
                  <v:imagedata o:title=""/>
                  <o:lock v:ext="edit" aspectratio="f"/>
                  <v:textbox>
                    <w:txbxContent>
                      <w:p w14:paraId="78FFF3CC">
                        <w:pPr>
                          <w:spacing w:line="260" w:lineRule="exact"/>
                          <w:ind w:firstLine="0" w:firstLineChars="0"/>
                          <w:jc w:val="center"/>
                          <w:rPr>
                            <w:sz w:val="21"/>
                          </w:rPr>
                        </w:pPr>
                        <w:r>
                          <w:rPr>
                            <w:rFonts w:hint="eastAsia"/>
                            <w:sz w:val="21"/>
                          </w:rPr>
                          <w:t>班组长</w:t>
                        </w:r>
                      </w:p>
                    </w:txbxContent>
                  </v:textbox>
                </v:shape>
                <v:shape id="文本框 4996" o:spid="_x0000_s1026" o:spt="202" alt="蓝色面巾纸" type="#_x0000_t202" style="position:absolute;left:5513;top:5720;height:486;width:1499;" fillcolor="#C6D9F1" filled="t" stroked="t" coordsize="21600,21600" o:gfxdata="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IiUK/&#10;AAAA3AAAAA8AAAAAAAAAAQAgAAAAIgAAAGRycy9kb3ducmV2LnhtbFBLAQIUABQAAAAIAIdO4kAz&#10;LwWeOwAAADkAAAAQAAAAAAAAAAEAIAAAAA4BAABkcnMvc2hhcGV4bWwueG1sUEsFBgAAAAAGAAYA&#10;WwEAALgDAAAAAA==&#10;">
                  <v:fill on="t" focussize="0,0"/>
                  <v:stroke weight="0.25pt" color="#000000" joinstyle="miter"/>
                  <v:imagedata o:title=""/>
                  <o:lock v:ext="edit" aspectratio="f"/>
                  <v:textbox>
                    <w:txbxContent>
                      <w:p w14:paraId="2F84FC13">
                        <w:pPr>
                          <w:spacing w:line="260" w:lineRule="exact"/>
                          <w:ind w:firstLine="0" w:firstLineChars="0"/>
                          <w:jc w:val="center"/>
                          <w:rPr>
                            <w:sz w:val="21"/>
                          </w:rPr>
                        </w:pPr>
                        <w:r>
                          <w:rPr>
                            <w:rFonts w:hint="eastAsia"/>
                            <w:sz w:val="21"/>
                          </w:rPr>
                          <w:t>义务纪检员</w:t>
                        </w:r>
                      </w:p>
                    </w:txbxContent>
                  </v:textbox>
                </v:shape>
                <v:shape id="文本框 4997" o:spid="_x0000_s1026" o:spt="202" alt="蓝色面巾纸" type="#_x0000_t202" style="position:absolute;left:3612;top:6853;height:486;width:2681;" fillcolor="#C6D9F1" filled="t" stroked="t" coordsize="21600,21600" o:gfxdata="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SYQm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1.5mm,0.3mm,0.5mm,0.3mm">
                    <w:txbxContent>
                      <w:p w14:paraId="15684657">
                        <w:pPr>
                          <w:spacing w:line="260" w:lineRule="exact"/>
                          <w:ind w:firstLine="31680"/>
                          <w:jc w:val="center"/>
                          <w:rPr>
                            <w:sz w:val="21"/>
                          </w:rPr>
                        </w:pPr>
                        <w:r>
                          <w:rPr>
                            <w:rFonts w:hint="eastAsia"/>
                            <w:sz w:val="21"/>
                          </w:rPr>
                          <w:t>开展廉政建设评比活动</w:t>
                        </w:r>
                      </w:p>
                    </w:txbxContent>
                  </v:textbox>
                </v:shape>
                <v:shape id="文本框 4998" o:spid="_x0000_s1026" o:spt="202" alt="蓝色面巾纸" type="#_x0000_t202" style="position:absolute;left:8413;top:6206;height:826;width:2604;" fillcolor="#C6D9F1" filled="t" stroked="t" coordsize="21600,21600" o:gfxdata="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ewt27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5mm,0.3mm,0.5mm,0.3mm">
                    <w:txbxContent>
                      <w:p w14:paraId="74BAF2B7">
                        <w:pPr>
                          <w:spacing w:line="260" w:lineRule="exact"/>
                          <w:ind w:firstLine="0" w:firstLineChars="0"/>
                          <w:jc w:val="center"/>
                          <w:rPr>
                            <w:sz w:val="21"/>
                          </w:rPr>
                        </w:pPr>
                        <w:r>
                          <w:rPr>
                            <w:rFonts w:hint="eastAsia"/>
                            <w:sz w:val="21"/>
                          </w:rPr>
                          <w:t>未达标的部门或个人，限期整改逐一落实</w:t>
                        </w:r>
                      </w:p>
                    </w:txbxContent>
                  </v:textbox>
                </v:shape>
                <v:shape id="文本框 4999" o:spid="_x0000_s1026" o:spt="202" alt="蓝色面巾纸" type="#_x0000_t202" style="position:absolute;left:12273;top:2803;height:3564;width:584;" fillcolor="#C6D9F1" filled="t" stroked="t" coordsize="21600,21600" o:gfxdata="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vmwu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0.5mm,1.27mm,0.5mm,1.27mm">
                    <w:txbxContent>
                      <w:p w14:paraId="294CC2CA">
                        <w:pPr>
                          <w:spacing w:line="260" w:lineRule="exact"/>
                          <w:ind w:firstLine="0" w:firstLineChars="0"/>
                          <w:rPr>
                            <w:sz w:val="21"/>
                          </w:rPr>
                        </w:pPr>
                        <w:r>
                          <w:rPr>
                            <w:rFonts w:hint="eastAsia"/>
                            <w:sz w:val="21"/>
                          </w:rPr>
                          <w:t>贯彻国家及各部委的法规文件精神</w:t>
                        </w:r>
                      </w:p>
                      <w:p w14:paraId="36E72464">
                        <w:pPr>
                          <w:spacing w:line="260" w:lineRule="exact"/>
                          <w:ind w:firstLine="31680"/>
                        </w:pPr>
                      </w:p>
                    </w:txbxContent>
                  </v:textbox>
                </v:shape>
                <v:shape id="文本框 5000" o:spid="_x0000_s1026" o:spt="202" alt="蓝色面巾纸" type="#_x0000_t202" style="position:absolute;left:13090;top:2803;height:3564;width:575;" fillcolor="#C6D9F1" filled="t" stroked="t" coordsize="21600,21600" o:gfxdata="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uM+kL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5mm,1.27mm,0.5mm,1.27mm">
                    <w:txbxContent>
                      <w:p w14:paraId="53413A98">
                        <w:pPr>
                          <w:spacing w:line="260" w:lineRule="exact"/>
                          <w:ind w:firstLine="0" w:firstLineChars="0"/>
                          <w:rPr>
                            <w:sz w:val="21"/>
                          </w:rPr>
                        </w:pPr>
                        <w:r>
                          <w:rPr>
                            <w:rFonts w:hint="eastAsia"/>
                            <w:sz w:val="21"/>
                          </w:rPr>
                          <w:t>认真贯彻公司党员廉洁自律实用手册</w:t>
                        </w:r>
                      </w:p>
                    </w:txbxContent>
                  </v:textbox>
                </v:shape>
                <v:shape id="文本框 5001" o:spid="_x0000_s1026" o:spt="202" alt="蓝色面巾纸" type="#_x0000_t202" style="position:absolute;left:13781;top:2803;height:3564;width:577;" fillcolor="#C6D9F1" filled="t" stroked="t" coordsize="21600,21600" o:gfxdata="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4AAdC8AAAA&#10;3AAAAA8AAAAAAAAAAQAgAAAAIgAAAGRycy9kb3ducmV2LnhtbFBLAQIUABQAAAAIAIdO4kAzLwWe&#10;OwAAADkAAAAQAAAAAAAAAAEAIAAAAAsBAABkcnMvc2hhcGV4bWwueG1sUEsFBgAAAAAGAAYAWwEA&#10;ALUDAAAAAA==&#10;">
                  <v:fill on="t" focussize="0,0"/>
                  <v:stroke weight="0.25pt" color="#000000" joinstyle="miter"/>
                  <v:imagedata o:title=""/>
                  <o:lock v:ext="edit" aspectratio="f"/>
                  <v:textbox inset="0.5mm,1.27mm,0.5mm,1.27mm">
                    <w:txbxContent>
                      <w:p w14:paraId="395DBEB4">
                        <w:pPr>
                          <w:spacing w:line="260" w:lineRule="exact"/>
                          <w:ind w:firstLine="0" w:firstLineChars="0"/>
                          <w:rPr>
                            <w:sz w:val="21"/>
                          </w:rPr>
                        </w:pPr>
                        <w:r>
                          <w:rPr>
                            <w:rFonts w:hint="eastAsia"/>
                            <w:sz w:val="21"/>
                          </w:rPr>
                          <w:t>标本兼治综合治理惩防并举注重预防</w:t>
                        </w:r>
                      </w:p>
                    </w:txbxContent>
                  </v:textbox>
                </v:shape>
                <v:shape id="文本框 5002" o:spid="_x0000_s1026" o:spt="202" alt="蓝色面巾纸" type="#_x0000_t202" style="position:absolute;left:11477;top:6820;height:678;width:2878;" fillcolor="#C6D9F1" filled="t" stroked="t" coordsize="21600,21600" o:gfxdata="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Bt0b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2.54mm,0.3mm,2.54mm,0.3mm">
                    <w:txbxContent>
                      <w:p w14:paraId="26D1FCDB">
                        <w:pPr>
                          <w:spacing w:line="260" w:lineRule="exact"/>
                          <w:ind w:firstLine="0" w:firstLineChars="0"/>
                          <w:jc w:val="center"/>
                          <w:rPr>
                            <w:sz w:val="21"/>
                          </w:rPr>
                        </w:pPr>
                        <w:r>
                          <w:rPr>
                            <w:rFonts w:hint="eastAsia"/>
                            <w:sz w:val="21"/>
                          </w:rPr>
                          <w:t>用科学、健全的制度保证廉政建设目标的实现</w:t>
                        </w:r>
                      </w:p>
                    </w:txbxContent>
                  </v:textbox>
                </v:shape>
                <v:line id="直线 5003" o:spid="_x0000_s1026" o:spt="20" style="position:absolute;left:1460;top:1182;height:0;width:11487;" filled="f" stroked="t" coordsize="21600,21600" o:gfxdata="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I+26/&#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5004" o:spid="_x0000_s1026" o:spt="20" style="position:absolute;left:7709;top:858;height:324;width:0;" filled="f" stroked="t" coordsize="21600,21600" o:gfxdata="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AyU3m/&#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05" o:spid="_x0000_s1026" o:spt="20" style="position:absolute;left:1464;top:1182;height:324;width:0;" filled="f" stroked="t" coordsize="21600,21600" o:gfxdata="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byw2/&#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06" o:spid="_x0000_s1026" o:spt="20" style="position:absolute;left:315;top:2504;height:0;width:1942;" filled="f" stroked="t" coordsize="21600,21600" o:gfxdata="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YWMa&#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5007" o:spid="_x0000_s1026" o:spt="20" style="position:absolute;left:1464;top:1993;height:486;width:0;" filled="f" stroked="t" coordsize="21600,21600" o:gfxdata="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BF8OG/&#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08" o:spid="_x0000_s1026" o:spt="20" style="position:absolute;left:311;top:2504;height:324;width:0;" filled="f" stroked="t" coordsize="21600,21600" o:gfxdata="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8JVXq/&#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09" o:spid="_x0000_s1026" o:spt="20" style="position:absolute;left:1585;top:2504;height:311;width:0;" filled="f" stroked="t" coordsize="21600,21600" o:gfxdata="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6WwQi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5010" o:spid="_x0000_s1026" o:spt="20" style="position:absolute;left:2221;top:2504;height:324;width:0;" filled="f" stroked="t" coordsize="21600,21600" o:gfxdata="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dpkk7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11" o:spid="_x0000_s1026" o:spt="20" style="position:absolute;left:1585;top:5080;height:324;width:0;" filled="f" stroked="t" coordsize="21600,21600" o:gfxdata="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MB7O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5012" o:spid="_x0000_s1026" o:spt="20" style="position:absolute;left:2221;top:5080;height:324;width:0;" filled="f" stroked="t" coordsize="21600,21600" o:gfxdata="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wKIo&#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13" o:spid="_x0000_s1026" o:spt="20" style="position:absolute;left:1464;top:5396;height:486;width:0;" filled="f" stroked="t" coordsize="21600,21600" o:gfxdata="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SPF+/&#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14" o:spid="_x0000_s1026" o:spt="20" style="position:absolute;left:4936;top:1182;height:324;width:0;" filled="f" stroked="t" coordsize="21600,21600" o:gfxdata="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XpnE&#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15" o:spid="_x0000_s1026" o:spt="20" style="position:absolute;left:4936;top:1993;height:324;width:0;" filled="f" stroked="t" coordsize="21600,21600" o:gfxdata="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twGw&#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16" o:spid="_x0000_s1026" o:spt="20" style="position:absolute;left:4936;top:2803;height:324;width:0;" filled="f" stroked="t" coordsize="21600,21600" o:gfxdata="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77pCu/&#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17" o:spid="_x0000_s1026" o:spt="20" style="position:absolute;left:3667;top:3937;height:0;width:2538;" filled="f" stroked="t" coordsize="21600,21600" o:gfxdata="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fN9C/&#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5018" o:spid="_x0000_s1026" o:spt="20" style="position:absolute;left:4936;top:3613;height:324;width:0;" filled="f" stroked="t" coordsize="21600,21600" o:gfxdata="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Fln8e/&#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19" o:spid="_x0000_s1026" o:spt="20" style="position:absolute;left:3667;top:3937;height:324;width:0;" filled="f" stroked="t" coordsize="21600,21600" o:gfxdata="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6C7W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5020" o:spid="_x0000_s1026" o:spt="20" style="position:absolute;left:6205;top:3937;height:324;width:0;" filled="f" stroked="t" coordsize="21600,21600" o:gfxdata="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q4u&#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21" o:spid="_x0000_s1026" o:spt="20" style="position:absolute;left:4887;top:4478;height:0;width:230;" filled="f" stroked="t" coordsize="21600,21600" o:gfxdata="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tVkW6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5022" o:spid="_x0000_s1026" o:spt="20" style="position:absolute;left:3667;top:5396;height:324;width:0;" filled="f" stroked="t" coordsize="21600,21600" o:gfxdata="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k09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23" o:spid="_x0000_s1026" o:spt="20" style="position:absolute;left:6205;top:5396;height:324;width:0;" filled="f" stroked="t" coordsize="21600,21600" o:gfxdata="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Muqgr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24" o:spid="_x0000_s1026" o:spt="20" style="position:absolute;left:3667;top:5396;height:0;width:2538;" filled="f" stroked="t" coordsize="21600,21600" o:gfxdata="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cQKV&#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5025" o:spid="_x0000_s1026" o:spt="20" style="position:absolute;left:3667;top:5072;flip:y;height:0;width:2538;" filled="f" stroked="t" coordsize="21600,21600" o:gfxdata="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keIjvQAA&#10;ANwAAAAPAAAAAAAAAAEAIAAAACIAAABkcnMvZG93bnJldi54bWxQSwECFAAUAAAACACHTuJAMy8F&#10;njsAAAA5AAAAEAAAAAAAAAABACAAAAAMAQAAZHJzL3NoYXBleG1sLnhtbFBLBQYAAAAABgAGAFsB&#10;AAC2AwAAAAA=&#10;">
                  <v:fill on="f" focussize="0,0"/>
                  <v:stroke weight="0.25pt" color="#000000" joinstyle="round"/>
                  <v:imagedata o:title=""/>
                  <o:lock v:ext="edit" aspectratio="f"/>
                </v:line>
                <v:line id="直线 5026" o:spid="_x0000_s1026" o:spt="20" style="position:absolute;left:4936;top:5072;height:324;width:0;" filled="f" stroked="t" coordsize="21600,21600" o:gfxdata="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iMva/&#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27" o:spid="_x0000_s1026" o:spt="20" style="position:absolute;left:3667;top:4748;height:324;width:0;" filled="f" stroked="t" coordsize="21600,21600" o:gfxdata="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wrIG/&#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28" o:spid="_x0000_s1026" o:spt="20" style="position:absolute;left:6205;top:4748;height:324;width:0;" filled="f" stroked="t" coordsize="21600,21600" o:gfxdata="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vAka&#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29" o:spid="_x0000_s1026" o:spt="20" style="position:absolute;left:3667;top:6529;height:0;width:2538;" filled="f" stroked="t" coordsize="21600,21600" o:gfxdata="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tWQ5L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线 5030" o:spid="_x0000_s1026" o:spt="20" style="position:absolute;left:3667;top:6206;height:323;width:0;" filled="f" stroked="t" coordsize="21600,21600" o:gfxdata="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vOPO/&#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31" o:spid="_x0000_s1026" o:spt="20" style="position:absolute;left:6205;top:6206;height:323;width:0;" filled="f" stroked="t" coordsize="21600,21600" o:gfxdata="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6A4Um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5032" o:spid="_x0000_s1026" o:spt="20" style="position:absolute;left:4936;top:6529;height:324;width:0;" filled="f" stroked="t" coordsize="21600,21600" o:gfxdata="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cxE0r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33" o:spid="_x0000_s1026" o:spt="20" style="position:absolute;left:9566;top:1182;height:486;width:0;" filled="f" stroked="t" coordsize="21600,21600" o:gfxdata="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R7ap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34" o:spid="_x0000_s1026" o:spt="20" style="position:absolute;left:9566;top:2155;height:324;width:0;" filled="f" stroked="t" coordsize="21600,21600" o:gfxdata="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Sfz6/&#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35" o:spid="_x0000_s1026" o:spt="20" style="position:absolute;left:7490;top:2479;height:0;width:3922;" filled="f" stroked="t" coordsize="21600,21600" o:gfxdata="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TerG&#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5036" o:spid="_x0000_s1026" o:spt="20" style="position:absolute;left:7490;top:2479;height:972;width:0;" filled="f" stroked="t" coordsize="21600,21600" o:gfxdata="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73QtG/&#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37" o:spid="_x0000_s1026" o:spt="20" style="position:absolute;left:8006;top:2803;height:2755;width:0;" filled="f" stroked="t" coordsize="21600,21600" o:gfxdata="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iXcpr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38" o:spid="_x0000_s1026" o:spt="20" style="position:absolute;left:8006;top:2803;height:0;width:461;" filled="f" stroked="t" coordsize="21600,21600" o:gfxdata="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Wl5P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39" o:spid="_x0000_s1026" o:spt="20" style="position:absolute;left:8006;top:3613;height:0;width:461;" filled="f" stroked="t" coordsize="21600,21600" o:gfxdata="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D27U+5AAAA3AAA&#10;AA8AAAAAAAAAAQAgAAAAIgAAAGRycy9kb3ducmV2LnhtbFBLAQIUABQAAAAIAIdO4kAzLwWeOwAA&#10;ADkAAAAQAAAAAAAAAAEAIAAAAAgBAABkcnMvc2hhcGV4bWwueG1sUEsFBgAAAAAGAAYAWwEAALID&#10;AAAAAA==&#10;">
                  <v:fill on="f" focussize="0,0"/>
                  <v:stroke weight="0.25pt" color="#000000" joinstyle="round" endarrow="block"/>
                  <v:imagedata o:title=""/>
                  <o:lock v:ext="edit" aspectratio="f"/>
                </v:line>
                <v:line id="直线 5040" o:spid="_x0000_s1026" o:spt="20" style="position:absolute;left:8006;top:4748;height:0;width:461;" filled="f" stroked="t" coordsize="21600,21600" o:gfxdata="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7pI1L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41" o:spid="_x0000_s1026" o:spt="20" style="position:absolute;left:8006;top:5558;height:0;width:577;" filled="f" stroked="t" coordsize="21600,21600" o:gfxdata="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1l3lLsAAADc&#10;AAAADwAAAAAAAAABACAAAAAiAAAAZHJzL2Rvd25yZXYueG1sUEsBAhQAFAAAAAgAh07iQDMvBZ47&#10;AAAAOQAAABAAAAAAAAAAAQAgAAAACgEAAGRycy9zaGFwZXhtbC54bWxQSwUGAAAAAAYABgBbAQAA&#10;tAMAAAAA&#10;">
                  <v:fill on="f" focussize="0,0"/>
                  <v:stroke weight="0.25pt" color="#000000" joinstyle="round" endarrow="block"/>
                  <v:imagedata o:title=""/>
                  <o:lock v:ext="edit" aspectratio="f"/>
                </v:line>
                <v:line id="直线 5042" o:spid="_x0000_s1026" o:spt="20" style="position:absolute;left:7750;top:4423;height:0;width:265;" filled="f" stroked="t" coordsize="21600,21600" o:gfxdata="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FdIP&#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43" o:spid="_x0000_s1026" o:spt="20" style="position:absolute;left:11121;top:2479;height:358;width:0;" filled="f" stroked="t" coordsize="21600,21600" o:gfxdata="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x0x4&#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44" o:spid="_x0000_s1026" o:spt="20" style="position:absolute;left:7490;top:5396;height:486;width:0;" filled="f" stroked="t" coordsize="21600,21600" o:gfxdata="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L6eO/&#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45" o:spid="_x0000_s1026" o:spt="20" style="position:absolute;left:11121;top:5640;height:249;width:0;" filled="f" stroked="t" coordsize="21600,21600" o:gfxdata="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icZe/&#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46" o:spid="_x0000_s1026" o:spt="20" style="position:absolute;left:7490;top:5882;height:0;width:3922;" filled="f" stroked="t" coordsize="21600,21600" o:gfxdata="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2NmA&#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直线 5047" o:spid="_x0000_s1026" o:spt="20" style="position:absolute;left:9797;top:5720;height:486;width:0;" filled="f" stroked="t" coordsize="21600,21600" o:gfxdata="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Ep7&#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48" o:spid="_x0000_s1026" o:spt="20" style="position:absolute;left:12957;top:1182;height:486;width:0;" filled="f" stroked="t" coordsize="21600,21600" o:gfxdata="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Sw7+C/&#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49" o:spid="_x0000_s1026" o:spt="20" style="position:absolute;left:11776;top:2479;height:0;width:2351;" filled="f" stroked="t" coordsize="21600,21600" o:gfxdata="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7Zdh68AAAA&#10;3AAAAA8AAAAAAAAAAQAgAAAAIgAAAGRycy9kb3ducmV2LnhtbFBLAQIUABQAAAAIAIdO4kAzLwWe&#10;OwAAADkAAAAQAAAAAAAAAAEAIAAAAAsBAABkcnMvc2hhcGV4bWwueG1sUEsFBgAAAAAGAAYAWwEA&#10;ALUDAAAAAA==&#10;">
                  <v:fill on="f" focussize="0,0"/>
                  <v:stroke weight="0.25pt" color="#000000" joinstyle="round"/>
                  <v:imagedata o:title=""/>
                  <o:lock v:ext="edit" aspectratio="f"/>
                </v:line>
                <v:line id="直线 5050" o:spid="_x0000_s1026" o:spt="20" style="position:absolute;left:12974;top:2155;height:324;width:0;" filled="f" stroked="t" coordsize="21600,21600" o:gfxdata="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mPeC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51" o:spid="_x0000_s1026" o:spt="20" style="position:absolute;left:11776;top:2491;height:324;width:0;" filled="f" stroked="t" coordsize="21600,21600" o:gfxdata="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ndkW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5052" o:spid="_x0000_s1026" o:spt="20" style="position:absolute;left:12568;top:2483;height:325;width:0;" filled="f" stroked="t" coordsize="21600,21600" o:gfxdata="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q9Pe&#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53" o:spid="_x0000_s1026" o:spt="20" style="position:absolute;left:13319;top:2479;height:324;width:0;" filled="f" stroked="t" coordsize="21600,21600" o:gfxdata="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5Tam/&#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54" o:spid="_x0000_s1026" o:spt="20" style="position:absolute;left:14127;top:2479;height:324;width:0;" filled="f" stroked="t" coordsize="21600,21600" o:gfxdata="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16DK/&#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55" o:spid="_x0000_s1026" o:spt="20" style="position:absolute;left:11798;top:6529;height:0;width:2213;" filled="f" stroked="t" coordsize="21600,21600" o:gfxdata="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Eqfcq/&#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5056" o:spid="_x0000_s1026" o:spt="20" style="position:absolute;left:13006;top:6533;height:297;width:0;" filled="f" stroked="t" coordsize="21600,21600" o:gfxdata="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Q1d2/&#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57" o:spid="_x0000_s1026" o:spt="20" style="position:absolute;left:11798;top:6367;height:162;width:0;" filled="f" stroked="t" coordsize="21600,21600" o:gfxdata="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Qkuq&#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line id="直线 5058" o:spid="_x0000_s1026" o:spt="20" style="position:absolute;left:12628;top:6367;height:162;width:0;" filled="f" stroked="t" coordsize="21600,21600" o:gfxdata="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oO7jG/&#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59" o:spid="_x0000_s1026" o:spt="20" style="position:absolute;left:13435;top:6367;height:162;width:0;" filled="f" stroked="t" coordsize="21600,21600" o:gfxdata="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RekO8AAAA&#10;3AAAAA8AAAAAAAAAAQAgAAAAIgAAAGRycy9kb3ducmV2LnhtbFBLAQIUABQAAAAIAIdO4kAzLwWe&#10;OwAAADkAAAAQAAAAAAAAAAEAIAAAAAsBAABkcnMvc2hhcGV4bWwueG1sUEsFBgAAAAAGAAYAWwEA&#10;ALUDAAAAAA==&#10;">
                  <v:fill on="f" focussize="0,0"/>
                  <v:stroke weight="0.25pt" color="#000000" joinstyle="round" endarrow="block"/>
                  <v:imagedata o:title=""/>
                  <o:lock v:ext="edit" aspectratio="f"/>
                </v:line>
                <v:line id="直线 5060" o:spid="_x0000_s1026" o:spt="20" style="position:absolute;left:14011;top:6367;height:162;width:0;" filled="f" stroked="t" coordsize="21600,21600" o:gfxdata="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d39i/&#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shape id="文本框 5061" o:spid="_x0000_s1026" o:spt="202" alt="蓝色面巾纸" type="#_x0000_t202" style="position:absolute;left:5900;top:8030;height:486;width:3620;" fillcolor="#C6D9F1" filled="t" stroked="t" coordsize="21600,21600" o:gfxdata="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uJGRugAAANwA&#10;AAAPAAAAAAAAAAEAIAAAACIAAABkcnMvZG93bnJldi54bWxQSwECFAAUAAAACACHTuJAMy8FnjsA&#10;AAA5AAAAEAAAAAAAAAABACAAAAAJAQAAZHJzL3NoYXBleG1sLnhtbFBLBQYAAAAABgAGAFsBAACz&#10;AwAAAAA=&#10;">
                  <v:fill on="t" focussize="0,0"/>
                  <v:stroke weight="0.25pt" color="#000000" joinstyle="miter"/>
                  <v:imagedata o:title=""/>
                  <o:lock v:ext="edit" aspectratio="f"/>
                  <v:textbox>
                    <w:txbxContent>
                      <w:p w14:paraId="48BAAED3">
                        <w:pPr>
                          <w:spacing w:line="260" w:lineRule="exact"/>
                          <w:ind w:firstLine="31680"/>
                          <w:jc w:val="center"/>
                          <w:rPr>
                            <w:sz w:val="21"/>
                          </w:rPr>
                        </w:pPr>
                        <w:r>
                          <w:rPr>
                            <w:rFonts w:hint="eastAsia"/>
                            <w:sz w:val="21"/>
                          </w:rPr>
                          <w:t>廉洁高效，工程优质，干部优秀</w:t>
                        </w:r>
                      </w:p>
                    </w:txbxContent>
                  </v:textbox>
                </v:shape>
                <v:line id="直线 5062" o:spid="_x0000_s1026" o:spt="20" style="position:absolute;left:1459;top:6691;height:1006;width:0;" filled="f" stroked="t" coordsize="21600,21600" o:gfxdata="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9yRQO/&#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63" o:spid="_x0000_s1026" o:spt="20" style="position:absolute;left:4936;top:7339;height:358;width:0;" filled="f" stroked="t" coordsize="21600,21600" o:gfxdata="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oNt0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v:line id="直线 5064" o:spid="_x0000_s1026" o:spt="20" style="position:absolute;left:13041;top:7508;height:228;width:0;" filled="f" stroked="t" coordsize="21600,21600" o:gfxdata="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Dsfu+/&#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65" o:spid="_x0000_s1026" o:spt="20" style="position:absolute;left:9797;top:7042;height:666;width:0;" filled="f" stroked="t" coordsize="21600,21600" o:gfxdata="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8F5pu/&#10;AAAA3AAAAA8AAAAAAAAAAQAgAAAAIgAAAGRycy9kb3ducmV2LnhtbFBLAQIUABQAAAAIAIdO4kAz&#10;LwWeOwAAADkAAAAQAAAAAAAAAAEAIAAAAA4BAABkcnMvc2hhcGV4bWwueG1sUEsFBgAAAAAGAAYA&#10;WwEAALgDAAAAAA==&#10;">
                  <v:fill on="f" focussize="0,0"/>
                  <v:stroke weight="0.25pt" color="#000000" joinstyle="round" endarrow="block"/>
                  <v:imagedata o:title=""/>
                  <o:lock v:ext="edit" aspectratio="f"/>
                </v:line>
                <v:line id="直线 5066" o:spid="_x0000_s1026" o:spt="20" style="position:absolute;left:1453;top:7718;height:0;width:11604;" filled="f" stroked="t" coordsize="21600,21600" o:gfxdata="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u/Toy/&#10;AAAA3AAAAA8AAAAAAAAAAQAgAAAAIgAAAGRycy9kb3ducmV2LnhtbFBLAQIUABQAAAAIAIdO4kAz&#10;LwWeOwAAADkAAAAQAAAAAAAAAAEAIAAAAA4BAABkcnMvc2hhcGV4bWwueG1sUEsFBgAAAAAGAAYA&#10;WwEAALgDAAAAAA==&#10;">
                  <v:fill on="f" focussize="0,0"/>
                  <v:stroke weight="0.25pt" color="#000000" joinstyle="round"/>
                  <v:imagedata o:title=""/>
                  <o:lock v:ext="edit" aspectratio="f"/>
                </v:line>
                <v:line id="直线 5067" o:spid="_x0000_s1026" o:spt="20" style="position:absolute;left:7709;top:7706;height:324;width:0;" filled="f" stroked="t" coordsize="21600,21600" o:gfxdata="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m913&#10;wAAAANwAAAAPAAAAAAAAAAEAIAAAACIAAABkcnMvZG93bnJldi54bWxQSwECFAAUAAAACACHTuJA&#10;My8FnjsAAAA5AAAAEAAAAAAAAAABACAAAAAPAQAAZHJzL3NoYXBleG1sLnhtbFBLBQYAAAAABgAG&#10;AFsBAAC5AwAAAAA=&#10;">
                  <v:fill on="f" focussize="0,0"/>
                  <v:stroke weight="0.25pt" color="#000000" joinstyle="round" endarrow="block"/>
                  <v:imagedata o:title=""/>
                  <o:lock v:ext="edit" aspectratio="f"/>
                </v:line>
                <v:shape id="文本框 5068" o:spid="_x0000_s1026" o:spt="202" alt="蓝色面巾纸" type="#_x0000_t202" style="position:absolute;left:11458;top:2815;height:3515;width:609;" fillcolor="#C6D9F1" filled="t" stroked="t" coordsize="21600,21600" o:gfxdata="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Te0Mr4A&#10;AADcAAAADwAAAAAAAAABACAAAAAiAAAAZHJzL2Rvd25yZXYueG1sUEsBAhQAFAAAAAgAh07iQDMv&#10;BZ47AAAAOQAAABAAAAAAAAAAAQAgAAAADQEAAGRycy9zaGFwZXhtbC54bWxQSwUGAAAAAAYABgBb&#10;AQAAtwMAAAAA&#10;">
                  <v:fill on="t" focussize="0,0"/>
                  <v:stroke weight="0.25pt" color="#000000" joinstyle="miter"/>
                  <v:imagedata o:title=""/>
                  <o:lock v:ext="edit" aspectratio="f"/>
                  <v:textbox inset="0.5mm,1.27mm,0.5mm,1.27mm">
                    <w:txbxContent>
                      <w:p w14:paraId="4888B335">
                        <w:pPr>
                          <w:spacing w:line="260" w:lineRule="exact"/>
                          <w:ind w:firstLine="0" w:firstLineChars="0"/>
                          <w:rPr>
                            <w:sz w:val="21"/>
                          </w:rPr>
                        </w:pPr>
                        <w:r>
                          <w:rPr>
                            <w:rFonts w:hint="eastAsia"/>
                            <w:sz w:val="21"/>
                          </w:rPr>
                          <w:t>贯彻局集团关于党风廉政建设责任制实施细则</w:t>
                        </w:r>
                      </w:p>
                    </w:txbxContent>
                  </v:textbox>
                </v:shape>
                <v:line id="直线 5069" o:spid="_x0000_s1026" o:spt="20" style="position:absolute;left:288;top:5080;height:324;width:0;" filled="f" stroked="t" coordsize="21600,21600" o:gfxdata="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kjsnrgAAADcAAAA&#10;DwAAAAAAAAABACAAAAAiAAAAZHJzL2Rvd25yZXYueG1sUEsBAhQAFAAAAAgAh07iQDMvBZ47AAAA&#10;OQAAABAAAAAAAAAAAQAgAAAABwEAAGRycy9zaGFwZXhtbC54bWxQSwUGAAAAAAYABgBbAQAAsQMA&#10;AAAA&#10;">
                  <v:fill on="f" focussize="0,0"/>
                  <v:stroke weight="0.25pt" color="#000000" joinstyle="round" endarrow="block"/>
                  <v:imagedata o:title=""/>
                  <o:lock v:ext="edit" aspectratio="f"/>
                </v:line>
                <v:line id="直线 5070" o:spid="_x0000_s1026" o:spt="20" style="position:absolute;left:881;top:5080;height:324;width:0;" filled="f" stroked="t" coordsize="21600,21600" o:gfxdata="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QRJBb4A&#10;AADcAAAADwAAAAAAAAABACAAAAAiAAAAZHJzL2Rvd25yZXYueG1sUEsBAhQAFAAAAAgAh07iQDMv&#10;BZ47AAAAOQAAABAAAAAAAAAAAQAgAAAADQEAAGRycy9zaGFwZXhtbC54bWxQSwUGAAAAAAYABgBb&#10;AQAAtwMAAAAA&#10;">
                  <v:fill on="f" focussize="0,0"/>
                  <v:stroke weight="0.25pt" color="#000000" joinstyle="round" endarrow="block"/>
                  <v:imagedata o:title=""/>
                  <o:lock v:ext="edit" aspectratio="f"/>
                </v:line>
                <v:line id="直线 5071" o:spid="_x0000_s1026" o:spt="20" style="position:absolute;left:288;top:5391;height:0;width:1943;" filled="f" stroked="t" coordsize="21600,21600" o:gfxdata="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aQnqbsAAADc&#10;AAAADwAAAAAAAAABACAAAAAiAAAAZHJzL2Rvd25yZXYueG1sUEsBAhQAFAAAAAgAh07iQDMvBZ47&#10;AAAAOQAAABAAAAAAAAAAAQAgAAAACgEAAGRycy9zaGFwZXhtbC54bWxQSwUGAAAAAAYABgBbAQAA&#10;tAMAAAAA&#10;">
                  <v:fill on="f" focussize="0,0"/>
                  <v:stroke weight="0.25pt" color="#000000" joinstyle="round"/>
                  <v:imagedata o:title=""/>
                  <o:lock v:ext="edit" aspectratio="f"/>
                </v:line>
                <v:line id="直线 5072" o:spid="_x0000_s1026" o:spt="20" style="position:absolute;left:904;top:2504;height:324;width:0;" filled="f" stroked="t" coordsize="21600,21600" o:gfxdata="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Ho++vQAA&#10;ANwAAAAPAAAAAAAAAAEAIAAAACIAAABkcnMvZG93bnJldi54bWxQSwECFAAUAAAACACHTuJAMy8F&#10;njsAAAA5AAAAEAAAAAAAAAABACAAAAAMAQAAZHJzL3NoYXBleG1sLnhtbFBLBQYAAAAABgAGAFsB&#10;AAC2AwAAAAA=&#10;">
                  <v:fill on="f" focussize="0,0"/>
                  <v:stroke weight="0.25pt" color="#000000" joinstyle="round" endarrow="block"/>
                  <v:imagedata o:title=""/>
                  <o:lock v:ext="edit" aspectratio="f"/>
                </v:line>
                <w10:wrap type="topAndBottom"/>
              </v:group>
            </w:pict>
          </mc:Fallback>
        </mc:AlternateContent>
      </w:r>
      <w:r>
        <w:rPr>
          <w:rFonts w:hint="eastAsia"/>
          <w:u w:val="double"/>
        </w:rPr>
        <w:t>廉政建设保证</w:t>
      </w:r>
    </w:p>
    <w:p w14:paraId="5565CAB6">
      <w:pPr>
        <w:pStyle w:val="46"/>
        <w:rPr>
          <w:rFonts w:hint="eastAsia"/>
          <w:u w:val="double"/>
        </w:rPr>
      </w:pPr>
    </w:p>
    <w:p w14:paraId="5CB867DB">
      <w:pPr>
        <w:pStyle w:val="46"/>
        <w:rPr>
          <w:rFonts w:hint="eastAsia"/>
          <w:u w:val="double"/>
        </w:rPr>
      </w:pPr>
    </w:p>
    <w:p w14:paraId="5E75A940">
      <w:pPr>
        <w:jc w:val="center"/>
        <w:rPr>
          <w:rFonts w:hint="eastAsia" w:ascii="黑体" w:eastAsia="黑体"/>
          <w:b/>
          <w:sz w:val="32"/>
          <w:szCs w:val="32"/>
        </w:rPr>
      </w:pPr>
      <w:r>
        <w:rPr>
          <w:rFonts w:hint="eastAsia" w:ascii="黑体" w:eastAsia="黑体"/>
          <w:b/>
          <w:sz w:val="32"/>
          <w:szCs w:val="32"/>
        </w:rPr>
        <w:t>安全管理组织机构图</w:t>
      </w:r>
    </w:p>
    <w:p w14:paraId="1DB93BD3">
      <w:pPr>
        <w:jc w:val="center"/>
        <w:rPr>
          <w:rFonts w:hint="eastAsia" w:ascii="宋体" w:hAnsi="宋体"/>
          <w:sz w:val="28"/>
          <w:szCs w:val="28"/>
        </w:rPr>
      </w:pPr>
      <w:r>
        <w:rPr>
          <w:rFonts w:hint="eastAsia"/>
          <w:sz w:val="28"/>
          <w:szCs w:val="28"/>
        </w:rPr>
        <mc:AlternateContent>
          <mc:Choice Requires="wpg">
            <w:drawing>
              <wp:anchor distT="0" distB="0" distL="114300" distR="114300" simplePos="0" relativeHeight="251679744" behindDoc="0" locked="0" layoutInCell="1" allowOverlap="1">
                <wp:simplePos x="0" y="0"/>
                <wp:positionH relativeFrom="column">
                  <wp:posOffset>-333375</wp:posOffset>
                </wp:positionH>
                <wp:positionV relativeFrom="paragraph">
                  <wp:posOffset>110490</wp:posOffset>
                </wp:positionV>
                <wp:extent cx="9334500" cy="5149215"/>
                <wp:effectExtent l="4445" t="4445" r="18415" b="12700"/>
                <wp:wrapNone/>
                <wp:docPr id="1452" name="组合 2197"/>
                <wp:cNvGraphicFramePr/>
                <a:graphic xmlns:a="http://schemas.openxmlformats.org/drawingml/2006/main">
                  <a:graphicData uri="http://schemas.microsoft.com/office/word/2010/wordprocessingGroup">
                    <wpg:wgp>
                      <wpg:cNvGrpSpPr/>
                      <wpg:grpSpPr>
                        <a:xfrm>
                          <a:off x="0" y="0"/>
                          <a:ext cx="9334500" cy="5149215"/>
                          <a:chOff x="578" y="2201"/>
                          <a:chExt cx="14700" cy="8109"/>
                        </a:xfrm>
                      </wpg:grpSpPr>
                      <wpg:grpSp>
                        <wpg:cNvPr id="1364" name="组合 2198"/>
                        <wpg:cNvGrpSpPr/>
                        <wpg:grpSpPr>
                          <a:xfrm>
                            <a:off x="5723" y="2201"/>
                            <a:ext cx="5040" cy="468"/>
                            <a:chOff x="5723" y="2198"/>
                            <a:chExt cx="5040" cy="624"/>
                          </a:xfrm>
                        </wpg:grpSpPr>
                        <wps:wsp>
                          <wps:cNvPr id="1362" name="文本框 2199"/>
                          <wps:cNvSpPr txBox="1"/>
                          <wps:spPr>
                            <a:xfrm>
                              <a:off x="5723" y="2198"/>
                              <a:ext cx="126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ADB4BC">
                                <w:pPr>
                                  <w:spacing w:line="240" w:lineRule="exact"/>
                                  <w:jc w:val="center"/>
                                  <w:rPr>
                                    <w:rFonts w:hint="eastAsia"/>
                                    <w:position w:val="-6"/>
                                    <w:sz w:val="16"/>
                                    <w:szCs w:val="18"/>
                                  </w:rPr>
                                </w:pPr>
                                <w:r>
                                  <w:rPr>
                                    <w:rFonts w:hint="eastAsia"/>
                                    <w:position w:val="-6"/>
                                    <w:sz w:val="16"/>
                                    <w:szCs w:val="18"/>
                                  </w:rPr>
                                  <w:t>项目经理</w:t>
                                </w:r>
                              </w:p>
                            </w:txbxContent>
                          </wps:txbx>
                          <wps:bodyPr lIns="0" tIns="0" rIns="0" bIns="0" upright="1"/>
                        </wps:wsp>
                        <wps:wsp>
                          <wps:cNvPr id="1363" name="文本框 2200"/>
                          <wps:cNvSpPr txBox="1"/>
                          <wps:spPr>
                            <a:xfrm>
                              <a:off x="6983" y="2198"/>
                              <a:ext cx="37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2D2C2C7">
                                <w:pPr>
                                  <w:spacing w:line="240" w:lineRule="exact"/>
                                  <w:jc w:val="both"/>
                                  <w:rPr>
                                    <w:rFonts w:hint="eastAsia"/>
                                    <w:sz w:val="16"/>
                                    <w:szCs w:val="18"/>
                                  </w:rPr>
                                </w:pPr>
                                <w:r>
                                  <w:rPr>
                                    <w:rFonts w:hint="eastAsia"/>
                                    <w:sz w:val="16"/>
                                    <w:szCs w:val="18"/>
                                  </w:rPr>
                                  <w:t>职责：组织编写项目安全管理体系，责任制度，筹</w:t>
                                </w:r>
                              </w:p>
                              <w:p w14:paraId="5BD6BA44">
                                <w:pPr>
                                  <w:spacing w:line="240" w:lineRule="exact"/>
                                  <w:jc w:val="center"/>
                                  <w:rPr>
                                    <w:rFonts w:hint="eastAsia"/>
                                    <w:sz w:val="16"/>
                                    <w:szCs w:val="18"/>
                                  </w:rPr>
                                </w:pPr>
                                <w:r>
                                  <w:rPr>
                                    <w:rFonts w:hint="eastAsia"/>
                                    <w:sz w:val="16"/>
                                    <w:szCs w:val="18"/>
                                  </w:rPr>
                                  <w:t>措安全经费协调，并对管理体系运行负主要责任</w:t>
                                </w:r>
                              </w:p>
                            </w:txbxContent>
                          </wps:txbx>
                          <wps:bodyPr lIns="0" tIns="0" rIns="0" bIns="0" upright="1"/>
                        </wps:wsp>
                      </wpg:grpSp>
                      <wpg:grpSp>
                        <wpg:cNvPr id="1367" name="组合 2201"/>
                        <wpg:cNvGrpSpPr/>
                        <wpg:grpSpPr>
                          <a:xfrm>
                            <a:off x="1733" y="3290"/>
                            <a:ext cx="4830" cy="468"/>
                            <a:chOff x="5723" y="2198"/>
                            <a:chExt cx="5040" cy="624"/>
                          </a:xfrm>
                        </wpg:grpSpPr>
                        <wps:wsp>
                          <wps:cNvPr id="1365" name="文本框 2202"/>
                          <wps:cNvSpPr txBox="1"/>
                          <wps:spPr>
                            <a:xfrm>
                              <a:off x="5723" y="2198"/>
                              <a:ext cx="126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FFA6B02">
                                <w:pPr>
                                  <w:spacing w:line="240" w:lineRule="exact"/>
                                  <w:ind w:left="0" w:leftChars="0" w:firstLine="0" w:firstLineChars="0"/>
                                  <w:jc w:val="center"/>
                                  <w:rPr>
                                    <w:rFonts w:hint="eastAsia"/>
                                    <w:sz w:val="16"/>
                                    <w:szCs w:val="18"/>
                                    <w:highlight w:val="none"/>
                                  </w:rPr>
                                </w:pPr>
                                <w:r>
                                  <w:rPr>
                                    <w:rFonts w:hint="eastAsia"/>
                                    <w:sz w:val="16"/>
                                    <w:szCs w:val="18"/>
                                    <w:highlight w:val="none"/>
                                  </w:rPr>
                                  <w:t>总工/</w:t>
                                </w:r>
                              </w:p>
                              <w:p w14:paraId="3F204228">
                                <w:pPr>
                                  <w:spacing w:line="240" w:lineRule="exact"/>
                                  <w:ind w:left="0" w:leftChars="0" w:firstLine="0" w:firstLineChars="0"/>
                                  <w:jc w:val="center"/>
                                  <w:rPr>
                                    <w:rFonts w:hint="eastAsia"/>
                                    <w:sz w:val="16"/>
                                    <w:szCs w:val="18"/>
                                    <w:highlight w:val="none"/>
                                  </w:rPr>
                                </w:pPr>
                                <w:r>
                                  <w:rPr>
                                    <w:rFonts w:hint="eastAsia"/>
                                    <w:sz w:val="16"/>
                                    <w:szCs w:val="18"/>
                                    <w:highlight w:val="none"/>
                                  </w:rPr>
                                  <w:t>技术负责人</w:t>
                                </w:r>
                              </w:p>
                              <w:p w14:paraId="2E127AAB">
                                <w:pPr>
                                  <w:jc w:val="center"/>
                                  <w:rPr>
                                    <w:highlight w:val="yellow"/>
                                  </w:rPr>
                                </w:pPr>
                              </w:p>
                            </w:txbxContent>
                          </wps:txbx>
                          <wps:bodyPr lIns="0" tIns="0" rIns="0" bIns="0" upright="1"/>
                        </wps:wsp>
                        <wps:wsp>
                          <wps:cNvPr id="1366" name="文本框 2203"/>
                          <wps:cNvSpPr txBox="1"/>
                          <wps:spPr>
                            <a:xfrm>
                              <a:off x="6983" y="2198"/>
                              <a:ext cx="37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BE09B31">
                                <w:pPr>
                                  <w:spacing w:line="240" w:lineRule="exact"/>
                                  <w:ind w:left="0" w:leftChars="0" w:firstLine="0" w:firstLineChars="0"/>
                                  <w:jc w:val="both"/>
                                  <w:rPr>
                                    <w:rFonts w:hint="eastAsia"/>
                                    <w:sz w:val="16"/>
                                    <w:szCs w:val="18"/>
                                  </w:rPr>
                                </w:pPr>
                                <w:r>
                                  <w:rPr>
                                    <w:rFonts w:hint="eastAsia"/>
                                    <w:sz w:val="16"/>
                                    <w:szCs w:val="18"/>
                                  </w:rPr>
                                  <w:t xml:space="preserve">  职责：具体负责安全技术措施，岗位职责，操作</w:t>
                                </w:r>
                              </w:p>
                              <w:p w14:paraId="4C93FA8C">
                                <w:pPr>
                                  <w:spacing w:line="240" w:lineRule="exact"/>
                                  <w:jc w:val="center"/>
                                  <w:rPr>
                                    <w:rFonts w:hint="eastAsia"/>
                                    <w:sz w:val="16"/>
                                    <w:szCs w:val="18"/>
                                  </w:rPr>
                                </w:pPr>
                                <w:r>
                                  <w:rPr>
                                    <w:rFonts w:hint="eastAsia"/>
                                    <w:sz w:val="16"/>
                                    <w:szCs w:val="18"/>
                                  </w:rPr>
                                  <w:t>规程，特殊脚手架及各种方案的编制审核工作。</w:t>
                                </w:r>
                              </w:p>
                            </w:txbxContent>
                          </wps:txbx>
                          <wps:bodyPr lIns="0" tIns="0" rIns="0" bIns="0" upright="1"/>
                        </wps:wsp>
                      </wpg:grpSp>
                      <wpg:grpSp>
                        <wpg:cNvPr id="1370" name="组合 2204"/>
                        <wpg:cNvGrpSpPr/>
                        <wpg:grpSpPr>
                          <a:xfrm>
                            <a:off x="9503" y="3290"/>
                            <a:ext cx="4830" cy="468"/>
                            <a:chOff x="5723" y="2198"/>
                            <a:chExt cx="5040" cy="624"/>
                          </a:xfrm>
                        </wpg:grpSpPr>
                        <wps:wsp>
                          <wps:cNvPr id="1368" name="文本框 2205"/>
                          <wps:cNvSpPr txBox="1"/>
                          <wps:spPr>
                            <a:xfrm>
                              <a:off x="5723" y="2198"/>
                              <a:ext cx="126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B3E9A82">
                                <w:pPr>
                                  <w:spacing w:line="240" w:lineRule="exact"/>
                                  <w:ind w:left="0" w:leftChars="0" w:firstLine="0" w:firstLineChars="0"/>
                                  <w:jc w:val="center"/>
                                  <w:rPr>
                                    <w:rFonts w:hint="eastAsia"/>
                                    <w:sz w:val="16"/>
                                    <w:szCs w:val="18"/>
                                  </w:rPr>
                                </w:pPr>
                                <w:r>
                                  <w:rPr>
                                    <w:rFonts w:hint="eastAsia"/>
                                    <w:sz w:val="16"/>
                                    <w:szCs w:val="18"/>
                                  </w:rPr>
                                  <w:t>项目</w:t>
                                </w:r>
                              </w:p>
                              <w:p w14:paraId="56055B96">
                                <w:pPr>
                                  <w:spacing w:line="240" w:lineRule="exact"/>
                                  <w:ind w:left="0" w:leftChars="0" w:firstLine="0" w:firstLineChars="0"/>
                                  <w:jc w:val="center"/>
                                  <w:rPr>
                                    <w:rFonts w:hint="eastAsia"/>
                                    <w:sz w:val="16"/>
                                    <w:szCs w:val="18"/>
                                  </w:rPr>
                                </w:pPr>
                                <w:r>
                                  <w:rPr>
                                    <w:rFonts w:hint="eastAsia"/>
                                    <w:sz w:val="16"/>
                                    <w:szCs w:val="18"/>
                                  </w:rPr>
                                  <w:t>副经理</w:t>
                                </w:r>
                              </w:p>
                              <w:p w14:paraId="47C13E04"/>
                            </w:txbxContent>
                          </wps:txbx>
                          <wps:bodyPr lIns="0" tIns="0" rIns="0" bIns="0" upright="1"/>
                        </wps:wsp>
                        <wps:wsp>
                          <wps:cNvPr id="1369" name="文本框 2206"/>
                          <wps:cNvSpPr txBox="1"/>
                          <wps:spPr>
                            <a:xfrm>
                              <a:off x="6983" y="2198"/>
                              <a:ext cx="3780"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7951ED">
                                <w:pPr>
                                  <w:spacing w:line="240" w:lineRule="exact"/>
                                  <w:rPr>
                                    <w:rFonts w:hint="eastAsia"/>
                                    <w:sz w:val="16"/>
                                    <w:szCs w:val="18"/>
                                  </w:rPr>
                                </w:pPr>
                                <w:r>
                                  <w:rPr>
                                    <w:rFonts w:hint="eastAsia"/>
                                    <w:sz w:val="16"/>
                                    <w:szCs w:val="18"/>
                                  </w:rPr>
                                  <w:t>职责：负责安全管理体系的运行及日常计划，组</w:t>
                                </w:r>
                              </w:p>
                              <w:p w14:paraId="1F22FD9F">
                                <w:pPr>
                                  <w:spacing w:line="240" w:lineRule="exact"/>
                                  <w:ind w:left="182" w:leftChars="76"/>
                                  <w:rPr>
                                    <w:rFonts w:hint="eastAsia"/>
                                    <w:sz w:val="16"/>
                                    <w:szCs w:val="18"/>
                                  </w:rPr>
                                </w:pPr>
                                <w:r>
                                  <w:rPr>
                                    <w:rFonts w:hint="eastAsia"/>
                                    <w:sz w:val="16"/>
                                    <w:szCs w:val="18"/>
                                  </w:rPr>
                                  <w:t>织、检查、验收、协调工作。</w:t>
                                </w:r>
                              </w:p>
                            </w:txbxContent>
                          </wps:txbx>
                          <wps:bodyPr lIns="0" tIns="0" rIns="0" bIns="0" upright="1"/>
                        </wps:wsp>
                      </wpg:grpSp>
                      <wpg:grpSp>
                        <wpg:cNvPr id="1373" name="组合 2207"/>
                        <wpg:cNvGrpSpPr/>
                        <wpg:grpSpPr>
                          <a:xfrm>
                            <a:off x="4568" y="9686"/>
                            <a:ext cx="6510" cy="624"/>
                            <a:chOff x="4883" y="4850"/>
                            <a:chExt cx="6510" cy="624"/>
                          </a:xfrm>
                        </wpg:grpSpPr>
                        <wps:wsp>
                          <wps:cNvPr id="1371" name="文本框 2208"/>
                          <wps:cNvSpPr txBox="1"/>
                          <wps:spPr>
                            <a:xfrm>
                              <a:off x="4883" y="4850"/>
                              <a:ext cx="1155"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ED3BBFC">
                                <w:pPr>
                                  <w:jc w:val="center"/>
                                  <w:rPr>
                                    <w:rFonts w:hint="eastAsia"/>
                                    <w:position w:val="-27"/>
                                    <w:sz w:val="16"/>
                                    <w:szCs w:val="18"/>
                                  </w:rPr>
                                </w:pPr>
                                <w:r>
                                  <w:rPr>
                                    <w:rFonts w:hint="eastAsia"/>
                                    <w:position w:val="-27"/>
                                    <w:sz w:val="16"/>
                                    <w:szCs w:val="18"/>
                                  </w:rPr>
                                  <w:t>工人</w:t>
                                </w:r>
                              </w:p>
                              <w:p w14:paraId="1B61F668"/>
                            </w:txbxContent>
                          </wps:txbx>
                          <wps:bodyPr lIns="0" tIns="0" rIns="0" bIns="0" upright="1"/>
                        </wps:wsp>
                        <wps:wsp>
                          <wps:cNvPr id="1372" name="文本框 2209"/>
                          <wps:cNvSpPr txBox="1"/>
                          <wps:spPr>
                            <a:xfrm>
                              <a:off x="6038" y="4850"/>
                              <a:ext cx="5355" cy="62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1610AB">
                                <w:pPr>
                                  <w:spacing w:line="200" w:lineRule="exact"/>
                                  <w:rPr>
                                    <w:rFonts w:hint="eastAsia"/>
                                    <w:sz w:val="16"/>
                                    <w:szCs w:val="18"/>
                                  </w:rPr>
                                </w:pPr>
                                <w:r>
                                  <w:rPr>
                                    <w:rFonts w:hint="eastAsia"/>
                                    <w:sz w:val="16"/>
                                    <w:szCs w:val="18"/>
                                  </w:rPr>
                                  <w:t xml:space="preserve">  职责：严格按照安全管理体系中安全操作规程进行操作，自觉遵守安全生产纪律和工地各项制度，不违章作业，不违反劳动纪律，确保安全管理体</w:t>
                                </w:r>
                              </w:p>
                              <w:p w14:paraId="786F6511">
                                <w:pPr>
                                  <w:spacing w:line="200" w:lineRule="exact"/>
                                  <w:ind w:firstLine="160" w:firstLineChars="100"/>
                                  <w:rPr>
                                    <w:rFonts w:hint="eastAsia"/>
                                    <w:sz w:val="16"/>
                                    <w:szCs w:val="18"/>
                                  </w:rPr>
                                </w:pPr>
                                <w:r>
                                  <w:rPr>
                                    <w:rFonts w:hint="eastAsia"/>
                                    <w:sz w:val="16"/>
                                    <w:szCs w:val="18"/>
                                  </w:rPr>
                                  <w:t>系的顺利实施。</w:t>
                                </w:r>
                              </w:p>
                            </w:txbxContent>
                          </wps:txbx>
                          <wps:bodyPr lIns="0" tIns="0" rIns="0" bIns="0" upright="1"/>
                        </wps:wsp>
                      </wpg:grpSp>
                      <wpg:grpSp>
                        <wpg:cNvPr id="1376" name="组合 2210"/>
                        <wpg:cNvGrpSpPr/>
                        <wpg:grpSpPr>
                          <a:xfrm>
                            <a:off x="578" y="4382"/>
                            <a:ext cx="1470" cy="2184"/>
                            <a:chOff x="2573" y="4694"/>
                            <a:chExt cx="1470" cy="2028"/>
                          </a:xfrm>
                        </wpg:grpSpPr>
                        <wps:wsp>
                          <wps:cNvPr id="1374" name="文本框 2211"/>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AF14218">
                                <w:pPr>
                                  <w:spacing w:before="31" w:beforeLines="10" w:line="220" w:lineRule="exact"/>
                                  <w:ind w:firstLine="80" w:firstLineChars="50"/>
                                  <w:rPr>
                                    <w:rFonts w:hint="eastAsia"/>
                                    <w:sz w:val="16"/>
                                    <w:szCs w:val="18"/>
                                  </w:rPr>
                                </w:pPr>
                                <w:r>
                                  <w:rPr>
                                    <w:rFonts w:hint="eastAsia"/>
                                    <w:sz w:val="16"/>
                                    <w:szCs w:val="18"/>
                                  </w:rPr>
                                  <w:t>职责：</w:t>
                                </w:r>
                              </w:p>
                              <w:p w14:paraId="48BC8A0D">
                                <w:pPr>
                                  <w:spacing w:line="220" w:lineRule="exact"/>
                                  <w:ind w:firstLine="80" w:firstLineChars="50"/>
                                  <w:rPr>
                                    <w:rFonts w:hint="eastAsia"/>
                                    <w:sz w:val="16"/>
                                    <w:szCs w:val="18"/>
                                  </w:rPr>
                                </w:pPr>
                                <w:r>
                                  <w:rPr>
                                    <w:rFonts w:hint="eastAsia"/>
                                    <w:sz w:val="16"/>
                                    <w:szCs w:val="18"/>
                                  </w:rPr>
                                  <w:t>负责安全管理计划</w:t>
                                </w:r>
                              </w:p>
                              <w:p w14:paraId="59130FB8">
                                <w:pPr>
                                  <w:spacing w:line="220" w:lineRule="exact"/>
                                  <w:ind w:left="0" w:leftChars="0" w:firstLine="0" w:firstLineChars="0"/>
                                  <w:rPr>
                                    <w:rFonts w:hint="eastAsia"/>
                                    <w:spacing w:val="-10"/>
                                    <w:sz w:val="16"/>
                                    <w:szCs w:val="18"/>
                                  </w:rPr>
                                </w:pPr>
                                <w:r>
                                  <w:rPr>
                                    <w:rFonts w:hint="eastAsia"/>
                                    <w:sz w:val="16"/>
                                    <w:szCs w:val="18"/>
                                  </w:rPr>
                                  <w:t>全过程运行、检查、检验、整改防范及安全记录；以及对</w:t>
                                </w:r>
                                <w:r>
                                  <w:rPr>
                                    <w:rFonts w:hint="eastAsia"/>
                                    <w:spacing w:val="-10"/>
                                    <w:sz w:val="16"/>
                                    <w:szCs w:val="18"/>
                                  </w:rPr>
                                  <w:t>职工的三级安全教育、操作规程的教育。</w:t>
                                </w:r>
                              </w:p>
                            </w:txbxContent>
                          </wps:txbx>
                          <wps:bodyPr lIns="0" tIns="0" rIns="0" bIns="0" upright="1"/>
                        </wps:wsp>
                        <wps:wsp>
                          <wps:cNvPr id="1375" name="文本框 2212"/>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A2983B">
                                <w:pPr>
                                  <w:jc w:val="both"/>
                                  <w:rPr>
                                    <w:rFonts w:hint="eastAsia"/>
                                    <w:sz w:val="16"/>
                                    <w:szCs w:val="18"/>
                                  </w:rPr>
                                </w:pPr>
                                <w:r>
                                  <w:rPr>
                                    <w:rFonts w:hint="eastAsia"/>
                                    <w:sz w:val="16"/>
                                    <w:szCs w:val="18"/>
                                  </w:rPr>
                                  <w:t>安全部</w:t>
                                </w:r>
                              </w:p>
                            </w:txbxContent>
                          </wps:txbx>
                          <wps:bodyPr lIns="0" tIns="0" rIns="0" bIns="0" upright="1"/>
                        </wps:wsp>
                      </wpg:grpSp>
                      <wpg:grpSp>
                        <wpg:cNvPr id="1379" name="组合 2213"/>
                        <wpg:cNvGrpSpPr/>
                        <wpg:grpSpPr>
                          <a:xfrm>
                            <a:off x="2468" y="4382"/>
                            <a:ext cx="1470" cy="2184"/>
                            <a:chOff x="2573" y="4694"/>
                            <a:chExt cx="1470" cy="2028"/>
                          </a:xfrm>
                        </wpg:grpSpPr>
                        <wps:wsp>
                          <wps:cNvPr id="1377" name="文本框 2214"/>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1645504">
                                <w:pPr>
                                  <w:spacing w:before="31" w:beforeLines="10" w:line="240" w:lineRule="exact"/>
                                  <w:ind w:firstLine="76" w:firstLineChars="50"/>
                                  <w:rPr>
                                    <w:rFonts w:hint="eastAsia"/>
                                    <w:spacing w:val="-4"/>
                                    <w:sz w:val="16"/>
                                    <w:szCs w:val="18"/>
                                  </w:rPr>
                                </w:pPr>
                                <w:r>
                                  <w:rPr>
                                    <w:rFonts w:hint="eastAsia"/>
                                    <w:spacing w:val="-4"/>
                                    <w:sz w:val="16"/>
                                    <w:szCs w:val="18"/>
                                  </w:rPr>
                                  <w:t>职责：</w:t>
                                </w:r>
                              </w:p>
                              <w:p w14:paraId="7BD10A5C">
                                <w:pPr>
                                  <w:spacing w:line="240" w:lineRule="exact"/>
                                  <w:ind w:left="91" w:leftChars="38"/>
                                  <w:rPr>
                                    <w:rFonts w:hint="eastAsia"/>
                                    <w:spacing w:val="-4"/>
                                    <w:sz w:val="16"/>
                                    <w:szCs w:val="18"/>
                                  </w:rPr>
                                </w:pPr>
                                <w:r>
                                  <w:rPr>
                                    <w:rFonts w:hint="eastAsia"/>
                                    <w:spacing w:val="-4"/>
                                    <w:sz w:val="16"/>
                                    <w:szCs w:val="18"/>
                                  </w:rPr>
                                  <w:t>负责安全管理计划施工现场的控制，对组织人员、责任制动态管理，按照</w:t>
                                </w:r>
                              </w:p>
                              <w:p w14:paraId="15CD91F0">
                                <w:pPr>
                                  <w:spacing w:line="240" w:lineRule="exact"/>
                                  <w:ind w:left="0" w:leftChars="0" w:firstLine="0" w:firstLineChars="0"/>
                                  <w:rPr>
                                    <w:rFonts w:hint="eastAsia"/>
                                    <w:spacing w:val="-4"/>
                                    <w:sz w:val="16"/>
                                    <w:szCs w:val="18"/>
                                  </w:rPr>
                                </w:pPr>
                                <w:r>
                                  <w:rPr>
                                    <w:rFonts w:hint="eastAsia"/>
                                    <w:spacing w:val="-4"/>
                                    <w:sz w:val="16"/>
                                    <w:szCs w:val="18"/>
                                  </w:rPr>
                                  <w:t>管理体系的规定进</w:t>
                                </w:r>
                              </w:p>
                              <w:p w14:paraId="2CD796AD">
                                <w:pPr>
                                  <w:spacing w:line="240" w:lineRule="exact"/>
                                  <w:ind w:left="91" w:leftChars="38"/>
                                  <w:rPr>
                                    <w:rFonts w:hint="eastAsia"/>
                                    <w:spacing w:val="-4"/>
                                    <w:sz w:val="16"/>
                                    <w:szCs w:val="18"/>
                                  </w:rPr>
                                </w:pPr>
                                <w:r>
                                  <w:rPr>
                                    <w:rFonts w:hint="eastAsia"/>
                                    <w:spacing w:val="-4"/>
                                    <w:sz w:val="16"/>
                                    <w:szCs w:val="18"/>
                                  </w:rPr>
                                  <w:t>行操作。</w:t>
                                </w:r>
                              </w:p>
                            </w:txbxContent>
                          </wps:txbx>
                          <wps:bodyPr lIns="0" tIns="0" rIns="0" bIns="0" upright="1"/>
                        </wps:wsp>
                        <wps:wsp>
                          <wps:cNvPr id="1378" name="文本框 2215"/>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2F33A0">
                                <w:pPr>
                                  <w:jc w:val="both"/>
                                  <w:rPr>
                                    <w:rFonts w:hint="eastAsia"/>
                                    <w:sz w:val="16"/>
                                    <w:szCs w:val="18"/>
                                  </w:rPr>
                                </w:pPr>
                                <w:r>
                                  <w:rPr>
                                    <w:rFonts w:hint="eastAsia"/>
                                    <w:sz w:val="16"/>
                                    <w:szCs w:val="18"/>
                                  </w:rPr>
                                  <w:t>工程部</w:t>
                                </w:r>
                              </w:p>
                            </w:txbxContent>
                          </wps:txbx>
                          <wps:bodyPr lIns="0" tIns="0" rIns="0" bIns="0" upright="1"/>
                        </wps:wsp>
                      </wpg:grpSp>
                      <wpg:grpSp>
                        <wpg:cNvPr id="1382" name="组合 2216"/>
                        <wpg:cNvGrpSpPr/>
                        <wpg:grpSpPr>
                          <a:xfrm>
                            <a:off x="6248" y="4382"/>
                            <a:ext cx="1470" cy="2184"/>
                            <a:chOff x="2573" y="4694"/>
                            <a:chExt cx="1470" cy="2028"/>
                          </a:xfrm>
                        </wpg:grpSpPr>
                        <wps:wsp>
                          <wps:cNvPr id="1380" name="文本框 2217"/>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F67EDC">
                                <w:pPr>
                                  <w:spacing w:before="31" w:beforeLines="10" w:line="240" w:lineRule="exact"/>
                                  <w:ind w:firstLine="76" w:firstLineChars="50"/>
                                  <w:rPr>
                                    <w:rFonts w:hint="eastAsia"/>
                                    <w:spacing w:val="-4"/>
                                    <w:sz w:val="16"/>
                                    <w:szCs w:val="18"/>
                                  </w:rPr>
                                </w:pPr>
                                <w:r>
                                  <w:rPr>
                                    <w:rFonts w:hint="eastAsia"/>
                                    <w:spacing w:val="-4"/>
                                    <w:sz w:val="16"/>
                                    <w:szCs w:val="18"/>
                                  </w:rPr>
                                  <w:t>职责：</w:t>
                                </w:r>
                              </w:p>
                              <w:p w14:paraId="301BA493">
                                <w:pPr>
                                  <w:spacing w:line="240" w:lineRule="exact"/>
                                  <w:ind w:left="91" w:leftChars="38"/>
                                  <w:rPr>
                                    <w:rFonts w:hint="eastAsia"/>
                                    <w:spacing w:val="-4"/>
                                    <w:sz w:val="16"/>
                                    <w:szCs w:val="18"/>
                                  </w:rPr>
                                </w:pPr>
                                <w:r>
                                  <w:rPr>
                                    <w:rFonts w:hint="eastAsia"/>
                                    <w:spacing w:val="-4"/>
                                    <w:sz w:val="15"/>
                                    <w:szCs w:val="16"/>
                                  </w:rPr>
                                  <w:t>负责安全管理体系运行过程中</w:t>
                                </w:r>
                                <w:r>
                                  <w:rPr>
                                    <w:rFonts w:hint="eastAsia"/>
                                    <w:spacing w:val="-4"/>
                                    <w:sz w:val="15"/>
                                    <w:szCs w:val="16"/>
                                    <w:lang w:eastAsia="zh-CN"/>
                                  </w:rPr>
                                  <w:t>质量</w:t>
                                </w:r>
                                <w:r>
                                  <w:rPr>
                                    <w:rFonts w:hint="eastAsia"/>
                                    <w:spacing w:val="-4"/>
                                    <w:sz w:val="15"/>
                                    <w:szCs w:val="16"/>
                                  </w:rPr>
                                  <w:t>技术措施，防范措施，整改措施的制订</w:t>
                                </w:r>
                                <w:r>
                                  <w:rPr>
                                    <w:rFonts w:hint="eastAsia"/>
                                    <w:spacing w:val="-4"/>
                                    <w:sz w:val="15"/>
                                    <w:szCs w:val="16"/>
                                    <w:lang w:eastAsia="zh-CN"/>
                                  </w:rPr>
                                  <w:t>。</w:t>
                                </w:r>
                              </w:p>
                            </w:txbxContent>
                          </wps:txbx>
                          <wps:bodyPr lIns="0" tIns="0" rIns="0" bIns="0" upright="1"/>
                        </wps:wsp>
                        <wps:wsp>
                          <wps:cNvPr id="1381" name="文本框 2218"/>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7CD16D">
                                <w:pPr>
                                  <w:jc w:val="both"/>
                                  <w:rPr>
                                    <w:rFonts w:hint="eastAsia" w:eastAsia="宋体"/>
                                    <w:sz w:val="16"/>
                                    <w:szCs w:val="18"/>
                                    <w:lang w:eastAsia="zh-CN"/>
                                  </w:rPr>
                                </w:pPr>
                                <w:r>
                                  <w:rPr>
                                    <w:rFonts w:hint="eastAsia"/>
                                    <w:sz w:val="16"/>
                                    <w:szCs w:val="18"/>
                                    <w:lang w:eastAsia="zh-CN"/>
                                  </w:rPr>
                                  <w:t>试验室</w:t>
                                </w:r>
                              </w:p>
                            </w:txbxContent>
                          </wps:txbx>
                          <wps:bodyPr lIns="0" tIns="0" rIns="0" bIns="0" upright="1"/>
                        </wps:wsp>
                      </wpg:grpSp>
                      <wpg:grpSp>
                        <wpg:cNvPr id="1385" name="组合 2219"/>
                        <wpg:cNvGrpSpPr/>
                        <wpg:grpSpPr>
                          <a:xfrm>
                            <a:off x="8138" y="4382"/>
                            <a:ext cx="1470" cy="2184"/>
                            <a:chOff x="2573" y="4694"/>
                            <a:chExt cx="1470" cy="2028"/>
                          </a:xfrm>
                        </wpg:grpSpPr>
                        <wps:wsp>
                          <wps:cNvPr id="1383" name="文本框 2220"/>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3E0FBA0">
                                <w:pPr>
                                  <w:spacing w:before="31" w:beforeLines="10" w:line="240" w:lineRule="exact"/>
                                  <w:ind w:firstLine="160" w:firstLineChars="100"/>
                                  <w:rPr>
                                    <w:rFonts w:hint="eastAsia"/>
                                    <w:sz w:val="16"/>
                                    <w:szCs w:val="18"/>
                                  </w:rPr>
                                </w:pPr>
                                <w:r>
                                  <w:rPr>
                                    <w:rFonts w:hint="eastAsia"/>
                                    <w:sz w:val="16"/>
                                    <w:szCs w:val="18"/>
                                  </w:rPr>
                                  <w:t>职责：</w:t>
                                </w:r>
                              </w:p>
                              <w:p w14:paraId="15052DE3">
                                <w:pPr>
                                  <w:spacing w:before="31" w:beforeLines="10" w:line="240" w:lineRule="exact"/>
                                  <w:ind w:firstLine="160" w:firstLineChars="100"/>
                                  <w:rPr>
                                    <w:rFonts w:hint="eastAsia"/>
                                    <w:sz w:val="16"/>
                                    <w:szCs w:val="18"/>
                                  </w:rPr>
                                </w:pPr>
                                <w:r>
                                  <w:rPr>
                                    <w:rFonts w:hint="eastAsia"/>
                                    <w:sz w:val="16"/>
                                    <w:szCs w:val="18"/>
                                  </w:rPr>
                                  <w:t>负责安全管理体</w:t>
                                </w:r>
                              </w:p>
                              <w:p w14:paraId="3AE28510">
                                <w:pPr>
                                  <w:spacing w:line="240" w:lineRule="exact"/>
                                  <w:ind w:left="91" w:leftChars="38" w:firstLine="80" w:firstLineChars="50"/>
                                  <w:rPr>
                                    <w:rFonts w:hint="eastAsia"/>
                                    <w:sz w:val="16"/>
                                    <w:szCs w:val="18"/>
                                  </w:rPr>
                                </w:pPr>
                                <w:r>
                                  <w:rPr>
                                    <w:rFonts w:hint="eastAsia"/>
                                    <w:sz w:val="16"/>
                                    <w:szCs w:val="18"/>
                                  </w:rPr>
                                  <w:t>系中合格供应商</w:t>
                                </w:r>
                              </w:p>
                              <w:p w14:paraId="4AFD0A58">
                                <w:pPr>
                                  <w:spacing w:line="240" w:lineRule="exact"/>
                                  <w:ind w:left="91" w:leftChars="38" w:firstLine="80" w:firstLineChars="50"/>
                                  <w:rPr>
                                    <w:rFonts w:hint="eastAsia"/>
                                    <w:sz w:val="16"/>
                                    <w:szCs w:val="18"/>
                                  </w:rPr>
                                </w:pPr>
                                <w:r>
                                  <w:rPr>
                                    <w:rFonts w:hint="eastAsia"/>
                                    <w:sz w:val="16"/>
                                    <w:szCs w:val="18"/>
                                  </w:rPr>
                                  <w:t>材料的检查，验</w:t>
                                </w:r>
                              </w:p>
                              <w:p w14:paraId="51B0E9EA">
                                <w:pPr>
                                  <w:spacing w:line="240" w:lineRule="exact"/>
                                  <w:ind w:left="91" w:leftChars="38" w:firstLine="80" w:firstLineChars="50"/>
                                  <w:rPr>
                                    <w:rFonts w:hint="eastAsia"/>
                                    <w:sz w:val="16"/>
                                    <w:szCs w:val="18"/>
                                  </w:rPr>
                                </w:pPr>
                                <w:r>
                                  <w:rPr>
                                    <w:rFonts w:hint="eastAsia"/>
                                    <w:sz w:val="16"/>
                                    <w:szCs w:val="18"/>
                                  </w:rPr>
                                  <w:t>收以及采购工作，</w:t>
                                </w:r>
                              </w:p>
                              <w:p w14:paraId="35143CD9">
                                <w:pPr>
                                  <w:spacing w:line="240" w:lineRule="exact"/>
                                  <w:ind w:left="91" w:leftChars="38" w:firstLine="80" w:firstLineChars="50"/>
                                  <w:rPr>
                                    <w:rFonts w:hint="eastAsia"/>
                                    <w:sz w:val="16"/>
                                    <w:szCs w:val="18"/>
                                  </w:rPr>
                                </w:pPr>
                                <w:r>
                                  <w:rPr>
                                    <w:rFonts w:hint="eastAsia"/>
                                    <w:sz w:val="16"/>
                                    <w:szCs w:val="18"/>
                                  </w:rPr>
                                  <w:t>监督、检查。</w:t>
                                </w:r>
                              </w:p>
                            </w:txbxContent>
                          </wps:txbx>
                          <wps:bodyPr lIns="0" tIns="0" rIns="0" bIns="0" upright="1"/>
                        </wps:wsp>
                        <wps:wsp>
                          <wps:cNvPr id="1384" name="文本框 2221"/>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F9286FD">
                                <w:pPr>
                                  <w:ind w:left="0" w:leftChars="0" w:firstLine="0" w:firstLineChars="0"/>
                                  <w:jc w:val="center"/>
                                  <w:rPr>
                                    <w:rFonts w:hint="eastAsia"/>
                                    <w:sz w:val="16"/>
                                    <w:szCs w:val="18"/>
                                  </w:rPr>
                                </w:pPr>
                                <w:r>
                                  <w:rPr>
                                    <w:rFonts w:hint="eastAsia"/>
                                    <w:sz w:val="16"/>
                                    <w:szCs w:val="18"/>
                                  </w:rPr>
                                  <w:t>物资</w:t>
                                </w:r>
                                <w:r>
                                  <w:rPr>
                                    <w:rFonts w:hint="eastAsia"/>
                                    <w:sz w:val="16"/>
                                    <w:szCs w:val="18"/>
                                    <w:lang w:eastAsia="zh-CN"/>
                                  </w:rPr>
                                  <w:t>设备</w:t>
                                </w:r>
                                <w:r>
                                  <w:rPr>
                                    <w:rFonts w:hint="eastAsia"/>
                                    <w:sz w:val="16"/>
                                    <w:szCs w:val="18"/>
                                  </w:rPr>
                                  <w:t>部</w:t>
                                </w:r>
                              </w:p>
                            </w:txbxContent>
                          </wps:txbx>
                          <wps:bodyPr lIns="0" tIns="0" rIns="0" bIns="0" upright="1"/>
                        </wps:wsp>
                      </wpg:grpSp>
                      <wpg:grpSp>
                        <wpg:cNvPr id="1388" name="组合 2222"/>
                        <wpg:cNvGrpSpPr/>
                        <wpg:grpSpPr>
                          <a:xfrm>
                            <a:off x="10028" y="4382"/>
                            <a:ext cx="1470" cy="2184"/>
                            <a:chOff x="2573" y="4694"/>
                            <a:chExt cx="1470" cy="2028"/>
                          </a:xfrm>
                        </wpg:grpSpPr>
                        <wps:wsp>
                          <wps:cNvPr id="1386" name="文本框 2223"/>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DB0BA80">
                                <w:pPr>
                                  <w:spacing w:before="31" w:beforeLines="10" w:line="240" w:lineRule="exact"/>
                                  <w:ind w:firstLine="160" w:firstLineChars="100"/>
                                  <w:rPr>
                                    <w:rFonts w:hint="eastAsia"/>
                                    <w:sz w:val="16"/>
                                    <w:szCs w:val="18"/>
                                  </w:rPr>
                                </w:pPr>
                                <w:r>
                                  <w:rPr>
                                    <w:rFonts w:hint="eastAsia"/>
                                    <w:sz w:val="16"/>
                                    <w:szCs w:val="18"/>
                                  </w:rPr>
                                  <w:t>职责：</w:t>
                                </w:r>
                              </w:p>
                              <w:p w14:paraId="5BC96E02">
                                <w:pPr>
                                  <w:spacing w:line="240" w:lineRule="exact"/>
                                  <w:ind w:left="91" w:leftChars="38" w:firstLine="80" w:firstLineChars="50"/>
                                  <w:rPr>
                                    <w:rFonts w:hint="eastAsia"/>
                                    <w:sz w:val="16"/>
                                    <w:szCs w:val="18"/>
                                  </w:rPr>
                                </w:pPr>
                                <w:r>
                                  <w:rPr>
                                    <w:rFonts w:hint="eastAsia"/>
                                    <w:sz w:val="16"/>
                                    <w:szCs w:val="18"/>
                                  </w:rPr>
                                  <w:t>负责安全管理体</w:t>
                                </w:r>
                              </w:p>
                              <w:p w14:paraId="3313DCE1">
                                <w:pPr>
                                  <w:spacing w:line="240" w:lineRule="exact"/>
                                  <w:ind w:left="91" w:leftChars="38" w:firstLine="80" w:firstLineChars="50"/>
                                  <w:rPr>
                                    <w:rFonts w:hint="eastAsia"/>
                                    <w:sz w:val="16"/>
                                    <w:szCs w:val="18"/>
                                  </w:rPr>
                                </w:pPr>
                                <w:r>
                                  <w:rPr>
                                    <w:rFonts w:hint="eastAsia"/>
                                    <w:sz w:val="16"/>
                                    <w:szCs w:val="18"/>
                                  </w:rPr>
                                  <w:t>系在本部门有效</w:t>
                                </w:r>
                              </w:p>
                              <w:p w14:paraId="7540A111">
                                <w:pPr>
                                  <w:spacing w:line="240" w:lineRule="exact"/>
                                  <w:ind w:left="91" w:leftChars="38" w:firstLine="80" w:firstLineChars="50"/>
                                  <w:rPr>
                                    <w:rFonts w:hint="eastAsia"/>
                                    <w:sz w:val="16"/>
                                    <w:szCs w:val="18"/>
                                  </w:rPr>
                                </w:pPr>
                                <w:r>
                                  <w:rPr>
                                    <w:rFonts w:hint="eastAsia"/>
                                    <w:sz w:val="16"/>
                                    <w:szCs w:val="18"/>
                                  </w:rPr>
                                  <w:t>运行及管理体系</w:t>
                                </w:r>
                              </w:p>
                              <w:p w14:paraId="22AAD581">
                                <w:pPr>
                                  <w:spacing w:line="240" w:lineRule="exact"/>
                                  <w:ind w:left="91" w:leftChars="38" w:firstLine="80" w:firstLineChars="50"/>
                                  <w:rPr>
                                    <w:rFonts w:hint="eastAsia"/>
                                    <w:sz w:val="16"/>
                                    <w:szCs w:val="18"/>
                                  </w:rPr>
                                </w:pPr>
                                <w:r>
                                  <w:rPr>
                                    <w:rFonts w:hint="eastAsia"/>
                                    <w:sz w:val="16"/>
                                    <w:szCs w:val="18"/>
                                  </w:rPr>
                                  <w:t>运行的经费足额</w:t>
                                </w:r>
                              </w:p>
                              <w:p w14:paraId="3A9B68AA">
                                <w:pPr>
                                  <w:spacing w:line="240" w:lineRule="exact"/>
                                  <w:ind w:left="91" w:leftChars="38" w:firstLine="80" w:firstLineChars="50"/>
                                  <w:rPr>
                                    <w:rFonts w:hint="eastAsia"/>
                                    <w:sz w:val="16"/>
                                    <w:szCs w:val="18"/>
                                  </w:rPr>
                                </w:pPr>
                                <w:r>
                                  <w:rPr>
                                    <w:rFonts w:hint="eastAsia"/>
                                    <w:sz w:val="16"/>
                                    <w:szCs w:val="18"/>
                                  </w:rPr>
                                  <w:t>及时到位。</w:t>
                                </w:r>
                              </w:p>
                            </w:txbxContent>
                          </wps:txbx>
                          <wps:bodyPr lIns="0" tIns="0" rIns="0" bIns="0" upright="1"/>
                        </wps:wsp>
                        <wps:wsp>
                          <wps:cNvPr id="1387" name="文本框 2224"/>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2924E4A">
                                <w:pPr>
                                  <w:ind w:left="0" w:leftChars="0" w:firstLine="0" w:firstLineChars="0"/>
                                  <w:jc w:val="center"/>
                                  <w:rPr>
                                    <w:rFonts w:hint="eastAsia"/>
                                    <w:sz w:val="16"/>
                                    <w:szCs w:val="18"/>
                                  </w:rPr>
                                </w:pPr>
                                <w:r>
                                  <w:rPr>
                                    <w:rFonts w:hint="eastAsia"/>
                                    <w:sz w:val="16"/>
                                    <w:szCs w:val="18"/>
                                  </w:rPr>
                                  <w:t>财务部</w:t>
                                </w:r>
                              </w:p>
                            </w:txbxContent>
                          </wps:txbx>
                          <wps:bodyPr lIns="0" tIns="0" rIns="0" bIns="0" upright="1"/>
                        </wps:wsp>
                      </wpg:grpSp>
                      <wpg:grpSp>
                        <wpg:cNvPr id="1391" name="组合 2225"/>
                        <wpg:cNvGrpSpPr/>
                        <wpg:grpSpPr>
                          <a:xfrm>
                            <a:off x="11918" y="4382"/>
                            <a:ext cx="1470" cy="2184"/>
                            <a:chOff x="2573" y="4694"/>
                            <a:chExt cx="1470" cy="2028"/>
                          </a:xfrm>
                        </wpg:grpSpPr>
                        <wps:wsp>
                          <wps:cNvPr id="1389" name="文本框 2226"/>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A843ACF">
                                <w:pPr>
                                  <w:spacing w:before="31" w:beforeLines="10" w:line="240" w:lineRule="exact"/>
                                  <w:ind w:firstLine="80" w:firstLineChars="50"/>
                                  <w:rPr>
                                    <w:rFonts w:hint="eastAsia"/>
                                    <w:sz w:val="16"/>
                                    <w:szCs w:val="18"/>
                                  </w:rPr>
                                </w:pPr>
                                <w:r>
                                  <w:rPr>
                                    <w:rFonts w:hint="eastAsia"/>
                                    <w:sz w:val="16"/>
                                    <w:szCs w:val="18"/>
                                  </w:rPr>
                                  <w:t>职责：</w:t>
                                </w:r>
                              </w:p>
                              <w:p w14:paraId="2D6F04D2">
                                <w:pPr>
                                  <w:spacing w:line="240" w:lineRule="exact"/>
                                  <w:ind w:left="91" w:leftChars="38"/>
                                  <w:rPr>
                                    <w:rFonts w:hint="eastAsia"/>
                                    <w:sz w:val="16"/>
                                    <w:szCs w:val="18"/>
                                  </w:rPr>
                                </w:pPr>
                                <w:r>
                                  <w:rPr>
                                    <w:rFonts w:hint="eastAsia"/>
                                    <w:sz w:val="15"/>
                                    <w:szCs w:val="16"/>
                                  </w:rPr>
                                  <w:t>负责安全管理体系在本部门的有效运行，</w:t>
                                </w:r>
                                <w:r>
                                  <w:rPr>
                                    <w:rFonts w:hint="eastAsia"/>
                                    <w:sz w:val="15"/>
                                    <w:szCs w:val="16"/>
                                    <w:lang w:eastAsia="zh-CN"/>
                                  </w:rPr>
                                  <w:t>加强作业人员管理，规避劳务用工风险。</w:t>
                                </w:r>
                              </w:p>
                            </w:txbxContent>
                          </wps:txbx>
                          <wps:bodyPr lIns="0" tIns="0" rIns="0" bIns="0" upright="1"/>
                        </wps:wsp>
                        <wps:wsp>
                          <wps:cNvPr id="1390" name="文本框 2227"/>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4CA4F2">
                                <w:pPr>
                                  <w:jc w:val="both"/>
                                  <w:rPr>
                                    <w:rFonts w:hint="eastAsia" w:eastAsia="宋体"/>
                                    <w:sz w:val="16"/>
                                    <w:szCs w:val="18"/>
                                    <w:lang w:eastAsia="zh-CN"/>
                                  </w:rPr>
                                </w:pPr>
                                <w:r>
                                  <w:rPr>
                                    <w:rFonts w:hint="eastAsia"/>
                                    <w:sz w:val="16"/>
                                    <w:szCs w:val="18"/>
                                    <w:lang w:eastAsia="zh-CN"/>
                                  </w:rPr>
                                  <w:t>劳务办</w:t>
                                </w:r>
                              </w:p>
                            </w:txbxContent>
                          </wps:txbx>
                          <wps:bodyPr lIns="0" tIns="0" rIns="0" bIns="0" upright="1"/>
                        </wps:wsp>
                      </wpg:grpSp>
                      <wpg:grpSp>
                        <wpg:cNvPr id="1394" name="组合 2228"/>
                        <wpg:cNvGrpSpPr/>
                        <wpg:grpSpPr>
                          <a:xfrm>
                            <a:off x="13808" y="4382"/>
                            <a:ext cx="1470" cy="2184"/>
                            <a:chOff x="2573" y="4694"/>
                            <a:chExt cx="1470" cy="2028"/>
                          </a:xfrm>
                        </wpg:grpSpPr>
                        <wps:wsp>
                          <wps:cNvPr id="1392" name="文本框 2229"/>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981864">
                                <w:pPr>
                                  <w:spacing w:before="31" w:beforeLines="10" w:line="240" w:lineRule="exact"/>
                                  <w:rPr>
                                    <w:rFonts w:hint="eastAsia"/>
                                    <w:sz w:val="16"/>
                                    <w:szCs w:val="18"/>
                                  </w:rPr>
                                </w:pPr>
                                <w:r>
                                  <w:rPr>
                                    <w:rFonts w:hint="eastAsia"/>
                                    <w:sz w:val="16"/>
                                    <w:szCs w:val="18"/>
                                  </w:rPr>
                                  <w:t>职责：</w:t>
                                </w:r>
                              </w:p>
                              <w:p w14:paraId="1ED879BC">
                                <w:pPr>
                                  <w:spacing w:line="240" w:lineRule="exact"/>
                                  <w:rPr>
                                    <w:rFonts w:hint="eastAsia"/>
                                    <w:sz w:val="16"/>
                                    <w:szCs w:val="18"/>
                                  </w:rPr>
                                </w:pPr>
                                <w:r>
                                  <w:rPr>
                                    <w:rFonts w:hint="eastAsia"/>
                                    <w:sz w:val="16"/>
                                    <w:szCs w:val="18"/>
                                  </w:rPr>
                                  <w:t>负责安全管理体系运行文件的收集、登记、发放以及管理体系计划运行的经费，消防防火工作。</w:t>
                                </w:r>
                              </w:p>
                            </w:txbxContent>
                          </wps:txbx>
                          <wps:bodyPr lIns="0" tIns="0" rIns="0" bIns="0" upright="1"/>
                        </wps:wsp>
                        <wps:wsp>
                          <wps:cNvPr id="1393" name="文本框 2230"/>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718317C">
                                <w:pPr>
                                  <w:jc w:val="center"/>
                                  <w:rPr>
                                    <w:rFonts w:hint="eastAsia"/>
                                    <w:sz w:val="16"/>
                                    <w:szCs w:val="18"/>
                                  </w:rPr>
                                </w:pPr>
                                <w:r>
                                  <w:rPr>
                                    <w:rFonts w:hint="eastAsia"/>
                                    <w:sz w:val="16"/>
                                    <w:szCs w:val="18"/>
                                  </w:rPr>
                                  <w:t>综合办</w:t>
                                </w:r>
                              </w:p>
                            </w:txbxContent>
                          </wps:txbx>
                          <wps:bodyPr lIns="0" tIns="0" rIns="0" bIns="0" upright="1"/>
                        </wps:wsp>
                      </wpg:grpSp>
                      <wpg:grpSp>
                        <wpg:cNvPr id="1397" name="组合 2231"/>
                        <wpg:cNvGrpSpPr/>
                        <wpg:grpSpPr>
                          <a:xfrm>
                            <a:off x="2468" y="7190"/>
                            <a:ext cx="1470" cy="1872"/>
                            <a:chOff x="2573" y="4694"/>
                            <a:chExt cx="1470" cy="2028"/>
                          </a:xfrm>
                        </wpg:grpSpPr>
                        <wps:wsp>
                          <wps:cNvPr id="1395" name="文本框 2232"/>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4E5FEB">
                                <w:pPr>
                                  <w:spacing w:before="31" w:beforeLines="10" w:line="240" w:lineRule="exact"/>
                                  <w:ind w:firstLine="80" w:firstLineChars="50"/>
                                  <w:rPr>
                                    <w:rFonts w:hint="eastAsia"/>
                                    <w:sz w:val="16"/>
                                    <w:szCs w:val="18"/>
                                  </w:rPr>
                                </w:pPr>
                                <w:r>
                                  <w:rPr>
                                    <w:rFonts w:hint="eastAsia"/>
                                    <w:sz w:val="16"/>
                                    <w:szCs w:val="18"/>
                                  </w:rPr>
                                  <w:t>职责：</w:t>
                                </w:r>
                              </w:p>
                              <w:p w14:paraId="4112AFF6">
                                <w:pPr>
                                  <w:spacing w:before="31" w:beforeLines="10" w:line="240" w:lineRule="exact"/>
                                  <w:ind w:left="0" w:leftChars="0" w:firstLine="0" w:firstLineChars="0"/>
                                  <w:rPr>
                                    <w:rFonts w:hint="eastAsia"/>
                                    <w:sz w:val="16"/>
                                    <w:szCs w:val="18"/>
                                  </w:rPr>
                                </w:pPr>
                                <w:r>
                                  <w:rPr>
                                    <w:rFonts w:hint="eastAsia"/>
                                    <w:sz w:val="16"/>
                                    <w:szCs w:val="18"/>
                                  </w:rPr>
                                  <w:t>职责：负责安全管理体系中施工现场的控制，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p w14:paraId="19A49F9C">
                                <w:pPr>
                                  <w:spacing w:line="240" w:lineRule="exact"/>
                                  <w:ind w:left="91" w:leftChars="38"/>
                                  <w:rPr>
                                    <w:rFonts w:hint="eastAsia"/>
                                    <w:sz w:val="16"/>
                                    <w:szCs w:val="18"/>
                                  </w:rPr>
                                </w:pPr>
                              </w:p>
                            </w:txbxContent>
                          </wps:txbx>
                          <wps:bodyPr lIns="0" tIns="0" rIns="0" bIns="0" upright="1"/>
                        </wps:wsp>
                        <wps:wsp>
                          <wps:cNvPr id="1396" name="文本框 2233"/>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3F62CF">
                                <w:pPr>
                                  <w:jc w:val="center"/>
                                  <w:rPr>
                                    <w:rFonts w:hint="eastAsia"/>
                                    <w:sz w:val="16"/>
                                    <w:szCs w:val="18"/>
                                  </w:rPr>
                                </w:pPr>
                                <w:r>
                                  <w:rPr>
                                    <w:rFonts w:hint="eastAsia"/>
                                    <w:sz w:val="16"/>
                                    <w:szCs w:val="18"/>
                                    <w:lang w:eastAsia="zh-CN"/>
                                  </w:rPr>
                                  <w:t>路基</w:t>
                                </w:r>
                                <w:r>
                                  <w:rPr>
                                    <w:rFonts w:hint="eastAsia"/>
                                    <w:sz w:val="16"/>
                                    <w:szCs w:val="18"/>
                                  </w:rPr>
                                  <w:t>班组</w:t>
                                </w:r>
                              </w:p>
                            </w:txbxContent>
                          </wps:txbx>
                          <wps:bodyPr lIns="0" tIns="0" rIns="0" bIns="0" upright="1"/>
                        </wps:wsp>
                      </wpg:grpSp>
                      <wpg:grpSp>
                        <wpg:cNvPr id="1400" name="组合 2234"/>
                        <wpg:cNvGrpSpPr/>
                        <wpg:grpSpPr>
                          <a:xfrm>
                            <a:off x="4358" y="7190"/>
                            <a:ext cx="1470" cy="1872"/>
                            <a:chOff x="2573" y="4694"/>
                            <a:chExt cx="1470" cy="2028"/>
                          </a:xfrm>
                        </wpg:grpSpPr>
                        <wps:wsp>
                          <wps:cNvPr id="1398" name="文本框 2235"/>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CA2685A">
                                <w:pPr>
                                  <w:spacing w:before="31" w:beforeLines="10" w:line="220" w:lineRule="exact"/>
                                  <w:ind w:firstLine="80" w:firstLineChars="50"/>
                                  <w:rPr>
                                    <w:rFonts w:hint="eastAsia"/>
                                    <w:sz w:val="16"/>
                                    <w:szCs w:val="18"/>
                                  </w:rPr>
                                </w:pPr>
                                <w:r>
                                  <w:rPr>
                                    <w:rFonts w:hint="eastAsia"/>
                                    <w:sz w:val="16"/>
                                    <w:szCs w:val="18"/>
                                  </w:rPr>
                                  <w:t>职责：</w:t>
                                </w:r>
                              </w:p>
                              <w:p w14:paraId="67568F73">
                                <w:pPr>
                                  <w:spacing w:before="31" w:beforeLines="10" w:line="240" w:lineRule="exact"/>
                                  <w:ind w:left="0" w:leftChars="0" w:firstLine="0" w:firstLineChars="0"/>
                                  <w:rPr>
                                    <w:rFonts w:hint="eastAsia"/>
                                    <w:sz w:val="16"/>
                                    <w:szCs w:val="18"/>
                                  </w:rPr>
                                </w:pPr>
                                <w:r>
                                  <w:rPr>
                                    <w:rFonts w:hint="eastAsia"/>
                                    <w:sz w:val="16"/>
                                    <w:szCs w:val="18"/>
                                  </w:rPr>
                                  <w:t>职责：负责安全管理体系中施工现场的控制，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p w14:paraId="20815589">
                                <w:pPr>
                                  <w:spacing w:line="220" w:lineRule="exact"/>
                                  <w:ind w:left="91" w:leftChars="38"/>
                                  <w:rPr>
                                    <w:rFonts w:hint="eastAsia"/>
                                    <w:sz w:val="16"/>
                                    <w:szCs w:val="18"/>
                                  </w:rPr>
                                </w:pPr>
                              </w:p>
                            </w:txbxContent>
                          </wps:txbx>
                          <wps:bodyPr lIns="0" tIns="0" rIns="0" bIns="0" upright="1"/>
                        </wps:wsp>
                        <wps:wsp>
                          <wps:cNvPr id="1399" name="文本框 2236"/>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81E2939">
                                <w:pPr>
                                  <w:jc w:val="center"/>
                                  <w:rPr>
                                    <w:rFonts w:hint="eastAsia"/>
                                    <w:sz w:val="16"/>
                                    <w:szCs w:val="18"/>
                                  </w:rPr>
                                </w:pPr>
                                <w:r>
                                  <w:rPr>
                                    <w:rFonts w:hint="eastAsia"/>
                                    <w:sz w:val="16"/>
                                    <w:szCs w:val="18"/>
                                    <w:lang w:eastAsia="zh-CN"/>
                                  </w:rPr>
                                  <w:t>路面</w:t>
                                </w:r>
                                <w:r>
                                  <w:rPr>
                                    <w:rFonts w:hint="eastAsia"/>
                                    <w:sz w:val="16"/>
                                    <w:szCs w:val="18"/>
                                  </w:rPr>
                                  <w:t>班组</w:t>
                                </w:r>
                              </w:p>
                            </w:txbxContent>
                          </wps:txbx>
                          <wps:bodyPr lIns="0" tIns="0" rIns="0" bIns="0" upright="1"/>
                        </wps:wsp>
                      </wpg:grpSp>
                      <wpg:grpSp>
                        <wpg:cNvPr id="1403" name="组合 2237"/>
                        <wpg:cNvGrpSpPr/>
                        <wpg:grpSpPr>
                          <a:xfrm>
                            <a:off x="8138" y="7190"/>
                            <a:ext cx="1470" cy="1872"/>
                            <a:chOff x="2573" y="4694"/>
                            <a:chExt cx="1470" cy="2028"/>
                          </a:xfrm>
                        </wpg:grpSpPr>
                        <wps:wsp>
                          <wps:cNvPr id="1401" name="文本框 2238"/>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B469F14">
                                <w:pPr>
                                  <w:spacing w:before="31" w:beforeLines="10" w:line="220" w:lineRule="exact"/>
                                  <w:ind w:firstLine="80" w:firstLineChars="50"/>
                                  <w:rPr>
                                    <w:rFonts w:hint="eastAsia"/>
                                    <w:sz w:val="16"/>
                                    <w:szCs w:val="18"/>
                                  </w:rPr>
                                </w:pPr>
                                <w:r>
                                  <w:rPr>
                                    <w:rFonts w:hint="eastAsia"/>
                                    <w:sz w:val="16"/>
                                    <w:szCs w:val="18"/>
                                  </w:rPr>
                                  <w:t>职责：</w:t>
                                </w:r>
                              </w:p>
                              <w:p w14:paraId="1BA706C4">
                                <w:pPr>
                                  <w:spacing w:line="220" w:lineRule="exact"/>
                                  <w:ind w:left="91" w:leftChars="38"/>
                                  <w:rPr>
                                    <w:rFonts w:hint="eastAsia"/>
                                    <w:sz w:val="16"/>
                                    <w:szCs w:val="18"/>
                                  </w:rPr>
                                </w:pPr>
                                <w:r>
                                  <w:rPr>
                                    <w:rFonts w:hint="eastAsia"/>
                                    <w:sz w:val="16"/>
                                    <w:szCs w:val="18"/>
                                  </w:rPr>
                                  <w:t>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txbxContent>
                          </wps:txbx>
                          <wps:bodyPr lIns="0" tIns="0" rIns="0" bIns="0" upright="1"/>
                        </wps:wsp>
                        <wps:wsp>
                          <wps:cNvPr id="1402" name="文本框 2239"/>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AE36D9F">
                                <w:pPr>
                                  <w:jc w:val="center"/>
                                  <w:rPr>
                                    <w:rFonts w:hint="eastAsia" w:eastAsia="宋体"/>
                                    <w:sz w:val="16"/>
                                    <w:szCs w:val="18"/>
                                    <w:lang w:eastAsia="zh-CN"/>
                                  </w:rPr>
                                </w:pPr>
                                <w:r>
                                  <w:rPr>
                                    <w:rFonts w:hint="eastAsia"/>
                                    <w:sz w:val="16"/>
                                    <w:szCs w:val="18"/>
                                    <w:lang w:eastAsia="zh-CN"/>
                                  </w:rPr>
                                  <w:t>预制场</w:t>
                                </w:r>
                              </w:p>
                            </w:txbxContent>
                          </wps:txbx>
                          <wps:bodyPr lIns="0" tIns="0" rIns="0" bIns="0" upright="1"/>
                        </wps:wsp>
                      </wpg:grpSp>
                      <wpg:grpSp>
                        <wpg:cNvPr id="1406" name="组合 2240"/>
                        <wpg:cNvGrpSpPr/>
                        <wpg:grpSpPr>
                          <a:xfrm>
                            <a:off x="6248" y="7190"/>
                            <a:ext cx="1470" cy="1872"/>
                            <a:chOff x="2573" y="4694"/>
                            <a:chExt cx="1470" cy="2028"/>
                          </a:xfrm>
                        </wpg:grpSpPr>
                        <wps:wsp>
                          <wps:cNvPr id="1404" name="文本框 2241"/>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61C9EDA">
                                <w:pPr>
                                  <w:spacing w:before="31" w:beforeLines="10" w:line="220" w:lineRule="exact"/>
                                  <w:ind w:firstLine="80" w:firstLineChars="50"/>
                                  <w:rPr>
                                    <w:rFonts w:hint="eastAsia"/>
                                    <w:sz w:val="16"/>
                                    <w:szCs w:val="18"/>
                                  </w:rPr>
                                </w:pPr>
                                <w:r>
                                  <w:rPr>
                                    <w:rFonts w:hint="eastAsia"/>
                                    <w:sz w:val="16"/>
                                    <w:szCs w:val="18"/>
                                  </w:rPr>
                                  <w:t>职责：</w:t>
                                </w:r>
                              </w:p>
                              <w:p w14:paraId="36377452">
                                <w:pPr>
                                  <w:spacing w:before="31" w:beforeLines="10" w:line="240" w:lineRule="exact"/>
                                  <w:ind w:left="0" w:leftChars="0" w:firstLine="0" w:firstLineChars="0"/>
                                  <w:rPr>
                                    <w:rFonts w:hint="eastAsia"/>
                                    <w:sz w:val="16"/>
                                    <w:szCs w:val="18"/>
                                  </w:rPr>
                                </w:pPr>
                                <w:r>
                                  <w:rPr>
                                    <w:rFonts w:hint="eastAsia"/>
                                    <w:sz w:val="16"/>
                                    <w:szCs w:val="18"/>
                                  </w:rPr>
                                  <w:t>职责：负责安全管理体系中施工现场的控制，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p w14:paraId="3E2883D0">
                                <w:pPr>
                                  <w:spacing w:line="220" w:lineRule="exact"/>
                                  <w:ind w:left="91" w:leftChars="38"/>
                                  <w:rPr>
                                    <w:rFonts w:hint="eastAsia"/>
                                    <w:sz w:val="16"/>
                                    <w:szCs w:val="18"/>
                                  </w:rPr>
                                </w:pPr>
                              </w:p>
                            </w:txbxContent>
                          </wps:txbx>
                          <wps:bodyPr lIns="0" tIns="0" rIns="0" bIns="0" upright="1"/>
                        </wps:wsp>
                        <wps:wsp>
                          <wps:cNvPr id="1405" name="文本框 2242"/>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1C8548">
                                <w:pPr>
                                  <w:jc w:val="center"/>
                                  <w:rPr>
                                    <w:rFonts w:hint="eastAsia"/>
                                    <w:sz w:val="16"/>
                                    <w:szCs w:val="18"/>
                                  </w:rPr>
                                </w:pPr>
                                <w:r>
                                  <w:rPr>
                                    <w:rFonts w:hint="eastAsia"/>
                                    <w:sz w:val="16"/>
                                    <w:szCs w:val="18"/>
                                    <w:lang w:eastAsia="zh-CN"/>
                                  </w:rPr>
                                  <w:t>桥梁</w:t>
                                </w:r>
                                <w:r>
                                  <w:rPr>
                                    <w:rFonts w:hint="eastAsia"/>
                                    <w:sz w:val="16"/>
                                    <w:szCs w:val="18"/>
                                  </w:rPr>
                                  <w:t>班组</w:t>
                                </w:r>
                              </w:p>
                            </w:txbxContent>
                          </wps:txbx>
                          <wps:bodyPr lIns="0" tIns="0" rIns="0" bIns="0" upright="1"/>
                        </wps:wsp>
                      </wpg:grpSp>
                      <wpg:grpSp>
                        <wpg:cNvPr id="1409" name="组合 2243"/>
                        <wpg:cNvGrpSpPr/>
                        <wpg:grpSpPr>
                          <a:xfrm>
                            <a:off x="10028" y="7190"/>
                            <a:ext cx="1470" cy="1872"/>
                            <a:chOff x="2573" y="4694"/>
                            <a:chExt cx="1470" cy="2028"/>
                          </a:xfrm>
                        </wpg:grpSpPr>
                        <wps:wsp>
                          <wps:cNvPr id="1407" name="文本框 2244"/>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6EBD210">
                                <w:pPr>
                                  <w:spacing w:before="31" w:beforeLines="10" w:line="240" w:lineRule="exact"/>
                                  <w:ind w:firstLine="80" w:firstLineChars="50"/>
                                  <w:rPr>
                                    <w:rFonts w:hint="eastAsia"/>
                                    <w:sz w:val="16"/>
                                    <w:szCs w:val="18"/>
                                  </w:rPr>
                                </w:pPr>
                                <w:r>
                                  <w:rPr>
                                    <w:rFonts w:hint="eastAsia"/>
                                    <w:sz w:val="16"/>
                                    <w:szCs w:val="18"/>
                                  </w:rPr>
                                  <w:t>职责：</w:t>
                                </w:r>
                              </w:p>
                              <w:p w14:paraId="2C9B0EF3">
                                <w:pPr>
                                  <w:spacing w:line="240" w:lineRule="exact"/>
                                  <w:ind w:left="91" w:leftChars="38"/>
                                  <w:rPr>
                                    <w:rFonts w:hint="eastAsia"/>
                                    <w:sz w:val="16"/>
                                    <w:szCs w:val="18"/>
                                  </w:rPr>
                                </w:pPr>
                                <w:r>
                                  <w:rPr>
                                    <w:rFonts w:hint="eastAsia"/>
                                    <w:sz w:val="16"/>
                                    <w:szCs w:val="18"/>
                                  </w:rPr>
                                  <w:t>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txbxContent>
                          </wps:txbx>
                          <wps:bodyPr lIns="0" tIns="0" rIns="0" bIns="0" upright="1"/>
                        </wps:wsp>
                        <wps:wsp>
                          <wps:cNvPr id="1408" name="文本框 2245"/>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FF4BF29">
                                <w:pPr>
                                  <w:jc w:val="center"/>
                                  <w:rPr>
                                    <w:rFonts w:hint="eastAsia" w:eastAsia="宋体"/>
                                    <w:sz w:val="16"/>
                                    <w:szCs w:val="18"/>
                                    <w:lang w:eastAsia="zh-CN"/>
                                  </w:rPr>
                                </w:pPr>
                                <w:r>
                                  <w:rPr>
                                    <w:rFonts w:hint="eastAsia"/>
                                    <w:sz w:val="16"/>
                                    <w:szCs w:val="18"/>
                                    <w:lang w:eastAsia="zh-CN"/>
                                  </w:rPr>
                                  <w:t>拌合站</w:t>
                                </w:r>
                              </w:p>
                            </w:txbxContent>
                          </wps:txbx>
                          <wps:bodyPr lIns="0" tIns="0" rIns="0" bIns="0" upright="1"/>
                        </wps:wsp>
                      </wpg:grpSp>
                      <wpg:grpSp>
                        <wpg:cNvPr id="1412" name="组合 2246"/>
                        <wpg:cNvGrpSpPr/>
                        <wpg:grpSpPr>
                          <a:xfrm>
                            <a:off x="11918" y="7190"/>
                            <a:ext cx="1470" cy="1872"/>
                            <a:chOff x="2573" y="4694"/>
                            <a:chExt cx="1470" cy="2028"/>
                          </a:xfrm>
                        </wpg:grpSpPr>
                        <wps:wsp>
                          <wps:cNvPr id="1410" name="文本框 2247"/>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D2F224">
                                <w:pPr>
                                  <w:spacing w:before="31" w:beforeLines="10" w:line="240" w:lineRule="exact"/>
                                  <w:ind w:firstLine="80" w:firstLineChars="50"/>
                                  <w:rPr>
                                    <w:rFonts w:hint="eastAsia"/>
                                    <w:sz w:val="16"/>
                                    <w:szCs w:val="18"/>
                                  </w:rPr>
                                </w:pPr>
                                <w:r>
                                  <w:rPr>
                                    <w:rFonts w:hint="eastAsia"/>
                                    <w:sz w:val="16"/>
                                    <w:szCs w:val="18"/>
                                  </w:rPr>
                                  <w:t>职责：</w:t>
                                </w:r>
                              </w:p>
                              <w:p w14:paraId="5E83013B">
                                <w:pPr>
                                  <w:spacing w:line="240" w:lineRule="exact"/>
                                  <w:ind w:left="91" w:leftChars="38"/>
                                  <w:rPr>
                                    <w:rFonts w:hint="eastAsia"/>
                                    <w:sz w:val="16"/>
                                    <w:szCs w:val="18"/>
                                  </w:rPr>
                                </w:pPr>
                                <w:r>
                                  <w:rPr>
                                    <w:rFonts w:hint="eastAsia"/>
                                    <w:sz w:val="16"/>
                                    <w:szCs w:val="18"/>
                                  </w:rPr>
                                  <w:t>负责安全管理体系中工人生活、食堂卫生、取样及夏季、冬季、雨季工人施工安全，职业病的预防。</w:t>
                                </w:r>
                              </w:p>
                            </w:txbxContent>
                          </wps:txbx>
                          <wps:bodyPr lIns="0" tIns="0" rIns="0" bIns="0" upright="1"/>
                        </wps:wsp>
                        <wps:wsp>
                          <wps:cNvPr id="1411" name="文本框 2248"/>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2189E94">
                                <w:pPr>
                                  <w:jc w:val="center"/>
                                  <w:rPr>
                                    <w:rFonts w:hint="eastAsia"/>
                                    <w:sz w:val="16"/>
                                    <w:szCs w:val="18"/>
                                  </w:rPr>
                                </w:pPr>
                                <w:r>
                                  <w:rPr>
                                    <w:rFonts w:hint="eastAsia"/>
                                    <w:sz w:val="16"/>
                                    <w:szCs w:val="18"/>
                                  </w:rPr>
                                  <w:t>后勤</w:t>
                                </w:r>
                              </w:p>
                            </w:txbxContent>
                          </wps:txbx>
                          <wps:bodyPr lIns="0" tIns="0" rIns="0" bIns="0" upright="1"/>
                        </wps:wsp>
                      </wpg:grpSp>
                      <wpg:grpSp>
                        <wpg:cNvPr id="1415" name="组合 2249"/>
                        <wpg:cNvGrpSpPr/>
                        <wpg:grpSpPr>
                          <a:xfrm>
                            <a:off x="4358" y="4382"/>
                            <a:ext cx="1470" cy="2184"/>
                            <a:chOff x="2573" y="4694"/>
                            <a:chExt cx="1470" cy="2028"/>
                          </a:xfrm>
                        </wpg:grpSpPr>
                        <wps:wsp>
                          <wps:cNvPr id="1413" name="文本框 2250"/>
                          <wps:cNvSpPr txBox="1"/>
                          <wps:spPr>
                            <a:xfrm>
                              <a:off x="2573" y="5006"/>
                              <a:ext cx="1470" cy="1716"/>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D9B64B5">
                                <w:pPr>
                                  <w:spacing w:before="31" w:beforeLines="10" w:line="260" w:lineRule="exact"/>
                                  <w:ind w:firstLine="76" w:firstLineChars="50"/>
                                  <w:rPr>
                                    <w:rFonts w:hint="eastAsia"/>
                                    <w:spacing w:val="-4"/>
                                    <w:sz w:val="16"/>
                                    <w:szCs w:val="18"/>
                                  </w:rPr>
                                </w:pPr>
                                <w:r>
                                  <w:rPr>
                                    <w:rFonts w:hint="eastAsia"/>
                                    <w:spacing w:val="-4"/>
                                    <w:sz w:val="16"/>
                                    <w:szCs w:val="18"/>
                                  </w:rPr>
                                  <w:t>职责：</w:t>
                                </w:r>
                              </w:p>
                              <w:p w14:paraId="79BD2C80">
                                <w:pPr>
                                  <w:spacing w:line="260" w:lineRule="exact"/>
                                  <w:ind w:left="91" w:leftChars="38"/>
                                  <w:rPr>
                                    <w:rFonts w:hint="eastAsia"/>
                                    <w:spacing w:val="-4"/>
                                    <w:sz w:val="16"/>
                                    <w:szCs w:val="18"/>
                                  </w:rPr>
                                </w:pPr>
                                <w:r>
                                  <w:rPr>
                                    <w:rFonts w:hint="eastAsia"/>
                                    <w:spacing w:val="-4"/>
                                    <w:sz w:val="16"/>
                                    <w:szCs w:val="18"/>
                                  </w:rPr>
                                  <w:t>负责安全管理体系中对安全合格分包商、供应商的控制评估，签订合同，收审质保书、合格证。</w:t>
                                </w:r>
                              </w:p>
                            </w:txbxContent>
                          </wps:txbx>
                          <wps:bodyPr lIns="0" tIns="0" rIns="0" bIns="0" upright="1"/>
                        </wps:wsp>
                        <wps:wsp>
                          <wps:cNvPr id="1414" name="文本框 2251"/>
                          <wps:cNvSpPr txBox="1"/>
                          <wps:spPr>
                            <a:xfrm>
                              <a:off x="2573" y="4694"/>
                              <a:ext cx="1470" cy="31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4966A01">
                                <w:pPr>
                                  <w:jc w:val="both"/>
                                  <w:rPr>
                                    <w:rFonts w:hint="eastAsia"/>
                                    <w:sz w:val="16"/>
                                    <w:szCs w:val="18"/>
                                  </w:rPr>
                                </w:pPr>
                                <w:r>
                                  <w:rPr>
                                    <w:rFonts w:hint="eastAsia"/>
                                    <w:sz w:val="16"/>
                                    <w:szCs w:val="18"/>
                                  </w:rPr>
                                  <w:t>经营</w:t>
                                </w:r>
                                <w:r>
                                  <w:rPr>
                                    <w:rFonts w:hint="eastAsia"/>
                                    <w:sz w:val="16"/>
                                    <w:szCs w:val="18"/>
                                    <w:lang w:eastAsia="zh-CN"/>
                                  </w:rPr>
                                  <w:t>管理</w:t>
                                </w:r>
                                <w:r>
                                  <w:rPr>
                                    <w:rFonts w:hint="eastAsia"/>
                                    <w:sz w:val="16"/>
                                    <w:szCs w:val="18"/>
                                  </w:rPr>
                                  <w:t>部</w:t>
                                </w:r>
                              </w:p>
                            </w:txbxContent>
                          </wps:txbx>
                          <wps:bodyPr lIns="0" tIns="0" rIns="0" bIns="0" upright="1"/>
                        </wps:wsp>
                      </wpg:grpSp>
                      <wpg:grpSp>
                        <wpg:cNvPr id="1451" name="组合 2252"/>
                        <wpg:cNvGrpSpPr/>
                        <wpg:grpSpPr>
                          <a:xfrm>
                            <a:off x="1208" y="2666"/>
                            <a:ext cx="13650" cy="7020"/>
                            <a:chOff x="1208" y="2666"/>
                            <a:chExt cx="13650" cy="7020"/>
                          </a:xfrm>
                        </wpg:grpSpPr>
                        <wps:wsp>
                          <wps:cNvPr id="1416" name="直线 2253"/>
                          <wps:cNvCnPr/>
                          <wps:spPr>
                            <a:xfrm>
                              <a:off x="3203" y="9374"/>
                              <a:ext cx="9345" cy="0"/>
                            </a:xfrm>
                            <a:prstGeom prst="line">
                              <a:avLst/>
                            </a:prstGeom>
                            <a:ln w="9525" cap="flat" cmpd="sng">
                              <a:solidFill>
                                <a:srgbClr val="000000"/>
                              </a:solidFill>
                              <a:prstDash val="solid"/>
                              <a:headEnd type="none" w="med" len="med"/>
                              <a:tailEnd type="none" w="med" len="med"/>
                            </a:ln>
                          </wps:spPr>
                          <wps:bodyPr upright="1"/>
                        </wps:wsp>
                        <wpg:grpSp>
                          <wpg:cNvPr id="1443" name="组合 2254"/>
                          <wpg:cNvGrpSpPr/>
                          <wpg:grpSpPr>
                            <a:xfrm>
                              <a:off x="1208" y="2666"/>
                              <a:ext cx="13650" cy="4524"/>
                              <a:chOff x="1208" y="2666"/>
                              <a:chExt cx="13650" cy="4524"/>
                            </a:xfrm>
                          </wpg:grpSpPr>
                          <wps:wsp>
                            <wps:cNvPr id="1417" name="直线 2255"/>
                            <wps:cNvCnPr/>
                            <wps:spPr>
                              <a:xfrm>
                                <a:off x="1208" y="6878"/>
                                <a:ext cx="13545" cy="0"/>
                              </a:xfrm>
                              <a:prstGeom prst="line">
                                <a:avLst/>
                              </a:prstGeom>
                              <a:ln w="9525" cap="flat" cmpd="sng">
                                <a:solidFill>
                                  <a:srgbClr val="000000"/>
                                </a:solidFill>
                                <a:prstDash val="solid"/>
                                <a:headEnd type="none" w="med" len="med"/>
                                <a:tailEnd type="none" w="med" len="med"/>
                              </a:ln>
                            </wps:spPr>
                            <wps:bodyPr upright="1"/>
                          </wps:wsp>
                          <wpg:grpSp>
                            <wpg:cNvPr id="1434" name="组合 2256"/>
                            <wpg:cNvGrpSpPr/>
                            <wpg:grpSpPr>
                              <a:xfrm>
                                <a:off x="1208" y="2666"/>
                                <a:ext cx="13650" cy="1716"/>
                                <a:chOff x="1208" y="2666"/>
                                <a:chExt cx="13650" cy="1716"/>
                              </a:xfrm>
                            </wpg:grpSpPr>
                            <wps:wsp>
                              <wps:cNvPr id="1418" name="直线 2257"/>
                              <wps:cNvCnPr/>
                              <wps:spPr>
                                <a:xfrm>
                                  <a:off x="1208" y="4070"/>
                                  <a:ext cx="13650" cy="0"/>
                                </a:xfrm>
                                <a:prstGeom prst="line">
                                  <a:avLst/>
                                </a:prstGeom>
                                <a:ln w="9525" cap="flat" cmpd="sng">
                                  <a:solidFill>
                                    <a:srgbClr val="000000"/>
                                  </a:solidFill>
                                  <a:prstDash val="solid"/>
                                  <a:headEnd type="none" w="med" len="med"/>
                                  <a:tailEnd type="none" w="med" len="med"/>
                                </a:ln>
                              </wps:spPr>
                              <wps:bodyPr upright="1"/>
                            </wps:wsp>
                            <wpg:grpSp>
                              <wpg:cNvPr id="1423" name="组合 2258"/>
                              <wpg:cNvGrpSpPr/>
                              <wpg:grpSpPr>
                                <a:xfrm>
                                  <a:off x="4148" y="2666"/>
                                  <a:ext cx="8085" cy="624"/>
                                  <a:chOff x="4148" y="2666"/>
                                  <a:chExt cx="8085" cy="624"/>
                                </a:xfrm>
                              </wpg:grpSpPr>
                              <wps:wsp>
                                <wps:cNvPr id="1419" name="直线 2259"/>
                                <wps:cNvCnPr/>
                                <wps:spPr>
                                  <a:xfrm>
                                    <a:off x="4148" y="2978"/>
                                    <a:ext cx="8085" cy="0"/>
                                  </a:xfrm>
                                  <a:prstGeom prst="line">
                                    <a:avLst/>
                                  </a:prstGeom>
                                  <a:ln w="9525" cap="flat" cmpd="sng">
                                    <a:solidFill>
                                      <a:srgbClr val="000000"/>
                                    </a:solidFill>
                                    <a:prstDash val="solid"/>
                                    <a:headEnd type="none" w="med" len="med"/>
                                    <a:tailEnd type="none" w="med" len="med"/>
                                  </a:ln>
                                </wps:spPr>
                                <wps:bodyPr upright="1"/>
                              </wps:wsp>
                              <wps:wsp>
                                <wps:cNvPr id="1420" name="直线 2260"/>
                                <wps:cNvCnPr/>
                                <wps:spPr>
                                  <a:xfrm>
                                    <a:off x="8348" y="2666"/>
                                    <a:ext cx="0" cy="312"/>
                                  </a:xfrm>
                                  <a:prstGeom prst="line">
                                    <a:avLst/>
                                  </a:prstGeom>
                                  <a:ln w="9525" cap="flat" cmpd="sng">
                                    <a:solidFill>
                                      <a:srgbClr val="000000"/>
                                    </a:solidFill>
                                    <a:prstDash val="solid"/>
                                    <a:headEnd type="none" w="med" len="med"/>
                                    <a:tailEnd type="none" w="med" len="med"/>
                                  </a:ln>
                                </wps:spPr>
                                <wps:bodyPr upright="1"/>
                              </wps:wsp>
                              <wps:wsp>
                                <wps:cNvPr id="1421" name="直线 2261"/>
                                <wps:cNvCnPr/>
                                <wps:spPr>
                                  <a:xfrm>
                                    <a:off x="4148" y="2978"/>
                                    <a:ext cx="0" cy="312"/>
                                  </a:xfrm>
                                  <a:prstGeom prst="line">
                                    <a:avLst/>
                                  </a:prstGeom>
                                  <a:ln w="9525" cap="flat" cmpd="sng">
                                    <a:solidFill>
                                      <a:srgbClr val="000000"/>
                                    </a:solidFill>
                                    <a:prstDash val="solid"/>
                                    <a:headEnd type="none" w="med" len="med"/>
                                    <a:tailEnd type="none" w="med" len="med"/>
                                  </a:ln>
                                </wps:spPr>
                                <wps:bodyPr upright="1"/>
                              </wps:wsp>
                              <wps:wsp>
                                <wps:cNvPr id="1422" name="直线 2262"/>
                                <wps:cNvCnPr/>
                                <wps:spPr>
                                  <a:xfrm>
                                    <a:off x="12233" y="2978"/>
                                    <a:ext cx="0" cy="312"/>
                                  </a:xfrm>
                                  <a:prstGeom prst="line">
                                    <a:avLst/>
                                  </a:prstGeom>
                                  <a:ln w="9525" cap="flat" cmpd="sng">
                                    <a:solidFill>
                                      <a:srgbClr val="000000"/>
                                    </a:solidFill>
                                    <a:prstDash val="solid"/>
                                    <a:headEnd type="none" w="med" len="med"/>
                                    <a:tailEnd type="none" w="med" len="med"/>
                                  </a:ln>
                                </wps:spPr>
                                <wps:bodyPr upright="1"/>
                              </wps:wsp>
                            </wpg:grpSp>
                            <wps:wsp>
                              <wps:cNvPr id="1424" name="直线 2263"/>
                              <wps:cNvCnPr/>
                              <wps:spPr>
                                <a:xfrm>
                                  <a:off x="12233" y="3758"/>
                                  <a:ext cx="0" cy="312"/>
                                </a:xfrm>
                                <a:prstGeom prst="line">
                                  <a:avLst/>
                                </a:prstGeom>
                                <a:ln w="9525" cap="flat" cmpd="sng">
                                  <a:solidFill>
                                    <a:srgbClr val="000000"/>
                                  </a:solidFill>
                                  <a:prstDash val="solid"/>
                                  <a:headEnd type="none" w="med" len="med"/>
                                  <a:tailEnd type="none" w="med" len="med"/>
                                </a:ln>
                              </wps:spPr>
                              <wps:bodyPr upright="1"/>
                            </wps:wsp>
                            <wps:wsp>
                              <wps:cNvPr id="1425" name="直线 2264"/>
                              <wps:cNvCnPr/>
                              <wps:spPr>
                                <a:xfrm>
                                  <a:off x="4148" y="3758"/>
                                  <a:ext cx="0" cy="312"/>
                                </a:xfrm>
                                <a:prstGeom prst="line">
                                  <a:avLst/>
                                </a:prstGeom>
                                <a:ln w="9525" cap="flat" cmpd="sng">
                                  <a:solidFill>
                                    <a:srgbClr val="000000"/>
                                  </a:solidFill>
                                  <a:prstDash val="solid"/>
                                  <a:headEnd type="none" w="med" len="med"/>
                                  <a:tailEnd type="none" w="med" len="med"/>
                                </a:ln>
                              </wps:spPr>
                              <wps:bodyPr upright="1"/>
                            </wps:wsp>
                            <wps:wsp>
                              <wps:cNvPr id="1426" name="直线 2265"/>
                              <wps:cNvCnPr/>
                              <wps:spPr>
                                <a:xfrm>
                                  <a:off x="14858" y="4070"/>
                                  <a:ext cx="0" cy="312"/>
                                </a:xfrm>
                                <a:prstGeom prst="line">
                                  <a:avLst/>
                                </a:prstGeom>
                                <a:ln w="9525" cap="flat" cmpd="sng">
                                  <a:solidFill>
                                    <a:srgbClr val="000000"/>
                                  </a:solidFill>
                                  <a:prstDash val="solid"/>
                                  <a:headEnd type="none" w="med" len="med"/>
                                  <a:tailEnd type="none" w="med" len="med"/>
                                </a:ln>
                              </wps:spPr>
                              <wps:bodyPr upright="1"/>
                            </wps:wsp>
                            <wps:wsp>
                              <wps:cNvPr id="1427" name="直线 2266"/>
                              <wps:cNvCnPr/>
                              <wps:spPr>
                                <a:xfrm>
                                  <a:off x="1208" y="4070"/>
                                  <a:ext cx="0" cy="312"/>
                                </a:xfrm>
                                <a:prstGeom prst="line">
                                  <a:avLst/>
                                </a:prstGeom>
                                <a:ln w="9525" cap="flat" cmpd="sng">
                                  <a:solidFill>
                                    <a:srgbClr val="000000"/>
                                  </a:solidFill>
                                  <a:prstDash val="solid"/>
                                  <a:headEnd type="none" w="med" len="med"/>
                                  <a:tailEnd type="none" w="med" len="med"/>
                                </a:ln>
                              </wps:spPr>
                              <wps:bodyPr upright="1"/>
                            </wps:wsp>
                            <wps:wsp>
                              <wps:cNvPr id="1428" name="直线 2267"/>
                              <wps:cNvCnPr/>
                              <wps:spPr>
                                <a:xfrm>
                                  <a:off x="3203" y="4070"/>
                                  <a:ext cx="0" cy="312"/>
                                </a:xfrm>
                                <a:prstGeom prst="line">
                                  <a:avLst/>
                                </a:prstGeom>
                                <a:ln w="9525" cap="flat" cmpd="sng">
                                  <a:solidFill>
                                    <a:srgbClr val="000000"/>
                                  </a:solidFill>
                                  <a:prstDash val="solid"/>
                                  <a:headEnd type="none" w="med" len="med"/>
                                  <a:tailEnd type="none" w="med" len="med"/>
                                </a:ln>
                              </wps:spPr>
                              <wps:bodyPr upright="1"/>
                            </wps:wsp>
                            <wps:wsp>
                              <wps:cNvPr id="1429" name="直线 2268"/>
                              <wps:cNvCnPr/>
                              <wps:spPr>
                                <a:xfrm>
                                  <a:off x="5093" y="4070"/>
                                  <a:ext cx="0" cy="312"/>
                                </a:xfrm>
                                <a:prstGeom prst="line">
                                  <a:avLst/>
                                </a:prstGeom>
                                <a:ln w="9525" cap="flat" cmpd="sng">
                                  <a:solidFill>
                                    <a:srgbClr val="000000"/>
                                  </a:solidFill>
                                  <a:prstDash val="solid"/>
                                  <a:headEnd type="none" w="med" len="med"/>
                                  <a:tailEnd type="none" w="med" len="med"/>
                                </a:ln>
                              </wps:spPr>
                              <wps:bodyPr upright="1"/>
                            </wps:wsp>
                            <wps:wsp>
                              <wps:cNvPr id="1430" name="直线 2269"/>
                              <wps:cNvCnPr/>
                              <wps:spPr>
                                <a:xfrm>
                                  <a:off x="6983" y="4070"/>
                                  <a:ext cx="0" cy="312"/>
                                </a:xfrm>
                                <a:prstGeom prst="line">
                                  <a:avLst/>
                                </a:prstGeom>
                                <a:ln w="9525" cap="flat" cmpd="sng">
                                  <a:solidFill>
                                    <a:srgbClr val="000000"/>
                                  </a:solidFill>
                                  <a:prstDash val="solid"/>
                                  <a:headEnd type="none" w="med" len="med"/>
                                  <a:tailEnd type="none" w="med" len="med"/>
                                </a:ln>
                              </wps:spPr>
                              <wps:bodyPr upright="1"/>
                            </wps:wsp>
                            <wps:wsp>
                              <wps:cNvPr id="1431" name="直线 2270"/>
                              <wps:cNvCnPr/>
                              <wps:spPr>
                                <a:xfrm>
                                  <a:off x="8873" y="4070"/>
                                  <a:ext cx="0" cy="312"/>
                                </a:xfrm>
                                <a:prstGeom prst="line">
                                  <a:avLst/>
                                </a:prstGeom>
                                <a:ln w="9525" cap="flat" cmpd="sng">
                                  <a:solidFill>
                                    <a:srgbClr val="000000"/>
                                  </a:solidFill>
                                  <a:prstDash val="solid"/>
                                  <a:headEnd type="none" w="med" len="med"/>
                                  <a:tailEnd type="none" w="med" len="med"/>
                                </a:ln>
                              </wps:spPr>
                              <wps:bodyPr upright="1"/>
                            </wps:wsp>
                            <wps:wsp>
                              <wps:cNvPr id="1432" name="直线 2271"/>
                              <wps:cNvCnPr/>
                              <wps:spPr>
                                <a:xfrm>
                                  <a:off x="10763" y="4070"/>
                                  <a:ext cx="0" cy="312"/>
                                </a:xfrm>
                                <a:prstGeom prst="line">
                                  <a:avLst/>
                                </a:prstGeom>
                                <a:ln w="9525" cap="flat" cmpd="sng">
                                  <a:solidFill>
                                    <a:srgbClr val="000000"/>
                                  </a:solidFill>
                                  <a:prstDash val="solid"/>
                                  <a:headEnd type="none" w="med" len="med"/>
                                  <a:tailEnd type="none" w="med" len="med"/>
                                </a:ln>
                              </wps:spPr>
                              <wps:bodyPr upright="1"/>
                            </wps:wsp>
                            <wps:wsp>
                              <wps:cNvPr id="1433" name="直线 2272"/>
                              <wps:cNvCnPr/>
                              <wps:spPr>
                                <a:xfrm>
                                  <a:off x="12653" y="4070"/>
                                  <a:ext cx="0" cy="312"/>
                                </a:xfrm>
                                <a:prstGeom prst="line">
                                  <a:avLst/>
                                </a:prstGeom>
                                <a:ln w="9525" cap="flat" cmpd="sng">
                                  <a:solidFill>
                                    <a:srgbClr val="000000"/>
                                  </a:solidFill>
                                  <a:prstDash val="solid"/>
                                  <a:headEnd type="none" w="med" len="med"/>
                                  <a:tailEnd type="none" w="med" len="med"/>
                                </a:ln>
                              </wps:spPr>
                              <wps:bodyPr upright="1"/>
                            </wps:wsp>
                          </wpg:grpSp>
                          <wps:wsp>
                            <wps:cNvPr id="1435" name="直线 2273"/>
                            <wps:cNvCnPr/>
                            <wps:spPr>
                              <a:xfrm>
                                <a:off x="14753" y="6566"/>
                                <a:ext cx="0" cy="312"/>
                              </a:xfrm>
                              <a:prstGeom prst="line">
                                <a:avLst/>
                              </a:prstGeom>
                              <a:ln w="9525" cap="flat" cmpd="sng">
                                <a:solidFill>
                                  <a:srgbClr val="000000"/>
                                </a:solidFill>
                                <a:prstDash val="solid"/>
                                <a:headEnd type="none" w="med" len="med"/>
                                <a:tailEnd type="none" w="med" len="med"/>
                              </a:ln>
                            </wps:spPr>
                            <wps:bodyPr upright="1"/>
                          </wps:wsp>
                          <wps:wsp>
                            <wps:cNvPr id="1436" name="直线 2274"/>
                            <wps:cNvCnPr/>
                            <wps:spPr>
                              <a:xfrm>
                                <a:off x="1208" y="6566"/>
                                <a:ext cx="0" cy="312"/>
                              </a:xfrm>
                              <a:prstGeom prst="line">
                                <a:avLst/>
                              </a:prstGeom>
                              <a:ln w="9525" cap="flat" cmpd="sng">
                                <a:solidFill>
                                  <a:srgbClr val="000000"/>
                                </a:solidFill>
                                <a:prstDash val="solid"/>
                                <a:headEnd type="none" w="med" len="med"/>
                                <a:tailEnd type="none" w="med" len="med"/>
                              </a:ln>
                            </wps:spPr>
                            <wps:bodyPr upright="1"/>
                          </wps:wsp>
                          <wps:wsp>
                            <wps:cNvPr id="1437" name="直线 2275"/>
                            <wps:cNvCnPr/>
                            <wps:spPr>
                              <a:xfrm>
                                <a:off x="12653" y="6566"/>
                                <a:ext cx="0" cy="624"/>
                              </a:xfrm>
                              <a:prstGeom prst="line">
                                <a:avLst/>
                              </a:prstGeom>
                              <a:ln w="9525" cap="flat" cmpd="sng">
                                <a:solidFill>
                                  <a:srgbClr val="000000"/>
                                </a:solidFill>
                                <a:prstDash val="solid"/>
                                <a:headEnd type="none" w="med" len="med"/>
                                <a:tailEnd type="none" w="med" len="med"/>
                              </a:ln>
                            </wps:spPr>
                            <wps:bodyPr upright="1"/>
                          </wps:wsp>
                          <wps:wsp>
                            <wps:cNvPr id="1438" name="直线 2276"/>
                            <wps:cNvCnPr/>
                            <wps:spPr>
                              <a:xfrm>
                                <a:off x="10763" y="6566"/>
                                <a:ext cx="0" cy="624"/>
                              </a:xfrm>
                              <a:prstGeom prst="line">
                                <a:avLst/>
                              </a:prstGeom>
                              <a:ln w="9525" cap="flat" cmpd="sng">
                                <a:solidFill>
                                  <a:srgbClr val="000000"/>
                                </a:solidFill>
                                <a:prstDash val="solid"/>
                                <a:headEnd type="none" w="med" len="med"/>
                                <a:tailEnd type="none" w="med" len="med"/>
                              </a:ln>
                            </wps:spPr>
                            <wps:bodyPr upright="1"/>
                          </wps:wsp>
                          <wps:wsp>
                            <wps:cNvPr id="1439" name="直线 2277"/>
                            <wps:cNvCnPr/>
                            <wps:spPr>
                              <a:xfrm>
                                <a:off x="8873" y="6566"/>
                                <a:ext cx="0" cy="624"/>
                              </a:xfrm>
                              <a:prstGeom prst="line">
                                <a:avLst/>
                              </a:prstGeom>
                              <a:ln w="9525" cap="flat" cmpd="sng">
                                <a:solidFill>
                                  <a:srgbClr val="000000"/>
                                </a:solidFill>
                                <a:prstDash val="solid"/>
                                <a:headEnd type="none" w="med" len="med"/>
                                <a:tailEnd type="none" w="med" len="med"/>
                              </a:ln>
                            </wps:spPr>
                            <wps:bodyPr upright="1"/>
                          </wps:wsp>
                          <wps:wsp>
                            <wps:cNvPr id="1440" name="直线 2278"/>
                            <wps:cNvCnPr/>
                            <wps:spPr>
                              <a:xfrm>
                                <a:off x="6983" y="6566"/>
                                <a:ext cx="0" cy="624"/>
                              </a:xfrm>
                              <a:prstGeom prst="line">
                                <a:avLst/>
                              </a:prstGeom>
                              <a:ln w="9525" cap="flat" cmpd="sng">
                                <a:solidFill>
                                  <a:srgbClr val="000000"/>
                                </a:solidFill>
                                <a:prstDash val="solid"/>
                                <a:headEnd type="none" w="med" len="med"/>
                                <a:tailEnd type="none" w="med" len="med"/>
                              </a:ln>
                            </wps:spPr>
                            <wps:bodyPr upright="1"/>
                          </wps:wsp>
                          <wps:wsp>
                            <wps:cNvPr id="1441" name="直线 2279"/>
                            <wps:cNvCnPr/>
                            <wps:spPr>
                              <a:xfrm>
                                <a:off x="5093" y="6566"/>
                                <a:ext cx="0" cy="624"/>
                              </a:xfrm>
                              <a:prstGeom prst="line">
                                <a:avLst/>
                              </a:prstGeom>
                              <a:ln w="9525" cap="flat" cmpd="sng">
                                <a:solidFill>
                                  <a:srgbClr val="000000"/>
                                </a:solidFill>
                                <a:prstDash val="solid"/>
                                <a:headEnd type="none" w="med" len="med"/>
                                <a:tailEnd type="none" w="med" len="med"/>
                              </a:ln>
                            </wps:spPr>
                            <wps:bodyPr upright="1"/>
                          </wps:wsp>
                          <wps:wsp>
                            <wps:cNvPr id="1442" name="直线 2280"/>
                            <wps:cNvCnPr/>
                            <wps:spPr>
                              <a:xfrm>
                                <a:off x="3203" y="6566"/>
                                <a:ext cx="0" cy="624"/>
                              </a:xfrm>
                              <a:prstGeom prst="line">
                                <a:avLst/>
                              </a:prstGeom>
                              <a:ln w="9525" cap="flat" cmpd="sng">
                                <a:solidFill>
                                  <a:srgbClr val="000000"/>
                                </a:solidFill>
                                <a:prstDash val="solid"/>
                                <a:headEnd type="none" w="med" len="med"/>
                                <a:tailEnd type="none" w="med" len="med"/>
                              </a:ln>
                            </wps:spPr>
                            <wps:bodyPr upright="1"/>
                          </wps:wsp>
                        </wpg:grpSp>
                        <wps:wsp>
                          <wps:cNvPr id="1444" name="直线 2281"/>
                          <wps:cNvCnPr/>
                          <wps:spPr>
                            <a:xfrm>
                              <a:off x="3203" y="9062"/>
                              <a:ext cx="0" cy="312"/>
                            </a:xfrm>
                            <a:prstGeom prst="line">
                              <a:avLst/>
                            </a:prstGeom>
                            <a:ln w="9525" cap="flat" cmpd="sng">
                              <a:solidFill>
                                <a:srgbClr val="000000"/>
                              </a:solidFill>
                              <a:prstDash val="solid"/>
                              <a:headEnd type="none" w="med" len="med"/>
                              <a:tailEnd type="none" w="med" len="med"/>
                            </a:ln>
                          </wps:spPr>
                          <wps:bodyPr upright="1"/>
                        </wps:wsp>
                        <wps:wsp>
                          <wps:cNvPr id="1445" name="直线 2282"/>
                          <wps:cNvCnPr/>
                          <wps:spPr>
                            <a:xfrm>
                              <a:off x="5093" y="9062"/>
                              <a:ext cx="0" cy="312"/>
                            </a:xfrm>
                            <a:prstGeom prst="line">
                              <a:avLst/>
                            </a:prstGeom>
                            <a:ln w="9525" cap="flat" cmpd="sng">
                              <a:solidFill>
                                <a:srgbClr val="000000"/>
                              </a:solidFill>
                              <a:prstDash val="solid"/>
                              <a:headEnd type="none" w="med" len="med"/>
                              <a:tailEnd type="none" w="med" len="med"/>
                            </a:ln>
                          </wps:spPr>
                          <wps:bodyPr upright="1"/>
                        </wps:wsp>
                        <wps:wsp>
                          <wps:cNvPr id="1446" name="直线 2283"/>
                          <wps:cNvCnPr/>
                          <wps:spPr>
                            <a:xfrm>
                              <a:off x="7718" y="9374"/>
                              <a:ext cx="0" cy="312"/>
                            </a:xfrm>
                            <a:prstGeom prst="line">
                              <a:avLst/>
                            </a:prstGeom>
                            <a:ln w="9525" cap="flat" cmpd="sng">
                              <a:solidFill>
                                <a:srgbClr val="000000"/>
                              </a:solidFill>
                              <a:prstDash val="solid"/>
                              <a:headEnd type="none" w="med" len="med"/>
                              <a:tailEnd type="none" w="med" len="med"/>
                            </a:ln>
                          </wps:spPr>
                          <wps:bodyPr upright="1"/>
                        </wps:wsp>
                        <wps:wsp>
                          <wps:cNvPr id="1447" name="直线 2284"/>
                          <wps:cNvCnPr/>
                          <wps:spPr>
                            <a:xfrm>
                              <a:off x="6983" y="9062"/>
                              <a:ext cx="0" cy="312"/>
                            </a:xfrm>
                            <a:prstGeom prst="line">
                              <a:avLst/>
                            </a:prstGeom>
                            <a:ln w="9525" cap="flat" cmpd="sng">
                              <a:solidFill>
                                <a:srgbClr val="000000"/>
                              </a:solidFill>
                              <a:prstDash val="solid"/>
                              <a:headEnd type="none" w="med" len="med"/>
                              <a:tailEnd type="none" w="med" len="med"/>
                            </a:ln>
                          </wps:spPr>
                          <wps:bodyPr upright="1"/>
                        </wps:wsp>
                        <wps:wsp>
                          <wps:cNvPr id="1448" name="直线 2285"/>
                          <wps:cNvCnPr/>
                          <wps:spPr>
                            <a:xfrm>
                              <a:off x="8873" y="9062"/>
                              <a:ext cx="0" cy="312"/>
                            </a:xfrm>
                            <a:prstGeom prst="line">
                              <a:avLst/>
                            </a:prstGeom>
                            <a:ln w="9525" cap="flat" cmpd="sng">
                              <a:solidFill>
                                <a:srgbClr val="000000"/>
                              </a:solidFill>
                              <a:prstDash val="solid"/>
                              <a:headEnd type="none" w="med" len="med"/>
                              <a:tailEnd type="none" w="med" len="med"/>
                            </a:ln>
                          </wps:spPr>
                          <wps:bodyPr upright="1"/>
                        </wps:wsp>
                        <wps:wsp>
                          <wps:cNvPr id="1449" name="直线 2286"/>
                          <wps:cNvCnPr/>
                          <wps:spPr>
                            <a:xfrm>
                              <a:off x="10763" y="9062"/>
                              <a:ext cx="0" cy="312"/>
                            </a:xfrm>
                            <a:prstGeom prst="line">
                              <a:avLst/>
                            </a:prstGeom>
                            <a:ln w="9525" cap="flat" cmpd="sng">
                              <a:solidFill>
                                <a:srgbClr val="000000"/>
                              </a:solidFill>
                              <a:prstDash val="solid"/>
                              <a:headEnd type="none" w="med" len="med"/>
                              <a:tailEnd type="none" w="med" len="med"/>
                            </a:ln>
                          </wps:spPr>
                          <wps:bodyPr upright="1"/>
                        </wps:wsp>
                        <wps:wsp>
                          <wps:cNvPr id="1450" name="直线 2287"/>
                          <wps:cNvCnPr/>
                          <wps:spPr>
                            <a:xfrm>
                              <a:off x="12548" y="9062"/>
                              <a:ext cx="0" cy="312"/>
                            </a:xfrm>
                            <a:prstGeom prst="line">
                              <a:avLst/>
                            </a:prstGeom>
                            <a:ln w="9525" cap="flat" cmpd="sng">
                              <a:solidFill>
                                <a:srgbClr val="000000"/>
                              </a:solidFill>
                              <a:prstDash val="solid"/>
                              <a:headEnd type="none" w="med" len="med"/>
                              <a:tailEnd type="none" w="med" len="med"/>
                            </a:ln>
                          </wps:spPr>
                          <wps:bodyPr upright="1"/>
                        </wps:wsp>
                      </wpg:grpSp>
                    </wpg:wgp>
                  </a:graphicData>
                </a:graphic>
              </wp:anchor>
            </w:drawing>
          </mc:Choice>
          <mc:Fallback>
            <w:pict>
              <v:group id="组合 2197" o:spid="_x0000_s1026" o:spt="203" style="position:absolute;left:0pt;margin-left:-26.25pt;margin-top:8.7pt;height:405.45pt;width:735pt;z-index:251679744;mso-width-relative:page;mso-height-relative:page;" coordorigin="578,2201" coordsize="14700,8109" o:gfxdata="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">
                <o:lock v:ext="edit" aspectratio="f"/>
                <v:group id="组合 2198" o:spid="_x0000_s1026" o:spt="203" style="position:absolute;left:5723;top:2201;height:468;width:5040;" coordorigin="5723,2198" coordsize="5040,624" o:gfxdata="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NO2HOvAAAAN0AAAAPAAAAAAAAAAEAIAAAACIAAABkcnMvZG93bnJldi54bWxQ&#10;SwECFAAUAAAACACHTuJAMy8FnjsAAAA5AAAAFQAAAAAAAAABACAAAAALAQAAZHJzL2dyb3Vwc2hh&#10;cGV4bWwueG1sUEsFBgAAAAAGAAYAYAEAAMgDAAAAAA==&#10;">
                  <o:lock v:ext="edit" aspectratio="f"/>
                  <v:shape id="文本框 2199" o:spid="_x0000_s1026" o:spt="202" type="#_x0000_t202" style="position:absolute;left:5723;top:2198;height:624;width:1260;" fillcolor="#FFFFFF" filled="t" stroked="t" coordsize="21600,21600" o:gfxdata="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S2zv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79ADB4BC">
                          <w:pPr>
                            <w:spacing w:line="240" w:lineRule="exact"/>
                            <w:jc w:val="center"/>
                            <w:rPr>
                              <w:rFonts w:hint="eastAsia"/>
                              <w:position w:val="-6"/>
                              <w:sz w:val="16"/>
                              <w:szCs w:val="18"/>
                            </w:rPr>
                          </w:pPr>
                          <w:r>
                            <w:rPr>
                              <w:rFonts w:hint="eastAsia"/>
                              <w:position w:val="-6"/>
                              <w:sz w:val="16"/>
                              <w:szCs w:val="18"/>
                            </w:rPr>
                            <w:t>项目经理</w:t>
                          </w:r>
                        </w:p>
                      </w:txbxContent>
                    </v:textbox>
                  </v:shape>
                  <v:shape id="文本框 2200" o:spid="_x0000_s1026" o:spt="202" type="#_x0000_t202" style="position:absolute;left:6983;top:2198;height:624;width:3780;" fillcolor="#FFFFFF" filled="t" stroked="t" coordsize="21600,21600" o:gfxdata="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8l0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02D2C2C7">
                          <w:pPr>
                            <w:spacing w:line="240" w:lineRule="exact"/>
                            <w:jc w:val="both"/>
                            <w:rPr>
                              <w:rFonts w:hint="eastAsia"/>
                              <w:sz w:val="16"/>
                              <w:szCs w:val="18"/>
                            </w:rPr>
                          </w:pPr>
                          <w:r>
                            <w:rPr>
                              <w:rFonts w:hint="eastAsia"/>
                              <w:sz w:val="16"/>
                              <w:szCs w:val="18"/>
                            </w:rPr>
                            <w:t>职责：组织编写项目安全管理体系，责任制度，筹</w:t>
                          </w:r>
                        </w:p>
                        <w:p w14:paraId="5BD6BA44">
                          <w:pPr>
                            <w:spacing w:line="240" w:lineRule="exact"/>
                            <w:jc w:val="center"/>
                            <w:rPr>
                              <w:rFonts w:hint="eastAsia"/>
                              <w:sz w:val="16"/>
                              <w:szCs w:val="18"/>
                            </w:rPr>
                          </w:pPr>
                          <w:r>
                            <w:rPr>
                              <w:rFonts w:hint="eastAsia"/>
                              <w:sz w:val="16"/>
                              <w:szCs w:val="18"/>
                            </w:rPr>
                            <w:t>措安全经费协调，并对管理体系运行负主要责任</w:t>
                          </w:r>
                        </w:p>
                      </w:txbxContent>
                    </v:textbox>
                  </v:shape>
                </v:group>
                <v:group id="组合 2201" o:spid="_x0000_s1026" o:spt="203" style="position:absolute;left:1733;top:3290;height:468;width:4830;" coordorigin="5723,2198" coordsize="5040,624" o:gfxdata="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96f+5vAAAAN0AAAAPAAAAAAAAAAEAIAAAACIAAABkcnMvZG93bnJldi54bWxQ&#10;SwECFAAUAAAACACHTuJAMy8FnjsAAAA5AAAAFQAAAAAAAAABACAAAAALAQAAZHJzL2dyb3Vwc2hh&#10;cGV4bWwueG1sUEsFBgAAAAAGAAYAYAEAAMgDAAAAAA==&#10;">
                  <o:lock v:ext="edit" aspectratio="f"/>
                  <v:shape id="文本框 2202" o:spid="_x0000_s1026" o:spt="202" type="#_x0000_t202" style="position:absolute;left:5723;top:2198;height:624;width:1260;" fillcolor="#FFFFFF" filled="t" stroked="t" coordsize="21600,21600" o:gfxdata="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ovSb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3FFA6B02">
                          <w:pPr>
                            <w:spacing w:line="240" w:lineRule="exact"/>
                            <w:ind w:left="0" w:leftChars="0" w:firstLine="0" w:firstLineChars="0"/>
                            <w:jc w:val="center"/>
                            <w:rPr>
                              <w:rFonts w:hint="eastAsia"/>
                              <w:sz w:val="16"/>
                              <w:szCs w:val="18"/>
                              <w:highlight w:val="none"/>
                            </w:rPr>
                          </w:pPr>
                          <w:r>
                            <w:rPr>
                              <w:rFonts w:hint="eastAsia"/>
                              <w:sz w:val="16"/>
                              <w:szCs w:val="18"/>
                              <w:highlight w:val="none"/>
                            </w:rPr>
                            <w:t>总工/</w:t>
                          </w:r>
                        </w:p>
                        <w:p w14:paraId="3F204228">
                          <w:pPr>
                            <w:spacing w:line="240" w:lineRule="exact"/>
                            <w:ind w:left="0" w:leftChars="0" w:firstLine="0" w:firstLineChars="0"/>
                            <w:jc w:val="center"/>
                            <w:rPr>
                              <w:rFonts w:hint="eastAsia"/>
                              <w:sz w:val="16"/>
                              <w:szCs w:val="18"/>
                              <w:highlight w:val="none"/>
                            </w:rPr>
                          </w:pPr>
                          <w:r>
                            <w:rPr>
                              <w:rFonts w:hint="eastAsia"/>
                              <w:sz w:val="16"/>
                              <w:szCs w:val="18"/>
                              <w:highlight w:val="none"/>
                            </w:rPr>
                            <w:t>技术负责人</w:t>
                          </w:r>
                        </w:p>
                        <w:p w14:paraId="2E127AAB">
                          <w:pPr>
                            <w:jc w:val="center"/>
                            <w:rPr>
                              <w:highlight w:val="yellow"/>
                            </w:rPr>
                          </w:pPr>
                        </w:p>
                      </w:txbxContent>
                    </v:textbox>
                  </v:shape>
                  <v:shape id="文本框 2203" o:spid="_x0000_s1026" o:spt="202" type="#_x0000_t202" style="position:absolute;left:6983;top:2198;height:624;width:3780;" fillcolor="#FFFFFF" filled="t" stroked="t" coordsize="21600,21600" o:gfxdata="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3Bq7L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7BE09B31">
                          <w:pPr>
                            <w:spacing w:line="240" w:lineRule="exact"/>
                            <w:ind w:left="0" w:leftChars="0" w:firstLine="0" w:firstLineChars="0"/>
                            <w:jc w:val="both"/>
                            <w:rPr>
                              <w:rFonts w:hint="eastAsia"/>
                              <w:sz w:val="16"/>
                              <w:szCs w:val="18"/>
                            </w:rPr>
                          </w:pPr>
                          <w:r>
                            <w:rPr>
                              <w:rFonts w:hint="eastAsia"/>
                              <w:sz w:val="16"/>
                              <w:szCs w:val="18"/>
                            </w:rPr>
                            <w:t xml:space="preserve">  职责：具体负责安全技术措施，岗位职责，操作</w:t>
                          </w:r>
                        </w:p>
                        <w:p w14:paraId="4C93FA8C">
                          <w:pPr>
                            <w:spacing w:line="240" w:lineRule="exact"/>
                            <w:jc w:val="center"/>
                            <w:rPr>
                              <w:rFonts w:hint="eastAsia"/>
                              <w:sz w:val="16"/>
                              <w:szCs w:val="18"/>
                            </w:rPr>
                          </w:pPr>
                          <w:r>
                            <w:rPr>
                              <w:rFonts w:hint="eastAsia"/>
                              <w:sz w:val="16"/>
                              <w:szCs w:val="18"/>
                            </w:rPr>
                            <w:t>规程，特殊脚手架及各种方案的编制审核工作。</w:t>
                          </w:r>
                        </w:p>
                      </w:txbxContent>
                    </v:textbox>
                  </v:shape>
                </v:group>
                <v:group id="组合 2204" o:spid="_x0000_s1026" o:spt="203" style="position:absolute;left:9503;top:3290;height:468;width:4830;" coordorigin="5723,2198" coordsize="5040,624" o:gfxdata="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DfZ8RDBAAAA3QAAAA8AAAAAAAAAAQAgAAAAIgAAAGRycy9kb3ducmV2&#10;LnhtbFBLAQIUABQAAAAIAIdO4kAzLwWeOwAAADkAAAAVAAAAAAAAAAEAIAAAABABAABkcnMvZ3Jv&#10;dXBzaGFwZXhtbC54bWxQSwUGAAAAAAYABgBgAQAAzQMAAAAA&#10;">
                  <o:lock v:ext="edit" aspectratio="f"/>
                  <v:shape id="文本框 2205" o:spid="_x0000_s1026" o:spt="202" type="#_x0000_t202" style="position:absolute;left:5723;top:2198;height:624;width:1260;" fillcolor="#FFFFFF" filled="t" stroked="t" coordsize="21600,21600" o:gfxdata="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jWwW/&#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2B3E9A82">
                          <w:pPr>
                            <w:spacing w:line="240" w:lineRule="exact"/>
                            <w:ind w:left="0" w:leftChars="0" w:firstLine="0" w:firstLineChars="0"/>
                            <w:jc w:val="center"/>
                            <w:rPr>
                              <w:rFonts w:hint="eastAsia"/>
                              <w:sz w:val="16"/>
                              <w:szCs w:val="18"/>
                            </w:rPr>
                          </w:pPr>
                          <w:r>
                            <w:rPr>
                              <w:rFonts w:hint="eastAsia"/>
                              <w:sz w:val="16"/>
                              <w:szCs w:val="18"/>
                            </w:rPr>
                            <w:t>项目</w:t>
                          </w:r>
                        </w:p>
                        <w:p w14:paraId="56055B96">
                          <w:pPr>
                            <w:spacing w:line="240" w:lineRule="exact"/>
                            <w:ind w:left="0" w:leftChars="0" w:firstLine="0" w:firstLineChars="0"/>
                            <w:jc w:val="center"/>
                            <w:rPr>
                              <w:rFonts w:hint="eastAsia"/>
                              <w:sz w:val="16"/>
                              <w:szCs w:val="18"/>
                            </w:rPr>
                          </w:pPr>
                          <w:r>
                            <w:rPr>
                              <w:rFonts w:hint="eastAsia"/>
                              <w:sz w:val="16"/>
                              <w:szCs w:val="18"/>
                            </w:rPr>
                            <w:t>副经理</w:t>
                          </w:r>
                        </w:p>
                        <w:p w14:paraId="47C13E04"/>
                      </w:txbxContent>
                    </v:textbox>
                  </v:shape>
                  <v:shape id="文本框 2206" o:spid="_x0000_s1026" o:spt="202" type="#_x0000_t202" style="position:absolute;left:6983;top:2198;height:624;width:3780;" fillcolor="#FFFFFF" filled="t" stroked="t" coordsize="21600,21600" o:gfxdata="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7/6e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3B7951ED">
                          <w:pPr>
                            <w:spacing w:line="240" w:lineRule="exact"/>
                            <w:rPr>
                              <w:rFonts w:hint="eastAsia"/>
                              <w:sz w:val="16"/>
                              <w:szCs w:val="18"/>
                            </w:rPr>
                          </w:pPr>
                          <w:r>
                            <w:rPr>
                              <w:rFonts w:hint="eastAsia"/>
                              <w:sz w:val="16"/>
                              <w:szCs w:val="18"/>
                            </w:rPr>
                            <w:t>职责：负责安全管理体系的运行及日常计划，组</w:t>
                          </w:r>
                        </w:p>
                        <w:p w14:paraId="1F22FD9F">
                          <w:pPr>
                            <w:spacing w:line="240" w:lineRule="exact"/>
                            <w:ind w:left="182" w:leftChars="76"/>
                            <w:rPr>
                              <w:rFonts w:hint="eastAsia"/>
                              <w:sz w:val="16"/>
                              <w:szCs w:val="18"/>
                            </w:rPr>
                          </w:pPr>
                          <w:r>
                            <w:rPr>
                              <w:rFonts w:hint="eastAsia"/>
                              <w:sz w:val="16"/>
                              <w:szCs w:val="18"/>
                            </w:rPr>
                            <w:t>织、检查、验收、协调工作。</w:t>
                          </w:r>
                        </w:p>
                      </w:txbxContent>
                    </v:textbox>
                  </v:shape>
                </v:group>
                <v:group id="组合 2207" o:spid="_x0000_s1026" o:spt="203" style="position:absolute;left:4568;top:9686;height:624;width:6510;" coordorigin="4883,4850" coordsize="6510,624" o:gfxdata="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cLb2e+AAAA3QAAAA8AAAAAAAAAAQAgAAAAIgAAAGRycy9kb3ducmV2Lnht&#10;bFBLAQIUABQAAAAIAIdO4kAzLwWeOwAAADkAAAAVAAAAAAAAAAEAIAAAAA0BAABkcnMvZ3JvdXBz&#10;aGFwZXhtbC54bWxQSwUGAAAAAAYABgBgAQAAygMAAAAA&#10;">
                  <o:lock v:ext="edit" aspectratio="f"/>
                  <v:shape id="文本框 2208" o:spid="_x0000_s1026" o:spt="202" type="#_x0000_t202" style="position:absolute;left:4883;top:4850;height:624;width:1155;" fillcolor="#FFFFFF" filled="t" stroked="t" coordsize="21600,21600" o:gfxdata="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VAZEW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3ED3BBFC">
                          <w:pPr>
                            <w:jc w:val="center"/>
                            <w:rPr>
                              <w:rFonts w:hint="eastAsia"/>
                              <w:position w:val="-27"/>
                              <w:sz w:val="16"/>
                              <w:szCs w:val="18"/>
                            </w:rPr>
                          </w:pPr>
                          <w:r>
                            <w:rPr>
                              <w:rFonts w:hint="eastAsia"/>
                              <w:position w:val="-27"/>
                              <w:sz w:val="16"/>
                              <w:szCs w:val="18"/>
                            </w:rPr>
                            <w:t>工人</w:t>
                          </w:r>
                        </w:p>
                        <w:p w14:paraId="1B61F668"/>
                      </w:txbxContent>
                    </v:textbox>
                  </v:shape>
                  <v:shape id="文本框 2209" o:spid="_x0000_s1026" o:spt="202" type="#_x0000_t202" style="position:absolute;left:6038;top:4850;height:624;width:5355;" fillcolor="#FFFFFF" filled="t" stroked="t" coordsize="21600,21600" o:gfxdata="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S+jK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211610AB">
                          <w:pPr>
                            <w:spacing w:line="200" w:lineRule="exact"/>
                            <w:rPr>
                              <w:rFonts w:hint="eastAsia"/>
                              <w:sz w:val="16"/>
                              <w:szCs w:val="18"/>
                            </w:rPr>
                          </w:pPr>
                          <w:r>
                            <w:rPr>
                              <w:rFonts w:hint="eastAsia"/>
                              <w:sz w:val="16"/>
                              <w:szCs w:val="18"/>
                            </w:rPr>
                            <w:t xml:space="preserve">  职责：严格按照安全管理体系中安全操作规程进行操作，自觉遵守安全生产纪律和工地各项制度，不违章作业，不违反劳动纪律，确保安全管理体</w:t>
                          </w:r>
                        </w:p>
                        <w:p w14:paraId="786F6511">
                          <w:pPr>
                            <w:spacing w:line="200" w:lineRule="exact"/>
                            <w:ind w:firstLine="160" w:firstLineChars="100"/>
                            <w:rPr>
                              <w:rFonts w:hint="eastAsia"/>
                              <w:sz w:val="16"/>
                              <w:szCs w:val="18"/>
                            </w:rPr>
                          </w:pPr>
                          <w:r>
                            <w:rPr>
                              <w:rFonts w:hint="eastAsia"/>
                              <w:sz w:val="16"/>
                              <w:szCs w:val="18"/>
                            </w:rPr>
                            <w:t>系的顺利实施。</w:t>
                          </w:r>
                        </w:p>
                      </w:txbxContent>
                    </v:textbox>
                  </v:shape>
                </v:group>
                <v:group id="组合 2210" o:spid="_x0000_s1026" o:spt="203" style="position:absolute;left:578;top:4382;height:2184;width:1470;" coordorigin="2573,4694" coordsize="1470,2028" o:gfxdata="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XfMz/vAAAAN0AAAAPAAAAAAAAAAEAIAAAACIAAABkcnMvZG93bnJldi54bWxQ&#10;SwECFAAUAAAACACHTuJAMy8FnjsAAAA5AAAAFQAAAAAAAAABACAAAAALAQAAZHJzL2dyb3Vwc2hh&#10;cGV4bWwueG1sUEsFBgAAAAAGAAYAYAEAAMgDAAAAAA==&#10;">
                  <o:lock v:ext="edit" aspectratio="f"/>
                  <v:shape id="文本框 2211" o:spid="_x0000_s1026" o:spt="202" type="#_x0000_t202" style="position:absolute;left:2573;top:5006;height:1716;width:1470;" fillcolor="#FFFFFF" filled="t" stroked="t" coordsize="21600,21600" o:gfxdata="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N8fd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5AF14218">
                          <w:pPr>
                            <w:spacing w:before="31" w:beforeLines="10" w:line="220" w:lineRule="exact"/>
                            <w:ind w:firstLine="80" w:firstLineChars="50"/>
                            <w:rPr>
                              <w:rFonts w:hint="eastAsia"/>
                              <w:sz w:val="16"/>
                              <w:szCs w:val="18"/>
                            </w:rPr>
                          </w:pPr>
                          <w:r>
                            <w:rPr>
                              <w:rFonts w:hint="eastAsia"/>
                              <w:sz w:val="16"/>
                              <w:szCs w:val="18"/>
                            </w:rPr>
                            <w:t>职责：</w:t>
                          </w:r>
                        </w:p>
                        <w:p w14:paraId="48BC8A0D">
                          <w:pPr>
                            <w:spacing w:line="220" w:lineRule="exact"/>
                            <w:ind w:firstLine="80" w:firstLineChars="50"/>
                            <w:rPr>
                              <w:rFonts w:hint="eastAsia"/>
                              <w:sz w:val="16"/>
                              <w:szCs w:val="18"/>
                            </w:rPr>
                          </w:pPr>
                          <w:r>
                            <w:rPr>
                              <w:rFonts w:hint="eastAsia"/>
                              <w:sz w:val="16"/>
                              <w:szCs w:val="18"/>
                            </w:rPr>
                            <w:t>负责安全管理计划</w:t>
                          </w:r>
                        </w:p>
                        <w:p w14:paraId="59130FB8">
                          <w:pPr>
                            <w:spacing w:line="220" w:lineRule="exact"/>
                            <w:ind w:left="0" w:leftChars="0" w:firstLine="0" w:firstLineChars="0"/>
                            <w:rPr>
                              <w:rFonts w:hint="eastAsia"/>
                              <w:spacing w:val="-10"/>
                              <w:sz w:val="16"/>
                              <w:szCs w:val="18"/>
                            </w:rPr>
                          </w:pPr>
                          <w:r>
                            <w:rPr>
                              <w:rFonts w:hint="eastAsia"/>
                              <w:sz w:val="16"/>
                              <w:szCs w:val="18"/>
                            </w:rPr>
                            <w:t>全过程运行、检查、检验、整改防范及安全记录；以及对</w:t>
                          </w:r>
                          <w:r>
                            <w:rPr>
                              <w:rFonts w:hint="eastAsia"/>
                              <w:spacing w:val="-10"/>
                              <w:sz w:val="16"/>
                              <w:szCs w:val="18"/>
                            </w:rPr>
                            <w:t>职工的三级安全教育、操作规程的教育。</w:t>
                          </w:r>
                        </w:p>
                      </w:txbxContent>
                    </v:textbox>
                  </v:shape>
                  <v:shape id="文本框 2212" o:spid="_x0000_s1026" o:spt="202" type="#_x0000_t202" style="position:absolute;left:2573;top:4694;height:312;width:1470;" fillcolor="#FFFFFF" filled="t" stroked="t" coordsize="21600,21600" o:gfxdata="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e2JG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29A2983B">
                          <w:pPr>
                            <w:jc w:val="both"/>
                            <w:rPr>
                              <w:rFonts w:hint="eastAsia"/>
                              <w:sz w:val="16"/>
                              <w:szCs w:val="18"/>
                            </w:rPr>
                          </w:pPr>
                          <w:r>
                            <w:rPr>
                              <w:rFonts w:hint="eastAsia"/>
                              <w:sz w:val="16"/>
                              <w:szCs w:val="18"/>
                            </w:rPr>
                            <w:t>安全部</w:t>
                          </w:r>
                        </w:p>
                      </w:txbxContent>
                    </v:textbox>
                  </v:shape>
                </v:group>
                <v:group id="组合 2213" o:spid="_x0000_s1026" o:spt="203" style="position:absolute;left:2468;top:4382;height:2184;width:1470;" coordorigin="2573,4694" coordsize="1470,2028" o:gfxdata="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bjWI2+AAAA3QAAAA8AAAAAAAAAAQAgAAAAIgAAAGRycy9kb3ducmV2Lnht&#10;bFBLAQIUABQAAAAIAIdO4kAzLwWeOwAAADkAAAAVAAAAAAAAAAEAIAAAAA0BAABkcnMvZ3JvdXBz&#10;aGFwZXhtbC54bWxQSwUGAAAAAAYABgBgAQAAygMAAAAA&#10;">
                  <o:lock v:ext="edit" aspectratio="f"/>
                  <v:shape id="文本框 2214" o:spid="_x0000_s1026" o:spt="202" type="#_x0000_t202" style="position:absolute;left:2573;top:5006;height:1716;width:1470;" fillcolor="#FFFFFF" filled="t" stroked="t" coordsize="21600,21600" o:gfxdata="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5Vmq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31645504">
                          <w:pPr>
                            <w:spacing w:before="31" w:beforeLines="10" w:line="240" w:lineRule="exact"/>
                            <w:ind w:firstLine="76" w:firstLineChars="50"/>
                            <w:rPr>
                              <w:rFonts w:hint="eastAsia"/>
                              <w:spacing w:val="-4"/>
                              <w:sz w:val="16"/>
                              <w:szCs w:val="18"/>
                            </w:rPr>
                          </w:pPr>
                          <w:r>
                            <w:rPr>
                              <w:rFonts w:hint="eastAsia"/>
                              <w:spacing w:val="-4"/>
                              <w:sz w:val="16"/>
                              <w:szCs w:val="18"/>
                            </w:rPr>
                            <w:t>职责：</w:t>
                          </w:r>
                        </w:p>
                        <w:p w14:paraId="7BD10A5C">
                          <w:pPr>
                            <w:spacing w:line="240" w:lineRule="exact"/>
                            <w:ind w:left="91" w:leftChars="38"/>
                            <w:rPr>
                              <w:rFonts w:hint="eastAsia"/>
                              <w:spacing w:val="-4"/>
                              <w:sz w:val="16"/>
                              <w:szCs w:val="18"/>
                            </w:rPr>
                          </w:pPr>
                          <w:r>
                            <w:rPr>
                              <w:rFonts w:hint="eastAsia"/>
                              <w:spacing w:val="-4"/>
                              <w:sz w:val="16"/>
                              <w:szCs w:val="18"/>
                            </w:rPr>
                            <w:t>负责安全管理计划施工现场的控制，对组织人员、责任制动态管理，按照</w:t>
                          </w:r>
                        </w:p>
                        <w:p w14:paraId="15CD91F0">
                          <w:pPr>
                            <w:spacing w:line="240" w:lineRule="exact"/>
                            <w:ind w:left="0" w:leftChars="0" w:firstLine="0" w:firstLineChars="0"/>
                            <w:rPr>
                              <w:rFonts w:hint="eastAsia"/>
                              <w:spacing w:val="-4"/>
                              <w:sz w:val="16"/>
                              <w:szCs w:val="18"/>
                            </w:rPr>
                          </w:pPr>
                          <w:r>
                            <w:rPr>
                              <w:rFonts w:hint="eastAsia"/>
                              <w:spacing w:val="-4"/>
                              <w:sz w:val="16"/>
                              <w:szCs w:val="18"/>
                            </w:rPr>
                            <w:t>管理体系的规定进</w:t>
                          </w:r>
                        </w:p>
                        <w:p w14:paraId="2CD796AD">
                          <w:pPr>
                            <w:spacing w:line="240" w:lineRule="exact"/>
                            <w:ind w:left="91" w:leftChars="38"/>
                            <w:rPr>
                              <w:rFonts w:hint="eastAsia"/>
                              <w:spacing w:val="-4"/>
                              <w:sz w:val="16"/>
                              <w:szCs w:val="18"/>
                            </w:rPr>
                          </w:pPr>
                          <w:r>
                            <w:rPr>
                              <w:rFonts w:hint="eastAsia"/>
                              <w:spacing w:val="-4"/>
                              <w:sz w:val="16"/>
                              <w:szCs w:val="18"/>
                            </w:rPr>
                            <w:t>行操作。</w:t>
                          </w:r>
                        </w:p>
                      </w:txbxContent>
                    </v:textbox>
                  </v:shape>
                  <v:shape id="文本框 2215" o:spid="_x0000_s1026" o:spt="202" type="#_x0000_t202" style="position:absolute;left:2573;top:4694;height:312;width:1470;" fillcolor="#FFFFFF" filled="t" stroked="t" coordsize="21600,21600" o:gfxdata="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R6zdi/&#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282F33A0">
                          <w:pPr>
                            <w:jc w:val="both"/>
                            <w:rPr>
                              <w:rFonts w:hint="eastAsia"/>
                              <w:sz w:val="16"/>
                              <w:szCs w:val="18"/>
                            </w:rPr>
                          </w:pPr>
                          <w:r>
                            <w:rPr>
                              <w:rFonts w:hint="eastAsia"/>
                              <w:sz w:val="16"/>
                              <w:szCs w:val="18"/>
                            </w:rPr>
                            <w:t>工程部</w:t>
                          </w:r>
                        </w:p>
                      </w:txbxContent>
                    </v:textbox>
                  </v:shape>
                </v:group>
                <v:group id="组合 2216" o:spid="_x0000_s1026" o:spt="203" style="position:absolute;left:6248;top:4382;height:2184;width:1470;" coordorigin="2573,4694" coordsize="1470,2028" o:gfxdata="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2Sutu+AAAA3QAAAA8AAAAAAAAAAQAgAAAAIgAAAGRycy9kb3ducmV2Lnht&#10;bFBLAQIUABQAAAAIAIdO4kAzLwWeOwAAADkAAAAVAAAAAAAAAAEAIAAAAA0BAABkcnMvZ3JvdXBz&#10;aGFwZXhtbC54bWxQSwUGAAAAAAYABgBgAQAAygMAAAAA&#10;">
                  <o:lock v:ext="edit" aspectratio="f"/>
                  <v:shape id="文本框 2217" o:spid="_x0000_s1026" o:spt="202" type="#_x0000_t202" style="position:absolute;left:2573;top:5006;height:1716;width:1470;" fillcolor="#FFFFFF" filled="t" stroked="t" coordsize="21600,21600" o:gfxdata="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sfm/&#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43F67EDC">
                          <w:pPr>
                            <w:spacing w:before="31" w:beforeLines="10" w:line="240" w:lineRule="exact"/>
                            <w:ind w:firstLine="76" w:firstLineChars="50"/>
                            <w:rPr>
                              <w:rFonts w:hint="eastAsia"/>
                              <w:spacing w:val="-4"/>
                              <w:sz w:val="16"/>
                              <w:szCs w:val="18"/>
                            </w:rPr>
                          </w:pPr>
                          <w:r>
                            <w:rPr>
                              <w:rFonts w:hint="eastAsia"/>
                              <w:spacing w:val="-4"/>
                              <w:sz w:val="16"/>
                              <w:szCs w:val="18"/>
                            </w:rPr>
                            <w:t>职责：</w:t>
                          </w:r>
                        </w:p>
                        <w:p w14:paraId="301BA493">
                          <w:pPr>
                            <w:spacing w:line="240" w:lineRule="exact"/>
                            <w:ind w:left="91" w:leftChars="38"/>
                            <w:rPr>
                              <w:rFonts w:hint="eastAsia"/>
                              <w:spacing w:val="-4"/>
                              <w:sz w:val="16"/>
                              <w:szCs w:val="18"/>
                            </w:rPr>
                          </w:pPr>
                          <w:r>
                            <w:rPr>
                              <w:rFonts w:hint="eastAsia"/>
                              <w:spacing w:val="-4"/>
                              <w:sz w:val="15"/>
                              <w:szCs w:val="16"/>
                            </w:rPr>
                            <w:t>负责安全管理体系运行过程中</w:t>
                          </w:r>
                          <w:r>
                            <w:rPr>
                              <w:rFonts w:hint="eastAsia"/>
                              <w:spacing w:val="-4"/>
                              <w:sz w:val="15"/>
                              <w:szCs w:val="16"/>
                              <w:lang w:eastAsia="zh-CN"/>
                            </w:rPr>
                            <w:t>质量</w:t>
                          </w:r>
                          <w:r>
                            <w:rPr>
                              <w:rFonts w:hint="eastAsia"/>
                              <w:spacing w:val="-4"/>
                              <w:sz w:val="15"/>
                              <w:szCs w:val="16"/>
                            </w:rPr>
                            <w:t>技术措施，防范措施，整改措施的制订</w:t>
                          </w:r>
                          <w:r>
                            <w:rPr>
                              <w:rFonts w:hint="eastAsia"/>
                              <w:spacing w:val="-4"/>
                              <w:sz w:val="15"/>
                              <w:szCs w:val="16"/>
                              <w:lang w:eastAsia="zh-CN"/>
                            </w:rPr>
                            <w:t>。</w:t>
                          </w:r>
                        </w:p>
                      </w:txbxContent>
                    </v:textbox>
                  </v:shape>
                  <v:shape id="文本框 2218" o:spid="_x0000_s1026" o:spt="202" type="#_x0000_t202" style="position:absolute;left:2573;top:4694;height:312;width:1470;" fillcolor="#FFFFFF" filled="t" stroked="t" coordsize="21600,21600" o:gfxdata="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UUYr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287CD16D">
                          <w:pPr>
                            <w:jc w:val="both"/>
                            <w:rPr>
                              <w:rFonts w:hint="eastAsia" w:eastAsia="宋体"/>
                              <w:sz w:val="16"/>
                              <w:szCs w:val="18"/>
                              <w:lang w:eastAsia="zh-CN"/>
                            </w:rPr>
                          </w:pPr>
                          <w:r>
                            <w:rPr>
                              <w:rFonts w:hint="eastAsia"/>
                              <w:sz w:val="16"/>
                              <w:szCs w:val="18"/>
                              <w:lang w:eastAsia="zh-CN"/>
                            </w:rPr>
                            <w:t>试验室</w:t>
                          </w:r>
                        </w:p>
                      </w:txbxContent>
                    </v:textbox>
                  </v:shape>
                </v:group>
                <v:group id="组合 2219" o:spid="_x0000_s1026" o:spt="203" style="position:absolute;left:8138;top:4382;height:2184;width:1470;" coordorigin="2573,4694" coordsize="1470,2028" o:gfxdata="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nsir70AAADdAAAADwAAAAAAAAABACAAAAAiAAAAZHJzL2Rvd25yZXYueG1s&#10;UEsBAhQAFAAAAAgAh07iQDMvBZ47AAAAOQAAABUAAAAAAAAAAQAgAAAADAEAAGRycy9ncm91cHNo&#10;YXBleG1sLnhtbFBLBQYAAAAABgAGAGABAADJAwAAAAA=&#10;">
                  <o:lock v:ext="edit" aspectratio="f"/>
                  <v:shape id="文本框 2220" o:spid="_x0000_s1026" o:spt="202" type="#_x0000_t202" style="position:absolute;left:2573;top:5006;height:1716;width:1470;" fillcolor="#FFFFFF" filled="t" stroked="t" coordsize="21600,21600" o:gfxdata="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Cy+O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23E0FBA0">
                          <w:pPr>
                            <w:spacing w:before="31" w:beforeLines="10" w:line="240" w:lineRule="exact"/>
                            <w:ind w:firstLine="160" w:firstLineChars="100"/>
                            <w:rPr>
                              <w:rFonts w:hint="eastAsia"/>
                              <w:sz w:val="16"/>
                              <w:szCs w:val="18"/>
                            </w:rPr>
                          </w:pPr>
                          <w:r>
                            <w:rPr>
                              <w:rFonts w:hint="eastAsia"/>
                              <w:sz w:val="16"/>
                              <w:szCs w:val="18"/>
                            </w:rPr>
                            <w:t>职责：</w:t>
                          </w:r>
                        </w:p>
                        <w:p w14:paraId="15052DE3">
                          <w:pPr>
                            <w:spacing w:before="31" w:beforeLines="10" w:line="240" w:lineRule="exact"/>
                            <w:ind w:firstLine="160" w:firstLineChars="100"/>
                            <w:rPr>
                              <w:rFonts w:hint="eastAsia"/>
                              <w:sz w:val="16"/>
                              <w:szCs w:val="18"/>
                            </w:rPr>
                          </w:pPr>
                          <w:r>
                            <w:rPr>
                              <w:rFonts w:hint="eastAsia"/>
                              <w:sz w:val="16"/>
                              <w:szCs w:val="18"/>
                            </w:rPr>
                            <w:t>负责安全管理体</w:t>
                          </w:r>
                        </w:p>
                        <w:p w14:paraId="3AE28510">
                          <w:pPr>
                            <w:spacing w:line="240" w:lineRule="exact"/>
                            <w:ind w:left="91" w:leftChars="38" w:firstLine="80" w:firstLineChars="50"/>
                            <w:rPr>
                              <w:rFonts w:hint="eastAsia"/>
                              <w:sz w:val="16"/>
                              <w:szCs w:val="18"/>
                            </w:rPr>
                          </w:pPr>
                          <w:r>
                            <w:rPr>
                              <w:rFonts w:hint="eastAsia"/>
                              <w:sz w:val="16"/>
                              <w:szCs w:val="18"/>
                            </w:rPr>
                            <w:t>系中合格供应商</w:t>
                          </w:r>
                        </w:p>
                        <w:p w14:paraId="4AFD0A58">
                          <w:pPr>
                            <w:spacing w:line="240" w:lineRule="exact"/>
                            <w:ind w:left="91" w:leftChars="38" w:firstLine="80" w:firstLineChars="50"/>
                            <w:rPr>
                              <w:rFonts w:hint="eastAsia"/>
                              <w:sz w:val="16"/>
                              <w:szCs w:val="18"/>
                            </w:rPr>
                          </w:pPr>
                          <w:r>
                            <w:rPr>
                              <w:rFonts w:hint="eastAsia"/>
                              <w:sz w:val="16"/>
                              <w:szCs w:val="18"/>
                            </w:rPr>
                            <w:t>材料的检查，验</w:t>
                          </w:r>
                        </w:p>
                        <w:p w14:paraId="51B0E9EA">
                          <w:pPr>
                            <w:spacing w:line="240" w:lineRule="exact"/>
                            <w:ind w:left="91" w:leftChars="38" w:firstLine="80" w:firstLineChars="50"/>
                            <w:rPr>
                              <w:rFonts w:hint="eastAsia"/>
                              <w:sz w:val="16"/>
                              <w:szCs w:val="18"/>
                            </w:rPr>
                          </w:pPr>
                          <w:r>
                            <w:rPr>
                              <w:rFonts w:hint="eastAsia"/>
                              <w:sz w:val="16"/>
                              <w:szCs w:val="18"/>
                            </w:rPr>
                            <w:t>收以及采购工作，</w:t>
                          </w:r>
                        </w:p>
                        <w:p w14:paraId="35143CD9">
                          <w:pPr>
                            <w:spacing w:line="240" w:lineRule="exact"/>
                            <w:ind w:left="91" w:leftChars="38" w:firstLine="80" w:firstLineChars="50"/>
                            <w:rPr>
                              <w:rFonts w:hint="eastAsia"/>
                              <w:sz w:val="16"/>
                              <w:szCs w:val="18"/>
                            </w:rPr>
                          </w:pPr>
                          <w:r>
                            <w:rPr>
                              <w:rFonts w:hint="eastAsia"/>
                              <w:sz w:val="16"/>
                              <w:szCs w:val="18"/>
                            </w:rPr>
                            <w:t>监督、检查。</w:t>
                          </w:r>
                        </w:p>
                      </w:txbxContent>
                    </v:textbox>
                  </v:shape>
                  <v:shape id="文本框 2221" o:spid="_x0000_s1026" o:spt="202" type="#_x0000_t202" style="position:absolute;left:2573;top:4694;height:312;width:1470;" fillcolor="#FFFFFF" filled="t" stroked="t" coordsize="21600,21600" o:gfxdata="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it/q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5F9286FD">
                          <w:pPr>
                            <w:ind w:left="0" w:leftChars="0" w:firstLine="0" w:firstLineChars="0"/>
                            <w:jc w:val="center"/>
                            <w:rPr>
                              <w:rFonts w:hint="eastAsia"/>
                              <w:sz w:val="16"/>
                              <w:szCs w:val="18"/>
                            </w:rPr>
                          </w:pPr>
                          <w:r>
                            <w:rPr>
                              <w:rFonts w:hint="eastAsia"/>
                              <w:sz w:val="16"/>
                              <w:szCs w:val="18"/>
                            </w:rPr>
                            <w:t>物资</w:t>
                          </w:r>
                          <w:r>
                            <w:rPr>
                              <w:rFonts w:hint="eastAsia"/>
                              <w:sz w:val="16"/>
                              <w:szCs w:val="18"/>
                              <w:lang w:eastAsia="zh-CN"/>
                            </w:rPr>
                            <w:t>设备</w:t>
                          </w:r>
                          <w:r>
                            <w:rPr>
                              <w:rFonts w:hint="eastAsia"/>
                              <w:sz w:val="16"/>
                              <w:szCs w:val="18"/>
                            </w:rPr>
                            <w:t>部</w:t>
                          </w:r>
                        </w:p>
                      </w:txbxContent>
                    </v:textbox>
                  </v:shape>
                </v:group>
                <v:group id="组合 2222" o:spid="_x0000_s1026" o:spt="203" style="position:absolute;left:10028;top:4382;height:2184;width:1470;" coordorigin="2573,4694" coordsize="1470,2028" o:gfxdata="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8eo0xvwAAAN0AAAAPAAAAAAAAAAEAIAAAACIAAABkcnMvZG93bnJldi54&#10;bWxQSwECFAAUAAAACACHTuJAMy8FnjsAAAA5AAAAFQAAAAAAAAABACAAAAAOAQAAZHJzL2dyb3Vw&#10;c2hhcGV4bWwueG1sUEsFBgAAAAAGAAYAYAEAAMsDAAAAAA==&#10;">
                  <o:lock v:ext="edit" aspectratio="f"/>
                  <v:shape id="文本框 2223" o:spid="_x0000_s1026" o:spt="202" type="#_x0000_t202" style="position:absolute;left:2573;top:5006;height:1716;width:1470;" fillcolor="#FFFFFF" filled="t" stroked="t" coordsize="21600,21600" o:gfxdata="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fIwW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1DB0BA80">
                          <w:pPr>
                            <w:spacing w:before="31" w:beforeLines="10" w:line="240" w:lineRule="exact"/>
                            <w:ind w:firstLine="160" w:firstLineChars="100"/>
                            <w:rPr>
                              <w:rFonts w:hint="eastAsia"/>
                              <w:sz w:val="16"/>
                              <w:szCs w:val="18"/>
                            </w:rPr>
                          </w:pPr>
                          <w:r>
                            <w:rPr>
                              <w:rFonts w:hint="eastAsia"/>
                              <w:sz w:val="16"/>
                              <w:szCs w:val="18"/>
                            </w:rPr>
                            <w:t>职责：</w:t>
                          </w:r>
                        </w:p>
                        <w:p w14:paraId="5BC96E02">
                          <w:pPr>
                            <w:spacing w:line="240" w:lineRule="exact"/>
                            <w:ind w:left="91" w:leftChars="38" w:firstLine="80" w:firstLineChars="50"/>
                            <w:rPr>
                              <w:rFonts w:hint="eastAsia"/>
                              <w:sz w:val="16"/>
                              <w:szCs w:val="18"/>
                            </w:rPr>
                          </w:pPr>
                          <w:r>
                            <w:rPr>
                              <w:rFonts w:hint="eastAsia"/>
                              <w:sz w:val="16"/>
                              <w:szCs w:val="18"/>
                            </w:rPr>
                            <w:t>负责安全管理体</w:t>
                          </w:r>
                        </w:p>
                        <w:p w14:paraId="3313DCE1">
                          <w:pPr>
                            <w:spacing w:line="240" w:lineRule="exact"/>
                            <w:ind w:left="91" w:leftChars="38" w:firstLine="80" w:firstLineChars="50"/>
                            <w:rPr>
                              <w:rFonts w:hint="eastAsia"/>
                              <w:sz w:val="16"/>
                              <w:szCs w:val="18"/>
                            </w:rPr>
                          </w:pPr>
                          <w:r>
                            <w:rPr>
                              <w:rFonts w:hint="eastAsia"/>
                              <w:sz w:val="16"/>
                              <w:szCs w:val="18"/>
                            </w:rPr>
                            <w:t>系在本部门有效</w:t>
                          </w:r>
                        </w:p>
                        <w:p w14:paraId="7540A111">
                          <w:pPr>
                            <w:spacing w:line="240" w:lineRule="exact"/>
                            <w:ind w:left="91" w:leftChars="38" w:firstLine="80" w:firstLineChars="50"/>
                            <w:rPr>
                              <w:rFonts w:hint="eastAsia"/>
                              <w:sz w:val="16"/>
                              <w:szCs w:val="18"/>
                            </w:rPr>
                          </w:pPr>
                          <w:r>
                            <w:rPr>
                              <w:rFonts w:hint="eastAsia"/>
                              <w:sz w:val="16"/>
                              <w:szCs w:val="18"/>
                            </w:rPr>
                            <w:t>运行及管理体系</w:t>
                          </w:r>
                        </w:p>
                        <w:p w14:paraId="22AAD581">
                          <w:pPr>
                            <w:spacing w:line="240" w:lineRule="exact"/>
                            <w:ind w:left="91" w:leftChars="38" w:firstLine="80" w:firstLineChars="50"/>
                            <w:rPr>
                              <w:rFonts w:hint="eastAsia"/>
                              <w:sz w:val="16"/>
                              <w:szCs w:val="18"/>
                            </w:rPr>
                          </w:pPr>
                          <w:r>
                            <w:rPr>
                              <w:rFonts w:hint="eastAsia"/>
                              <w:sz w:val="16"/>
                              <w:szCs w:val="18"/>
                            </w:rPr>
                            <w:t>运行的经费足额</w:t>
                          </w:r>
                        </w:p>
                        <w:p w14:paraId="3A9B68AA">
                          <w:pPr>
                            <w:spacing w:line="240" w:lineRule="exact"/>
                            <w:ind w:left="91" w:leftChars="38" w:firstLine="80" w:firstLineChars="50"/>
                            <w:rPr>
                              <w:rFonts w:hint="eastAsia"/>
                              <w:sz w:val="16"/>
                              <w:szCs w:val="18"/>
                            </w:rPr>
                          </w:pPr>
                          <w:r>
                            <w:rPr>
                              <w:rFonts w:hint="eastAsia"/>
                              <w:sz w:val="16"/>
                              <w:szCs w:val="18"/>
                            </w:rPr>
                            <w:t>及时到位。</w:t>
                          </w:r>
                        </w:p>
                      </w:txbxContent>
                    </v:textbox>
                  </v:shape>
                  <v:shape id="文本框 2224" o:spid="_x0000_s1026" o:spt="202" type="#_x0000_t202" style="position:absolute;left:2573;top:4694;height:312;width:1470;" fillcolor="#FFFFFF" filled="t" stroked="t" coordsize="21600,21600" o:gfxdata="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wKY2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32924E4A">
                          <w:pPr>
                            <w:ind w:left="0" w:leftChars="0" w:firstLine="0" w:firstLineChars="0"/>
                            <w:jc w:val="center"/>
                            <w:rPr>
                              <w:rFonts w:hint="eastAsia"/>
                              <w:sz w:val="16"/>
                              <w:szCs w:val="18"/>
                            </w:rPr>
                          </w:pPr>
                          <w:r>
                            <w:rPr>
                              <w:rFonts w:hint="eastAsia"/>
                              <w:sz w:val="16"/>
                              <w:szCs w:val="18"/>
                            </w:rPr>
                            <w:t>财务部</w:t>
                          </w:r>
                        </w:p>
                      </w:txbxContent>
                    </v:textbox>
                  </v:shape>
                </v:group>
                <v:group id="组合 2225" o:spid="_x0000_s1026" o:spt="203" style="position:absolute;left:11918;top:4382;height:2184;width:1470;" coordorigin="2573,4694" coordsize="1470,2028" o:gfxdata="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Jmycb0AAADdAAAADwAAAAAAAAABACAAAAAiAAAAZHJzL2Rvd25yZXYueG1s&#10;UEsBAhQAFAAAAAgAh07iQDMvBZ47AAAAOQAAABUAAAAAAAAAAQAgAAAADAEAAGRycy9ncm91cHNo&#10;YXBleG1sLnhtbFBLBQYAAAAABgAGAGABAADJAwAAAAA=&#10;">
                  <o:lock v:ext="edit" aspectratio="f"/>
                  <v:shape id="文本框 2226" o:spid="_x0000_s1026" o:spt="202" type="#_x0000_t202" style="position:absolute;left:2573;top:5006;height:1716;width:1470;" fillcolor="#FFFFFF" filled="t" stroked="t" coordsize="21600,21600" o:gfxdata="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4xhk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5A843ACF">
                          <w:pPr>
                            <w:spacing w:before="31" w:beforeLines="10" w:line="240" w:lineRule="exact"/>
                            <w:ind w:firstLine="80" w:firstLineChars="50"/>
                            <w:rPr>
                              <w:rFonts w:hint="eastAsia"/>
                              <w:sz w:val="16"/>
                              <w:szCs w:val="18"/>
                            </w:rPr>
                          </w:pPr>
                          <w:r>
                            <w:rPr>
                              <w:rFonts w:hint="eastAsia"/>
                              <w:sz w:val="16"/>
                              <w:szCs w:val="18"/>
                            </w:rPr>
                            <w:t>职责：</w:t>
                          </w:r>
                        </w:p>
                        <w:p w14:paraId="2D6F04D2">
                          <w:pPr>
                            <w:spacing w:line="240" w:lineRule="exact"/>
                            <w:ind w:left="91" w:leftChars="38"/>
                            <w:rPr>
                              <w:rFonts w:hint="eastAsia"/>
                              <w:sz w:val="16"/>
                              <w:szCs w:val="18"/>
                            </w:rPr>
                          </w:pPr>
                          <w:r>
                            <w:rPr>
                              <w:rFonts w:hint="eastAsia"/>
                              <w:sz w:val="15"/>
                              <w:szCs w:val="16"/>
                            </w:rPr>
                            <w:t>负责安全管理体系在本部门的有效运行，</w:t>
                          </w:r>
                          <w:r>
                            <w:rPr>
                              <w:rFonts w:hint="eastAsia"/>
                              <w:sz w:val="15"/>
                              <w:szCs w:val="16"/>
                              <w:lang w:eastAsia="zh-CN"/>
                            </w:rPr>
                            <w:t>加强作业人员管理，规避劳务用工风险。</w:t>
                          </w:r>
                        </w:p>
                      </w:txbxContent>
                    </v:textbox>
                  </v:shape>
                  <v:shape id="文本框 2227" o:spid="_x0000_s1026" o:spt="202" type="#_x0000_t202" style="position:absolute;left:2573;top:4694;height:312;width:1470;" fillcolor="#FFFFFF" filled="t" stroked="t" coordsize="21600,21600" o:gfxdata="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AJyS/&#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044CA4F2">
                          <w:pPr>
                            <w:jc w:val="both"/>
                            <w:rPr>
                              <w:rFonts w:hint="eastAsia" w:eastAsia="宋体"/>
                              <w:sz w:val="16"/>
                              <w:szCs w:val="18"/>
                              <w:lang w:eastAsia="zh-CN"/>
                            </w:rPr>
                          </w:pPr>
                          <w:r>
                            <w:rPr>
                              <w:rFonts w:hint="eastAsia"/>
                              <w:sz w:val="16"/>
                              <w:szCs w:val="18"/>
                              <w:lang w:eastAsia="zh-CN"/>
                            </w:rPr>
                            <w:t>劳务办</w:t>
                          </w:r>
                        </w:p>
                      </w:txbxContent>
                    </v:textbox>
                  </v:shape>
                </v:group>
                <v:group id="组合 2228" o:spid="_x0000_s1026" o:spt="203" style="position:absolute;left:13808;top:4382;height:2184;width:1470;" coordorigin="2573,4694" coordsize="1470,2028" o:gfxdata="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juEem+AAAA3QAAAA8AAAAAAAAAAQAgAAAAIgAAAGRycy9kb3ducmV2Lnht&#10;bFBLAQIUABQAAAAIAIdO4kAzLwWeOwAAADkAAAAVAAAAAAAAAAEAIAAAAA0BAABkcnMvZ3JvdXBz&#10;aGFwZXhtbC54bWxQSwUGAAAAAAYABgBgAQAAygMAAAAA&#10;">
                  <o:lock v:ext="edit" aspectratio="f"/>
                  <v:shape id="文本框 2229" o:spid="_x0000_s1026" o:spt="202" type="#_x0000_t202" style="position:absolute;left:2573;top:5006;height:1716;width:1470;" fillcolor="#FFFFFF" filled="t" stroked="t" coordsize="21600,21600" o:gfxdata="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Z4cyL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43981864">
                          <w:pPr>
                            <w:spacing w:before="31" w:beforeLines="10" w:line="240" w:lineRule="exact"/>
                            <w:rPr>
                              <w:rFonts w:hint="eastAsia"/>
                              <w:sz w:val="16"/>
                              <w:szCs w:val="18"/>
                            </w:rPr>
                          </w:pPr>
                          <w:r>
                            <w:rPr>
                              <w:rFonts w:hint="eastAsia"/>
                              <w:sz w:val="16"/>
                              <w:szCs w:val="18"/>
                            </w:rPr>
                            <w:t>职责：</w:t>
                          </w:r>
                        </w:p>
                        <w:p w14:paraId="1ED879BC">
                          <w:pPr>
                            <w:spacing w:line="240" w:lineRule="exact"/>
                            <w:rPr>
                              <w:rFonts w:hint="eastAsia"/>
                              <w:sz w:val="16"/>
                              <w:szCs w:val="18"/>
                            </w:rPr>
                          </w:pPr>
                          <w:r>
                            <w:rPr>
                              <w:rFonts w:hint="eastAsia"/>
                              <w:sz w:val="16"/>
                              <w:szCs w:val="18"/>
                            </w:rPr>
                            <w:t>负责安全管理体系运行文件的收集、登记、发放以及管理体系计划运行的经费，消防防火工作。</w:t>
                          </w:r>
                        </w:p>
                      </w:txbxContent>
                    </v:textbox>
                  </v:shape>
                  <v:shape id="文本框 2230" o:spid="_x0000_s1026" o:spt="202" type="#_x0000_t202" style="position:absolute;left:2573;top:4694;height:312;width:1470;" fillcolor="#FFFFFF" filled="t" stroked="t" coordsize="21600,21600" o:gfxdata="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tK5U7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2718317C">
                          <w:pPr>
                            <w:jc w:val="center"/>
                            <w:rPr>
                              <w:rFonts w:hint="eastAsia"/>
                              <w:sz w:val="16"/>
                              <w:szCs w:val="18"/>
                            </w:rPr>
                          </w:pPr>
                          <w:r>
                            <w:rPr>
                              <w:rFonts w:hint="eastAsia"/>
                              <w:sz w:val="16"/>
                              <w:szCs w:val="18"/>
                            </w:rPr>
                            <w:t>综合办</w:t>
                          </w:r>
                        </w:p>
                      </w:txbxContent>
                    </v:textbox>
                  </v:shape>
                </v:group>
                <v:group id="组合 2231" o:spid="_x0000_s1026" o:spt="203" style="position:absolute;left:2468;top:7190;height:1872;width:1470;" coordorigin="2573,4694" coordsize="1470,2028" o:gfxdata="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g8j56+AAAA3QAAAA8AAAAAAAAAAQAgAAAAIgAAAGRycy9kb3ducmV2Lnht&#10;bFBLAQIUABQAAAAIAIdO4kAzLwWeOwAAADkAAAAVAAAAAAAAAAEAIAAAAA0BAABkcnMvZ3JvdXBz&#10;aGFwZXhtbC54bWxQSwUGAAAAAAYABgBgAQAAygMAAAAA&#10;">
                  <o:lock v:ext="edit" aspectratio="f"/>
                  <v:shape id="文本框 2232" o:spid="_x0000_s1026" o:spt="202" type="#_x0000_t202" style="position:absolute;left:2573;top:5006;height:1716;width:1470;" fillcolor="#FFFFFF" filled="t" stroked="t" coordsize="21600,21600" o:gfxdata="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3hLy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6F4E5FEB">
                          <w:pPr>
                            <w:spacing w:before="31" w:beforeLines="10" w:line="240" w:lineRule="exact"/>
                            <w:ind w:firstLine="80" w:firstLineChars="50"/>
                            <w:rPr>
                              <w:rFonts w:hint="eastAsia"/>
                              <w:sz w:val="16"/>
                              <w:szCs w:val="18"/>
                            </w:rPr>
                          </w:pPr>
                          <w:r>
                            <w:rPr>
                              <w:rFonts w:hint="eastAsia"/>
                              <w:sz w:val="16"/>
                              <w:szCs w:val="18"/>
                            </w:rPr>
                            <w:t>职责：</w:t>
                          </w:r>
                        </w:p>
                        <w:p w14:paraId="4112AFF6">
                          <w:pPr>
                            <w:spacing w:before="31" w:beforeLines="10" w:line="240" w:lineRule="exact"/>
                            <w:ind w:left="0" w:leftChars="0" w:firstLine="0" w:firstLineChars="0"/>
                            <w:rPr>
                              <w:rFonts w:hint="eastAsia"/>
                              <w:sz w:val="16"/>
                              <w:szCs w:val="18"/>
                            </w:rPr>
                          </w:pPr>
                          <w:r>
                            <w:rPr>
                              <w:rFonts w:hint="eastAsia"/>
                              <w:sz w:val="16"/>
                              <w:szCs w:val="18"/>
                            </w:rPr>
                            <w:t>职责：负责安全管理体系中施工现场的控制，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p w14:paraId="19A49F9C">
                          <w:pPr>
                            <w:spacing w:line="240" w:lineRule="exact"/>
                            <w:ind w:left="91" w:leftChars="38"/>
                            <w:rPr>
                              <w:rFonts w:hint="eastAsia"/>
                              <w:sz w:val="16"/>
                              <w:szCs w:val="18"/>
                            </w:rPr>
                          </w:pPr>
                        </w:p>
                      </w:txbxContent>
                    </v:textbox>
                  </v:shape>
                  <v:shape id="文本框 2233" o:spid="_x0000_s1026" o:spt="202" type="#_x0000_t202" style="position:absolute;left:2573;top:4694;height:312;width:1470;" fillcolor="#FFFFFF" filled="t" stroked="t" coordsize="21600,21600" o:gfxdata="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pRrLvQAA&#10;AN0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1E3F62CF">
                          <w:pPr>
                            <w:jc w:val="center"/>
                            <w:rPr>
                              <w:rFonts w:hint="eastAsia"/>
                              <w:sz w:val="16"/>
                              <w:szCs w:val="18"/>
                            </w:rPr>
                          </w:pPr>
                          <w:r>
                            <w:rPr>
                              <w:rFonts w:hint="eastAsia"/>
                              <w:sz w:val="16"/>
                              <w:szCs w:val="18"/>
                              <w:lang w:eastAsia="zh-CN"/>
                            </w:rPr>
                            <w:t>路基</w:t>
                          </w:r>
                          <w:r>
                            <w:rPr>
                              <w:rFonts w:hint="eastAsia"/>
                              <w:sz w:val="16"/>
                              <w:szCs w:val="18"/>
                            </w:rPr>
                            <w:t>班组</w:t>
                          </w:r>
                        </w:p>
                      </w:txbxContent>
                    </v:textbox>
                  </v:shape>
                </v:group>
                <v:group id="组合 2234" o:spid="_x0000_s1026" o:spt="203" style="position:absolute;left:4358;top:7190;height:1872;width:1470;" coordorigin="2573,4694" coordsize="1470,2028" o:gfxdata="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r3VPCMAAAADdAAAADwAAAAAAAAABACAAAAAiAAAAZHJzL2Rvd25yZXYu&#10;eG1sUEsBAhQAFAAAAAgAh07iQDMvBZ47AAAAOQAAABUAAAAAAAAAAQAgAAAADwEAAGRycy9ncm91&#10;cHNoYXBleG1sLnhtbFBLBQYAAAAABgAGAGABAADMAwAAAAA=&#10;">
                  <o:lock v:ext="edit" aspectratio="f"/>
                  <v:shape id="文本框 2235" o:spid="_x0000_s1026" o:spt="202" type="#_x0000_t202" style="position:absolute;left:2573;top:5006;height:1716;width:1470;" fillcolor="#FFFFFF" filled="t" stroked="t" coordsize="21600,21600" o:gfxdata="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2KyK/&#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3CA2685A">
                          <w:pPr>
                            <w:spacing w:before="31" w:beforeLines="10" w:line="220" w:lineRule="exact"/>
                            <w:ind w:firstLine="80" w:firstLineChars="50"/>
                            <w:rPr>
                              <w:rFonts w:hint="eastAsia"/>
                              <w:sz w:val="16"/>
                              <w:szCs w:val="18"/>
                            </w:rPr>
                          </w:pPr>
                          <w:r>
                            <w:rPr>
                              <w:rFonts w:hint="eastAsia"/>
                              <w:sz w:val="16"/>
                              <w:szCs w:val="18"/>
                            </w:rPr>
                            <w:t>职责：</w:t>
                          </w:r>
                        </w:p>
                        <w:p w14:paraId="67568F73">
                          <w:pPr>
                            <w:spacing w:before="31" w:beforeLines="10" w:line="240" w:lineRule="exact"/>
                            <w:ind w:left="0" w:leftChars="0" w:firstLine="0" w:firstLineChars="0"/>
                            <w:rPr>
                              <w:rFonts w:hint="eastAsia"/>
                              <w:sz w:val="16"/>
                              <w:szCs w:val="18"/>
                            </w:rPr>
                          </w:pPr>
                          <w:r>
                            <w:rPr>
                              <w:rFonts w:hint="eastAsia"/>
                              <w:sz w:val="16"/>
                              <w:szCs w:val="18"/>
                            </w:rPr>
                            <w:t>职责：负责安全管理体系中施工现场的控制，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p w14:paraId="20815589">
                          <w:pPr>
                            <w:spacing w:line="220" w:lineRule="exact"/>
                            <w:ind w:left="91" w:leftChars="38"/>
                            <w:rPr>
                              <w:rFonts w:hint="eastAsia"/>
                              <w:sz w:val="16"/>
                              <w:szCs w:val="18"/>
                            </w:rPr>
                          </w:pPr>
                        </w:p>
                      </w:txbxContent>
                    </v:textbox>
                  </v:shape>
                  <v:shape id="文本框 2236" o:spid="_x0000_s1026" o:spt="202" type="#_x0000_t202" style="position:absolute;left:2573;top:4694;height:312;width:1470;" fillcolor="#FFFFFF" filled="t" stroked="t" coordsize="21600,21600" o:gfxdata="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zqOub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481E2939">
                          <w:pPr>
                            <w:jc w:val="center"/>
                            <w:rPr>
                              <w:rFonts w:hint="eastAsia"/>
                              <w:sz w:val="16"/>
                              <w:szCs w:val="18"/>
                            </w:rPr>
                          </w:pPr>
                          <w:r>
                            <w:rPr>
                              <w:rFonts w:hint="eastAsia"/>
                              <w:sz w:val="16"/>
                              <w:szCs w:val="18"/>
                              <w:lang w:eastAsia="zh-CN"/>
                            </w:rPr>
                            <w:t>路面</w:t>
                          </w:r>
                          <w:r>
                            <w:rPr>
                              <w:rFonts w:hint="eastAsia"/>
                              <w:sz w:val="16"/>
                              <w:szCs w:val="18"/>
                            </w:rPr>
                            <w:t>班组</w:t>
                          </w:r>
                        </w:p>
                      </w:txbxContent>
                    </v:textbox>
                  </v:shape>
                </v:group>
                <v:group id="组合 2237" o:spid="_x0000_s1026" o:spt="203" style="position:absolute;left:8138;top:7190;height:1872;width:1470;" coordorigin="2573,4694" coordsize="1470,2028" o:gfxdata="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X6fRf70AAADdAAAADwAAAAAAAAABACAAAAAiAAAAZHJzL2Rvd25yZXYueG1s&#10;UEsBAhQAFAAAAAgAh07iQDMvBZ47AAAAOQAAABUAAAAAAAAAAQAgAAAADAEAAGRycy9ncm91cHNo&#10;YXBleG1sLnhtbFBLBQYAAAAABgAGAGABAADJAwAAAAA=&#10;">
                  <o:lock v:ext="edit" aspectratio="f"/>
                  <v:shape id="文本框 2238" o:spid="_x0000_s1026" o:spt="202" type="#_x0000_t202" style="position:absolute;left:2573;top:5006;height:1716;width:1470;" fillcolor="#FFFFFF" filled="t" stroked="t" coordsize="21600,21600" o:gfxdata="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3s2l2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2B469F14">
                          <w:pPr>
                            <w:spacing w:before="31" w:beforeLines="10" w:line="220" w:lineRule="exact"/>
                            <w:ind w:firstLine="80" w:firstLineChars="50"/>
                            <w:rPr>
                              <w:rFonts w:hint="eastAsia"/>
                              <w:sz w:val="16"/>
                              <w:szCs w:val="18"/>
                            </w:rPr>
                          </w:pPr>
                          <w:r>
                            <w:rPr>
                              <w:rFonts w:hint="eastAsia"/>
                              <w:sz w:val="16"/>
                              <w:szCs w:val="18"/>
                            </w:rPr>
                            <w:t>职责：</w:t>
                          </w:r>
                        </w:p>
                        <w:p w14:paraId="1BA706C4">
                          <w:pPr>
                            <w:spacing w:line="220" w:lineRule="exact"/>
                            <w:ind w:left="91" w:leftChars="38"/>
                            <w:rPr>
                              <w:rFonts w:hint="eastAsia"/>
                              <w:sz w:val="16"/>
                              <w:szCs w:val="18"/>
                            </w:rPr>
                          </w:pPr>
                          <w:r>
                            <w:rPr>
                              <w:rFonts w:hint="eastAsia"/>
                              <w:sz w:val="16"/>
                              <w:szCs w:val="18"/>
                            </w:rPr>
                            <w:t>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txbxContent>
                    </v:textbox>
                  </v:shape>
                  <v:shape id="文本框 2239" o:spid="_x0000_s1026" o:spt="202" type="#_x0000_t202" style="position:absolute;left:2573;top:4694;height:312;width:1470;" fillcolor="#FFFFFF" filled="t" stroked="t" coordsize="21600,21600" o:gfxdata="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T5EKr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2AE36D9F">
                          <w:pPr>
                            <w:jc w:val="center"/>
                            <w:rPr>
                              <w:rFonts w:hint="eastAsia" w:eastAsia="宋体"/>
                              <w:sz w:val="16"/>
                              <w:szCs w:val="18"/>
                              <w:lang w:eastAsia="zh-CN"/>
                            </w:rPr>
                          </w:pPr>
                          <w:r>
                            <w:rPr>
                              <w:rFonts w:hint="eastAsia"/>
                              <w:sz w:val="16"/>
                              <w:szCs w:val="18"/>
                              <w:lang w:eastAsia="zh-CN"/>
                            </w:rPr>
                            <w:t>预制场</w:t>
                          </w:r>
                        </w:p>
                      </w:txbxContent>
                    </v:textbox>
                  </v:shape>
                </v:group>
                <v:group id="组合 2240" o:spid="_x0000_s1026" o:spt="203" style="position:absolute;left:6248;top:7190;height:1872;width:1470;" coordorigin="2573,4694" coordsize="1470,2028" o:gfxdata="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T9By570AAADdAAAADwAAAAAAAAABACAAAAAiAAAAZHJzL2Rvd25yZXYueG1s&#10;UEsBAhQAFAAAAAgAh07iQDMvBZ47AAAAOQAAABUAAAAAAAAAAQAgAAAADAEAAGRycy9ncm91cHNo&#10;YXBleG1sLnhtbFBLBQYAAAAABgAGAGABAADJAwAAAAA=&#10;">
                  <o:lock v:ext="edit" aspectratio="f"/>
                  <v:shape id="文本框 2241" o:spid="_x0000_s1026" o:spt="202" type="#_x0000_t202" style="position:absolute;left:2573;top:5006;height:1716;width:1470;" fillcolor="#FFFFFF" filled="t" stroked="t" coordsize="21600,21600" o:gfxdata="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Zt5xb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361C9EDA">
                          <w:pPr>
                            <w:spacing w:before="31" w:beforeLines="10" w:line="220" w:lineRule="exact"/>
                            <w:ind w:firstLine="80" w:firstLineChars="50"/>
                            <w:rPr>
                              <w:rFonts w:hint="eastAsia"/>
                              <w:sz w:val="16"/>
                              <w:szCs w:val="18"/>
                            </w:rPr>
                          </w:pPr>
                          <w:r>
                            <w:rPr>
                              <w:rFonts w:hint="eastAsia"/>
                              <w:sz w:val="16"/>
                              <w:szCs w:val="18"/>
                            </w:rPr>
                            <w:t>职责：</w:t>
                          </w:r>
                        </w:p>
                        <w:p w14:paraId="36377452">
                          <w:pPr>
                            <w:spacing w:before="31" w:beforeLines="10" w:line="240" w:lineRule="exact"/>
                            <w:ind w:left="0" w:leftChars="0" w:firstLine="0" w:firstLineChars="0"/>
                            <w:rPr>
                              <w:rFonts w:hint="eastAsia"/>
                              <w:sz w:val="16"/>
                              <w:szCs w:val="18"/>
                            </w:rPr>
                          </w:pPr>
                          <w:r>
                            <w:rPr>
                              <w:rFonts w:hint="eastAsia"/>
                              <w:sz w:val="16"/>
                              <w:szCs w:val="18"/>
                            </w:rPr>
                            <w:t>职责：负责安全管理体系中施工现场的控制，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p w14:paraId="3E2883D0">
                          <w:pPr>
                            <w:spacing w:line="220" w:lineRule="exact"/>
                            <w:ind w:left="91" w:leftChars="38"/>
                            <w:rPr>
                              <w:rFonts w:hint="eastAsia"/>
                              <w:sz w:val="16"/>
                              <w:szCs w:val="18"/>
                            </w:rPr>
                          </w:pPr>
                        </w:p>
                      </w:txbxContent>
                    </v:textbox>
                  </v:shape>
                  <v:shape id="文本框 2242" o:spid="_x0000_s1026" o:spt="202" type="#_x0000_t202" style="position:absolute;left:2573;top:4694;height:312;width:1470;" fillcolor="#FFFFFF" filled="t" stroked="t" coordsize="21600,21600" o:gfxdata="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X3F6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0D1C8548">
                          <w:pPr>
                            <w:jc w:val="center"/>
                            <w:rPr>
                              <w:rFonts w:hint="eastAsia"/>
                              <w:sz w:val="16"/>
                              <w:szCs w:val="18"/>
                            </w:rPr>
                          </w:pPr>
                          <w:r>
                            <w:rPr>
                              <w:rFonts w:hint="eastAsia"/>
                              <w:sz w:val="16"/>
                              <w:szCs w:val="18"/>
                              <w:lang w:eastAsia="zh-CN"/>
                            </w:rPr>
                            <w:t>桥梁</w:t>
                          </w:r>
                          <w:r>
                            <w:rPr>
                              <w:rFonts w:hint="eastAsia"/>
                              <w:sz w:val="16"/>
                              <w:szCs w:val="18"/>
                            </w:rPr>
                            <w:t>班组</w:t>
                          </w:r>
                        </w:p>
                      </w:txbxContent>
                    </v:textbox>
                  </v:shape>
                </v:group>
                <v:group id="组合 2243" o:spid="_x0000_s1026" o:spt="203" style="position:absolute;left:10028;top:7190;height:1872;width:1470;" coordorigin="2573,4694" coordsize="1470,2028" o:gfxdata="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k/mlb0AAADdAAAADwAAAAAAAAABACAAAAAiAAAAZHJzL2Rvd25yZXYueG1s&#10;UEsBAhQAFAAAAAgAh07iQDMvBZ47AAAAOQAAABUAAAAAAAAAAQAgAAAADAEAAGRycy9ncm91cHNo&#10;YXBleG1sLnhtbFBLBQYAAAAABgAGAGABAADJAwAAAAA=&#10;">
                  <o:lock v:ext="edit" aspectratio="f"/>
                  <v:shape id="文本框 2244" o:spid="_x0000_s1026" o:spt="202" type="#_x0000_t202" style="position:absolute;left:2573;top:5006;height:1716;width:1470;" fillcolor="#FFFFFF" filled="t" stroked="t" coordsize="21600,21600" o:gfxdata="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1J57K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66EBD210">
                          <w:pPr>
                            <w:spacing w:before="31" w:beforeLines="10" w:line="240" w:lineRule="exact"/>
                            <w:ind w:firstLine="80" w:firstLineChars="50"/>
                            <w:rPr>
                              <w:rFonts w:hint="eastAsia"/>
                              <w:sz w:val="16"/>
                              <w:szCs w:val="18"/>
                            </w:rPr>
                          </w:pPr>
                          <w:r>
                            <w:rPr>
                              <w:rFonts w:hint="eastAsia"/>
                              <w:sz w:val="16"/>
                              <w:szCs w:val="18"/>
                            </w:rPr>
                            <w:t>职责：</w:t>
                          </w:r>
                        </w:p>
                        <w:p w14:paraId="2C9B0EF3">
                          <w:pPr>
                            <w:spacing w:line="240" w:lineRule="exact"/>
                            <w:ind w:left="91" w:leftChars="38"/>
                            <w:rPr>
                              <w:rFonts w:hint="eastAsia"/>
                              <w:sz w:val="16"/>
                              <w:szCs w:val="18"/>
                            </w:rPr>
                          </w:pPr>
                          <w:r>
                            <w:rPr>
                              <w:rFonts w:hint="eastAsia"/>
                              <w:sz w:val="16"/>
                              <w:szCs w:val="18"/>
                            </w:rPr>
                            <w:t>负责安全管理体系中施工现场的控制、</w:t>
                          </w:r>
                          <w:r>
                            <w:rPr>
                              <w:rFonts w:hint="eastAsia"/>
                              <w:sz w:val="16"/>
                              <w:szCs w:val="18"/>
                              <w:lang w:eastAsia="zh-CN"/>
                            </w:rPr>
                            <w:t>人员交底、</w:t>
                          </w:r>
                          <w:r>
                            <w:rPr>
                              <w:rFonts w:hint="eastAsia"/>
                              <w:sz w:val="16"/>
                              <w:szCs w:val="18"/>
                            </w:rPr>
                            <w:t>隐患整改</w:t>
                          </w:r>
                          <w:r>
                            <w:rPr>
                              <w:rFonts w:hint="eastAsia"/>
                              <w:sz w:val="16"/>
                              <w:szCs w:val="18"/>
                              <w:lang w:eastAsia="zh-CN"/>
                            </w:rPr>
                            <w:t>等工作</w:t>
                          </w:r>
                          <w:r>
                            <w:rPr>
                              <w:rFonts w:hint="eastAsia"/>
                              <w:sz w:val="16"/>
                              <w:szCs w:val="18"/>
                            </w:rPr>
                            <w:t>。</w:t>
                          </w:r>
                        </w:p>
                      </w:txbxContent>
                    </v:textbox>
                  </v:shape>
                  <v:shape id="文本框 2245" o:spid="_x0000_s1026" o:spt="202" type="#_x0000_t202" style="position:absolute;left:2573;top:4694;height:312;width:1470;" fillcolor="#FFFFFF" filled="t" stroked="t" coordsize="21600,21600" o:gfxdata="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Wc8C/&#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0FF4BF29">
                          <w:pPr>
                            <w:jc w:val="center"/>
                            <w:rPr>
                              <w:rFonts w:hint="eastAsia" w:eastAsia="宋体"/>
                              <w:sz w:val="16"/>
                              <w:szCs w:val="18"/>
                              <w:lang w:eastAsia="zh-CN"/>
                            </w:rPr>
                          </w:pPr>
                          <w:r>
                            <w:rPr>
                              <w:rFonts w:hint="eastAsia"/>
                              <w:sz w:val="16"/>
                              <w:szCs w:val="18"/>
                              <w:lang w:eastAsia="zh-CN"/>
                            </w:rPr>
                            <w:t>拌合站</w:t>
                          </w:r>
                        </w:p>
                      </w:txbxContent>
                    </v:textbox>
                  </v:shape>
                </v:group>
                <v:group id="组合 2246" o:spid="_x0000_s1026" o:spt="203" style="position:absolute;left:11918;top:7190;height:1872;width:1470;" coordorigin="2573,4694" coordsize="1470,2028" o:gfxdata="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tTLiOb0AAADdAAAADwAAAAAAAAABACAAAAAiAAAAZHJzL2Rvd25yZXYueG1s&#10;UEsBAhQAFAAAAAgAh07iQDMvBZ47AAAAOQAAABUAAAAAAAAAAQAgAAAADAEAAGRycy9ncm91cHNo&#10;YXBleG1sLnhtbFBLBQYAAAAABgAGAGABAADJAwAAAAA=&#10;">
                  <o:lock v:ext="edit" aspectratio="f"/>
                  <v:shape id="文本框 2247" o:spid="_x0000_s1026" o:spt="202" type="#_x0000_t202" style="position:absolute;left:2573;top:5006;height:1716;width:1470;" fillcolor="#FFFFFF" filled="t" stroked="t" coordsize="21600,21600" o:gfxdata="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56Ru/&#10;AAAA3Q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61D2F224">
                          <w:pPr>
                            <w:spacing w:before="31" w:beforeLines="10" w:line="240" w:lineRule="exact"/>
                            <w:ind w:firstLine="80" w:firstLineChars="50"/>
                            <w:rPr>
                              <w:rFonts w:hint="eastAsia"/>
                              <w:sz w:val="16"/>
                              <w:szCs w:val="18"/>
                            </w:rPr>
                          </w:pPr>
                          <w:r>
                            <w:rPr>
                              <w:rFonts w:hint="eastAsia"/>
                              <w:sz w:val="16"/>
                              <w:szCs w:val="18"/>
                            </w:rPr>
                            <w:t>职责：</w:t>
                          </w:r>
                        </w:p>
                        <w:p w14:paraId="5E83013B">
                          <w:pPr>
                            <w:spacing w:line="240" w:lineRule="exact"/>
                            <w:ind w:left="91" w:leftChars="38"/>
                            <w:rPr>
                              <w:rFonts w:hint="eastAsia"/>
                              <w:sz w:val="16"/>
                              <w:szCs w:val="18"/>
                            </w:rPr>
                          </w:pPr>
                          <w:r>
                            <w:rPr>
                              <w:rFonts w:hint="eastAsia"/>
                              <w:sz w:val="16"/>
                              <w:szCs w:val="18"/>
                            </w:rPr>
                            <w:t>负责安全管理体系中工人生活、食堂卫生、取样及夏季、冬季、雨季工人施工安全，职业病的预防。</w:t>
                          </w:r>
                        </w:p>
                      </w:txbxContent>
                    </v:textbox>
                  </v:shape>
                  <v:shape id="文本框 2248" o:spid="_x0000_s1026" o:spt="202" type="#_x0000_t202" style="position:absolute;left:2573;top:4694;height:312;width:1470;" fillcolor="#FFFFFF" filled="t" stroked="t" coordsize="21600,21600" o:gfxdata="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g1TIC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12189E94">
                          <w:pPr>
                            <w:jc w:val="center"/>
                            <w:rPr>
                              <w:rFonts w:hint="eastAsia"/>
                              <w:sz w:val="16"/>
                              <w:szCs w:val="18"/>
                            </w:rPr>
                          </w:pPr>
                          <w:r>
                            <w:rPr>
                              <w:rFonts w:hint="eastAsia"/>
                              <w:sz w:val="16"/>
                              <w:szCs w:val="18"/>
                            </w:rPr>
                            <w:t>后勤</w:t>
                          </w:r>
                        </w:p>
                      </w:txbxContent>
                    </v:textbox>
                  </v:shape>
                </v:group>
                <v:group id="组合 2249" o:spid="_x0000_s1026" o:spt="203" style="position:absolute;left:4358;top:4382;height:2184;width:1470;" coordorigin="2573,4694" coordsize="1470,2028" o:gfxdata="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tt6Tb0AAADdAAAADwAAAAAAAAABACAAAAAiAAAAZHJzL2Rvd25yZXYueG1s&#10;UEsBAhQAFAAAAAgAh07iQDMvBZ47AAAAOQAAABUAAAAAAAAAAQAgAAAADAEAAGRycy9ncm91cHNo&#10;YXBleG1sLnhtbFBLBQYAAAAABgAGAGABAADJAwAAAAA=&#10;">
                  <o:lock v:ext="edit" aspectratio="f"/>
                  <v:shape id="文本框 2250" o:spid="_x0000_s1026" o:spt="202" type="#_x0000_t202" style="position:absolute;left:2573;top:5006;height:1716;width:1470;" fillcolor="#FFFFFF" filled="t" stroked="t" coordsize="21600,21600" o:gfxdata="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rd2y8AAAA&#10;3Q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6D9B64B5">
                          <w:pPr>
                            <w:spacing w:before="31" w:beforeLines="10" w:line="260" w:lineRule="exact"/>
                            <w:ind w:firstLine="76" w:firstLineChars="50"/>
                            <w:rPr>
                              <w:rFonts w:hint="eastAsia"/>
                              <w:spacing w:val="-4"/>
                              <w:sz w:val="16"/>
                              <w:szCs w:val="18"/>
                            </w:rPr>
                          </w:pPr>
                          <w:r>
                            <w:rPr>
                              <w:rFonts w:hint="eastAsia"/>
                              <w:spacing w:val="-4"/>
                              <w:sz w:val="16"/>
                              <w:szCs w:val="18"/>
                            </w:rPr>
                            <w:t>职责：</w:t>
                          </w:r>
                        </w:p>
                        <w:p w14:paraId="79BD2C80">
                          <w:pPr>
                            <w:spacing w:line="260" w:lineRule="exact"/>
                            <w:ind w:left="91" w:leftChars="38"/>
                            <w:rPr>
                              <w:rFonts w:hint="eastAsia"/>
                              <w:spacing w:val="-4"/>
                              <w:sz w:val="16"/>
                              <w:szCs w:val="18"/>
                            </w:rPr>
                          </w:pPr>
                          <w:r>
                            <w:rPr>
                              <w:rFonts w:hint="eastAsia"/>
                              <w:spacing w:val="-4"/>
                              <w:sz w:val="16"/>
                              <w:szCs w:val="18"/>
                            </w:rPr>
                            <w:t>负责安全管理体系中对安全合格分包商、供应商的控制评估，签订合同，收审质保书、合格证。</w:t>
                          </w:r>
                        </w:p>
                      </w:txbxContent>
                    </v:textbox>
                  </v:shape>
                  <v:shape id="文本框 2251" o:spid="_x0000_s1026" o:spt="202" type="#_x0000_t202" style="position:absolute;left:2573;top:4694;height:312;width:1470;" fillcolor="#FFFFFF" filled="t" stroked="t" coordsize="21600,21600" o:gfxdata="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ELvGLsAAADd&#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inset="0mm,0mm,0mm,0mm">
                      <w:txbxContent>
                        <w:p w14:paraId="64966A01">
                          <w:pPr>
                            <w:jc w:val="both"/>
                            <w:rPr>
                              <w:rFonts w:hint="eastAsia"/>
                              <w:sz w:val="16"/>
                              <w:szCs w:val="18"/>
                            </w:rPr>
                          </w:pPr>
                          <w:r>
                            <w:rPr>
                              <w:rFonts w:hint="eastAsia"/>
                              <w:sz w:val="16"/>
                              <w:szCs w:val="18"/>
                            </w:rPr>
                            <w:t>经营</w:t>
                          </w:r>
                          <w:r>
                            <w:rPr>
                              <w:rFonts w:hint="eastAsia"/>
                              <w:sz w:val="16"/>
                              <w:szCs w:val="18"/>
                              <w:lang w:eastAsia="zh-CN"/>
                            </w:rPr>
                            <w:t>管理</w:t>
                          </w:r>
                          <w:r>
                            <w:rPr>
                              <w:rFonts w:hint="eastAsia"/>
                              <w:sz w:val="16"/>
                              <w:szCs w:val="18"/>
                            </w:rPr>
                            <w:t>部</w:t>
                          </w:r>
                        </w:p>
                      </w:txbxContent>
                    </v:textbox>
                  </v:shape>
                </v:group>
                <v:group id="组合 2252" o:spid="_x0000_s1026" o:spt="203" style="position:absolute;left:1208;top:2666;height:7020;width:13650;" coordorigin="1208,2666" coordsize="13650,7020" o:gfxdata="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04rFjr0AAADdAAAADwAAAAAAAAABACAAAAAiAAAAZHJzL2Rvd25yZXYueG1s&#10;UEsBAhQAFAAAAAgAh07iQDMvBZ47AAAAOQAAABUAAAAAAAAAAQAgAAAADAEAAGRycy9ncm91cHNo&#10;YXBleG1sLnhtbFBLBQYAAAAABgAGAGABAADJAwAAAAA=&#10;">
                  <o:lock v:ext="edit" aspectratio="f"/>
                  <v:line id="直线 2253" o:spid="_x0000_s1026" o:spt="20" style="position:absolute;left:3203;top:9374;height:0;width:9345;" filled="f" stroked="t" coordsize="21600,21600" o:gfxdata="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dR8Dr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group id="组合 2254" o:spid="_x0000_s1026" o:spt="203" style="position:absolute;left:1208;top:2666;height:4524;width:13650;" coordorigin="1208,2666" coordsize="13650,4524" o:gfxdata="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nNaL++AAAA3QAAAA8AAAAAAAAAAQAgAAAAIgAAAGRycy9kb3ducmV2Lnht&#10;bFBLAQIUABQAAAAIAIdO4kAzLwWeOwAAADkAAAAVAAAAAAAAAAEAIAAAAA0BAABkcnMvZ3JvdXBz&#10;aGFwZXhtbC54bWxQSwUGAAAAAAYABgBgAQAAygMAAAAA&#10;">
                    <o:lock v:ext="edit" aspectratio="f"/>
                    <v:line id="直线 2255" o:spid="_x0000_s1026" o:spt="20" style="position:absolute;left:1208;top:6878;height:0;width:13545;" filled="f" stroked="t" coordsize="21600,21600" o:gfxdata="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NmV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id="组合 2256" o:spid="_x0000_s1026" o:spt="203" style="position:absolute;left:1208;top:2666;height:1716;width:13650;" coordorigin="1208,2666" coordsize="13650,1716" o:gfxdata="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4ig7a+AAAA3QAAAA8AAAAAAAAAAQAgAAAAIgAAAGRycy9kb3ducmV2Lnht&#10;bFBLAQIUABQAAAAIAIdO4kAzLwWeOwAAADkAAAAVAAAAAAAAAAEAIAAAAA0BAABkcnMvZ3JvdXBz&#10;aGFwZXhtbC54bWxQSwUGAAAAAAYABgBgAQAAygMAAAAA&#10;">
                      <o:lock v:ext="edit" aspectratio="f"/>
                      <v:line id="直线 2257" o:spid="_x0000_s1026" o:spt="20" style="position:absolute;left:1208;top:4070;height:0;width:13650;" filled="f" stroked="t" coordsize="21600,21600" o:gfxdata="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B03n&#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id="组合 2258" o:spid="_x0000_s1026" o:spt="203" style="position:absolute;left:4148;top:2666;height:624;width:8085;" coordorigin="4148,2666" coordsize="8085,624" o:gfxdata="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BKNH70AAADdAAAADwAAAAAAAAABACAAAAAiAAAAZHJzL2Rvd25yZXYueG1s&#10;UEsBAhQAFAAAAAgAh07iQDMvBZ47AAAAOQAAABUAAAAAAAAAAQAgAAAADAEAAGRycy9ncm91cHNo&#10;YXBleG1sLnhtbFBLBQYAAAAABgAGAGABAADJAwAAAAA=&#10;">
                        <o:lock v:ext="edit" aspectratio="f"/>
                        <v:line id="直线 2259" o:spid="_x0000_s1026" o:spt="20" style="position:absolute;left:4148;top:2978;height:0;width:8085;" filled="f" stroked="t" coordsize="21600,21600" o:gfxdata="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S+h8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260" o:spid="_x0000_s1026" o:spt="20" style="position:absolute;left:8348;top:2666;height:312;width:0;" filled="f" stroked="t" coordsize="21600,21600" o:gfxdata="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Ytc&#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直线 2261" o:spid="_x0000_s1026" o:spt="20" style="position:absolute;left:4148;top:2978;height:312;width:0;" filled="f" stroked="t" coordsize="21600,21600" o:gfxdata="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US7H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262" o:spid="_x0000_s1026" o:spt="20" style="position:absolute;left:12233;top:2978;height:312;width:0;" filled="f" stroked="t" coordsize="21600,21600" o:gfxdata="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g7Cw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line id="直线 2263" o:spid="_x0000_s1026" o:spt="20" style="position:absolute;left:12233;top:3758;height:312;width:0;" filled="f" stroked="t" coordsize="21600,21600" o:gfxdata="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mjV+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直线 2264" o:spid="_x0000_s1026" o:spt="20" style="position:absolute;left:4148;top:3758;height:312;width:0;" filled="f" stroked="t" coordsize="21600,21600" o:gfxdata="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oox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65" o:spid="_x0000_s1026" o:spt="20" style="position:absolute;left:14858;top:4070;height:312;width:0;" filled="f" stroked="t" coordsize="21600,21600" o:gfxdata="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7i2s7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66" o:spid="_x0000_s1026" o:spt="20" style="position:absolute;left:1208;top:4070;height:312;width:0;" filled="f" stroked="t" coordsize="21600,21600" o:gfxdata="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QTK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67" o:spid="_x0000_s1026" o:spt="20" style="position:absolute;left:3203;top:4070;height:312;width:0;" filled="f" stroked="t" coordsize="21600,21600" o:gfxdata="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a4da&#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直线 2268" o:spid="_x0000_s1026" o:spt="20" style="position:absolute;left:5093;top:4070;height:312;width:0;" filled="f" stroked="t" coordsize="21600,21600" o:gfxdata="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iciw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69" o:spid="_x0000_s1026" o:spt="20" style="position:absolute;left:6983;top:4070;height:312;width:0;" filled="f" stroked="t" coordsize="21600,21600" o:gfxdata="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rEHYG/&#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270" o:spid="_x0000_s1026" o:spt="20" style="position:absolute;left:8873;top:4070;height:312;width:0;" filled="f" stroked="t" coordsize="21600,21600" o:gfxdata="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Yi4Gr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271" o:spid="_x0000_s1026" o:spt="20" style="position:absolute;left:10763;top:4070;height:312;width:0;" filled="f" stroked="t" coordsize="21600,21600" o:gfxdata="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ombb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272" o:spid="_x0000_s1026" o:spt="20" style="position:absolute;left:12653;top:4070;height:312;width:0;" filled="f" stroked="t" coordsize="21600,21600" o:gfxdata="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Wg/a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v:line id="直线 2273" o:spid="_x0000_s1026" o:spt="20" style="position:absolute;left:14753;top:6566;height:312;width:0;" filled="f" stroked="t" coordsize="21600,21600" o:gfxdata="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rO+G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74" o:spid="_x0000_s1026" o:spt="20" style="position:absolute;left:1208;top:6566;height:312;width:0;" filled="f" stroked="t" coordsize="21600,21600" o:gfxdata="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mEgbr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75" o:spid="_x0000_s1026" o:spt="20" style="position:absolute;left:12653;top:6566;height:624;width:0;" filled="f" stroked="t" coordsize="21600,21600" o:gfxdata="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2F9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76" o:spid="_x0000_s1026" o:spt="20" style="position:absolute;left:10763;top:6566;height:624;width:0;" filled="f" stroked="t" coordsize="21600,21600" o:gfxdata="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SyEYe/&#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277" o:spid="_x0000_s1026" o:spt="20" style="position:absolute;left:8873;top:6566;height:624;width:0;" filled="f" stroked="t" coordsize="21600,21600" o:gfxdata="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60H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78" o:spid="_x0000_s1026" o:spt="20" style="position:absolute;left:6983;top:6566;height:624;width:0;" filled="f" stroked="t" coordsize="21600,21600" o:gfxdata="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wm78&#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直线 2279" o:spid="_x0000_s1026" o:spt="20" style="position:absolute;left:5093;top:6566;height:624;width:0;" filled="f" stroked="t" coordsize="21600,21600" o:gfxdata="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7LZ7sAAADd&#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直线 2280" o:spid="_x0000_s1026" o:spt="20" style="position:absolute;left:3203;top:6566;height:624;width:0;" filled="f" stroked="t" coordsize="21600,21600" o:gfxdata="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1cVRC8AAAA&#10;3Q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v:line id="直线 2281" o:spid="_x0000_s1026" o:spt="20" style="position:absolute;left:3203;top:9062;height:312;width:0;" filled="f" stroked="t" coordsize="21600,21600" o:gfxdata="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Wj/vQAA&#10;AN0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2282" o:spid="_x0000_s1026" o:spt="20" style="position:absolute;left:5093;top:9062;height:312;width:0;" filled="f" stroked="t" coordsize="21600,21600" o:gfxdata="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rXNZ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83" o:spid="_x0000_s1026" o:spt="20" style="position:absolute;left:7718;top:9374;height:312;width:0;" filled="f" stroked="t" coordsize="21600,21600" o:gfxdata="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mdTE7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84" o:spid="_x0000_s1026" o:spt="20" style="position:absolute;left:6983;top:9062;height:312;width:0;" filled="f" stroked="t" coordsize="21600,21600" o:gfxdata="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v2iL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85" o:spid="_x0000_s1026" o:spt="20" style="position:absolute;left:8873;top:9062;height:312;width:0;" filled="f" stroked="t" coordsize="21600,21600" o:gfxdata="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tGL6&#10;wAAAAN0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直线 2286" o:spid="_x0000_s1026" o:spt="20" style="position:absolute;left:10763;top:9062;height:312;width:0;" filled="f" stroked="t" coordsize="21600,21600" o:gfxdata="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jHYb4A&#10;AADd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直线 2287" o:spid="_x0000_s1026" o:spt="20" style="position:absolute;left:12548;top:9062;height:312;width:0;" filled="f" stroked="t" coordsize="21600,21600" o:gfxdata="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cb+CG/&#10;AAAA3Q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group>
            </w:pict>
          </mc:Fallback>
        </mc:AlternateContent>
      </w:r>
      <w:r>
        <w:rPr>
          <w:rFonts w:hint="eastAsia" w:ascii="黑体" w:eastAsia="黑体"/>
          <w:b/>
          <w:sz w:val="32"/>
          <w:szCs w:val="32"/>
        </w:rPr>
        <w:t xml:space="preserve">                                     </w:t>
      </w:r>
      <w:r>
        <w:rPr>
          <w:rFonts w:hint="eastAsia" w:ascii="宋体" w:hAnsi="宋体"/>
          <w:sz w:val="28"/>
          <w:szCs w:val="28"/>
        </w:rPr>
        <w:t xml:space="preserve">                                             </w:t>
      </w:r>
    </w:p>
    <w:p w14:paraId="7820220C">
      <w:pPr>
        <w:rPr>
          <w:rFonts w:hint="eastAsia"/>
          <w:sz w:val="28"/>
          <w:szCs w:val="28"/>
        </w:rPr>
      </w:pPr>
    </w:p>
    <w:p w14:paraId="435B267E">
      <w:pPr>
        <w:pStyle w:val="46"/>
        <w:rPr>
          <w:rFonts w:hint="eastAsia"/>
          <w:u w:val="double"/>
        </w:rPr>
        <w:sectPr>
          <w:headerReference r:id="rId11" w:type="default"/>
          <w:pgSz w:w="16838" w:h="11906" w:orient="landscape"/>
          <w:pgMar w:top="1247" w:right="1440" w:bottom="1134" w:left="1440" w:header="850" w:footer="992" w:gutter="0"/>
          <w:pgNumType w:fmt="numberInDash"/>
          <w:cols w:space="720" w:num="1"/>
          <w:docGrid w:linePitch="326" w:charSpace="0"/>
        </w:sectPr>
      </w:pPr>
    </w:p>
    <w:p w14:paraId="3C3F7973">
      <w:pPr>
        <w:pStyle w:val="36"/>
        <w:spacing w:line="360" w:lineRule="auto"/>
        <w:ind w:left="0" w:leftChars="0" w:firstLine="0" w:firstLineChars="0"/>
        <w:jc w:val="left"/>
        <w:rPr>
          <w:rFonts w:hint="eastAsia"/>
          <w:highlight w:val="none"/>
          <w:lang w:val="en-US" w:eastAsia="zh-CN"/>
        </w:rPr>
      </w:pPr>
      <w:bookmarkStart w:id="3021" w:name="_Toc25093"/>
      <w:bookmarkStart w:id="3022" w:name="_Toc4906"/>
      <w:bookmarkStart w:id="3023" w:name="_Toc9459"/>
      <w:bookmarkStart w:id="3024" w:name="_Toc27902"/>
      <w:bookmarkStart w:id="3025" w:name="_Toc19717"/>
      <w:bookmarkStart w:id="3026" w:name="_Toc12645"/>
      <w:bookmarkStart w:id="3027" w:name="_Toc25454"/>
      <w:bookmarkStart w:id="3028" w:name="_Toc23893"/>
      <w:bookmarkStart w:id="3029" w:name="_Toc13748"/>
      <w:r>
        <w:rPr>
          <w:rFonts w:hint="eastAsia"/>
          <w:highlight w:val="none"/>
          <w:lang w:val="en-US" w:eastAsia="zh-CN"/>
        </w:rPr>
        <w:t>附件一</w:t>
      </w:r>
      <w:bookmarkEnd w:id="3021"/>
      <w:bookmarkEnd w:id="3022"/>
      <w:r>
        <w:rPr>
          <w:rFonts w:hint="eastAsia"/>
          <w:highlight w:val="none"/>
          <w:lang w:val="en-US" w:eastAsia="zh-CN"/>
        </w:rPr>
        <w:t>：施工总体进度计划横道图</w:t>
      </w:r>
      <w:bookmarkEnd w:id="3023"/>
      <w:bookmarkEnd w:id="3024"/>
      <w:bookmarkEnd w:id="3025"/>
      <w:bookmarkEnd w:id="3026"/>
      <w:bookmarkEnd w:id="3027"/>
      <w:bookmarkEnd w:id="3028"/>
    </w:p>
    <w:p w14:paraId="66143C9B">
      <w:pPr>
        <w:pStyle w:val="14"/>
        <w:bidi w:val="0"/>
        <w:rPr>
          <w:rFonts w:hint="eastAsia"/>
          <w:lang w:val="en-US" w:eastAsia="zh-CN"/>
        </w:rPr>
      </w:pPr>
      <w:bookmarkStart w:id="3030" w:name="_Toc13469"/>
      <w:r>
        <w:drawing>
          <wp:inline distT="0" distB="0" distL="114300" distR="114300">
            <wp:extent cx="13254355" cy="7246620"/>
            <wp:effectExtent l="0" t="0" r="4445" b="7620"/>
            <wp:docPr id="3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2"/>
                    <pic:cNvPicPr>
                      <a:picLocks noChangeAspect="1"/>
                    </pic:cNvPicPr>
                  </pic:nvPicPr>
                  <pic:blipFill>
                    <a:blip r:embed="rId158"/>
                    <a:stretch>
                      <a:fillRect/>
                    </a:stretch>
                  </pic:blipFill>
                  <pic:spPr>
                    <a:xfrm>
                      <a:off x="0" y="0"/>
                      <a:ext cx="13254355" cy="7246620"/>
                    </a:xfrm>
                    <a:prstGeom prst="rect">
                      <a:avLst/>
                    </a:prstGeom>
                    <a:noFill/>
                    <a:ln>
                      <a:noFill/>
                    </a:ln>
                  </pic:spPr>
                </pic:pic>
              </a:graphicData>
            </a:graphic>
          </wp:inline>
        </w:drawing>
      </w:r>
      <w:bookmarkEnd w:id="3030"/>
    </w:p>
    <w:bookmarkEnd w:id="3029"/>
    <w:p w14:paraId="0E726EB0">
      <w:pPr>
        <w:pStyle w:val="14"/>
        <w:bidi w:val="0"/>
        <w:rPr>
          <w:rFonts w:hint="eastAsia"/>
          <w:lang w:val="en-US" w:eastAsia="zh-CN"/>
        </w:rPr>
      </w:pPr>
    </w:p>
    <w:p w14:paraId="1A7AA5EE">
      <w:pPr>
        <w:pStyle w:val="14"/>
        <w:bidi w:val="0"/>
        <w:rPr>
          <w:rFonts w:hint="eastAsia"/>
          <w:lang w:val="en-US" w:eastAsia="zh-CN"/>
        </w:rPr>
      </w:pPr>
    </w:p>
    <w:p w14:paraId="258D6CB5">
      <w:pPr>
        <w:pStyle w:val="15"/>
        <w:rPr>
          <w:rFonts w:hint="eastAsia"/>
          <w:lang w:val="en-US" w:eastAsia="zh-CN"/>
        </w:rPr>
      </w:pPr>
    </w:p>
    <w:p w14:paraId="667E940D">
      <w:pPr>
        <w:pStyle w:val="15"/>
        <w:rPr>
          <w:rFonts w:hint="eastAsia"/>
          <w:lang w:val="en-US" w:eastAsia="zh-CN"/>
        </w:rPr>
      </w:pPr>
    </w:p>
    <w:p w14:paraId="7079C3D4">
      <w:pPr>
        <w:pStyle w:val="15"/>
        <w:rPr>
          <w:rFonts w:hint="eastAsia"/>
          <w:lang w:val="en-US" w:eastAsia="zh-CN"/>
        </w:rPr>
      </w:pPr>
    </w:p>
    <w:p w14:paraId="3C63871A">
      <w:pPr>
        <w:pStyle w:val="36"/>
        <w:spacing w:line="360" w:lineRule="auto"/>
        <w:ind w:left="0" w:leftChars="0" w:firstLine="0" w:firstLineChars="0"/>
        <w:jc w:val="left"/>
        <w:rPr>
          <w:rFonts w:hint="eastAsia"/>
          <w:highlight w:val="none"/>
          <w:lang w:val="en-US" w:eastAsia="zh-CN"/>
        </w:rPr>
      </w:pPr>
      <w:bookmarkStart w:id="3031" w:name="_Toc10474"/>
      <w:r>
        <w:rPr>
          <w:rFonts w:hint="eastAsia"/>
          <w:highlight w:val="none"/>
          <w:lang w:val="en-US" w:eastAsia="zh-CN"/>
        </w:rPr>
        <w:t>附件二：施工总平面图</w:t>
      </w:r>
      <w:bookmarkEnd w:id="3031"/>
    </w:p>
    <w:p w14:paraId="45A6C090">
      <w:pPr>
        <w:pStyle w:val="46"/>
        <w:ind w:left="0" w:leftChars="0" w:firstLine="0" w:firstLineChars="0"/>
      </w:pPr>
    </w:p>
    <w:p w14:paraId="354FC3DC">
      <w:pPr>
        <w:pStyle w:val="22"/>
        <w:rPr>
          <w:rFonts w:hint="eastAsia" w:eastAsia="宋体"/>
          <w:lang w:eastAsia="zh-CN"/>
        </w:rPr>
        <w:sectPr>
          <w:headerReference r:id="rId12" w:type="default"/>
          <w:pgSz w:w="23757" w:h="16783" w:orient="landscape"/>
          <w:pgMar w:top="1247" w:right="1440" w:bottom="1134" w:left="1440" w:header="850" w:footer="992" w:gutter="0"/>
          <w:pgNumType w:fmt="numberInDash"/>
          <w:cols w:space="720" w:num="1"/>
          <w:docGrid w:linePitch="326" w:charSpace="0"/>
        </w:sectPr>
      </w:pPr>
      <w:r>
        <w:rPr>
          <w:rFonts w:hint="eastAsia" w:eastAsia="宋体"/>
          <w:lang w:eastAsia="zh-CN"/>
        </w:rPr>
        <w:drawing>
          <wp:inline distT="0" distB="0" distL="114300" distR="114300">
            <wp:extent cx="13249910" cy="7697470"/>
            <wp:effectExtent l="0" t="0" r="8890" b="13970"/>
            <wp:docPr id="334" name="图片 334" descr="A12总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A12总平"/>
                    <pic:cNvPicPr>
                      <a:picLocks noChangeAspect="1"/>
                    </pic:cNvPicPr>
                  </pic:nvPicPr>
                  <pic:blipFill>
                    <a:blip r:embed="rId159"/>
                    <a:stretch>
                      <a:fillRect/>
                    </a:stretch>
                  </pic:blipFill>
                  <pic:spPr>
                    <a:xfrm>
                      <a:off x="0" y="0"/>
                      <a:ext cx="13249910" cy="7697470"/>
                    </a:xfrm>
                    <a:prstGeom prst="rect">
                      <a:avLst/>
                    </a:prstGeom>
                  </pic:spPr>
                </pic:pic>
              </a:graphicData>
            </a:graphic>
          </wp:inline>
        </w:drawing>
      </w:r>
    </w:p>
    <w:bookmarkEnd w:id="10"/>
    <w:bookmarkEnd w:id="11"/>
    <w:bookmarkEnd w:id="676"/>
    <w:bookmarkEnd w:id="677"/>
    <w:bookmarkEnd w:id="678"/>
    <w:bookmarkEnd w:id="679"/>
    <w:bookmarkEnd w:id="680"/>
    <w:bookmarkEnd w:id="681"/>
    <w:bookmarkEnd w:id="682"/>
    <w:bookmarkEnd w:id="2954"/>
    <w:bookmarkEnd w:id="2955"/>
    <w:p w14:paraId="15E10107">
      <w:pPr>
        <w:pStyle w:val="36"/>
        <w:spacing w:line="360" w:lineRule="auto"/>
        <w:ind w:left="0" w:leftChars="0" w:firstLine="0" w:firstLineChars="0"/>
        <w:jc w:val="center"/>
        <w:rPr>
          <w:rFonts w:hint="eastAsia"/>
          <w:lang w:val="en-US" w:eastAsia="zh-CN"/>
        </w:rPr>
      </w:pPr>
      <w:bookmarkStart w:id="3032" w:name="_Toc7953"/>
      <w:bookmarkStart w:id="3033" w:name="_Toc13571"/>
      <w:bookmarkStart w:id="3034" w:name="_Toc21986"/>
      <w:bookmarkStart w:id="3035" w:name="_Toc11709"/>
      <w:bookmarkStart w:id="3036" w:name="_Toc16558"/>
      <w:bookmarkStart w:id="3037" w:name="_Toc1692"/>
      <w:bookmarkStart w:id="3038" w:name="_Toc9388"/>
      <w:bookmarkStart w:id="3039" w:name="_Toc13514"/>
      <w:r>
        <w:rPr>
          <w:rFonts w:hint="eastAsia"/>
        </w:rPr>
        <w:t>附件</w:t>
      </w:r>
      <w:bookmarkEnd w:id="3032"/>
      <w:bookmarkEnd w:id="3033"/>
      <w:r>
        <w:rPr>
          <w:rFonts w:hint="eastAsia"/>
          <w:lang w:val="en-US" w:eastAsia="zh-CN"/>
        </w:rPr>
        <w:t>三</w:t>
      </w:r>
      <w:r>
        <w:rPr>
          <w:rFonts w:hint="eastAsia"/>
        </w:rPr>
        <w:t>：</w:t>
      </w:r>
      <w:bookmarkEnd w:id="3034"/>
      <w:r>
        <w:rPr>
          <w:rFonts w:hint="eastAsia"/>
          <w:lang w:val="en-US" w:eastAsia="zh-CN"/>
        </w:rPr>
        <w:t>四集中平面布置图</w:t>
      </w:r>
      <w:bookmarkEnd w:id="3035"/>
    </w:p>
    <w:p w14:paraId="5E24B57C">
      <w:pPr>
        <w:ind w:left="0" w:leftChars="0" w:firstLine="0" w:firstLineChars="0"/>
        <w:rPr>
          <w:rFonts w:hint="default"/>
          <w:lang w:val="en-US" w:eastAsia="zh-CN"/>
        </w:rPr>
      </w:pPr>
      <w:r>
        <w:rPr>
          <w:rFonts w:hint="default"/>
          <w:lang w:val="en-US" w:eastAsia="zh-CN"/>
        </w:rPr>
        <w:drawing>
          <wp:inline distT="0" distB="0" distL="114300" distR="114300">
            <wp:extent cx="6047105" cy="7927340"/>
            <wp:effectExtent l="0" t="0" r="3175" b="12700"/>
            <wp:docPr id="353" name="图片 353" descr="项目驻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项目驻地(1)"/>
                    <pic:cNvPicPr>
                      <a:picLocks noChangeAspect="1"/>
                    </pic:cNvPicPr>
                  </pic:nvPicPr>
                  <pic:blipFill>
                    <a:blip r:embed="rId160"/>
                    <a:stretch>
                      <a:fillRect/>
                    </a:stretch>
                  </pic:blipFill>
                  <pic:spPr>
                    <a:xfrm>
                      <a:off x="0" y="0"/>
                      <a:ext cx="6047105" cy="7927340"/>
                    </a:xfrm>
                    <a:prstGeom prst="rect">
                      <a:avLst/>
                    </a:prstGeom>
                  </pic:spPr>
                </pic:pic>
              </a:graphicData>
            </a:graphic>
          </wp:inline>
        </w:drawing>
      </w:r>
    </w:p>
    <w:p w14:paraId="7FDF340F">
      <w:pPr>
        <w:pStyle w:val="14"/>
        <w:bidi w:val="0"/>
        <w:rPr>
          <w:rFonts w:hint="eastAsia"/>
        </w:rPr>
      </w:pPr>
    </w:p>
    <w:p w14:paraId="4E68A209">
      <w:pPr>
        <w:pStyle w:val="36"/>
        <w:spacing w:line="360" w:lineRule="auto"/>
        <w:ind w:left="0" w:leftChars="0" w:firstLine="0" w:firstLineChars="0"/>
        <w:jc w:val="center"/>
      </w:pPr>
      <w:bookmarkStart w:id="3040" w:name="_Toc25092"/>
      <w:r>
        <w:rPr>
          <w:rFonts w:hint="eastAsia"/>
        </w:rPr>
        <w:t>附件</w:t>
      </w:r>
      <w:r>
        <w:rPr>
          <w:rFonts w:hint="eastAsia"/>
          <w:lang w:val="en-US" w:eastAsia="zh-CN"/>
        </w:rPr>
        <w:t>四</w:t>
      </w:r>
      <w:r>
        <w:rPr>
          <w:rFonts w:hint="eastAsia"/>
        </w:rPr>
        <w:t>：主要施工机械配置及进场计划表</w:t>
      </w:r>
      <w:bookmarkEnd w:id="3040"/>
    </w:p>
    <w:tbl>
      <w:tblPr>
        <w:tblStyle w:val="47"/>
        <w:tblW w:w="8809" w:type="dxa"/>
        <w:tblInd w:w="-13" w:type="dxa"/>
        <w:tblLayout w:type="fixed"/>
        <w:tblCellMar>
          <w:top w:w="0" w:type="dxa"/>
          <w:left w:w="108" w:type="dxa"/>
          <w:bottom w:w="0" w:type="dxa"/>
          <w:right w:w="108" w:type="dxa"/>
        </w:tblCellMar>
      </w:tblPr>
      <w:tblGrid>
        <w:gridCol w:w="887"/>
        <w:gridCol w:w="1642"/>
        <w:gridCol w:w="1644"/>
        <w:gridCol w:w="1043"/>
        <w:gridCol w:w="1043"/>
        <w:gridCol w:w="1251"/>
        <w:gridCol w:w="1299"/>
      </w:tblGrid>
      <w:tr w14:paraId="2BDB6F8E">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bottom"/>
          </w:tcPr>
          <w:p w14:paraId="619FE5B6">
            <w:pPr>
              <w:widowControl/>
              <w:ind w:firstLine="0" w:firstLineChars="0"/>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序号</w:t>
            </w:r>
          </w:p>
        </w:tc>
        <w:tc>
          <w:tcPr>
            <w:tcW w:w="1642" w:type="dxa"/>
            <w:tcBorders>
              <w:top w:val="single" w:color="000000" w:sz="4" w:space="0"/>
              <w:left w:val="single" w:color="000000" w:sz="4" w:space="0"/>
              <w:bottom w:val="single" w:color="000000" w:sz="4" w:space="0"/>
              <w:right w:val="single" w:color="000000" w:sz="4" w:space="0"/>
            </w:tcBorders>
            <w:vAlign w:val="bottom"/>
          </w:tcPr>
          <w:p w14:paraId="3CD6FAF8">
            <w:pPr>
              <w:widowControl/>
              <w:ind w:firstLine="361"/>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设备名称</w:t>
            </w:r>
          </w:p>
        </w:tc>
        <w:tc>
          <w:tcPr>
            <w:tcW w:w="1644" w:type="dxa"/>
            <w:tcBorders>
              <w:top w:val="single" w:color="000000" w:sz="4" w:space="0"/>
              <w:left w:val="single" w:color="000000" w:sz="4" w:space="0"/>
              <w:bottom w:val="single" w:color="000000" w:sz="4" w:space="0"/>
              <w:right w:val="single" w:color="000000" w:sz="4" w:space="0"/>
            </w:tcBorders>
            <w:vAlign w:val="bottom"/>
          </w:tcPr>
          <w:p w14:paraId="0F756224">
            <w:pPr>
              <w:widowControl/>
              <w:ind w:firstLine="361"/>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型号规格</w:t>
            </w:r>
          </w:p>
        </w:tc>
        <w:tc>
          <w:tcPr>
            <w:tcW w:w="1043" w:type="dxa"/>
            <w:tcBorders>
              <w:top w:val="single" w:color="000000" w:sz="4" w:space="0"/>
              <w:left w:val="single" w:color="000000" w:sz="4" w:space="0"/>
              <w:bottom w:val="single" w:color="000000" w:sz="4" w:space="0"/>
              <w:right w:val="single" w:color="000000" w:sz="4" w:space="0"/>
            </w:tcBorders>
            <w:vAlign w:val="bottom"/>
          </w:tcPr>
          <w:p w14:paraId="2AEA008B">
            <w:pPr>
              <w:widowControl/>
              <w:ind w:firstLine="361"/>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单位</w:t>
            </w:r>
          </w:p>
        </w:tc>
        <w:tc>
          <w:tcPr>
            <w:tcW w:w="1043" w:type="dxa"/>
            <w:tcBorders>
              <w:top w:val="single" w:color="000000" w:sz="4" w:space="0"/>
              <w:left w:val="single" w:color="000000" w:sz="4" w:space="0"/>
              <w:bottom w:val="single" w:color="000000" w:sz="4" w:space="0"/>
              <w:right w:val="single" w:color="000000" w:sz="4" w:space="0"/>
            </w:tcBorders>
            <w:vAlign w:val="bottom"/>
          </w:tcPr>
          <w:p w14:paraId="76ABF630">
            <w:pPr>
              <w:widowControl/>
              <w:ind w:firstLine="361"/>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数量</w:t>
            </w:r>
          </w:p>
        </w:tc>
        <w:tc>
          <w:tcPr>
            <w:tcW w:w="1251" w:type="dxa"/>
            <w:tcBorders>
              <w:top w:val="single" w:color="000000" w:sz="4" w:space="0"/>
              <w:left w:val="single" w:color="000000" w:sz="4" w:space="0"/>
              <w:bottom w:val="single" w:color="000000" w:sz="4" w:space="0"/>
              <w:right w:val="single" w:color="000000" w:sz="4" w:space="0"/>
            </w:tcBorders>
            <w:vAlign w:val="bottom"/>
          </w:tcPr>
          <w:p w14:paraId="25F52DCA">
            <w:pPr>
              <w:widowControl/>
              <w:ind w:firstLine="0" w:firstLineChars="0"/>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进场计划</w:t>
            </w:r>
          </w:p>
        </w:tc>
        <w:tc>
          <w:tcPr>
            <w:tcW w:w="1299" w:type="dxa"/>
            <w:tcBorders>
              <w:top w:val="single" w:color="000000" w:sz="4" w:space="0"/>
              <w:left w:val="single" w:color="000000" w:sz="4" w:space="0"/>
              <w:bottom w:val="single" w:color="000000" w:sz="4" w:space="0"/>
              <w:right w:val="single" w:color="000000" w:sz="4" w:space="0"/>
            </w:tcBorders>
            <w:vAlign w:val="bottom"/>
          </w:tcPr>
          <w:p w14:paraId="3E90BCE6">
            <w:pPr>
              <w:widowControl/>
              <w:ind w:firstLine="361"/>
              <w:jc w:val="center"/>
              <w:textAlignment w:val="center"/>
              <w:rPr>
                <w:rFonts w:ascii="宋体" w:cs="宋体"/>
                <w:b/>
                <w:bCs/>
                <w:color w:val="000000"/>
                <w:sz w:val="18"/>
                <w:szCs w:val="18"/>
                <w:highlight w:val="none"/>
              </w:rPr>
            </w:pPr>
            <w:r>
              <w:rPr>
                <w:rFonts w:hint="eastAsia" w:ascii="宋体" w:hAnsi="宋体" w:cs="宋体"/>
                <w:b/>
                <w:bCs/>
                <w:color w:val="000000"/>
                <w:kern w:val="0"/>
                <w:sz w:val="18"/>
                <w:szCs w:val="18"/>
                <w:highlight w:val="none"/>
              </w:rPr>
              <w:t>备注</w:t>
            </w:r>
          </w:p>
        </w:tc>
      </w:tr>
      <w:tr w14:paraId="3D4E7E27">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503944D0">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w:t>
            </w:r>
          </w:p>
        </w:tc>
        <w:tc>
          <w:tcPr>
            <w:tcW w:w="1642" w:type="dxa"/>
            <w:tcBorders>
              <w:top w:val="single" w:color="000000" w:sz="4" w:space="0"/>
              <w:left w:val="single" w:color="000000" w:sz="4" w:space="0"/>
              <w:bottom w:val="single" w:color="000000" w:sz="4" w:space="0"/>
              <w:right w:val="single" w:color="000000" w:sz="4" w:space="0"/>
            </w:tcBorders>
            <w:vAlign w:val="center"/>
          </w:tcPr>
          <w:p w14:paraId="751FD5F3">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平地机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26FB1EF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GR2003</w:t>
            </w:r>
          </w:p>
        </w:tc>
        <w:tc>
          <w:tcPr>
            <w:tcW w:w="1043" w:type="dxa"/>
            <w:tcBorders>
              <w:top w:val="single" w:color="000000" w:sz="4" w:space="0"/>
              <w:left w:val="single" w:color="000000" w:sz="4" w:space="0"/>
              <w:bottom w:val="single" w:color="000000" w:sz="4" w:space="0"/>
              <w:right w:val="single" w:color="000000" w:sz="4" w:space="0"/>
            </w:tcBorders>
            <w:vAlign w:val="center"/>
          </w:tcPr>
          <w:p w14:paraId="3F18D1F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31E52F7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41785C5E">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419883FB">
            <w:pPr>
              <w:ind w:firstLine="360"/>
              <w:jc w:val="both"/>
              <w:rPr>
                <w:rFonts w:ascii="宋体" w:cs="宋体"/>
                <w:color w:val="000000"/>
                <w:sz w:val="18"/>
                <w:szCs w:val="18"/>
                <w:highlight w:val="none"/>
              </w:rPr>
            </w:pPr>
          </w:p>
        </w:tc>
      </w:tr>
      <w:tr w14:paraId="47812A0B">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6700FAE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642" w:type="dxa"/>
            <w:tcBorders>
              <w:top w:val="single" w:color="000000" w:sz="4" w:space="0"/>
              <w:left w:val="single" w:color="000000" w:sz="4" w:space="0"/>
              <w:bottom w:val="single" w:color="000000" w:sz="4" w:space="0"/>
              <w:right w:val="single" w:color="000000" w:sz="4" w:space="0"/>
            </w:tcBorders>
            <w:vAlign w:val="center"/>
          </w:tcPr>
          <w:p w14:paraId="0EEA3D9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钢轮压路机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7756249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SPR300C-8、HB138</w:t>
            </w:r>
          </w:p>
        </w:tc>
        <w:tc>
          <w:tcPr>
            <w:tcW w:w="1043" w:type="dxa"/>
            <w:tcBorders>
              <w:top w:val="single" w:color="000000" w:sz="4" w:space="0"/>
              <w:left w:val="single" w:color="000000" w:sz="4" w:space="0"/>
              <w:bottom w:val="single" w:color="000000" w:sz="4" w:space="0"/>
              <w:right w:val="single" w:color="000000" w:sz="4" w:space="0"/>
            </w:tcBorders>
            <w:vAlign w:val="center"/>
          </w:tcPr>
          <w:p w14:paraId="771928F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438A266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4</w:t>
            </w:r>
          </w:p>
        </w:tc>
        <w:tc>
          <w:tcPr>
            <w:tcW w:w="1251" w:type="dxa"/>
            <w:tcBorders>
              <w:top w:val="single" w:color="000000" w:sz="4" w:space="0"/>
              <w:left w:val="single" w:color="000000" w:sz="4" w:space="0"/>
              <w:bottom w:val="single" w:color="000000" w:sz="4" w:space="0"/>
              <w:right w:val="single" w:color="000000" w:sz="4" w:space="0"/>
            </w:tcBorders>
            <w:vAlign w:val="center"/>
          </w:tcPr>
          <w:p w14:paraId="37E3F28B">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586A040C">
            <w:pPr>
              <w:ind w:firstLine="360"/>
              <w:jc w:val="both"/>
              <w:rPr>
                <w:rFonts w:hint="eastAsia" w:ascii="宋体" w:eastAsia="宋体" w:cs="宋体"/>
                <w:color w:val="000000"/>
                <w:sz w:val="18"/>
                <w:szCs w:val="18"/>
                <w:highlight w:val="none"/>
                <w:lang w:val="en-US" w:eastAsia="zh-CN"/>
              </w:rPr>
            </w:pPr>
            <w:r>
              <w:rPr>
                <w:rFonts w:hint="eastAsia" w:ascii="宋体" w:cs="宋体"/>
                <w:color w:val="000000"/>
                <w:sz w:val="18"/>
                <w:szCs w:val="18"/>
                <w:highlight w:val="none"/>
                <w:lang w:val="en-US" w:eastAsia="zh-CN"/>
              </w:rPr>
              <w:t xml:space="preserve"> </w:t>
            </w:r>
          </w:p>
        </w:tc>
      </w:tr>
      <w:tr w14:paraId="696B13B0">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5D6DD66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3</w:t>
            </w:r>
          </w:p>
        </w:tc>
        <w:tc>
          <w:tcPr>
            <w:tcW w:w="1642" w:type="dxa"/>
            <w:tcBorders>
              <w:top w:val="single" w:color="000000" w:sz="4" w:space="0"/>
              <w:left w:val="single" w:color="000000" w:sz="4" w:space="0"/>
              <w:bottom w:val="single" w:color="000000" w:sz="4" w:space="0"/>
              <w:right w:val="single" w:color="000000" w:sz="4" w:space="0"/>
            </w:tcBorders>
            <w:vAlign w:val="center"/>
          </w:tcPr>
          <w:p w14:paraId="6493E04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轮胎压路机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34D930C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25T</w:t>
            </w:r>
          </w:p>
        </w:tc>
        <w:tc>
          <w:tcPr>
            <w:tcW w:w="1043" w:type="dxa"/>
            <w:tcBorders>
              <w:top w:val="single" w:color="000000" w:sz="4" w:space="0"/>
              <w:left w:val="single" w:color="000000" w:sz="4" w:space="0"/>
              <w:bottom w:val="single" w:color="000000" w:sz="4" w:space="0"/>
              <w:right w:val="single" w:color="000000" w:sz="4" w:space="0"/>
            </w:tcBorders>
            <w:vAlign w:val="center"/>
          </w:tcPr>
          <w:p w14:paraId="097A3F58">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7C80304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51E8F1E8">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6F4E725F">
            <w:pPr>
              <w:ind w:firstLine="360"/>
              <w:jc w:val="both"/>
              <w:rPr>
                <w:rFonts w:ascii="宋体" w:cs="宋体"/>
                <w:color w:val="000000"/>
                <w:sz w:val="18"/>
                <w:szCs w:val="18"/>
                <w:highlight w:val="none"/>
              </w:rPr>
            </w:pPr>
          </w:p>
        </w:tc>
      </w:tr>
      <w:tr w14:paraId="34F8222B">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6B636EB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4</w:t>
            </w:r>
          </w:p>
        </w:tc>
        <w:tc>
          <w:tcPr>
            <w:tcW w:w="1642" w:type="dxa"/>
            <w:tcBorders>
              <w:top w:val="single" w:color="000000" w:sz="4" w:space="0"/>
              <w:left w:val="single" w:color="000000" w:sz="4" w:space="0"/>
              <w:bottom w:val="single" w:color="000000" w:sz="4" w:space="0"/>
              <w:right w:val="single" w:color="000000" w:sz="4" w:space="0"/>
            </w:tcBorders>
            <w:vAlign w:val="center"/>
          </w:tcPr>
          <w:p w14:paraId="3D5A81B1">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推土机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7AE0894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SB16</w:t>
            </w:r>
          </w:p>
        </w:tc>
        <w:tc>
          <w:tcPr>
            <w:tcW w:w="1043" w:type="dxa"/>
            <w:tcBorders>
              <w:top w:val="single" w:color="000000" w:sz="4" w:space="0"/>
              <w:left w:val="single" w:color="000000" w:sz="4" w:space="0"/>
              <w:bottom w:val="single" w:color="000000" w:sz="4" w:space="0"/>
              <w:right w:val="single" w:color="000000" w:sz="4" w:space="0"/>
            </w:tcBorders>
            <w:vAlign w:val="center"/>
          </w:tcPr>
          <w:p w14:paraId="169135C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89EFD5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4AA576BD">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0901399E">
            <w:pPr>
              <w:ind w:firstLine="360"/>
              <w:jc w:val="both"/>
              <w:rPr>
                <w:rFonts w:ascii="宋体" w:cs="宋体"/>
                <w:color w:val="000000"/>
                <w:sz w:val="18"/>
                <w:szCs w:val="18"/>
                <w:highlight w:val="none"/>
              </w:rPr>
            </w:pPr>
          </w:p>
        </w:tc>
      </w:tr>
      <w:tr w14:paraId="5BC76339">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5ABE8FF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5</w:t>
            </w:r>
          </w:p>
        </w:tc>
        <w:tc>
          <w:tcPr>
            <w:tcW w:w="1642" w:type="dxa"/>
            <w:tcBorders>
              <w:top w:val="single" w:color="000000" w:sz="4" w:space="0"/>
              <w:left w:val="single" w:color="000000" w:sz="4" w:space="0"/>
              <w:bottom w:val="single" w:color="000000" w:sz="4" w:space="0"/>
              <w:right w:val="single" w:color="000000" w:sz="4" w:space="0"/>
            </w:tcBorders>
            <w:vAlign w:val="center"/>
          </w:tcPr>
          <w:p w14:paraId="0D1F538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挖掘机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3FBEF2E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小松、日立</w:t>
            </w:r>
          </w:p>
        </w:tc>
        <w:tc>
          <w:tcPr>
            <w:tcW w:w="1043" w:type="dxa"/>
            <w:tcBorders>
              <w:top w:val="single" w:color="000000" w:sz="4" w:space="0"/>
              <w:left w:val="single" w:color="000000" w:sz="4" w:space="0"/>
              <w:bottom w:val="single" w:color="000000" w:sz="4" w:space="0"/>
              <w:right w:val="single" w:color="000000" w:sz="4" w:space="0"/>
            </w:tcBorders>
            <w:vAlign w:val="center"/>
          </w:tcPr>
          <w:p w14:paraId="05837F88">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A607C0A">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10</w:t>
            </w:r>
          </w:p>
        </w:tc>
        <w:tc>
          <w:tcPr>
            <w:tcW w:w="1251" w:type="dxa"/>
            <w:tcBorders>
              <w:top w:val="single" w:color="000000" w:sz="4" w:space="0"/>
              <w:left w:val="single" w:color="000000" w:sz="4" w:space="0"/>
              <w:bottom w:val="single" w:color="000000" w:sz="4" w:space="0"/>
              <w:right w:val="single" w:color="000000" w:sz="4" w:space="0"/>
            </w:tcBorders>
            <w:vAlign w:val="center"/>
          </w:tcPr>
          <w:p w14:paraId="5C339ECF">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320255BB">
            <w:pPr>
              <w:ind w:firstLine="360"/>
              <w:jc w:val="both"/>
              <w:rPr>
                <w:rFonts w:ascii="宋体" w:cs="宋体"/>
                <w:color w:val="000000"/>
                <w:sz w:val="18"/>
                <w:szCs w:val="18"/>
                <w:highlight w:val="none"/>
              </w:rPr>
            </w:pPr>
          </w:p>
        </w:tc>
      </w:tr>
      <w:tr w14:paraId="471C7AAC">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4EB422C1">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6</w:t>
            </w:r>
          </w:p>
        </w:tc>
        <w:tc>
          <w:tcPr>
            <w:tcW w:w="1642" w:type="dxa"/>
            <w:tcBorders>
              <w:top w:val="single" w:color="000000" w:sz="4" w:space="0"/>
              <w:left w:val="single" w:color="000000" w:sz="4" w:space="0"/>
              <w:bottom w:val="single" w:color="000000" w:sz="4" w:space="0"/>
              <w:right w:val="single" w:color="000000" w:sz="4" w:space="0"/>
            </w:tcBorders>
            <w:vAlign w:val="center"/>
          </w:tcPr>
          <w:p w14:paraId="7D3A3B0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装载机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02EF6BC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龙工、厦工</w:t>
            </w:r>
          </w:p>
        </w:tc>
        <w:tc>
          <w:tcPr>
            <w:tcW w:w="1043" w:type="dxa"/>
            <w:tcBorders>
              <w:top w:val="single" w:color="000000" w:sz="4" w:space="0"/>
              <w:left w:val="single" w:color="000000" w:sz="4" w:space="0"/>
              <w:bottom w:val="single" w:color="000000" w:sz="4" w:space="0"/>
              <w:right w:val="single" w:color="000000" w:sz="4" w:space="0"/>
            </w:tcBorders>
            <w:vAlign w:val="center"/>
          </w:tcPr>
          <w:p w14:paraId="305980C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6A84CE1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6</w:t>
            </w:r>
          </w:p>
        </w:tc>
        <w:tc>
          <w:tcPr>
            <w:tcW w:w="1251" w:type="dxa"/>
            <w:tcBorders>
              <w:top w:val="single" w:color="000000" w:sz="4" w:space="0"/>
              <w:left w:val="single" w:color="000000" w:sz="4" w:space="0"/>
              <w:bottom w:val="single" w:color="000000" w:sz="4" w:space="0"/>
              <w:right w:val="single" w:color="000000" w:sz="4" w:space="0"/>
            </w:tcBorders>
            <w:vAlign w:val="center"/>
          </w:tcPr>
          <w:p w14:paraId="5FB7B0AE">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57896AF5">
            <w:pPr>
              <w:ind w:firstLine="360"/>
              <w:jc w:val="both"/>
              <w:rPr>
                <w:rFonts w:ascii="宋体" w:cs="宋体"/>
                <w:color w:val="000000"/>
                <w:sz w:val="18"/>
                <w:szCs w:val="18"/>
                <w:highlight w:val="none"/>
              </w:rPr>
            </w:pPr>
          </w:p>
        </w:tc>
      </w:tr>
      <w:tr w14:paraId="46DC0CC1">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2988425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7</w:t>
            </w:r>
          </w:p>
        </w:tc>
        <w:tc>
          <w:tcPr>
            <w:tcW w:w="1642" w:type="dxa"/>
            <w:tcBorders>
              <w:top w:val="single" w:color="000000" w:sz="4" w:space="0"/>
              <w:left w:val="single" w:color="000000" w:sz="4" w:space="0"/>
              <w:bottom w:val="single" w:color="000000" w:sz="4" w:space="0"/>
              <w:right w:val="single" w:color="000000" w:sz="4" w:space="0"/>
            </w:tcBorders>
            <w:vAlign w:val="center"/>
          </w:tcPr>
          <w:p w14:paraId="3011663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 xml:space="preserve"> 数控钢筋设备</w:t>
            </w:r>
          </w:p>
        </w:tc>
        <w:tc>
          <w:tcPr>
            <w:tcW w:w="1644" w:type="dxa"/>
            <w:tcBorders>
              <w:top w:val="single" w:color="000000" w:sz="4" w:space="0"/>
              <w:left w:val="single" w:color="000000" w:sz="4" w:space="0"/>
              <w:bottom w:val="single" w:color="000000" w:sz="4" w:space="0"/>
              <w:right w:val="single" w:color="000000" w:sz="4" w:space="0"/>
            </w:tcBorders>
            <w:vAlign w:val="center"/>
          </w:tcPr>
          <w:p w14:paraId="107DAFB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p>
        </w:tc>
        <w:tc>
          <w:tcPr>
            <w:tcW w:w="1043" w:type="dxa"/>
            <w:tcBorders>
              <w:top w:val="single" w:color="000000" w:sz="4" w:space="0"/>
              <w:left w:val="single" w:color="000000" w:sz="4" w:space="0"/>
              <w:bottom w:val="single" w:color="000000" w:sz="4" w:space="0"/>
              <w:right w:val="single" w:color="000000" w:sz="4" w:space="0"/>
            </w:tcBorders>
            <w:vAlign w:val="center"/>
          </w:tcPr>
          <w:p w14:paraId="5031DECA">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套</w:t>
            </w:r>
          </w:p>
        </w:tc>
        <w:tc>
          <w:tcPr>
            <w:tcW w:w="1043" w:type="dxa"/>
            <w:tcBorders>
              <w:top w:val="single" w:color="000000" w:sz="4" w:space="0"/>
              <w:left w:val="single" w:color="000000" w:sz="4" w:space="0"/>
              <w:bottom w:val="single" w:color="000000" w:sz="4" w:space="0"/>
              <w:right w:val="single" w:color="000000" w:sz="4" w:space="0"/>
            </w:tcBorders>
            <w:vAlign w:val="center"/>
          </w:tcPr>
          <w:p w14:paraId="3DCA414A">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w:t>
            </w:r>
          </w:p>
        </w:tc>
        <w:tc>
          <w:tcPr>
            <w:tcW w:w="1251" w:type="dxa"/>
            <w:tcBorders>
              <w:top w:val="single" w:color="000000" w:sz="4" w:space="0"/>
              <w:left w:val="single" w:color="000000" w:sz="4" w:space="0"/>
              <w:bottom w:val="single" w:color="000000" w:sz="4" w:space="0"/>
              <w:right w:val="single" w:color="000000" w:sz="4" w:space="0"/>
            </w:tcBorders>
            <w:vAlign w:val="center"/>
          </w:tcPr>
          <w:p w14:paraId="57E47143">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2026.4</w:t>
            </w:r>
          </w:p>
        </w:tc>
        <w:tc>
          <w:tcPr>
            <w:tcW w:w="1299" w:type="dxa"/>
            <w:tcBorders>
              <w:top w:val="single" w:color="000000" w:sz="4" w:space="0"/>
              <w:left w:val="single" w:color="000000" w:sz="4" w:space="0"/>
              <w:bottom w:val="single" w:color="000000" w:sz="4" w:space="0"/>
              <w:right w:val="single" w:color="000000" w:sz="4" w:space="0"/>
            </w:tcBorders>
            <w:vAlign w:val="center"/>
          </w:tcPr>
          <w:p w14:paraId="1B747807">
            <w:pPr>
              <w:ind w:firstLine="360"/>
              <w:jc w:val="both"/>
              <w:rPr>
                <w:rFonts w:ascii="宋体" w:cs="宋体"/>
                <w:color w:val="000000"/>
                <w:sz w:val="18"/>
                <w:szCs w:val="18"/>
                <w:highlight w:val="none"/>
              </w:rPr>
            </w:pPr>
          </w:p>
        </w:tc>
      </w:tr>
      <w:tr w14:paraId="003443DD">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6B79636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8</w:t>
            </w:r>
          </w:p>
        </w:tc>
        <w:tc>
          <w:tcPr>
            <w:tcW w:w="1642" w:type="dxa"/>
            <w:tcBorders>
              <w:top w:val="single" w:color="000000" w:sz="4" w:space="0"/>
              <w:left w:val="single" w:color="000000" w:sz="4" w:space="0"/>
              <w:bottom w:val="single" w:color="000000" w:sz="4" w:space="0"/>
              <w:right w:val="single" w:color="000000" w:sz="4" w:space="0"/>
            </w:tcBorders>
            <w:vAlign w:val="center"/>
          </w:tcPr>
          <w:p w14:paraId="0903FA2E">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 xml:space="preserve"> 混凝土拌合机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79CDB6E3">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HZS120</w:t>
            </w:r>
          </w:p>
        </w:tc>
        <w:tc>
          <w:tcPr>
            <w:tcW w:w="1043" w:type="dxa"/>
            <w:tcBorders>
              <w:top w:val="single" w:color="000000" w:sz="4" w:space="0"/>
              <w:left w:val="single" w:color="000000" w:sz="4" w:space="0"/>
              <w:bottom w:val="single" w:color="000000" w:sz="4" w:space="0"/>
              <w:right w:val="single" w:color="000000" w:sz="4" w:space="0"/>
            </w:tcBorders>
            <w:vAlign w:val="center"/>
          </w:tcPr>
          <w:p w14:paraId="2D3A42E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套</w:t>
            </w:r>
          </w:p>
        </w:tc>
        <w:tc>
          <w:tcPr>
            <w:tcW w:w="1043" w:type="dxa"/>
            <w:tcBorders>
              <w:top w:val="single" w:color="000000" w:sz="4" w:space="0"/>
              <w:left w:val="single" w:color="000000" w:sz="4" w:space="0"/>
              <w:bottom w:val="single" w:color="000000" w:sz="4" w:space="0"/>
              <w:right w:val="single" w:color="000000" w:sz="4" w:space="0"/>
            </w:tcBorders>
            <w:vAlign w:val="center"/>
          </w:tcPr>
          <w:p w14:paraId="165735C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0723E61C">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4AE6BF6B">
            <w:pPr>
              <w:ind w:firstLine="360"/>
              <w:jc w:val="both"/>
              <w:rPr>
                <w:rFonts w:ascii="宋体" w:cs="宋体"/>
                <w:color w:val="000000"/>
                <w:sz w:val="18"/>
                <w:szCs w:val="18"/>
                <w:highlight w:val="none"/>
              </w:rPr>
            </w:pPr>
          </w:p>
        </w:tc>
      </w:tr>
      <w:tr w14:paraId="68E1BA3F">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6EF4F53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9</w:t>
            </w:r>
          </w:p>
        </w:tc>
        <w:tc>
          <w:tcPr>
            <w:tcW w:w="1642" w:type="dxa"/>
            <w:tcBorders>
              <w:top w:val="single" w:color="000000" w:sz="4" w:space="0"/>
              <w:left w:val="single" w:color="000000" w:sz="4" w:space="0"/>
              <w:bottom w:val="single" w:color="000000" w:sz="4" w:space="0"/>
              <w:right w:val="single" w:color="000000" w:sz="4" w:space="0"/>
            </w:tcBorders>
            <w:vAlign w:val="center"/>
          </w:tcPr>
          <w:p w14:paraId="06716E5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 xml:space="preserve"> 智能压浆设备</w:t>
            </w:r>
          </w:p>
        </w:tc>
        <w:tc>
          <w:tcPr>
            <w:tcW w:w="1644" w:type="dxa"/>
            <w:tcBorders>
              <w:top w:val="single" w:color="000000" w:sz="4" w:space="0"/>
              <w:left w:val="single" w:color="000000" w:sz="4" w:space="0"/>
              <w:bottom w:val="single" w:color="000000" w:sz="4" w:space="0"/>
              <w:right w:val="single" w:color="000000" w:sz="4" w:space="0"/>
            </w:tcBorders>
            <w:vAlign w:val="center"/>
          </w:tcPr>
          <w:p w14:paraId="4E2E3A10">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w:t>
            </w:r>
          </w:p>
        </w:tc>
        <w:tc>
          <w:tcPr>
            <w:tcW w:w="1043" w:type="dxa"/>
            <w:tcBorders>
              <w:top w:val="single" w:color="000000" w:sz="4" w:space="0"/>
              <w:left w:val="single" w:color="000000" w:sz="4" w:space="0"/>
              <w:bottom w:val="single" w:color="000000" w:sz="4" w:space="0"/>
              <w:right w:val="single" w:color="000000" w:sz="4" w:space="0"/>
            </w:tcBorders>
            <w:vAlign w:val="center"/>
          </w:tcPr>
          <w:p w14:paraId="53360BE8">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套</w:t>
            </w:r>
          </w:p>
        </w:tc>
        <w:tc>
          <w:tcPr>
            <w:tcW w:w="1043" w:type="dxa"/>
            <w:tcBorders>
              <w:top w:val="single" w:color="000000" w:sz="4" w:space="0"/>
              <w:left w:val="single" w:color="000000" w:sz="4" w:space="0"/>
              <w:bottom w:val="single" w:color="000000" w:sz="4" w:space="0"/>
              <w:right w:val="single" w:color="000000" w:sz="4" w:space="0"/>
            </w:tcBorders>
            <w:vAlign w:val="center"/>
          </w:tcPr>
          <w:p w14:paraId="59F2A7A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7DF24BB0">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2CC0311F">
            <w:pPr>
              <w:ind w:firstLine="360"/>
              <w:jc w:val="both"/>
              <w:rPr>
                <w:rFonts w:ascii="宋体" w:cs="宋体"/>
                <w:color w:val="000000"/>
                <w:sz w:val="18"/>
                <w:szCs w:val="18"/>
                <w:highlight w:val="none"/>
              </w:rPr>
            </w:pPr>
          </w:p>
        </w:tc>
      </w:tr>
      <w:tr w14:paraId="68C973D4">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73F4C0AF">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10</w:t>
            </w:r>
          </w:p>
        </w:tc>
        <w:tc>
          <w:tcPr>
            <w:tcW w:w="1642" w:type="dxa"/>
            <w:tcBorders>
              <w:top w:val="single" w:color="000000" w:sz="4" w:space="0"/>
              <w:left w:val="single" w:color="000000" w:sz="4" w:space="0"/>
              <w:bottom w:val="single" w:color="000000" w:sz="4" w:space="0"/>
              <w:right w:val="single" w:color="000000" w:sz="4" w:space="0"/>
            </w:tcBorders>
            <w:vAlign w:val="center"/>
          </w:tcPr>
          <w:p w14:paraId="421E4B3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静压机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0D38DC7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w:t>
            </w:r>
          </w:p>
        </w:tc>
        <w:tc>
          <w:tcPr>
            <w:tcW w:w="1043" w:type="dxa"/>
            <w:tcBorders>
              <w:top w:val="single" w:color="000000" w:sz="4" w:space="0"/>
              <w:left w:val="single" w:color="000000" w:sz="4" w:space="0"/>
              <w:bottom w:val="single" w:color="000000" w:sz="4" w:space="0"/>
              <w:right w:val="single" w:color="000000" w:sz="4" w:space="0"/>
            </w:tcBorders>
            <w:vAlign w:val="center"/>
          </w:tcPr>
          <w:p w14:paraId="1202391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0C253CD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08223BE3">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2026.4</w:t>
            </w:r>
          </w:p>
        </w:tc>
        <w:tc>
          <w:tcPr>
            <w:tcW w:w="1299" w:type="dxa"/>
            <w:tcBorders>
              <w:top w:val="single" w:color="000000" w:sz="4" w:space="0"/>
              <w:left w:val="single" w:color="000000" w:sz="4" w:space="0"/>
              <w:bottom w:val="single" w:color="000000" w:sz="4" w:space="0"/>
              <w:right w:val="single" w:color="000000" w:sz="4" w:space="0"/>
            </w:tcBorders>
            <w:vAlign w:val="center"/>
          </w:tcPr>
          <w:p w14:paraId="0146D25F">
            <w:pPr>
              <w:ind w:firstLine="360"/>
              <w:jc w:val="both"/>
              <w:rPr>
                <w:rFonts w:ascii="宋体" w:cs="宋体"/>
                <w:color w:val="000000"/>
                <w:sz w:val="18"/>
                <w:szCs w:val="18"/>
                <w:highlight w:val="none"/>
              </w:rPr>
            </w:pPr>
          </w:p>
        </w:tc>
      </w:tr>
      <w:tr w14:paraId="16B1D816">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6EE15A0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11</w:t>
            </w:r>
          </w:p>
        </w:tc>
        <w:tc>
          <w:tcPr>
            <w:tcW w:w="1642" w:type="dxa"/>
            <w:tcBorders>
              <w:top w:val="single" w:color="000000" w:sz="4" w:space="0"/>
              <w:left w:val="single" w:color="000000" w:sz="4" w:space="0"/>
              <w:bottom w:val="single" w:color="000000" w:sz="4" w:space="0"/>
              <w:right w:val="single" w:color="000000" w:sz="4" w:space="0"/>
            </w:tcBorders>
            <w:vAlign w:val="center"/>
          </w:tcPr>
          <w:p w14:paraId="1C9C79C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摊铺机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3C8A4CD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w:t>
            </w:r>
          </w:p>
        </w:tc>
        <w:tc>
          <w:tcPr>
            <w:tcW w:w="1043" w:type="dxa"/>
            <w:tcBorders>
              <w:top w:val="single" w:color="000000" w:sz="4" w:space="0"/>
              <w:left w:val="single" w:color="000000" w:sz="4" w:space="0"/>
              <w:bottom w:val="single" w:color="000000" w:sz="4" w:space="0"/>
              <w:right w:val="single" w:color="000000" w:sz="4" w:space="0"/>
            </w:tcBorders>
            <w:vAlign w:val="center"/>
          </w:tcPr>
          <w:p w14:paraId="053B4D48">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49FC7B5A">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65413F05">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361BD482">
            <w:pPr>
              <w:ind w:firstLine="360"/>
              <w:jc w:val="both"/>
              <w:rPr>
                <w:rFonts w:ascii="宋体" w:cs="宋体"/>
                <w:color w:val="000000"/>
                <w:sz w:val="18"/>
                <w:szCs w:val="18"/>
                <w:highlight w:val="none"/>
              </w:rPr>
            </w:pPr>
          </w:p>
        </w:tc>
      </w:tr>
      <w:tr w14:paraId="05FBA734">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1859714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12</w:t>
            </w:r>
          </w:p>
        </w:tc>
        <w:tc>
          <w:tcPr>
            <w:tcW w:w="1642" w:type="dxa"/>
            <w:tcBorders>
              <w:top w:val="single" w:color="000000" w:sz="4" w:space="0"/>
              <w:left w:val="single" w:color="000000" w:sz="4" w:space="0"/>
              <w:bottom w:val="single" w:color="000000" w:sz="4" w:space="0"/>
              <w:right w:val="single" w:color="000000" w:sz="4" w:space="0"/>
            </w:tcBorders>
            <w:vAlign w:val="center"/>
          </w:tcPr>
          <w:p w14:paraId="3C3A708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发电机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366EDCC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KH300</w:t>
            </w:r>
          </w:p>
        </w:tc>
        <w:tc>
          <w:tcPr>
            <w:tcW w:w="1043" w:type="dxa"/>
            <w:tcBorders>
              <w:top w:val="single" w:color="000000" w:sz="4" w:space="0"/>
              <w:left w:val="single" w:color="000000" w:sz="4" w:space="0"/>
              <w:bottom w:val="single" w:color="000000" w:sz="4" w:space="0"/>
              <w:right w:val="single" w:color="000000" w:sz="4" w:space="0"/>
            </w:tcBorders>
            <w:vAlign w:val="center"/>
          </w:tcPr>
          <w:p w14:paraId="03D5A73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1F22EC3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6</w:t>
            </w:r>
          </w:p>
        </w:tc>
        <w:tc>
          <w:tcPr>
            <w:tcW w:w="1251" w:type="dxa"/>
            <w:tcBorders>
              <w:top w:val="single" w:color="000000" w:sz="4" w:space="0"/>
              <w:left w:val="single" w:color="000000" w:sz="4" w:space="0"/>
              <w:bottom w:val="single" w:color="000000" w:sz="4" w:space="0"/>
              <w:right w:val="single" w:color="000000" w:sz="4" w:space="0"/>
            </w:tcBorders>
            <w:vAlign w:val="center"/>
          </w:tcPr>
          <w:p w14:paraId="01262EDC">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365A05BD">
            <w:pPr>
              <w:ind w:firstLine="360"/>
              <w:jc w:val="both"/>
              <w:rPr>
                <w:rFonts w:ascii="宋体" w:cs="宋体"/>
                <w:color w:val="000000"/>
                <w:sz w:val="18"/>
                <w:szCs w:val="18"/>
                <w:highlight w:val="none"/>
              </w:rPr>
            </w:pPr>
          </w:p>
        </w:tc>
      </w:tr>
      <w:tr w14:paraId="64AB3B8A">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13937D7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13</w:t>
            </w:r>
          </w:p>
        </w:tc>
        <w:tc>
          <w:tcPr>
            <w:tcW w:w="1642" w:type="dxa"/>
            <w:tcBorders>
              <w:top w:val="single" w:color="000000" w:sz="4" w:space="0"/>
              <w:left w:val="single" w:color="000000" w:sz="4" w:space="0"/>
              <w:bottom w:val="single" w:color="000000" w:sz="4" w:space="0"/>
              <w:right w:val="single" w:color="000000" w:sz="4" w:space="0"/>
            </w:tcBorders>
            <w:vAlign w:val="center"/>
          </w:tcPr>
          <w:p w14:paraId="4072824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泥浆运输车</w:t>
            </w:r>
          </w:p>
        </w:tc>
        <w:tc>
          <w:tcPr>
            <w:tcW w:w="1644" w:type="dxa"/>
            <w:tcBorders>
              <w:top w:val="single" w:color="000000" w:sz="4" w:space="0"/>
              <w:left w:val="single" w:color="000000" w:sz="4" w:space="0"/>
              <w:bottom w:val="single" w:color="000000" w:sz="4" w:space="0"/>
              <w:right w:val="single" w:color="000000" w:sz="4" w:space="0"/>
            </w:tcBorders>
            <w:vAlign w:val="center"/>
          </w:tcPr>
          <w:p w14:paraId="38C3F590">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20m3</w:t>
            </w:r>
          </w:p>
        </w:tc>
        <w:tc>
          <w:tcPr>
            <w:tcW w:w="1043" w:type="dxa"/>
            <w:tcBorders>
              <w:top w:val="single" w:color="000000" w:sz="4" w:space="0"/>
              <w:left w:val="single" w:color="000000" w:sz="4" w:space="0"/>
              <w:bottom w:val="single" w:color="000000" w:sz="4" w:space="0"/>
              <w:right w:val="single" w:color="000000" w:sz="4" w:space="0"/>
            </w:tcBorders>
            <w:vAlign w:val="center"/>
          </w:tcPr>
          <w:p w14:paraId="24A0B31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7A7939B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w:t>
            </w:r>
          </w:p>
        </w:tc>
        <w:tc>
          <w:tcPr>
            <w:tcW w:w="1251" w:type="dxa"/>
            <w:tcBorders>
              <w:top w:val="single" w:color="000000" w:sz="4" w:space="0"/>
              <w:left w:val="single" w:color="000000" w:sz="4" w:space="0"/>
              <w:bottom w:val="single" w:color="000000" w:sz="4" w:space="0"/>
              <w:right w:val="single" w:color="000000" w:sz="4" w:space="0"/>
            </w:tcBorders>
            <w:vAlign w:val="center"/>
          </w:tcPr>
          <w:p w14:paraId="174C3CA4">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3CCC795C">
            <w:pPr>
              <w:ind w:firstLine="360"/>
              <w:jc w:val="both"/>
              <w:rPr>
                <w:rFonts w:ascii="宋体" w:cs="宋体"/>
                <w:color w:val="000000"/>
                <w:sz w:val="18"/>
                <w:szCs w:val="18"/>
                <w:highlight w:val="none"/>
              </w:rPr>
            </w:pPr>
          </w:p>
        </w:tc>
      </w:tr>
      <w:tr w14:paraId="32EABA02">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1B647F90">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14</w:t>
            </w:r>
          </w:p>
        </w:tc>
        <w:tc>
          <w:tcPr>
            <w:tcW w:w="1642" w:type="dxa"/>
            <w:tcBorders>
              <w:top w:val="single" w:color="000000" w:sz="4" w:space="0"/>
              <w:left w:val="single" w:color="000000" w:sz="4" w:space="0"/>
              <w:bottom w:val="single" w:color="000000" w:sz="4" w:space="0"/>
              <w:right w:val="single" w:color="000000" w:sz="4" w:space="0"/>
            </w:tcBorders>
            <w:vAlign w:val="center"/>
          </w:tcPr>
          <w:p w14:paraId="0B836038">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土方运输车</w:t>
            </w:r>
          </w:p>
        </w:tc>
        <w:tc>
          <w:tcPr>
            <w:tcW w:w="1644" w:type="dxa"/>
            <w:tcBorders>
              <w:top w:val="single" w:color="000000" w:sz="4" w:space="0"/>
              <w:left w:val="single" w:color="000000" w:sz="4" w:space="0"/>
              <w:bottom w:val="single" w:color="000000" w:sz="4" w:space="0"/>
              <w:right w:val="single" w:color="000000" w:sz="4" w:space="0"/>
            </w:tcBorders>
            <w:vAlign w:val="center"/>
          </w:tcPr>
          <w:p w14:paraId="013C17A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25m3</w:t>
            </w:r>
          </w:p>
        </w:tc>
        <w:tc>
          <w:tcPr>
            <w:tcW w:w="1043" w:type="dxa"/>
            <w:tcBorders>
              <w:top w:val="single" w:color="000000" w:sz="4" w:space="0"/>
              <w:left w:val="single" w:color="000000" w:sz="4" w:space="0"/>
              <w:bottom w:val="single" w:color="000000" w:sz="4" w:space="0"/>
              <w:right w:val="single" w:color="000000" w:sz="4" w:space="0"/>
            </w:tcBorders>
            <w:vAlign w:val="center"/>
          </w:tcPr>
          <w:p w14:paraId="4B632A3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10C6DB12">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10</w:t>
            </w:r>
          </w:p>
        </w:tc>
        <w:tc>
          <w:tcPr>
            <w:tcW w:w="1251" w:type="dxa"/>
            <w:tcBorders>
              <w:top w:val="single" w:color="000000" w:sz="4" w:space="0"/>
              <w:left w:val="single" w:color="000000" w:sz="4" w:space="0"/>
              <w:bottom w:val="single" w:color="000000" w:sz="4" w:space="0"/>
              <w:right w:val="single" w:color="000000" w:sz="4" w:space="0"/>
            </w:tcBorders>
            <w:vAlign w:val="center"/>
          </w:tcPr>
          <w:p w14:paraId="6FEAD87D">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66643293">
            <w:pPr>
              <w:ind w:firstLine="360"/>
              <w:jc w:val="both"/>
              <w:rPr>
                <w:rFonts w:ascii="宋体" w:cs="宋体"/>
                <w:color w:val="000000"/>
                <w:sz w:val="18"/>
                <w:szCs w:val="18"/>
                <w:highlight w:val="none"/>
              </w:rPr>
            </w:pPr>
          </w:p>
        </w:tc>
      </w:tr>
      <w:tr w14:paraId="497F125F">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478C25F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15</w:t>
            </w:r>
          </w:p>
        </w:tc>
        <w:tc>
          <w:tcPr>
            <w:tcW w:w="1642" w:type="dxa"/>
            <w:tcBorders>
              <w:top w:val="single" w:color="000000" w:sz="4" w:space="0"/>
              <w:left w:val="single" w:color="000000" w:sz="4" w:space="0"/>
              <w:bottom w:val="single" w:color="000000" w:sz="4" w:space="0"/>
              <w:right w:val="single" w:color="000000" w:sz="4" w:space="0"/>
            </w:tcBorders>
            <w:vAlign w:val="center"/>
          </w:tcPr>
          <w:p w14:paraId="34EC4E2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洒水车</w:t>
            </w:r>
          </w:p>
        </w:tc>
        <w:tc>
          <w:tcPr>
            <w:tcW w:w="1644" w:type="dxa"/>
            <w:tcBorders>
              <w:top w:val="single" w:color="000000" w:sz="4" w:space="0"/>
              <w:left w:val="single" w:color="000000" w:sz="4" w:space="0"/>
              <w:bottom w:val="single" w:color="000000" w:sz="4" w:space="0"/>
              <w:right w:val="single" w:color="000000" w:sz="4" w:space="0"/>
            </w:tcBorders>
            <w:vAlign w:val="center"/>
          </w:tcPr>
          <w:p w14:paraId="7B7BD59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HLW5163GPS5EQ</w:t>
            </w:r>
          </w:p>
        </w:tc>
        <w:tc>
          <w:tcPr>
            <w:tcW w:w="1043" w:type="dxa"/>
            <w:tcBorders>
              <w:top w:val="single" w:color="000000" w:sz="4" w:space="0"/>
              <w:left w:val="single" w:color="000000" w:sz="4" w:space="0"/>
              <w:bottom w:val="single" w:color="000000" w:sz="4" w:space="0"/>
              <w:right w:val="single" w:color="000000" w:sz="4" w:space="0"/>
            </w:tcBorders>
            <w:vAlign w:val="center"/>
          </w:tcPr>
          <w:p w14:paraId="36F5DE8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辆</w:t>
            </w:r>
          </w:p>
        </w:tc>
        <w:tc>
          <w:tcPr>
            <w:tcW w:w="1043" w:type="dxa"/>
            <w:tcBorders>
              <w:top w:val="single" w:color="000000" w:sz="4" w:space="0"/>
              <w:left w:val="single" w:color="000000" w:sz="4" w:space="0"/>
              <w:bottom w:val="single" w:color="000000" w:sz="4" w:space="0"/>
              <w:right w:val="single" w:color="000000" w:sz="4" w:space="0"/>
            </w:tcBorders>
            <w:vAlign w:val="center"/>
          </w:tcPr>
          <w:p w14:paraId="183272D3">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3</w:t>
            </w:r>
          </w:p>
        </w:tc>
        <w:tc>
          <w:tcPr>
            <w:tcW w:w="1251" w:type="dxa"/>
            <w:tcBorders>
              <w:top w:val="single" w:color="000000" w:sz="4" w:space="0"/>
              <w:left w:val="single" w:color="000000" w:sz="4" w:space="0"/>
              <w:bottom w:val="single" w:color="000000" w:sz="4" w:space="0"/>
              <w:right w:val="single" w:color="000000" w:sz="4" w:space="0"/>
            </w:tcBorders>
            <w:vAlign w:val="center"/>
          </w:tcPr>
          <w:p w14:paraId="21CCE633">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401BECD1">
            <w:pPr>
              <w:ind w:firstLine="360"/>
              <w:jc w:val="both"/>
              <w:rPr>
                <w:rFonts w:ascii="宋体" w:cs="宋体"/>
                <w:color w:val="000000"/>
                <w:sz w:val="18"/>
                <w:szCs w:val="18"/>
                <w:highlight w:val="none"/>
              </w:rPr>
            </w:pPr>
          </w:p>
        </w:tc>
      </w:tr>
      <w:tr w14:paraId="3BECB091">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0317871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16</w:t>
            </w:r>
          </w:p>
        </w:tc>
        <w:tc>
          <w:tcPr>
            <w:tcW w:w="1642" w:type="dxa"/>
            <w:tcBorders>
              <w:top w:val="single" w:color="000000" w:sz="4" w:space="0"/>
              <w:left w:val="single" w:color="000000" w:sz="4" w:space="0"/>
              <w:bottom w:val="single" w:color="000000" w:sz="4" w:space="0"/>
              <w:right w:val="single" w:color="000000" w:sz="4" w:space="0"/>
            </w:tcBorders>
            <w:vAlign w:val="center"/>
          </w:tcPr>
          <w:p w14:paraId="6FCBB5F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炮雾车</w:t>
            </w:r>
          </w:p>
        </w:tc>
        <w:tc>
          <w:tcPr>
            <w:tcW w:w="1644" w:type="dxa"/>
            <w:tcBorders>
              <w:top w:val="single" w:color="000000" w:sz="4" w:space="0"/>
              <w:left w:val="single" w:color="000000" w:sz="4" w:space="0"/>
              <w:bottom w:val="single" w:color="000000" w:sz="4" w:space="0"/>
              <w:right w:val="single" w:color="000000" w:sz="4" w:space="0"/>
            </w:tcBorders>
            <w:vAlign w:val="center"/>
          </w:tcPr>
          <w:p w14:paraId="55CDF71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HNY5040TDYB6</w:t>
            </w:r>
          </w:p>
        </w:tc>
        <w:tc>
          <w:tcPr>
            <w:tcW w:w="1043" w:type="dxa"/>
            <w:tcBorders>
              <w:top w:val="single" w:color="000000" w:sz="4" w:space="0"/>
              <w:left w:val="single" w:color="000000" w:sz="4" w:space="0"/>
              <w:bottom w:val="single" w:color="000000" w:sz="4" w:space="0"/>
              <w:right w:val="single" w:color="000000" w:sz="4" w:space="0"/>
            </w:tcBorders>
            <w:vAlign w:val="center"/>
          </w:tcPr>
          <w:p w14:paraId="12881B9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辆</w:t>
            </w:r>
          </w:p>
        </w:tc>
        <w:tc>
          <w:tcPr>
            <w:tcW w:w="1043" w:type="dxa"/>
            <w:tcBorders>
              <w:top w:val="single" w:color="000000" w:sz="4" w:space="0"/>
              <w:left w:val="single" w:color="000000" w:sz="4" w:space="0"/>
              <w:bottom w:val="single" w:color="000000" w:sz="4" w:space="0"/>
              <w:right w:val="single" w:color="000000" w:sz="4" w:space="0"/>
            </w:tcBorders>
            <w:vAlign w:val="center"/>
          </w:tcPr>
          <w:p w14:paraId="41432CE3">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411B0287">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7250FE1A">
            <w:pPr>
              <w:ind w:firstLine="360"/>
              <w:jc w:val="both"/>
              <w:rPr>
                <w:rFonts w:ascii="宋体" w:cs="宋体"/>
                <w:color w:val="000000"/>
                <w:sz w:val="18"/>
                <w:szCs w:val="18"/>
                <w:highlight w:val="none"/>
              </w:rPr>
            </w:pPr>
          </w:p>
        </w:tc>
      </w:tr>
      <w:tr w14:paraId="3234C6F4">
        <w:tblPrEx>
          <w:tblCellMar>
            <w:top w:w="0" w:type="dxa"/>
            <w:left w:w="108" w:type="dxa"/>
            <w:bottom w:w="0" w:type="dxa"/>
            <w:right w:w="108" w:type="dxa"/>
          </w:tblCellMar>
        </w:tblPrEx>
        <w:trPr>
          <w:trHeight w:val="471"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189B5E7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17</w:t>
            </w:r>
          </w:p>
        </w:tc>
        <w:tc>
          <w:tcPr>
            <w:tcW w:w="1642" w:type="dxa"/>
            <w:tcBorders>
              <w:top w:val="single" w:color="000000" w:sz="4" w:space="0"/>
              <w:left w:val="single" w:color="000000" w:sz="4" w:space="0"/>
              <w:bottom w:val="single" w:color="000000" w:sz="4" w:space="0"/>
              <w:right w:val="single" w:color="000000" w:sz="4" w:space="0"/>
            </w:tcBorders>
            <w:vAlign w:val="center"/>
          </w:tcPr>
          <w:p w14:paraId="3132944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冲击型钻孔桩机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3FB896C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JKL6、JK-6、JK8</w:t>
            </w:r>
          </w:p>
        </w:tc>
        <w:tc>
          <w:tcPr>
            <w:tcW w:w="1043" w:type="dxa"/>
            <w:tcBorders>
              <w:top w:val="single" w:color="000000" w:sz="4" w:space="0"/>
              <w:left w:val="single" w:color="000000" w:sz="4" w:space="0"/>
              <w:bottom w:val="single" w:color="000000" w:sz="4" w:space="0"/>
              <w:right w:val="single" w:color="000000" w:sz="4" w:space="0"/>
            </w:tcBorders>
            <w:vAlign w:val="center"/>
          </w:tcPr>
          <w:p w14:paraId="5D0DE612">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3434476E">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10</w:t>
            </w:r>
          </w:p>
        </w:tc>
        <w:tc>
          <w:tcPr>
            <w:tcW w:w="1251" w:type="dxa"/>
            <w:tcBorders>
              <w:top w:val="single" w:color="000000" w:sz="4" w:space="0"/>
              <w:left w:val="single" w:color="000000" w:sz="4" w:space="0"/>
              <w:bottom w:val="single" w:color="000000" w:sz="4" w:space="0"/>
              <w:right w:val="single" w:color="000000" w:sz="4" w:space="0"/>
            </w:tcBorders>
            <w:vAlign w:val="center"/>
          </w:tcPr>
          <w:p w14:paraId="2E4C1B25">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64A21316">
            <w:pPr>
              <w:ind w:firstLine="360"/>
              <w:jc w:val="both"/>
              <w:rPr>
                <w:rFonts w:ascii="宋体" w:cs="宋体"/>
                <w:color w:val="000000"/>
                <w:sz w:val="18"/>
                <w:szCs w:val="18"/>
                <w:highlight w:val="none"/>
              </w:rPr>
            </w:pPr>
          </w:p>
        </w:tc>
      </w:tr>
      <w:tr w14:paraId="57CEDDC1">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2B745F0C">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18</w:t>
            </w:r>
          </w:p>
        </w:tc>
        <w:tc>
          <w:tcPr>
            <w:tcW w:w="1642" w:type="dxa"/>
            <w:tcBorders>
              <w:top w:val="single" w:color="000000" w:sz="4" w:space="0"/>
              <w:left w:val="single" w:color="000000" w:sz="4" w:space="0"/>
              <w:bottom w:val="single" w:color="000000" w:sz="4" w:space="0"/>
              <w:right w:val="single" w:color="000000" w:sz="4" w:space="0"/>
            </w:tcBorders>
            <w:vAlign w:val="center"/>
          </w:tcPr>
          <w:p w14:paraId="0E4ED8BD">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电焊机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7D4FECCD">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YFH2000</w:t>
            </w:r>
          </w:p>
        </w:tc>
        <w:tc>
          <w:tcPr>
            <w:tcW w:w="1043" w:type="dxa"/>
            <w:tcBorders>
              <w:top w:val="single" w:color="000000" w:sz="4" w:space="0"/>
              <w:left w:val="single" w:color="000000" w:sz="4" w:space="0"/>
              <w:bottom w:val="single" w:color="000000" w:sz="4" w:space="0"/>
              <w:right w:val="single" w:color="000000" w:sz="4" w:space="0"/>
            </w:tcBorders>
            <w:vAlign w:val="center"/>
          </w:tcPr>
          <w:p w14:paraId="2C87B65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套</w:t>
            </w:r>
          </w:p>
        </w:tc>
        <w:tc>
          <w:tcPr>
            <w:tcW w:w="1043" w:type="dxa"/>
            <w:tcBorders>
              <w:top w:val="single" w:color="000000" w:sz="4" w:space="0"/>
              <w:left w:val="single" w:color="000000" w:sz="4" w:space="0"/>
              <w:bottom w:val="single" w:color="000000" w:sz="4" w:space="0"/>
              <w:right w:val="single" w:color="000000" w:sz="4" w:space="0"/>
            </w:tcBorders>
            <w:vAlign w:val="center"/>
          </w:tcPr>
          <w:p w14:paraId="51E3242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10</w:t>
            </w:r>
          </w:p>
        </w:tc>
        <w:tc>
          <w:tcPr>
            <w:tcW w:w="1251" w:type="dxa"/>
            <w:tcBorders>
              <w:top w:val="single" w:color="000000" w:sz="4" w:space="0"/>
              <w:left w:val="single" w:color="000000" w:sz="4" w:space="0"/>
              <w:bottom w:val="single" w:color="000000" w:sz="4" w:space="0"/>
              <w:right w:val="single" w:color="000000" w:sz="4" w:space="0"/>
            </w:tcBorders>
            <w:vAlign w:val="center"/>
          </w:tcPr>
          <w:p w14:paraId="260608D6">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2026.1</w:t>
            </w:r>
          </w:p>
        </w:tc>
        <w:tc>
          <w:tcPr>
            <w:tcW w:w="1299" w:type="dxa"/>
            <w:tcBorders>
              <w:top w:val="single" w:color="000000" w:sz="4" w:space="0"/>
              <w:left w:val="single" w:color="000000" w:sz="4" w:space="0"/>
              <w:bottom w:val="single" w:color="000000" w:sz="4" w:space="0"/>
              <w:right w:val="single" w:color="000000" w:sz="4" w:space="0"/>
            </w:tcBorders>
            <w:vAlign w:val="center"/>
          </w:tcPr>
          <w:p w14:paraId="0CF9EC9D">
            <w:pPr>
              <w:ind w:firstLine="360"/>
              <w:jc w:val="both"/>
              <w:rPr>
                <w:rFonts w:ascii="宋体" w:cs="宋体"/>
                <w:color w:val="000000"/>
                <w:sz w:val="18"/>
                <w:szCs w:val="18"/>
                <w:highlight w:val="none"/>
              </w:rPr>
            </w:pPr>
          </w:p>
        </w:tc>
      </w:tr>
      <w:tr w14:paraId="3396CB11">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00424A2F">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19</w:t>
            </w:r>
          </w:p>
        </w:tc>
        <w:tc>
          <w:tcPr>
            <w:tcW w:w="1642" w:type="dxa"/>
            <w:tcBorders>
              <w:top w:val="single" w:color="000000" w:sz="4" w:space="0"/>
              <w:left w:val="single" w:color="000000" w:sz="4" w:space="0"/>
              <w:bottom w:val="single" w:color="000000" w:sz="4" w:space="0"/>
              <w:right w:val="single" w:color="000000" w:sz="4" w:space="0"/>
            </w:tcBorders>
            <w:vAlign w:val="center"/>
          </w:tcPr>
          <w:p w14:paraId="3C1FA5F0">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eastAsia="宋体" w:cs="宋体"/>
                <w:i w:val="0"/>
                <w:iCs w:val="0"/>
                <w:snapToGrid w:val="0"/>
                <w:color w:val="auto"/>
                <w:kern w:val="0"/>
                <w:sz w:val="18"/>
                <w:szCs w:val="18"/>
                <w:highlight w:val="none"/>
                <w:u w:val="none"/>
                <w:lang w:val="en-US" w:eastAsia="zh-CN" w:bidi="ar"/>
              </w:rPr>
              <w:t>混凝土搅拌车</w:t>
            </w:r>
          </w:p>
        </w:tc>
        <w:tc>
          <w:tcPr>
            <w:tcW w:w="1644" w:type="dxa"/>
            <w:tcBorders>
              <w:top w:val="single" w:color="000000" w:sz="4" w:space="0"/>
              <w:left w:val="single" w:color="000000" w:sz="4" w:space="0"/>
              <w:bottom w:val="single" w:color="000000" w:sz="4" w:space="0"/>
              <w:right w:val="single" w:color="000000" w:sz="4" w:space="0"/>
            </w:tcBorders>
            <w:vAlign w:val="center"/>
          </w:tcPr>
          <w:p w14:paraId="7C6E25F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≥15t</w:t>
            </w:r>
          </w:p>
        </w:tc>
        <w:tc>
          <w:tcPr>
            <w:tcW w:w="1043" w:type="dxa"/>
            <w:tcBorders>
              <w:top w:val="single" w:color="000000" w:sz="4" w:space="0"/>
              <w:left w:val="single" w:color="000000" w:sz="4" w:space="0"/>
              <w:bottom w:val="single" w:color="000000" w:sz="4" w:space="0"/>
              <w:right w:val="single" w:color="000000" w:sz="4" w:space="0"/>
            </w:tcBorders>
            <w:vAlign w:val="center"/>
          </w:tcPr>
          <w:p w14:paraId="4F3F297C">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F783B07">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6</w:t>
            </w:r>
          </w:p>
        </w:tc>
        <w:tc>
          <w:tcPr>
            <w:tcW w:w="1251" w:type="dxa"/>
            <w:tcBorders>
              <w:top w:val="single" w:color="000000" w:sz="4" w:space="0"/>
              <w:left w:val="single" w:color="000000" w:sz="4" w:space="0"/>
              <w:bottom w:val="single" w:color="000000" w:sz="4" w:space="0"/>
              <w:right w:val="single" w:color="000000" w:sz="4" w:space="0"/>
            </w:tcBorders>
            <w:vAlign w:val="center"/>
          </w:tcPr>
          <w:p w14:paraId="1D9E5B01">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1BE0C3B0">
            <w:pPr>
              <w:ind w:firstLine="360"/>
              <w:jc w:val="both"/>
              <w:rPr>
                <w:rFonts w:ascii="宋体" w:cs="宋体"/>
                <w:color w:val="000000"/>
                <w:sz w:val="18"/>
                <w:szCs w:val="18"/>
                <w:highlight w:val="none"/>
              </w:rPr>
            </w:pPr>
          </w:p>
        </w:tc>
      </w:tr>
      <w:tr w14:paraId="1C2AA82E">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4900DBB3">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w:t>
            </w:r>
          </w:p>
        </w:tc>
        <w:tc>
          <w:tcPr>
            <w:tcW w:w="1642" w:type="dxa"/>
            <w:tcBorders>
              <w:top w:val="single" w:color="000000" w:sz="4" w:space="0"/>
              <w:left w:val="single" w:color="000000" w:sz="4" w:space="0"/>
              <w:bottom w:val="single" w:color="000000" w:sz="4" w:space="0"/>
              <w:right w:val="single" w:color="000000" w:sz="4" w:space="0"/>
            </w:tcBorders>
            <w:vAlign w:val="center"/>
          </w:tcPr>
          <w:p w14:paraId="7C5C8B9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汽车吊</w:t>
            </w:r>
          </w:p>
        </w:tc>
        <w:tc>
          <w:tcPr>
            <w:tcW w:w="1644" w:type="dxa"/>
            <w:tcBorders>
              <w:top w:val="single" w:color="000000" w:sz="4" w:space="0"/>
              <w:left w:val="single" w:color="000000" w:sz="4" w:space="0"/>
              <w:bottom w:val="single" w:color="000000" w:sz="4" w:space="0"/>
              <w:right w:val="single" w:color="000000" w:sz="4" w:space="0"/>
            </w:tcBorders>
            <w:vAlign w:val="center"/>
          </w:tcPr>
          <w:p w14:paraId="1B39ED1F">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25/50</w:t>
            </w:r>
          </w:p>
        </w:tc>
        <w:tc>
          <w:tcPr>
            <w:tcW w:w="1043" w:type="dxa"/>
            <w:tcBorders>
              <w:top w:val="single" w:color="000000" w:sz="4" w:space="0"/>
              <w:left w:val="single" w:color="000000" w:sz="4" w:space="0"/>
              <w:bottom w:val="single" w:color="000000" w:sz="4" w:space="0"/>
              <w:right w:val="single" w:color="000000" w:sz="4" w:space="0"/>
            </w:tcBorders>
            <w:vAlign w:val="center"/>
          </w:tcPr>
          <w:p w14:paraId="7755BCA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05045A6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5</w:t>
            </w:r>
          </w:p>
        </w:tc>
        <w:tc>
          <w:tcPr>
            <w:tcW w:w="1251" w:type="dxa"/>
            <w:tcBorders>
              <w:top w:val="single" w:color="000000" w:sz="4" w:space="0"/>
              <w:left w:val="single" w:color="000000" w:sz="4" w:space="0"/>
              <w:bottom w:val="single" w:color="000000" w:sz="4" w:space="0"/>
              <w:right w:val="single" w:color="000000" w:sz="4" w:space="0"/>
            </w:tcBorders>
            <w:vAlign w:val="center"/>
          </w:tcPr>
          <w:p w14:paraId="431752B8">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5A74919F">
            <w:pPr>
              <w:ind w:firstLine="360"/>
              <w:jc w:val="both"/>
              <w:rPr>
                <w:rFonts w:ascii="宋体" w:cs="宋体"/>
                <w:color w:val="000000"/>
                <w:sz w:val="18"/>
                <w:szCs w:val="18"/>
                <w:highlight w:val="none"/>
              </w:rPr>
            </w:pPr>
          </w:p>
        </w:tc>
      </w:tr>
      <w:tr w14:paraId="3E27A667">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1C53389F">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21</w:t>
            </w:r>
          </w:p>
        </w:tc>
        <w:tc>
          <w:tcPr>
            <w:tcW w:w="1642" w:type="dxa"/>
            <w:tcBorders>
              <w:top w:val="single" w:color="000000" w:sz="4" w:space="0"/>
              <w:left w:val="single" w:color="000000" w:sz="4" w:space="0"/>
              <w:bottom w:val="single" w:color="000000" w:sz="4" w:space="0"/>
              <w:right w:val="single" w:color="000000" w:sz="4" w:space="0"/>
            </w:tcBorders>
            <w:vAlign w:val="center"/>
          </w:tcPr>
          <w:p w14:paraId="1C64A46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旋挖型钻孔桩机</w:t>
            </w:r>
          </w:p>
        </w:tc>
        <w:tc>
          <w:tcPr>
            <w:tcW w:w="1644" w:type="dxa"/>
            <w:tcBorders>
              <w:top w:val="single" w:color="000000" w:sz="4" w:space="0"/>
              <w:left w:val="single" w:color="000000" w:sz="4" w:space="0"/>
              <w:bottom w:val="single" w:color="000000" w:sz="4" w:space="0"/>
              <w:right w:val="single" w:color="000000" w:sz="4" w:space="0"/>
            </w:tcBorders>
            <w:vAlign w:val="center"/>
          </w:tcPr>
          <w:p w14:paraId="0BFF454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XR280D</w:t>
            </w:r>
          </w:p>
        </w:tc>
        <w:tc>
          <w:tcPr>
            <w:tcW w:w="1043" w:type="dxa"/>
            <w:tcBorders>
              <w:top w:val="single" w:color="000000" w:sz="4" w:space="0"/>
              <w:left w:val="single" w:color="000000" w:sz="4" w:space="0"/>
              <w:bottom w:val="single" w:color="000000" w:sz="4" w:space="0"/>
              <w:right w:val="single" w:color="000000" w:sz="4" w:space="0"/>
            </w:tcBorders>
            <w:vAlign w:val="center"/>
          </w:tcPr>
          <w:p w14:paraId="642E22C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6141E2B9">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5</w:t>
            </w:r>
          </w:p>
        </w:tc>
        <w:tc>
          <w:tcPr>
            <w:tcW w:w="1251" w:type="dxa"/>
            <w:tcBorders>
              <w:top w:val="single" w:color="000000" w:sz="4" w:space="0"/>
              <w:left w:val="single" w:color="000000" w:sz="4" w:space="0"/>
              <w:bottom w:val="single" w:color="000000" w:sz="4" w:space="0"/>
              <w:right w:val="single" w:color="000000" w:sz="4" w:space="0"/>
            </w:tcBorders>
            <w:vAlign w:val="center"/>
          </w:tcPr>
          <w:p w14:paraId="180B7A63">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7E82D923">
            <w:pPr>
              <w:ind w:firstLine="360"/>
              <w:jc w:val="both"/>
              <w:rPr>
                <w:rFonts w:ascii="宋体" w:cs="宋体"/>
                <w:color w:val="000000"/>
                <w:sz w:val="18"/>
                <w:szCs w:val="18"/>
                <w:highlight w:val="none"/>
              </w:rPr>
            </w:pPr>
          </w:p>
        </w:tc>
      </w:tr>
      <w:tr w14:paraId="422A8FEC">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65F2ECEC">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22</w:t>
            </w:r>
          </w:p>
        </w:tc>
        <w:tc>
          <w:tcPr>
            <w:tcW w:w="1642" w:type="dxa"/>
            <w:tcBorders>
              <w:top w:val="single" w:color="000000" w:sz="4" w:space="0"/>
              <w:left w:val="single" w:color="000000" w:sz="4" w:space="0"/>
              <w:bottom w:val="single" w:color="000000" w:sz="4" w:space="0"/>
              <w:right w:val="single" w:color="000000" w:sz="4" w:space="0"/>
            </w:tcBorders>
            <w:vAlign w:val="center"/>
          </w:tcPr>
          <w:p w14:paraId="317B22B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振动锤</w:t>
            </w:r>
          </w:p>
        </w:tc>
        <w:tc>
          <w:tcPr>
            <w:tcW w:w="1644" w:type="dxa"/>
            <w:tcBorders>
              <w:top w:val="single" w:color="000000" w:sz="4" w:space="0"/>
              <w:left w:val="single" w:color="000000" w:sz="4" w:space="0"/>
              <w:bottom w:val="single" w:color="000000" w:sz="4" w:space="0"/>
              <w:right w:val="single" w:color="000000" w:sz="4" w:space="0"/>
            </w:tcBorders>
            <w:vAlign w:val="center"/>
          </w:tcPr>
          <w:p w14:paraId="5DA75371">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DZ22Y</w:t>
            </w:r>
          </w:p>
        </w:tc>
        <w:tc>
          <w:tcPr>
            <w:tcW w:w="1043" w:type="dxa"/>
            <w:tcBorders>
              <w:top w:val="single" w:color="000000" w:sz="4" w:space="0"/>
              <w:left w:val="single" w:color="000000" w:sz="4" w:space="0"/>
              <w:bottom w:val="single" w:color="000000" w:sz="4" w:space="0"/>
              <w:right w:val="single" w:color="000000" w:sz="4" w:space="0"/>
            </w:tcBorders>
            <w:vAlign w:val="center"/>
          </w:tcPr>
          <w:p w14:paraId="07966DE0">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AC07614">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5</w:t>
            </w:r>
          </w:p>
        </w:tc>
        <w:tc>
          <w:tcPr>
            <w:tcW w:w="1251" w:type="dxa"/>
            <w:tcBorders>
              <w:top w:val="single" w:color="000000" w:sz="4" w:space="0"/>
              <w:left w:val="single" w:color="000000" w:sz="4" w:space="0"/>
              <w:bottom w:val="single" w:color="000000" w:sz="4" w:space="0"/>
              <w:right w:val="single" w:color="000000" w:sz="4" w:space="0"/>
            </w:tcBorders>
            <w:vAlign w:val="center"/>
          </w:tcPr>
          <w:p w14:paraId="24239B54">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5C755084">
            <w:pPr>
              <w:ind w:firstLine="360"/>
              <w:jc w:val="both"/>
              <w:rPr>
                <w:rFonts w:ascii="宋体" w:cs="宋体"/>
                <w:color w:val="000000"/>
                <w:sz w:val="18"/>
                <w:szCs w:val="18"/>
                <w:highlight w:val="none"/>
              </w:rPr>
            </w:pPr>
          </w:p>
        </w:tc>
      </w:tr>
      <w:tr w14:paraId="0D344DB7">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7DC20179">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23</w:t>
            </w:r>
          </w:p>
        </w:tc>
        <w:tc>
          <w:tcPr>
            <w:tcW w:w="1642" w:type="dxa"/>
            <w:tcBorders>
              <w:top w:val="single" w:color="000000" w:sz="4" w:space="0"/>
              <w:left w:val="single" w:color="000000" w:sz="4" w:space="0"/>
              <w:bottom w:val="single" w:color="000000" w:sz="4" w:space="0"/>
              <w:right w:val="single" w:color="000000" w:sz="4" w:space="0"/>
            </w:tcBorders>
            <w:vAlign w:val="center"/>
          </w:tcPr>
          <w:p w14:paraId="6D7E4581">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锤击桩</w:t>
            </w:r>
          </w:p>
        </w:tc>
        <w:tc>
          <w:tcPr>
            <w:tcW w:w="1644" w:type="dxa"/>
            <w:tcBorders>
              <w:top w:val="single" w:color="000000" w:sz="4" w:space="0"/>
              <w:left w:val="single" w:color="000000" w:sz="4" w:space="0"/>
              <w:bottom w:val="single" w:color="000000" w:sz="4" w:space="0"/>
              <w:right w:val="single" w:color="000000" w:sz="4" w:space="0"/>
            </w:tcBorders>
            <w:vAlign w:val="center"/>
          </w:tcPr>
          <w:p w14:paraId="47EA0AD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D180</w:t>
            </w:r>
          </w:p>
        </w:tc>
        <w:tc>
          <w:tcPr>
            <w:tcW w:w="1043" w:type="dxa"/>
            <w:tcBorders>
              <w:top w:val="single" w:color="000000" w:sz="4" w:space="0"/>
              <w:left w:val="single" w:color="000000" w:sz="4" w:space="0"/>
              <w:bottom w:val="single" w:color="000000" w:sz="4" w:space="0"/>
              <w:right w:val="single" w:color="000000" w:sz="4" w:space="0"/>
            </w:tcBorders>
            <w:vAlign w:val="center"/>
          </w:tcPr>
          <w:p w14:paraId="0296923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146759DC">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5</w:t>
            </w:r>
          </w:p>
        </w:tc>
        <w:tc>
          <w:tcPr>
            <w:tcW w:w="1251" w:type="dxa"/>
            <w:tcBorders>
              <w:top w:val="single" w:color="000000" w:sz="4" w:space="0"/>
              <w:left w:val="single" w:color="000000" w:sz="4" w:space="0"/>
              <w:bottom w:val="single" w:color="000000" w:sz="4" w:space="0"/>
              <w:right w:val="single" w:color="000000" w:sz="4" w:space="0"/>
            </w:tcBorders>
            <w:vAlign w:val="center"/>
          </w:tcPr>
          <w:p w14:paraId="359A4C87">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56C39035">
            <w:pPr>
              <w:keepNext w:val="0"/>
              <w:keepLines w:val="0"/>
              <w:widowControl/>
              <w:suppressLineNumbers w:val="0"/>
              <w:ind w:firstLine="360" w:firstLineChars="200"/>
              <w:jc w:val="both"/>
              <w:rPr>
                <w:rFonts w:ascii="宋体" w:cs="宋体"/>
                <w:color w:val="000000"/>
                <w:sz w:val="18"/>
                <w:szCs w:val="18"/>
                <w:highlight w:val="none"/>
              </w:rPr>
            </w:pPr>
          </w:p>
        </w:tc>
      </w:tr>
      <w:tr w14:paraId="5D84E8AF">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75165334">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24</w:t>
            </w:r>
          </w:p>
        </w:tc>
        <w:tc>
          <w:tcPr>
            <w:tcW w:w="1642" w:type="dxa"/>
            <w:tcBorders>
              <w:top w:val="single" w:color="000000" w:sz="4" w:space="0"/>
              <w:left w:val="single" w:color="000000" w:sz="4" w:space="0"/>
              <w:bottom w:val="single" w:color="000000" w:sz="4" w:space="0"/>
              <w:right w:val="single" w:color="000000" w:sz="4" w:space="0"/>
            </w:tcBorders>
            <w:vAlign w:val="center"/>
          </w:tcPr>
          <w:p w14:paraId="37858919">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桁吊</w:t>
            </w:r>
          </w:p>
        </w:tc>
        <w:tc>
          <w:tcPr>
            <w:tcW w:w="1644" w:type="dxa"/>
            <w:tcBorders>
              <w:top w:val="single" w:color="000000" w:sz="4" w:space="0"/>
              <w:left w:val="single" w:color="000000" w:sz="4" w:space="0"/>
              <w:bottom w:val="single" w:color="000000" w:sz="4" w:space="0"/>
              <w:right w:val="single" w:color="000000" w:sz="4" w:space="0"/>
            </w:tcBorders>
            <w:vAlign w:val="center"/>
          </w:tcPr>
          <w:p w14:paraId="1B637126">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10T</w:t>
            </w:r>
          </w:p>
        </w:tc>
        <w:tc>
          <w:tcPr>
            <w:tcW w:w="1043" w:type="dxa"/>
            <w:tcBorders>
              <w:top w:val="single" w:color="000000" w:sz="4" w:space="0"/>
              <w:left w:val="single" w:color="000000" w:sz="4" w:space="0"/>
              <w:bottom w:val="single" w:color="000000" w:sz="4" w:space="0"/>
              <w:right w:val="single" w:color="000000" w:sz="4" w:space="0"/>
            </w:tcBorders>
            <w:vAlign w:val="center"/>
          </w:tcPr>
          <w:p w14:paraId="7B529312">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3B7E2C38">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381F8491">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6C2513FB">
            <w:pPr>
              <w:ind w:firstLine="360"/>
              <w:jc w:val="both"/>
              <w:rPr>
                <w:rFonts w:ascii="宋体" w:cs="宋体"/>
                <w:color w:val="000000"/>
                <w:sz w:val="18"/>
                <w:szCs w:val="18"/>
                <w:highlight w:val="none"/>
              </w:rPr>
            </w:pPr>
          </w:p>
        </w:tc>
      </w:tr>
      <w:tr w14:paraId="3F6ACF5A">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72BA36D2">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25</w:t>
            </w:r>
          </w:p>
        </w:tc>
        <w:tc>
          <w:tcPr>
            <w:tcW w:w="1642" w:type="dxa"/>
            <w:tcBorders>
              <w:top w:val="single" w:color="000000" w:sz="4" w:space="0"/>
              <w:left w:val="single" w:color="000000" w:sz="4" w:space="0"/>
              <w:bottom w:val="single" w:color="000000" w:sz="4" w:space="0"/>
              <w:right w:val="single" w:color="000000" w:sz="4" w:space="0"/>
            </w:tcBorders>
            <w:vAlign w:val="center"/>
          </w:tcPr>
          <w:p w14:paraId="1EE8C83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各类水泵</w:t>
            </w:r>
          </w:p>
        </w:tc>
        <w:tc>
          <w:tcPr>
            <w:tcW w:w="1644" w:type="dxa"/>
            <w:tcBorders>
              <w:top w:val="single" w:color="000000" w:sz="4" w:space="0"/>
              <w:left w:val="single" w:color="000000" w:sz="4" w:space="0"/>
              <w:bottom w:val="single" w:color="000000" w:sz="4" w:space="0"/>
              <w:right w:val="single" w:color="000000" w:sz="4" w:space="0"/>
            </w:tcBorders>
            <w:vAlign w:val="center"/>
          </w:tcPr>
          <w:p w14:paraId="32E9E79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CC8</w:t>
            </w:r>
          </w:p>
        </w:tc>
        <w:tc>
          <w:tcPr>
            <w:tcW w:w="1043" w:type="dxa"/>
            <w:tcBorders>
              <w:top w:val="single" w:color="000000" w:sz="4" w:space="0"/>
              <w:left w:val="single" w:color="000000" w:sz="4" w:space="0"/>
              <w:bottom w:val="single" w:color="000000" w:sz="4" w:space="0"/>
              <w:right w:val="single" w:color="000000" w:sz="4" w:space="0"/>
            </w:tcBorders>
            <w:vAlign w:val="center"/>
          </w:tcPr>
          <w:p w14:paraId="6BAEAD77">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4D5B976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15</w:t>
            </w:r>
          </w:p>
        </w:tc>
        <w:tc>
          <w:tcPr>
            <w:tcW w:w="1251" w:type="dxa"/>
            <w:tcBorders>
              <w:top w:val="single" w:color="000000" w:sz="4" w:space="0"/>
              <w:left w:val="single" w:color="000000" w:sz="4" w:space="0"/>
              <w:bottom w:val="single" w:color="000000" w:sz="4" w:space="0"/>
              <w:right w:val="single" w:color="000000" w:sz="4" w:space="0"/>
            </w:tcBorders>
            <w:vAlign w:val="center"/>
          </w:tcPr>
          <w:p w14:paraId="40056F5A">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3A27B17D">
            <w:pPr>
              <w:ind w:firstLine="360"/>
              <w:jc w:val="both"/>
              <w:rPr>
                <w:rFonts w:ascii="宋体" w:cs="宋体"/>
                <w:color w:val="000000"/>
                <w:sz w:val="18"/>
                <w:szCs w:val="18"/>
                <w:highlight w:val="none"/>
              </w:rPr>
            </w:pPr>
          </w:p>
        </w:tc>
      </w:tr>
      <w:tr w14:paraId="099D1899">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57A305FB">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26</w:t>
            </w:r>
          </w:p>
        </w:tc>
        <w:tc>
          <w:tcPr>
            <w:tcW w:w="1642" w:type="dxa"/>
            <w:tcBorders>
              <w:top w:val="single" w:color="000000" w:sz="4" w:space="0"/>
              <w:left w:val="single" w:color="000000" w:sz="4" w:space="0"/>
              <w:bottom w:val="single" w:color="000000" w:sz="4" w:space="0"/>
              <w:right w:val="single" w:color="000000" w:sz="4" w:space="0"/>
            </w:tcBorders>
            <w:vAlign w:val="center"/>
          </w:tcPr>
          <w:p w14:paraId="2B8763E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电动夯</w:t>
            </w:r>
          </w:p>
        </w:tc>
        <w:tc>
          <w:tcPr>
            <w:tcW w:w="1644" w:type="dxa"/>
            <w:tcBorders>
              <w:top w:val="single" w:color="000000" w:sz="4" w:space="0"/>
              <w:left w:val="single" w:color="000000" w:sz="4" w:space="0"/>
              <w:bottom w:val="single" w:color="000000" w:sz="4" w:space="0"/>
              <w:right w:val="single" w:color="000000" w:sz="4" w:space="0"/>
            </w:tcBorders>
            <w:vAlign w:val="center"/>
          </w:tcPr>
          <w:p w14:paraId="4A07948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D9-11</w:t>
            </w:r>
          </w:p>
        </w:tc>
        <w:tc>
          <w:tcPr>
            <w:tcW w:w="1043" w:type="dxa"/>
            <w:tcBorders>
              <w:top w:val="single" w:color="000000" w:sz="4" w:space="0"/>
              <w:left w:val="single" w:color="000000" w:sz="4" w:space="0"/>
              <w:bottom w:val="single" w:color="000000" w:sz="4" w:space="0"/>
              <w:right w:val="single" w:color="000000" w:sz="4" w:space="0"/>
            </w:tcBorders>
            <w:vAlign w:val="center"/>
          </w:tcPr>
          <w:p w14:paraId="58AF09CE">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3CA18F92">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6</w:t>
            </w:r>
          </w:p>
        </w:tc>
        <w:tc>
          <w:tcPr>
            <w:tcW w:w="1251" w:type="dxa"/>
            <w:tcBorders>
              <w:top w:val="single" w:color="000000" w:sz="4" w:space="0"/>
              <w:left w:val="single" w:color="000000" w:sz="4" w:space="0"/>
              <w:bottom w:val="single" w:color="000000" w:sz="4" w:space="0"/>
              <w:right w:val="single" w:color="000000" w:sz="4" w:space="0"/>
            </w:tcBorders>
            <w:vAlign w:val="center"/>
          </w:tcPr>
          <w:p w14:paraId="5C658F88">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6B6FE22F">
            <w:pPr>
              <w:ind w:firstLine="360"/>
              <w:jc w:val="both"/>
              <w:rPr>
                <w:rFonts w:ascii="宋体" w:cs="宋体"/>
                <w:color w:val="000000"/>
                <w:sz w:val="18"/>
                <w:szCs w:val="18"/>
                <w:highlight w:val="none"/>
              </w:rPr>
            </w:pPr>
          </w:p>
        </w:tc>
      </w:tr>
      <w:tr w14:paraId="64C7D157">
        <w:tblPrEx>
          <w:tblCellMar>
            <w:top w:w="0" w:type="dxa"/>
            <w:left w:w="108" w:type="dxa"/>
            <w:bottom w:w="0" w:type="dxa"/>
            <w:right w:w="108" w:type="dxa"/>
          </w:tblCellMar>
        </w:tblPrEx>
        <w:trPr>
          <w:trHeight w:val="37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320F7184">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27</w:t>
            </w:r>
          </w:p>
        </w:tc>
        <w:tc>
          <w:tcPr>
            <w:tcW w:w="1642" w:type="dxa"/>
            <w:tcBorders>
              <w:top w:val="single" w:color="000000" w:sz="4" w:space="0"/>
              <w:left w:val="single" w:color="000000" w:sz="4" w:space="0"/>
              <w:bottom w:val="single" w:color="000000" w:sz="4" w:space="0"/>
              <w:right w:val="single" w:color="000000" w:sz="4" w:space="0"/>
            </w:tcBorders>
            <w:vAlign w:val="center"/>
          </w:tcPr>
          <w:p w14:paraId="1CC3C976">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GPS测量仪</w:t>
            </w:r>
          </w:p>
        </w:tc>
        <w:tc>
          <w:tcPr>
            <w:tcW w:w="1644" w:type="dxa"/>
            <w:tcBorders>
              <w:top w:val="single" w:color="000000" w:sz="4" w:space="0"/>
              <w:left w:val="single" w:color="000000" w:sz="4" w:space="0"/>
              <w:bottom w:val="single" w:color="000000" w:sz="4" w:space="0"/>
              <w:right w:val="single" w:color="000000" w:sz="4" w:space="0"/>
            </w:tcBorders>
            <w:vAlign w:val="center"/>
          </w:tcPr>
          <w:p w14:paraId="4CC0DEC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华测i90</w:t>
            </w:r>
          </w:p>
        </w:tc>
        <w:tc>
          <w:tcPr>
            <w:tcW w:w="1043" w:type="dxa"/>
            <w:tcBorders>
              <w:top w:val="single" w:color="000000" w:sz="4" w:space="0"/>
              <w:left w:val="single" w:color="000000" w:sz="4" w:space="0"/>
              <w:bottom w:val="single" w:color="000000" w:sz="4" w:space="0"/>
              <w:right w:val="single" w:color="000000" w:sz="4" w:space="0"/>
            </w:tcBorders>
            <w:vAlign w:val="center"/>
          </w:tcPr>
          <w:p w14:paraId="3B3DAA0D">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C10302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1</w:t>
            </w:r>
          </w:p>
        </w:tc>
        <w:tc>
          <w:tcPr>
            <w:tcW w:w="1251" w:type="dxa"/>
            <w:tcBorders>
              <w:top w:val="single" w:color="000000" w:sz="4" w:space="0"/>
              <w:left w:val="single" w:color="000000" w:sz="4" w:space="0"/>
              <w:bottom w:val="single" w:color="000000" w:sz="4" w:space="0"/>
              <w:right w:val="single" w:color="000000" w:sz="4" w:space="0"/>
            </w:tcBorders>
            <w:vAlign w:val="center"/>
          </w:tcPr>
          <w:p w14:paraId="057D7C97">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12017AE6">
            <w:pPr>
              <w:ind w:firstLine="360"/>
              <w:jc w:val="both"/>
              <w:rPr>
                <w:rFonts w:ascii="宋体" w:cs="宋体"/>
                <w:color w:val="000000"/>
                <w:sz w:val="18"/>
                <w:szCs w:val="18"/>
                <w:highlight w:val="none"/>
              </w:rPr>
            </w:pPr>
          </w:p>
        </w:tc>
      </w:tr>
      <w:tr w14:paraId="1643C4F2">
        <w:tblPrEx>
          <w:tblCellMar>
            <w:top w:w="0" w:type="dxa"/>
            <w:left w:w="108" w:type="dxa"/>
            <w:bottom w:w="0" w:type="dxa"/>
            <w:right w:w="108" w:type="dxa"/>
          </w:tblCellMar>
        </w:tblPrEx>
        <w:trPr>
          <w:trHeight w:val="739"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1900C743">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28</w:t>
            </w:r>
          </w:p>
        </w:tc>
        <w:tc>
          <w:tcPr>
            <w:tcW w:w="1642" w:type="dxa"/>
            <w:tcBorders>
              <w:top w:val="single" w:color="000000" w:sz="4" w:space="0"/>
              <w:left w:val="single" w:color="000000" w:sz="4" w:space="0"/>
              <w:bottom w:val="single" w:color="000000" w:sz="4" w:space="0"/>
              <w:right w:val="single" w:color="000000" w:sz="4" w:space="0"/>
            </w:tcBorders>
            <w:vAlign w:val="center"/>
          </w:tcPr>
          <w:p w14:paraId="6D23F934">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全站仪</w:t>
            </w:r>
          </w:p>
        </w:tc>
        <w:tc>
          <w:tcPr>
            <w:tcW w:w="1644" w:type="dxa"/>
            <w:tcBorders>
              <w:top w:val="single" w:color="000000" w:sz="4" w:space="0"/>
              <w:left w:val="single" w:color="000000" w:sz="4" w:space="0"/>
              <w:bottom w:val="single" w:color="000000" w:sz="4" w:space="0"/>
              <w:right w:val="single" w:color="000000" w:sz="4" w:space="0"/>
            </w:tcBorders>
            <w:vAlign w:val="center"/>
          </w:tcPr>
          <w:p w14:paraId="0038AD7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广州天宇CTS-632R4</w:t>
            </w:r>
          </w:p>
        </w:tc>
        <w:tc>
          <w:tcPr>
            <w:tcW w:w="1043" w:type="dxa"/>
            <w:tcBorders>
              <w:top w:val="single" w:color="000000" w:sz="4" w:space="0"/>
              <w:left w:val="single" w:color="000000" w:sz="4" w:space="0"/>
              <w:bottom w:val="single" w:color="000000" w:sz="4" w:space="0"/>
              <w:right w:val="single" w:color="000000" w:sz="4" w:space="0"/>
            </w:tcBorders>
            <w:vAlign w:val="center"/>
          </w:tcPr>
          <w:p w14:paraId="7721B0D8">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E6F4D01">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74BA20DC">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0A196BED">
            <w:pPr>
              <w:ind w:firstLine="360"/>
              <w:jc w:val="both"/>
              <w:rPr>
                <w:rFonts w:ascii="宋体" w:cs="宋体"/>
                <w:color w:val="000000"/>
                <w:sz w:val="18"/>
                <w:szCs w:val="18"/>
                <w:highlight w:val="none"/>
              </w:rPr>
            </w:pPr>
          </w:p>
        </w:tc>
      </w:tr>
      <w:tr w14:paraId="75812153">
        <w:tblPrEx>
          <w:tblCellMar>
            <w:top w:w="0" w:type="dxa"/>
            <w:left w:w="108" w:type="dxa"/>
            <w:bottom w:w="0" w:type="dxa"/>
            <w:right w:w="108" w:type="dxa"/>
          </w:tblCellMar>
        </w:tblPrEx>
        <w:trPr>
          <w:trHeight w:val="471"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4E5EC184">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29</w:t>
            </w:r>
          </w:p>
        </w:tc>
        <w:tc>
          <w:tcPr>
            <w:tcW w:w="1642" w:type="dxa"/>
            <w:tcBorders>
              <w:top w:val="single" w:color="000000" w:sz="4" w:space="0"/>
              <w:left w:val="single" w:color="000000" w:sz="4" w:space="0"/>
              <w:bottom w:val="single" w:color="000000" w:sz="4" w:space="0"/>
              <w:right w:val="single" w:color="000000" w:sz="4" w:space="0"/>
            </w:tcBorders>
            <w:vAlign w:val="center"/>
          </w:tcPr>
          <w:p w14:paraId="1C9C3E7A">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电子水准仪</w:t>
            </w:r>
          </w:p>
        </w:tc>
        <w:tc>
          <w:tcPr>
            <w:tcW w:w="1644" w:type="dxa"/>
            <w:tcBorders>
              <w:top w:val="single" w:color="000000" w:sz="4" w:space="0"/>
              <w:left w:val="single" w:color="000000" w:sz="4" w:space="0"/>
              <w:bottom w:val="single" w:color="000000" w:sz="4" w:space="0"/>
              <w:right w:val="single" w:color="000000" w:sz="4" w:space="0"/>
            </w:tcBorders>
            <w:vAlign w:val="center"/>
          </w:tcPr>
          <w:p w14:paraId="069CD4E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星瑞达TL-05</w:t>
            </w:r>
          </w:p>
        </w:tc>
        <w:tc>
          <w:tcPr>
            <w:tcW w:w="1043" w:type="dxa"/>
            <w:tcBorders>
              <w:top w:val="single" w:color="000000" w:sz="4" w:space="0"/>
              <w:left w:val="single" w:color="000000" w:sz="4" w:space="0"/>
              <w:bottom w:val="single" w:color="000000" w:sz="4" w:space="0"/>
              <w:right w:val="single" w:color="000000" w:sz="4" w:space="0"/>
            </w:tcBorders>
            <w:vAlign w:val="center"/>
          </w:tcPr>
          <w:p w14:paraId="1D480FC5">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50A8F5EA">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w:t>
            </w:r>
          </w:p>
        </w:tc>
        <w:tc>
          <w:tcPr>
            <w:tcW w:w="1251" w:type="dxa"/>
            <w:tcBorders>
              <w:top w:val="single" w:color="000000" w:sz="4" w:space="0"/>
              <w:left w:val="single" w:color="000000" w:sz="4" w:space="0"/>
              <w:bottom w:val="single" w:color="000000" w:sz="4" w:space="0"/>
              <w:right w:val="single" w:color="000000" w:sz="4" w:space="0"/>
            </w:tcBorders>
            <w:vAlign w:val="center"/>
          </w:tcPr>
          <w:p w14:paraId="3A426B78">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4B27852B">
            <w:pPr>
              <w:ind w:firstLine="360"/>
              <w:jc w:val="both"/>
              <w:rPr>
                <w:rFonts w:ascii="宋体" w:cs="宋体"/>
                <w:color w:val="000000"/>
                <w:sz w:val="18"/>
                <w:szCs w:val="18"/>
                <w:highlight w:val="none"/>
              </w:rPr>
            </w:pPr>
          </w:p>
        </w:tc>
      </w:tr>
      <w:tr w14:paraId="048294E0">
        <w:tblPrEx>
          <w:tblCellMar>
            <w:top w:w="0" w:type="dxa"/>
            <w:left w:w="108" w:type="dxa"/>
            <w:bottom w:w="0" w:type="dxa"/>
            <w:right w:w="108" w:type="dxa"/>
          </w:tblCellMar>
        </w:tblPrEx>
        <w:trPr>
          <w:trHeight w:val="400" w:hRule="atLeast"/>
        </w:trPr>
        <w:tc>
          <w:tcPr>
            <w:tcW w:w="887" w:type="dxa"/>
            <w:tcBorders>
              <w:top w:val="single" w:color="000000" w:sz="4" w:space="0"/>
              <w:left w:val="single" w:color="000000" w:sz="4" w:space="0"/>
              <w:bottom w:val="single" w:color="000000" w:sz="4" w:space="0"/>
              <w:right w:val="single" w:color="000000" w:sz="4" w:space="0"/>
            </w:tcBorders>
            <w:vAlign w:val="center"/>
          </w:tcPr>
          <w:p w14:paraId="2292CFD0">
            <w:pPr>
              <w:widowControl/>
              <w:ind w:left="0" w:leftChars="0" w:firstLine="0" w:firstLineChars="0"/>
              <w:jc w:val="center"/>
              <w:textAlignment w:val="center"/>
              <w:rPr>
                <w:rFonts w:hint="default"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30</w:t>
            </w:r>
          </w:p>
        </w:tc>
        <w:tc>
          <w:tcPr>
            <w:tcW w:w="1642" w:type="dxa"/>
            <w:tcBorders>
              <w:top w:val="single" w:color="000000" w:sz="4" w:space="0"/>
              <w:left w:val="single" w:color="000000" w:sz="4" w:space="0"/>
              <w:bottom w:val="single" w:color="000000" w:sz="4" w:space="0"/>
              <w:right w:val="single" w:color="000000" w:sz="4" w:space="0"/>
            </w:tcBorders>
            <w:vAlign w:val="center"/>
          </w:tcPr>
          <w:p w14:paraId="4E43C45C">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普通水准仪</w:t>
            </w:r>
          </w:p>
        </w:tc>
        <w:tc>
          <w:tcPr>
            <w:tcW w:w="1644" w:type="dxa"/>
            <w:tcBorders>
              <w:top w:val="single" w:color="000000" w:sz="4" w:space="0"/>
              <w:left w:val="single" w:color="000000" w:sz="4" w:space="0"/>
              <w:bottom w:val="single" w:color="000000" w:sz="4" w:space="0"/>
              <w:right w:val="single" w:color="000000" w:sz="4" w:space="0"/>
            </w:tcBorders>
            <w:vAlign w:val="center"/>
          </w:tcPr>
          <w:p w14:paraId="5F8C8B79">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苏光DS1</w:t>
            </w:r>
          </w:p>
        </w:tc>
        <w:tc>
          <w:tcPr>
            <w:tcW w:w="1043" w:type="dxa"/>
            <w:tcBorders>
              <w:top w:val="single" w:color="000000" w:sz="4" w:space="0"/>
              <w:left w:val="single" w:color="000000" w:sz="4" w:space="0"/>
              <w:bottom w:val="single" w:color="000000" w:sz="4" w:space="0"/>
              <w:right w:val="single" w:color="000000" w:sz="4" w:space="0"/>
            </w:tcBorders>
            <w:vAlign w:val="center"/>
          </w:tcPr>
          <w:p w14:paraId="3C66BCAB">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台</w:t>
            </w:r>
          </w:p>
        </w:tc>
        <w:tc>
          <w:tcPr>
            <w:tcW w:w="1043" w:type="dxa"/>
            <w:tcBorders>
              <w:top w:val="single" w:color="000000" w:sz="4" w:space="0"/>
              <w:left w:val="single" w:color="000000" w:sz="4" w:space="0"/>
              <w:bottom w:val="single" w:color="000000" w:sz="4" w:space="0"/>
              <w:right w:val="single" w:color="000000" w:sz="4" w:space="0"/>
            </w:tcBorders>
            <w:vAlign w:val="center"/>
          </w:tcPr>
          <w:p w14:paraId="44E314BF">
            <w:pPr>
              <w:widowControl/>
              <w:ind w:left="0" w:leftChars="0" w:firstLine="0" w:firstLineChars="0"/>
              <w:jc w:val="center"/>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5</w:t>
            </w:r>
          </w:p>
        </w:tc>
        <w:tc>
          <w:tcPr>
            <w:tcW w:w="1251" w:type="dxa"/>
            <w:tcBorders>
              <w:top w:val="single" w:color="000000" w:sz="4" w:space="0"/>
              <w:left w:val="single" w:color="000000" w:sz="4" w:space="0"/>
              <w:bottom w:val="single" w:color="000000" w:sz="4" w:space="0"/>
              <w:right w:val="single" w:color="000000" w:sz="4" w:space="0"/>
            </w:tcBorders>
            <w:vAlign w:val="center"/>
          </w:tcPr>
          <w:p w14:paraId="724D040B">
            <w:pPr>
              <w:widowControl/>
              <w:ind w:left="0" w:leftChars="0" w:firstLine="360" w:firstLineChars="200"/>
              <w:jc w:val="left"/>
              <w:textAlignment w:val="center"/>
              <w:rPr>
                <w:rFonts w:hint="eastAsia" w:ascii="宋体" w:hAnsi="宋体" w:cs="宋体"/>
                <w:color w:val="000000"/>
                <w:kern w:val="0"/>
                <w:sz w:val="18"/>
                <w:szCs w:val="18"/>
                <w:highlight w:val="none"/>
                <w:lang w:val="en-US" w:eastAsia="zh-CN"/>
              </w:rPr>
            </w:pPr>
            <w:r>
              <w:rPr>
                <w:rFonts w:hint="eastAsia" w:ascii="宋体" w:hAnsi="宋体" w:cs="宋体"/>
                <w:color w:val="000000"/>
                <w:kern w:val="0"/>
                <w:sz w:val="18"/>
                <w:szCs w:val="18"/>
                <w:highlight w:val="none"/>
                <w:lang w:val="en-US" w:eastAsia="zh-CN"/>
              </w:rPr>
              <w:t>2026.7</w:t>
            </w:r>
          </w:p>
        </w:tc>
        <w:tc>
          <w:tcPr>
            <w:tcW w:w="1299" w:type="dxa"/>
            <w:tcBorders>
              <w:top w:val="single" w:color="000000" w:sz="4" w:space="0"/>
              <w:left w:val="single" w:color="000000" w:sz="4" w:space="0"/>
              <w:bottom w:val="single" w:color="000000" w:sz="4" w:space="0"/>
              <w:right w:val="single" w:color="000000" w:sz="4" w:space="0"/>
            </w:tcBorders>
            <w:vAlign w:val="center"/>
          </w:tcPr>
          <w:p w14:paraId="4DF2D7DC">
            <w:pPr>
              <w:ind w:firstLine="360"/>
              <w:jc w:val="both"/>
              <w:rPr>
                <w:rFonts w:ascii="宋体" w:cs="宋体"/>
                <w:color w:val="000000"/>
                <w:sz w:val="18"/>
                <w:szCs w:val="18"/>
                <w:highlight w:val="none"/>
              </w:rPr>
            </w:pPr>
          </w:p>
        </w:tc>
      </w:tr>
      <w:bookmarkEnd w:id="3036"/>
      <w:bookmarkEnd w:id="3037"/>
      <w:bookmarkEnd w:id="3038"/>
      <w:bookmarkEnd w:id="3039"/>
    </w:tbl>
    <w:p w14:paraId="6D2C6363">
      <w:pPr>
        <w:pStyle w:val="14"/>
        <w:bidi w:val="0"/>
        <w:rPr>
          <w:rFonts w:hint="eastAsia"/>
        </w:rPr>
      </w:pPr>
      <w:bookmarkStart w:id="3041" w:name="_Toc31257"/>
      <w:bookmarkStart w:id="3042" w:name="_Toc31042"/>
      <w:bookmarkStart w:id="3043" w:name="_Toc32231"/>
      <w:bookmarkStart w:id="3044" w:name="_Toc17696"/>
      <w:bookmarkStart w:id="3045" w:name="_Toc3146"/>
      <w:bookmarkStart w:id="3046" w:name="_Toc14481"/>
      <w:bookmarkStart w:id="3047" w:name="_Toc21398"/>
    </w:p>
    <w:p w14:paraId="64491E84">
      <w:pPr>
        <w:pStyle w:val="36"/>
        <w:spacing w:line="360" w:lineRule="auto"/>
        <w:ind w:left="0" w:leftChars="0" w:firstLine="0" w:firstLineChars="0"/>
        <w:jc w:val="center"/>
      </w:pPr>
      <w:bookmarkStart w:id="3048" w:name="_Toc20636"/>
      <w:r>
        <w:rPr>
          <w:rFonts w:hint="eastAsia"/>
        </w:rPr>
        <w:t>附件</w:t>
      </w:r>
      <w:bookmarkEnd w:id="3041"/>
      <w:bookmarkEnd w:id="3042"/>
      <w:r>
        <w:rPr>
          <w:rFonts w:hint="eastAsia"/>
          <w:lang w:val="en-US" w:eastAsia="zh-CN"/>
        </w:rPr>
        <w:t>五</w:t>
      </w:r>
      <w:r>
        <w:rPr>
          <w:rFonts w:hint="eastAsia"/>
        </w:rPr>
        <w:t>：</w:t>
      </w:r>
      <w:r>
        <w:rPr>
          <w:rFonts w:hint="eastAsia" w:ascii="宋体" w:cs="Arial"/>
          <w:kern w:val="0"/>
          <w:szCs w:val="28"/>
        </w:rPr>
        <w:t>主要试验仪器配置表</w:t>
      </w:r>
      <w:bookmarkEnd w:id="3043"/>
      <w:bookmarkEnd w:id="3044"/>
      <w:bookmarkEnd w:id="3045"/>
      <w:bookmarkEnd w:id="3046"/>
      <w:bookmarkEnd w:id="3047"/>
      <w:bookmarkEnd w:id="3048"/>
    </w:p>
    <w:tbl>
      <w:tblPr>
        <w:tblStyle w:val="47"/>
        <w:tblW w:w="9812" w:type="dxa"/>
        <w:tblInd w:w="-106" w:type="dxa"/>
        <w:tblLayout w:type="fixed"/>
        <w:tblCellMar>
          <w:top w:w="0" w:type="dxa"/>
          <w:left w:w="108" w:type="dxa"/>
          <w:bottom w:w="0" w:type="dxa"/>
          <w:right w:w="108" w:type="dxa"/>
        </w:tblCellMar>
      </w:tblPr>
      <w:tblGrid>
        <w:gridCol w:w="1055"/>
        <w:gridCol w:w="3617"/>
        <w:gridCol w:w="2207"/>
        <w:gridCol w:w="732"/>
        <w:gridCol w:w="1076"/>
        <w:gridCol w:w="1125"/>
      </w:tblGrid>
      <w:tr w14:paraId="7373CDE5">
        <w:tblPrEx>
          <w:tblCellMar>
            <w:top w:w="0" w:type="dxa"/>
            <w:left w:w="108" w:type="dxa"/>
            <w:bottom w:w="0" w:type="dxa"/>
            <w:right w:w="108" w:type="dxa"/>
          </w:tblCellMar>
        </w:tblPrEx>
        <w:trPr>
          <w:trHeight w:val="440" w:hRule="atLeast"/>
        </w:trPr>
        <w:tc>
          <w:tcPr>
            <w:tcW w:w="1055" w:type="dxa"/>
            <w:tcBorders>
              <w:top w:val="single" w:color="000000" w:sz="8" w:space="0"/>
              <w:left w:val="single" w:color="000000" w:sz="8" w:space="0"/>
              <w:bottom w:val="single" w:color="000000" w:sz="4" w:space="0"/>
              <w:right w:val="single" w:color="000000" w:sz="4" w:space="0"/>
            </w:tcBorders>
            <w:vAlign w:val="center"/>
          </w:tcPr>
          <w:p w14:paraId="7ABC819E">
            <w:pPr>
              <w:widowControl/>
              <w:ind w:firstLine="0" w:firstLineChars="0"/>
              <w:jc w:val="center"/>
              <w:rPr>
                <w:rFonts w:ascii="宋体" w:cs="Arial"/>
                <w:kern w:val="0"/>
                <w:sz w:val="21"/>
                <w:szCs w:val="21"/>
                <w:highlight w:val="none"/>
              </w:rPr>
            </w:pPr>
            <w:r>
              <w:rPr>
                <w:rFonts w:hint="eastAsia" w:ascii="宋体" w:cs="Arial"/>
                <w:kern w:val="0"/>
                <w:sz w:val="21"/>
                <w:szCs w:val="21"/>
                <w:highlight w:val="none"/>
              </w:rPr>
              <w:t>序号</w:t>
            </w:r>
          </w:p>
        </w:tc>
        <w:tc>
          <w:tcPr>
            <w:tcW w:w="3617" w:type="dxa"/>
            <w:tcBorders>
              <w:top w:val="single" w:color="000000" w:sz="8" w:space="0"/>
              <w:left w:val="single" w:color="000000" w:sz="4" w:space="0"/>
              <w:bottom w:val="single" w:color="000000" w:sz="4" w:space="0"/>
              <w:right w:val="single" w:color="000000" w:sz="4" w:space="0"/>
            </w:tcBorders>
            <w:vAlign w:val="center"/>
          </w:tcPr>
          <w:p w14:paraId="4251C8D6">
            <w:pPr>
              <w:widowControl/>
              <w:ind w:firstLine="840" w:firstLineChars="400"/>
              <w:rPr>
                <w:rFonts w:ascii="宋体" w:cs="Arial"/>
                <w:kern w:val="0"/>
                <w:sz w:val="21"/>
                <w:szCs w:val="21"/>
                <w:highlight w:val="none"/>
              </w:rPr>
            </w:pPr>
            <w:r>
              <w:rPr>
                <w:rFonts w:hint="eastAsia" w:ascii="宋体" w:cs="Arial"/>
                <w:kern w:val="0"/>
                <w:sz w:val="21"/>
                <w:szCs w:val="21"/>
                <w:highlight w:val="none"/>
              </w:rPr>
              <w:t>设备名称</w:t>
            </w:r>
          </w:p>
        </w:tc>
        <w:tc>
          <w:tcPr>
            <w:tcW w:w="2207" w:type="dxa"/>
            <w:tcBorders>
              <w:top w:val="single" w:color="000000" w:sz="8" w:space="0"/>
              <w:left w:val="single" w:color="000000" w:sz="4" w:space="0"/>
              <w:bottom w:val="single" w:color="000000" w:sz="4" w:space="0"/>
              <w:right w:val="single" w:color="000000" w:sz="4" w:space="0"/>
            </w:tcBorders>
            <w:vAlign w:val="center"/>
          </w:tcPr>
          <w:p w14:paraId="73AE0711">
            <w:pPr>
              <w:widowControl/>
              <w:ind w:firstLine="0" w:firstLineChars="0"/>
              <w:jc w:val="center"/>
              <w:rPr>
                <w:rFonts w:ascii="宋体" w:cs="Arial"/>
                <w:kern w:val="0"/>
                <w:sz w:val="21"/>
                <w:szCs w:val="21"/>
                <w:highlight w:val="none"/>
              </w:rPr>
            </w:pPr>
            <w:r>
              <w:rPr>
                <w:rFonts w:hint="eastAsia" w:ascii="宋体" w:cs="Arial"/>
                <w:kern w:val="0"/>
                <w:sz w:val="21"/>
                <w:szCs w:val="21"/>
                <w:highlight w:val="none"/>
              </w:rPr>
              <w:t>型号规格</w:t>
            </w:r>
          </w:p>
        </w:tc>
        <w:tc>
          <w:tcPr>
            <w:tcW w:w="732" w:type="dxa"/>
            <w:tcBorders>
              <w:top w:val="single" w:color="000000" w:sz="8" w:space="0"/>
              <w:left w:val="single" w:color="000000" w:sz="4" w:space="0"/>
              <w:bottom w:val="single" w:color="000000" w:sz="4" w:space="0"/>
              <w:right w:val="single" w:color="000000" w:sz="4" w:space="0"/>
            </w:tcBorders>
            <w:vAlign w:val="center"/>
          </w:tcPr>
          <w:p w14:paraId="6C59BB56">
            <w:pPr>
              <w:widowControl/>
              <w:ind w:firstLine="0" w:firstLineChars="0"/>
              <w:jc w:val="center"/>
              <w:rPr>
                <w:rFonts w:ascii="宋体" w:cs="Arial"/>
                <w:kern w:val="0"/>
                <w:sz w:val="21"/>
                <w:szCs w:val="21"/>
                <w:highlight w:val="none"/>
              </w:rPr>
            </w:pPr>
            <w:r>
              <w:rPr>
                <w:rFonts w:hint="eastAsia" w:ascii="宋体" w:cs="Arial"/>
                <w:kern w:val="0"/>
                <w:sz w:val="21"/>
                <w:szCs w:val="21"/>
                <w:highlight w:val="none"/>
              </w:rPr>
              <w:t>单位</w:t>
            </w:r>
          </w:p>
        </w:tc>
        <w:tc>
          <w:tcPr>
            <w:tcW w:w="1076" w:type="dxa"/>
            <w:tcBorders>
              <w:top w:val="single" w:color="000000" w:sz="8" w:space="0"/>
              <w:left w:val="single" w:color="000000" w:sz="4" w:space="0"/>
              <w:bottom w:val="single" w:color="000000" w:sz="4" w:space="0"/>
              <w:right w:val="single" w:color="000000" w:sz="4" w:space="0"/>
            </w:tcBorders>
            <w:vAlign w:val="center"/>
          </w:tcPr>
          <w:p w14:paraId="2A812FC0">
            <w:pPr>
              <w:widowControl/>
              <w:ind w:firstLine="0" w:firstLineChars="0"/>
              <w:jc w:val="center"/>
              <w:rPr>
                <w:rFonts w:ascii="宋体" w:cs="Arial"/>
                <w:kern w:val="0"/>
                <w:sz w:val="21"/>
                <w:szCs w:val="21"/>
                <w:highlight w:val="none"/>
              </w:rPr>
            </w:pPr>
            <w:r>
              <w:rPr>
                <w:rFonts w:hint="eastAsia" w:ascii="宋体" w:cs="Arial"/>
                <w:kern w:val="0"/>
                <w:sz w:val="21"/>
                <w:szCs w:val="21"/>
                <w:highlight w:val="none"/>
              </w:rPr>
              <w:t>数量</w:t>
            </w:r>
          </w:p>
        </w:tc>
        <w:tc>
          <w:tcPr>
            <w:tcW w:w="1125" w:type="dxa"/>
            <w:tcBorders>
              <w:top w:val="single" w:color="000000" w:sz="8" w:space="0"/>
              <w:left w:val="single" w:color="000000" w:sz="4" w:space="0"/>
              <w:bottom w:val="single" w:color="000000" w:sz="4" w:space="0"/>
              <w:right w:val="single" w:color="000000" w:sz="8" w:space="0"/>
            </w:tcBorders>
            <w:noWrap/>
            <w:vAlign w:val="center"/>
          </w:tcPr>
          <w:p w14:paraId="090A6DB8">
            <w:pPr>
              <w:widowControl/>
              <w:ind w:firstLine="0" w:firstLineChars="0"/>
              <w:jc w:val="center"/>
              <w:rPr>
                <w:rFonts w:ascii="宋体" w:cs="Arial"/>
                <w:kern w:val="0"/>
                <w:sz w:val="21"/>
                <w:szCs w:val="21"/>
                <w:highlight w:val="none"/>
              </w:rPr>
            </w:pPr>
            <w:r>
              <w:rPr>
                <w:rFonts w:hint="eastAsia" w:ascii="宋体" w:cs="Arial"/>
                <w:kern w:val="0"/>
                <w:sz w:val="21"/>
                <w:szCs w:val="21"/>
                <w:highlight w:val="none"/>
              </w:rPr>
              <w:t>备注</w:t>
            </w:r>
          </w:p>
        </w:tc>
      </w:tr>
      <w:tr w14:paraId="0840AEA3">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C22F64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1</w:t>
            </w:r>
          </w:p>
        </w:tc>
        <w:tc>
          <w:tcPr>
            <w:tcW w:w="3617" w:type="dxa"/>
            <w:tcBorders>
              <w:top w:val="single" w:color="000000" w:sz="4" w:space="0"/>
              <w:left w:val="single" w:color="000000" w:sz="4" w:space="0"/>
              <w:bottom w:val="single" w:color="000000" w:sz="4" w:space="0"/>
              <w:right w:val="single" w:color="000000" w:sz="4" w:space="0"/>
            </w:tcBorders>
            <w:vAlign w:val="center"/>
          </w:tcPr>
          <w:p w14:paraId="480DC5AD">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取芯机</w:t>
            </w:r>
          </w:p>
        </w:tc>
        <w:tc>
          <w:tcPr>
            <w:tcW w:w="2207" w:type="dxa"/>
            <w:tcBorders>
              <w:top w:val="single" w:color="000000" w:sz="4" w:space="0"/>
              <w:left w:val="single" w:color="000000" w:sz="4" w:space="0"/>
              <w:bottom w:val="single" w:color="000000" w:sz="4" w:space="0"/>
              <w:right w:val="single" w:color="000000" w:sz="4" w:space="0"/>
            </w:tcBorders>
            <w:vAlign w:val="center"/>
          </w:tcPr>
          <w:p w14:paraId="5EF33D9C">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HZ-20</w:t>
            </w:r>
          </w:p>
        </w:tc>
        <w:tc>
          <w:tcPr>
            <w:tcW w:w="732" w:type="dxa"/>
            <w:tcBorders>
              <w:top w:val="single" w:color="000000" w:sz="4" w:space="0"/>
              <w:left w:val="single" w:color="000000" w:sz="4" w:space="0"/>
              <w:bottom w:val="single" w:color="000000" w:sz="4" w:space="0"/>
              <w:right w:val="single" w:color="000000" w:sz="4" w:space="0"/>
            </w:tcBorders>
            <w:vAlign w:val="center"/>
          </w:tcPr>
          <w:p w14:paraId="2CACA8C6">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套</w:t>
            </w:r>
          </w:p>
        </w:tc>
        <w:tc>
          <w:tcPr>
            <w:tcW w:w="1076" w:type="dxa"/>
            <w:tcBorders>
              <w:top w:val="single" w:color="000000" w:sz="4" w:space="0"/>
              <w:left w:val="single" w:color="000000" w:sz="4" w:space="0"/>
              <w:bottom w:val="single" w:color="000000" w:sz="4" w:space="0"/>
              <w:right w:val="single" w:color="000000" w:sz="4" w:space="0"/>
            </w:tcBorders>
            <w:vAlign w:val="center"/>
          </w:tcPr>
          <w:p w14:paraId="0ED7FED2">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7DB2FAB3">
            <w:pPr>
              <w:widowControl/>
              <w:ind w:firstLine="0" w:firstLineChars="0"/>
              <w:jc w:val="center"/>
              <w:rPr>
                <w:rFonts w:ascii="宋体" w:cs="Arial"/>
                <w:kern w:val="0"/>
                <w:sz w:val="21"/>
                <w:szCs w:val="21"/>
                <w:highlight w:val="none"/>
              </w:rPr>
            </w:pPr>
          </w:p>
        </w:tc>
      </w:tr>
      <w:tr w14:paraId="45205B65">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04FEC33A">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2</w:t>
            </w:r>
          </w:p>
        </w:tc>
        <w:tc>
          <w:tcPr>
            <w:tcW w:w="3617" w:type="dxa"/>
            <w:tcBorders>
              <w:top w:val="single" w:color="000000" w:sz="4" w:space="0"/>
              <w:left w:val="single" w:color="000000" w:sz="4" w:space="0"/>
              <w:bottom w:val="single" w:color="000000" w:sz="4" w:space="0"/>
              <w:right w:val="single" w:color="000000" w:sz="4" w:space="0"/>
            </w:tcBorders>
            <w:vAlign w:val="center"/>
          </w:tcPr>
          <w:p w14:paraId="7DC43B3F">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全自动恒应力两用机</w:t>
            </w:r>
          </w:p>
        </w:tc>
        <w:tc>
          <w:tcPr>
            <w:tcW w:w="2207" w:type="dxa"/>
            <w:tcBorders>
              <w:top w:val="single" w:color="000000" w:sz="4" w:space="0"/>
              <w:left w:val="single" w:color="000000" w:sz="4" w:space="0"/>
              <w:bottom w:val="single" w:color="000000" w:sz="4" w:space="0"/>
              <w:right w:val="single" w:color="000000" w:sz="4" w:space="0"/>
            </w:tcBorders>
            <w:vAlign w:val="center"/>
          </w:tcPr>
          <w:p w14:paraId="7F455870">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JYE-300B</w:t>
            </w:r>
          </w:p>
        </w:tc>
        <w:tc>
          <w:tcPr>
            <w:tcW w:w="732" w:type="dxa"/>
            <w:tcBorders>
              <w:top w:val="single" w:color="000000" w:sz="4" w:space="0"/>
              <w:left w:val="single" w:color="000000" w:sz="4" w:space="0"/>
              <w:bottom w:val="single" w:color="000000" w:sz="4" w:space="0"/>
              <w:right w:val="single" w:color="000000" w:sz="4" w:space="0"/>
            </w:tcBorders>
            <w:vAlign w:val="center"/>
          </w:tcPr>
          <w:p w14:paraId="73E02D23">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B5EDE5D">
            <w:pPr>
              <w:widowControl/>
              <w:ind w:firstLine="360"/>
              <w:jc w:val="both"/>
              <w:textAlignment w:val="center"/>
              <w:rPr>
                <w:rFonts w:hint="eastAsia" w:ascii="宋体" w:hAnsi="宋体" w:cs="宋体"/>
                <w:color w:val="000000"/>
                <w:kern w:val="0"/>
                <w:sz w:val="21"/>
                <w:szCs w:val="21"/>
                <w:highlight w:val="none"/>
                <w:lang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9D5C34F">
            <w:pPr>
              <w:widowControl/>
              <w:ind w:firstLine="0" w:firstLineChars="0"/>
              <w:jc w:val="center"/>
              <w:rPr>
                <w:rFonts w:ascii="宋体" w:cs="Arial"/>
                <w:kern w:val="0"/>
                <w:sz w:val="21"/>
                <w:szCs w:val="21"/>
                <w:highlight w:val="none"/>
              </w:rPr>
            </w:pPr>
          </w:p>
        </w:tc>
      </w:tr>
      <w:tr w14:paraId="3A1F7109">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8E9B212">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3</w:t>
            </w:r>
          </w:p>
        </w:tc>
        <w:tc>
          <w:tcPr>
            <w:tcW w:w="3617" w:type="dxa"/>
            <w:tcBorders>
              <w:top w:val="single" w:color="000000" w:sz="4" w:space="0"/>
              <w:left w:val="single" w:color="000000" w:sz="4" w:space="0"/>
              <w:bottom w:val="single" w:color="000000" w:sz="4" w:space="0"/>
              <w:right w:val="single" w:color="000000" w:sz="4" w:space="0"/>
            </w:tcBorders>
            <w:vAlign w:val="center"/>
          </w:tcPr>
          <w:p w14:paraId="571DFEF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万能材料试验机</w:t>
            </w:r>
          </w:p>
        </w:tc>
        <w:tc>
          <w:tcPr>
            <w:tcW w:w="2207" w:type="dxa"/>
            <w:tcBorders>
              <w:top w:val="single" w:color="000000" w:sz="4" w:space="0"/>
              <w:left w:val="single" w:color="000000" w:sz="4" w:space="0"/>
              <w:bottom w:val="single" w:color="000000" w:sz="4" w:space="0"/>
              <w:right w:val="single" w:color="000000" w:sz="4" w:space="0"/>
            </w:tcBorders>
            <w:vAlign w:val="center"/>
          </w:tcPr>
          <w:p w14:paraId="722AF111">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WES-600B</w:t>
            </w:r>
          </w:p>
        </w:tc>
        <w:tc>
          <w:tcPr>
            <w:tcW w:w="732" w:type="dxa"/>
            <w:tcBorders>
              <w:top w:val="single" w:color="000000" w:sz="4" w:space="0"/>
              <w:left w:val="single" w:color="000000" w:sz="4" w:space="0"/>
              <w:bottom w:val="single" w:color="000000" w:sz="4" w:space="0"/>
              <w:right w:val="single" w:color="000000" w:sz="4" w:space="0"/>
            </w:tcBorders>
            <w:vAlign w:val="center"/>
          </w:tcPr>
          <w:p w14:paraId="49E65821">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套</w:t>
            </w:r>
          </w:p>
        </w:tc>
        <w:tc>
          <w:tcPr>
            <w:tcW w:w="1076" w:type="dxa"/>
            <w:tcBorders>
              <w:top w:val="single" w:color="000000" w:sz="4" w:space="0"/>
              <w:left w:val="single" w:color="000000" w:sz="4" w:space="0"/>
              <w:bottom w:val="single" w:color="000000" w:sz="4" w:space="0"/>
              <w:right w:val="single" w:color="000000" w:sz="4" w:space="0"/>
            </w:tcBorders>
            <w:vAlign w:val="center"/>
          </w:tcPr>
          <w:p w14:paraId="7153111C">
            <w:pPr>
              <w:widowControl/>
              <w:ind w:firstLine="360"/>
              <w:jc w:val="both"/>
              <w:textAlignment w:val="center"/>
              <w:rPr>
                <w:rFonts w:hint="eastAsia" w:ascii="宋体" w:hAnsi="宋体" w:cs="宋体"/>
                <w:color w:val="000000"/>
                <w:kern w:val="0"/>
                <w:sz w:val="21"/>
                <w:szCs w:val="21"/>
                <w:highlight w:val="none"/>
                <w:lang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4CCAA9E2">
            <w:pPr>
              <w:widowControl/>
              <w:ind w:firstLine="0" w:firstLineChars="0"/>
              <w:jc w:val="center"/>
              <w:rPr>
                <w:rFonts w:ascii="宋体" w:cs="Arial"/>
                <w:kern w:val="0"/>
                <w:sz w:val="21"/>
                <w:szCs w:val="21"/>
                <w:highlight w:val="none"/>
              </w:rPr>
            </w:pPr>
          </w:p>
        </w:tc>
      </w:tr>
      <w:tr w14:paraId="2BADFA73">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072CF07">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4</w:t>
            </w:r>
          </w:p>
        </w:tc>
        <w:tc>
          <w:tcPr>
            <w:tcW w:w="3617" w:type="dxa"/>
            <w:tcBorders>
              <w:top w:val="single" w:color="000000" w:sz="4" w:space="0"/>
              <w:left w:val="single" w:color="000000" w:sz="4" w:space="0"/>
              <w:bottom w:val="single" w:color="000000" w:sz="4" w:space="0"/>
              <w:right w:val="single" w:color="000000" w:sz="4" w:space="0"/>
            </w:tcBorders>
            <w:vAlign w:val="center"/>
          </w:tcPr>
          <w:p w14:paraId="19FAD1B1">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数显压力试验机</w:t>
            </w:r>
          </w:p>
        </w:tc>
        <w:tc>
          <w:tcPr>
            <w:tcW w:w="2207" w:type="dxa"/>
            <w:tcBorders>
              <w:top w:val="single" w:color="000000" w:sz="4" w:space="0"/>
              <w:left w:val="single" w:color="000000" w:sz="4" w:space="0"/>
              <w:bottom w:val="single" w:color="000000" w:sz="4" w:space="0"/>
              <w:right w:val="single" w:color="000000" w:sz="4" w:space="0"/>
            </w:tcBorders>
            <w:vAlign w:val="center"/>
          </w:tcPr>
          <w:p w14:paraId="6B1B566E">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JYE-2000</w:t>
            </w:r>
          </w:p>
        </w:tc>
        <w:tc>
          <w:tcPr>
            <w:tcW w:w="732" w:type="dxa"/>
            <w:tcBorders>
              <w:top w:val="single" w:color="000000" w:sz="4" w:space="0"/>
              <w:left w:val="single" w:color="000000" w:sz="4" w:space="0"/>
              <w:bottom w:val="single" w:color="000000" w:sz="4" w:space="0"/>
              <w:right w:val="single" w:color="000000" w:sz="4" w:space="0"/>
            </w:tcBorders>
            <w:vAlign w:val="center"/>
          </w:tcPr>
          <w:p w14:paraId="394D4850">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9C7A32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01274BF1">
            <w:pPr>
              <w:widowControl/>
              <w:ind w:firstLine="0" w:firstLineChars="0"/>
              <w:jc w:val="center"/>
              <w:rPr>
                <w:rFonts w:ascii="宋体" w:cs="Arial"/>
                <w:kern w:val="0"/>
                <w:sz w:val="21"/>
                <w:szCs w:val="21"/>
                <w:highlight w:val="none"/>
              </w:rPr>
            </w:pPr>
          </w:p>
        </w:tc>
      </w:tr>
      <w:tr w14:paraId="04280973">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7ED6767">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5</w:t>
            </w:r>
          </w:p>
        </w:tc>
        <w:tc>
          <w:tcPr>
            <w:tcW w:w="3617" w:type="dxa"/>
            <w:tcBorders>
              <w:top w:val="single" w:color="000000" w:sz="4" w:space="0"/>
              <w:left w:val="single" w:color="000000" w:sz="4" w:space="0"/>
              <w:bottom w:val="single" w:color="000000" w:sz="4" w:space="0"/>
              <w:right w:val="single" w:color="000000" w:sz="4" w:space="0"/>
            </w:tcBorders>
            <w:vAlign w:val="center"/>
          </w:tcPr>
          <w:p w14:paraId="7AB83D7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自动加压混凝土抗渗仪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2F0488C4">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HP-4.0</w:t>
            </w:r>
          </w:p>
        </w:tc>
        <w:tc>
          <w:tcPr>
            <w:tcW w:w="732" w:type="dxa"/>
            <w:tcBorders>
              <w:top w:val="single" w:color="000000" w:sz="4" w:space="0"/>
              <w:left w:val="single" w:color="000000" w:sz="4" w:space="0"/>
              <w:bottom w:val="single" w:color="000000" w:sz="4" w:space="0"/>
              <w:right w:val="single" w:color="000000" w:sz="4" w:space="0"/>
            </w:tcBorders>
            <w:vAlign w:val="center"/>
          </w:tcPr>
          <w:p w14:paraId="4B2C3432">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46616200">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48CA4CCF">
            <w:pPr>
              <w:widowControl/>
              <w:ind w:firstLine="0" w:firstLineChars="0"/>
              <w:jc w:val="center"/>
              <w:rPr>
                <w:rFonts w:ascii="宋体" w:cs="Arial"/>
                <w:kern w:val="0"/>
                <w:sz w:val="21"/>
                <w:szCs w:val="21"/>
                <w:highlight w:val="none"/>
              </w:rPr>
            </w:pPr>
          </w:p>
        </w:tc>
      </w:tr>
      <w:tr w14:paraId="29702E52">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847D3F9">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6</w:t>
            </w:r>
          </w:p>
        </w:tc>
        <w:tc>
          <w:tcPr>
            <w:tcW w:w="3617" w:type="dxa"/>
            <w:tcBorders>
              <w:top w:val="single" w:color="000000" w:sz="4" w:space="0"/>
              <w:left w:val="single" w:color="000000" w:sz="4" w:space="0"/>
              <w:bottom w:val="single" w:color="000000" w:sz="4" w:space="0"/>
              <w:right w:val="single" w:color="000000" w:sz="4" w:space="0"/>
            </w:tcBorders>
            <w:vAlign w:val="center"/>
          </w:tcPr>
          <w:p w14:paraId="51F790FA">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回弹仪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299C08A9">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ZC3-A</w:t>
            </w:r>
          </w:p>
        </w:tc>
        <w:tc>
          <w:tcPr>
            <w:tcW w:w="732" w:type="dxa"/>
            <w:tcBorders>
              <w:top w:val="single" w:color="000000" w:sz="4" w:space="0"/>
              <w:left w:val="single" w:color="000000" w:sz="4" w:space="0"/>
              <w:bottom w:val="single" w:color="000000" w:sz="4" w:space="0"/>
              <w:right w:val="single" w:color="000000" w:sz="4" w:space="0"/>
            </w:tcBorders>
            <w:vAlign w:val="center"/>
          </w:tcPr>
          <w:p w14:paraId="2FA6575E">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CDD1FA0">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023BFA0">
            <w:pPr>
              <w:widowControl/>
              <w:ind w:firstLine="0" w:firstLineChars="0"/>
              <w:jc w:val="center"/>
              <w:rPr>
                <w:rFonts w:ascii="宋体" w:cs="Arial"/>
                <w:kern w:val="0"/>
                <w:sz w:val="21"/>
                <w:szCs w:val="21"/>
                <w:highlight w:val="none"/>
              </w:rPr>
            </w:pPr>
          </w:p>
        </w:tc>
      </w:tr>
      <w:tr w14:paraId="7DD0C08F">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0011E9F">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7</w:t>
            </w:r>
          </w:p>
        </w:tc>
        <w:tc>
          <w:tcPr>
            <w:tcW w:w="3617" w:type="dxa"/>
            <w:tcBorders>
              <w:top w:val="single" w:color="000000" w:sz="4" w:space="0"/>
              <w:left w:val="single" w:color="000000" w:sz="4" w:space="0"/>
              <w:bottom w:val="single" w:color="000000" w:sz="4" w:space="0"/>
              <w:right w:val="single" w:color="000000" w:sz="4" w:space="0"/>
            </w:tcBorders>
            <w:vAlign w:val="center"/>
          </w:tcPr>
          <w:p w14:paraId="034366E3">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数显鼓风恒温干燥箱</w:t>
            </w:r>
          </w:p>
        </w:tc>
        <w:tc>
          <w:tcPr>
            <w:tcW w:w="2207" w:type="dxa"/>
            <w:tcBorders>
              <w:top w:val="single" w:color="000000" w:sz="4" w:space="0"/>
              <w:left w:val="single" w:color="000000" w:sz="4" w:space="0"/>
              <w:bottom w:val="single" w:color="000000" w:sz="4" w:space="0"/>
              <w:right w:val="single" w:color="000000" w:sz="4" w:space="0"/>
            </w:tcBorders>
            <w:vAlign w:val="center"/>
          </w:tcPr>
          <w:p w14:paraId="11A91E48">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101-2</w:t>
            </w:r>
          </w:p>
        </w:tc>
        <w:tc>
          <w:tcPr>
            <w:tcW w:w="732" w:type="dxa"/>
            <w:tcBorders>
              <w:top w:val="single" w:color="000000" w:sz="4" w:space="0"/>
              <w:left w:val="single" w:color="000000" w:sz="4" w:space="0"/>
              <w:bottom w:val="single" w:color="000000" w:sz="4" w:space="0"/>
              <w:right w:val="single" w:color="000000" w:sz="4" w:space="0"/>
            </w:tcBorders>
            <w:vAlign w:val="center"/>
          </w:tcPr>
          <w:p w14:paraId="4AE7A5A7">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4A957B4">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1A5BE49">
            <w:pPr>
              <w:widowControl/>
              <w:ind w:firstLine="0" w:firstLineChars="0"/>
              <w:jc w:val="center"/>
              <w:rPr>
                <w:rFonts w:ascii="宋体" w:cs="Arial"/>
                <w:kern w:val="0"/>
                <w:sz w:val="21"/>
                <w:szCs w:val="21"/>
                <w:highlight w:val="none"/>
              </w:rPr>
            </w:pPr>
          </w:p>
        </w:tc>
      </w:tr>
      <w:tr w14:paraId="3C29DC79">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CD0775A">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8</w:t>
            </w:r>
          </w:p>
        </w:tc>
        <w:tc>
          <w:tcPr>
            <w:tcW w:w="3617" w:type="dxa"/>
            <w:tcBorders>
              <w:top w:val="single" w:color="000000" w:sz="4" w:space="0"/>
              <w:left w:val="single" w:color="000000" w:sz="4" w:space="0"/>
              <w:bottom w:val="single" w:color="000000" w:sz="4" w:space="0"/>
              <w:right w:val="single" w:color="000000" w:sz="4" w:space="0"/>
            </w:tcBorders>
            <w:vAlign w:val="center"/>
          </w:tcPr>
          <w:p w14:paraId="7145A36B">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数显鼓风恒温干燥箱</w:t>
            </w:r>
          </w:p>
        </w:tc>
        <w:tc>
          <w:tcPr>
            <w:tcW w:w="2207" w:type="dxa"/>
            <w:tcBorders>
              <w:top w:val="single" w:color="000000" w:sz="4" w:space="0"/>
              <w:left w:val="single" w:color="000000" w:sz="4" w:space="0"/>
              <w:bottom w:val="single" w:color="000000" w:sz="4" w:space="0"/>
              <w:right w:val="single" w:color="000000" w:sz="4" w:space="0"/>
            </w:tcBorders>
            <w:vAlign w:val="center"/>
          </w:tcPr>
          <w:p w14:paraId="4876EF1C">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101-2</w:t>
            </w:r>
          </w:p>
        </w:tc>
        <w:tc>
          <w:tcPr>
            <w:tcW w:w="732" w:type="dxa"/>
            <w:tcBorders>
              <w:top w:val="single" w:color="000000" w:sz="4" w:space="0"/>
              <w:left w:val="single" w:color="000000" w:sz="4" w:space="0"/>
              <w:bottom w:val="single" w:color="000000" w:sz="4" w:space="0"/>
              <w:right w:val="single" w:color="000000" w:sz="4" w:space="0"/>
            </w:tcBorders>
            <w:vAlign w:val="center"/>
          </w:tcPr>
          <w:p w14:paraId="53F1BF6D">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657A19AC">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60D5FDE">
            <w:pPr>
              <w:widowControl/>
              <w:ind w:firstLine="0" w:firstLineChars="0"/>
              <w:jc w:val="center"/>
              <w:rPr>
                <w:rFonts w:ascii="宋体" w:cs="Arial"/>
                <w:kern w:val="0"/>
                <w:sz w:val="21"/>
                <w:szCs w:val="21"/>
                <w:highlight w:val="none"/>
              </w:rPr>
            </w:pPr>
          </w:p>
        </w:tc>
      </w:tr>
      <w:tr w14:paraId="49491CBA">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2903096">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9</w:t>
            </w:r>
          </w:p>
        </w:tc>
        <w:tc>
          <w:tcPr>
            <w:tcW w:w="3617" w:type="dxa"/>
            <w:tcBorders>
              <w:top w:val="single" w:color="000000" w:sz="4" w:space="0"/>
              <w:left w:val="single" w:color="000000" w:sz="4" w:space="0"/>
              <w:bottom w:val="single" w:color="000000" w:sz="4" w:space="0"/>
              <w:right w:val="single" w:color="000000" w:sz="4" w:space="0"/>
            </w:tcBorders>
            <w:vAlign w:val="center"/>
          </w:tcPr>
          <w:p w14:paraId="10A3438C">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新标准方孔石子筛</w:t>
            </w:r>
          </w:p>
        </w:tc>
        <w:tc>
          <w:tcPr>
            <w:tcW w:w="2207" w:type="dxa"/>
            <w:tcBorders>
              <w:top w:val="single" w:color="000000" w:sz="4" w:space="0"/>
              <w:left w:val="single" w:color="000000" w:sz="4" w:space="0"/>
              <w:bottom w:val="single" w:color="000000" w:sz="4" w:space="0"/>
              <w:right w:val="single" w:color="000000" w:sz="4" w:space="0"/>
            </w:tcBorders>
            <w:vAlign w:val="center"/>
          </w:tcPr>
          <w:p w14:paraId="1378FE27">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2.36～100mm</w:t>
            </w:r>
          </w:p>
        </w:tc>
        <w:tc>
          <w:tcPr>
            <w:tcW w:w="732" w:type="dxa"/>
            <w:tcBorders>
              <w:top w:val="single" w:color="000000" w:sz="4" w:space="0"/>
              <w:left w:val="single" w:color="000000" w:sz="4" w:space="0"/>
              <w:bottom w:val="single" w:color="000000" w:sz="4" w:space="0"/>
              <w:right w:val="single" w:color="000000" w:sz="4" w:space="0"/>
            </w:tcBorders>
            <w:vAlign w:val="center"/>
          </w:tcPr>
          <w:p w14:paraId="49A8C07B">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89C62E1">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E813D84">
            <w:pPr>
              <w:widowControl/>
              <w:ind w:firstLine="0" w:firstLineChars="0"/>
              <w:jc w:val="center"/>
              <w:rPr>
                <w:rFonts w:ascii="宋体" w:cs="Arial"/>
                <w:kern w:val="0"/>
                <w:sz w:val="21"/>
                <w:szCs w:val="21"/>
                <w:highlight w:val="none"/>
              </w:rPr>
            </w:pPr>
          </w:p>
        </w:tc>
      </w:tr>
      <w:tr w14:paraId="14B741C4">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34B8503F">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10</w:t>
            </w:r>
          </w:p>
        </w:tc>
        <w:tc>
          <w:tcPr>
            <w:tcW w:w="3617" w:type="dxa"/>
            <w:tcBorders>
              <w:top w:val="single" w:color="000000" w:sz="4" w:space="0"/>
              <w:left w:val="single" w:color="000000" w:sz="4" w:space="0"/>
              <w:bottom w:val="single" w:color="000000" w:sz="4" w:space="0"/>
              <w:right w:val="single" w:color="000000" w:sz="4" w:space="0"/>
            </w:tcBorders>
            <w:vAlign w:val="center"/>
          </w:tcPr>
          <w:p w14:paraId="65D69461">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新标准方孔石子筛</w:t>
            </w:r>
          </w:p>
        </w:tc>
        <w:tc>
          <w:tcPr>
            <w:tcW w:w="2207" w:type="dxa"/>
            <w:tcBorders>
              <w:top w:val="single" w:color="000000" w:sz="4" w:space="0"/>
              <w:left w:val="single" w:color="000000" w:sz="4" w:space="0"/>
              <w:bottom w:val="single" w:color="000000" w:sz="4" w:space="0"/>
              <w:right w:val="single" w:color="000000" w:sz="4" w:space="0"/>
            </w:tcBorders>
            <w:vAlign w:val="center"/>
          </w:tcPr>
          <w:p w14:paraId="60001B1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0.075～9.5mm</w:t>
            </w:r>
          </w:p>
        </w:tc>
        <w:tc>
          <w:tcPr>
            <w:tcW w:w="732" w:type="dxa"/>
            <w:tcBorders>
              <w:top w:val="single" w:color="000000" w:sz="4" w:space="0"/>
              <w:left w:val="single" w:color="000000" w:sz="4" w:space="0"/>
              <w:bottom w:val="single" w:color="000000" w:sz="4" w:space="0"/>
              <w:right w:val="single" w:color="000000" w:sz="4" w:space="0"/>
            </w:tcBorders>
            <w:vAlign w:val="center"/>
          </w:tcPr>
          <w:p w14:paraId="546518E5">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2E1120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7079565">
            <w:pPr>
              <w:widowControl/>
              <w:ind w:firstLine="0" w:firstLineChars="0"/>
              <w:jc w:val="center"/>
              <w:rPr>
                <w:rFonts w:ascii="宋体" w:cs="Arial"/>
                <w:kern w:val="0"/>
                <w:sz w:val="21"/>
                <w:szCs w:val="21"/>
                <w:highlight w:val="none"/>
              </w:rPr>
            </w:pPr>
          </w:p>
        </w:tc>
      </w:tr>
      <w:tr w14:paraId="26D42AF0">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C9C1ADD">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11</w:t>
            </w:r>
          </w:p>
        </w:tc>
        <w:tc>
          <w:tcPr>
            <w:tcW w:w="3617" w:type="dxa"/>
            <w:tcBorders>
              <w:top w:val="single" w:color="000000" w:sz="4" w:space="0"/>
              <w:left w:val="single" w:color="000000" w:sz="4" w:space="0"/>
              <w:bottom w:val="single" w:color="000000" w:sz="4" w:space="0"/>
              <w:right w:val="single" w:color="000000" w:sz="4" w:space="0"/>
            </w:tcBorders>
            <w:vAlign w:val="center"/>
          </w:tcPr>
          <w:p w14:paraId="7208D6E0">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压碎值试验仪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7563B389">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27853C07">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15EA2CF3">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762CC879">
            <w:pPr>
              <w:widowControl/>
              <w:ind w:firstLine="0" w:firstLineChars="0"/>
              <w:jc w:val="center"/>
              <w:rPr>
                <w:rFonts w:ascii="宋体" w:cs="Arial"/>
                <w:kern w:val="0"/>
                <w:sz w:val="21"/>
                <w:szCs w:val="21"/>
                <w:highlight w:val="none"/>
              </w:rPr>
            </w:pPr>
          </w:p>
        </w:tc>
      </w:tr>
      <w:tr w14:paraId="592D0401">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5AD59B4">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12</w:t>
            </w:r>
          </w:p>
        </w:tc>
        <w:tc>
          <w:tcPr>
            <w:tcW w:w="3617" w:type="dxa"/>
            <w:tcBorders>
              <w:top w:val="single" w:color="000000" w:sz="4" w:space="0"/>
              <w:left w:val="single" w:color="000000" w:sz="4" w:space="0"/>
              <w:bottom w:val="single" w:color="000000" w:sz="4" w:space="0"/>
              <w:right w:val="single" w:color="000000" w:sz="4" w:space="0"/>
            </w:tcBorders>
            <w:vAlign w:val="center"/>
          </w:tcPr>
          <w:p w14:paraId="610BE603">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多功能电动击实仪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16227700">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WT-5003CH</w:t>
            </w:r>
          </w:p>
        </w:tc>
        <w:tc>
          <w:tcPr>
            <w:tcW w:w="732" w:type="dxa"/>
            <w:tcBorders>
              <w:top w:val="single" w:color="000000" w:sz="4" w:space="0"/>
              <w:left w:val="single" w:color="000000" w:sz="4" w:space="0"/>
              <w:bottom w:val="single" w:color="000000" w:sz="4" w:space="0"/>
              <w:right w:val="single" w:color="000000" w:sz="4" w:space="0"/>
            </w:tcBorders>
            <w:vAlign w:val="center"/>
          </w:tcPr>
          <w:p w14:paraId="07A023D4">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563DA92">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3A04A2C0">
            <w:pPr>
              <w:widowControl/>
              <w:ind w:firstLine="0" w:firstLineChars="0"/>
              <w:jc w:val="center"/>
              <w:rPr>
                <w:rFonts w:ascii="宋体" w:cs="Arial"/>
                <w:kern w:val="0"/>
                <w:sz w:val="21"/>
                <w:szCs w:val="21"/>
                <w:highlight w:val="none"/>
              </w:rPr>
            </w:pPr>
          </w:p>
        </w:tc>
      </w:tr>
      <w:tr w14:paraId="609CCFD4">
        <w:tblPrEx>
          <w:tblCellMar>
            <w:top w:w="0" w:type="dxa"/>
            <w:left w:w="108" w:type="dxa"/>
            <w:bottom w:w="0" w:type="dxa"/>
            <w:right w:w="108" w:type="dxa"/>
          </w:tblCellMar>
        </w:tblPrEx>
        <w:trPr>
          <w:trHeight w:val="860"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1D1B857">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13</w:t>
            </w:r>
          </w:p>
        </w:tc>
        <w:tc>
          <w:tcPr>
            <w:tcW w:w="3617" w:type="dxa"/>
            <w:tcBorders>
              <w:top w:val="single" w:color="000000" w:sz="4" w:space="0"/>
              <w:left w:val="single" w:color="000000" w:sz="4" w:space="0"/>
              <w:bottom w:val="single" w:color="000000" w:sz="4" w:space="0"/>
              <w:right w:val="single" w:color="000000" w:sz="4" w:space="0"/>
            </w:tcBorders>
            <w:vAlign w:val="center"/>
          </w:tcPr>
          <w:p w14:paraId="7EE0598A">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精密双筒</w:t>
            </w:r>
          </w:p>
          <w:p w14:paraId="66A5197B">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砂当量试验仪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72ADCC0D">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LT5001</w:t>
            </w:r>
          </w:p>
        </w:tc>
        <w:tc>
          <w:tcPr>
            <w:tcW w:w="732" w:type="dxa"/>
            <w:tcBorders>
              <w:top w:val="single" w:color="000000" w:sz="4" w:space="0"/>
              <w:left w:val="single" w:color="000000" w:sz="4" w:space="0"/>
              <w:bottom w:val="single" w:color="000000" w:sz="4" w:space="0"/>
              <w:right w:val="single" w:color="000000" w:sz="4" w:space="0"/>
            </w:tcBorders>
            <w:vAlign w:val="center"/>
          </w:tcPr>
          <w:p w14:paraId="112EDE44">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C7B08BD">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6BF94A5">
            <w:pPr>
              <w:widowControl/>
              <w:ind w:firstLine="0" w:firstLineChars="0"/>
              <w:jc w:val="center"/>
              <w:rPr>
                <w:rFonts w:ascii="宋体" w:cs="Arial"/>
                <w:kern w:val="0"/>
                <w:sz w:val="21"/>
                <w:szCs w:val="21"/>
                <w:highlight w:val="none"/>
              </w:rPr>
            </w:pPr>
          </w:p>
        </w:tc>
      </w:tr>
      <w:tr w14:paraId="23452AAE">
        <w:tblPrEx>
          <w:tblCellMar>
            <w:top w:w="0" w:type="dxa"/>
            <w:left w:w="108" w:type="dxa"/>
            <w:bottom w:w="0" w:type="dxa"/>
            <w:right w:w="108" w:type="dxa"/>
          </w:tblCellMar>
        </w:tblPrEx>
        <w:trPr>
          <w:trHeight w:val="523"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381AED25">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14</w:t>
            </w:r>
          </w:p>
        </w:tc>
        <w:tc>
          <w:tcPr>
            <w:tcW w:w="3617" w:type="dxa"/>
            <w:tcBorders>
              <w:top w:val="single" w:color="000000" w:sz="4" w:space="0"/>
              <w:left w:val="single" w:color="000000" w:sz="4" w:space="0"/>
              <w:bottom w:val="single" w:color="000000" w:sz="4" w:space="0"/>
              <w:right w:val="single" w:color="000000" w:sz="4" w:space="0"/>
            </w:tcBorders>
            <w:vAlign w:val="center"/>
          </w:tcPr>
          <w:p w14:paraId="28170FFB">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细集料流动时间测定仪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1A10ECBC">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LT5001A</w:t>
            </w:r>
          </w:p>
        </w:tc>
        <w:tc>
          <w:tcPr>
            <w:tcW w:w="732" w:type="dxa"/>
            <w:tcBorders>
              <w:top w:val="single" w:color="000000" w:sz="4" w:space="0"/>
              <w:left w:val="single" w:color="000000" w:sz="4" w:space="0"/>
              <w:bottom w:val="single" w:color="000000" w:sz="4" w:space="0"/>
              <w:right w:val="single" w:color="000000" w:sz="4" w:space="0"/>
            </w:tcBorders>
            <w:vAlign w:val="center"/>
          </w:tcPr>
          <w:p w14:paraId="24C61C80">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166BCA6">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254342D">
            <w:pPr>
              <w:widowControl/>
              <w:ind w:firstLine="0" w:firstLineChars="0"/>
              <w:jc w:val="center"/>
              <w:rPr>
                <w:rFonts w:ascii="宋体" w:cs="Arial"/>
                <w:kern w:val="0"/>
                <w:sz w:val="21"/>
                <w:szCs w:val="21"/>
                <w:highlight w:val="none"/>
              </w:rPr>
            </w:pPr>
          </w:p>
        </w:tc>
      </w:tr>
      <w:tr w14:paraId="5C23577F">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C4D003D">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15</w:t>
            </w:r>
          </w:p>
        </w:tc>
        <w:tc>
          <w:tcPr>
            <w:tcW w:w="3617" w:type="dxa"/>
            <w:tcBorders>
              <w:top w:val="single" w:color="000000" w:sz="4" w:space="0"/>
              <w:left w:val="single" w:color="000000" w:sz="4" w:space="0"/>
              <w:bottom w:val="single" w:color="000000" w:sz="4" w:space="0"/>
              <w:right w:val="single" w:color="000000" w:sz="4" w:space="0"/>
            </w:tcBorders>
            <w:vAlign w:val="center"/>
          </w:tcPr>
          <w:p w14:paraId="7E316957">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电子天平</w:t>
            </w:r>
          </w:p>
        </w:tc>
        <w:tc>
          <w:tcPr>
            <w:tcW w:w="2207" w:type="dxa"/>
            <w:tcBorders>
              <w:top w:val="single" w:color="000000" w:sz="4" w:space="0"/>
              <w:left w:val="single" w:color="000000" w:sz="4" w:space="0"/>
              <w:bottom w:val="single" w:color="000000" w:sz="4" w:space="0"/>
              <w:right w:val="single" w:color="000000" w:sz="4" w:space="0"/>
            </w:tcBorders>
            <w:vAlign w:val="center"/>
          </w:tcPr>
          <w:p w14:paraId="6EA85AC2">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HCY-A</w:t>
            </w:r>
          </w:p>
        </w:tc>
        <w:tc>
          <w:tcPr>
            <w:tcW w:w="732" w:type="dxa"/>
            <w:tcBorders>
              <w:top w:val="single" w:color="000000" w:sz="4" w:space="0"/>
              <w:left w:val="single" w:color="000000" w:sz="4" w:space="0"/>
              <w:bottom w:val="single" w:color="000000" w:sz="4" w:space="0"/>
              <w:right w:val="single" w:color="000000" w:sz="4" w:space="0"/>
            </w:tcBorders>
            <w:vAlign w:val="center"/>
          </w:tcPr>
          <w:p w14:paraId="5B3702D8">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3E057A88">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757E77EC">
            <w:pPr>
              <w:widowControl/>
              <w:ind w:firstLine="0" w:firstLineChars="0"/>
              <w:jc w:val="center"/>
              <w:rPr>
                <w:rFonts w:ascii="宋体" w:cs="Arial"/>
                <w:kern w:val="0"/>
                <w:sz w:val="21"/>
                <w:szCs w:val="21"/>
                <w:highlight w:val="none"/>
              </w:rPr>
            </w:pPr>
          </w:p>
        </w:tc>
      </w:tr>
      <w:tr w14:paraId="5EF480E3">
        <w:tblPrEx>
          <w:tblCellMar>
            <w:top w:w="0" w:type="dxa"/>
            <w:left w:w="108" w:type="dxa"/>
            <w:bottom w:w="0" w:type="dxa"/>
            <w:right w:w="108" w:type="dxa"/>
          </w:tblCellMar>
        </w:tblPrEx>
        <w:trPr>
          <w:trHeight w:val="860"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EDFEA98">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16</w:t>
            </w:r>
          </w:p>
        </w:tc>
        <w:tc>
          <w:tcPr>
            <w:tcW w:w="3617" w:type="dxa"/>
            <w:tcBorders>
              <w:top w:val="single" w:color="000000" w:sz="4" w:space="0"/>
              <w:left w:val="single" w:color="000000" w:sz="4" w:space="0"/>
              <w:bottom w:val="single" w:color="000000" w:sz="4" w:space="0"/>
              <w:right w:val="single" w:color="000000" w:sz="4" w:space="0"/>
            </w:tcBorders>
            <w:vAlign w:val="center"/>
          </w:tcPr>
          <w:p w14:paraId="4003C43B">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电子天平</w:t>
            </w:r>
          </w:p>
        </w:tc>
        <w:tc>
          <w:tcPr>
            <w:tcW w:w="2207" w:type="dxa"/>
            <w:tcBorders>
              <w:top w:val="single" w:color="000000" w:sz="4" w:space="0"/>
              <w:left w:val="single" w:color="000000" w:sz="4" w:space="0"/>
              <w:bottom w:val="single" w:color="000000" w:sz="4" w:space="0"/>
              <w:right w:val="single" w:color="000000" w:sz="4" w:space="0"/>
            </w:tcBorders>
            <w:vAlign w:val="center"/>
          </w:tcPr>
          <w:p w14:paraId="738A44D5">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（Φ150*200*100）mm</w:t>
            </w:r>
          </w:p>
        </w:tc>
        <w:tc>
          <w:tcPr>
            <w:tcW w:w="732" w:type="dxa"/>
            <w:tcBorders>
              <w:top w:val="single" w:color="000000" w:sz="4" w:space="0"/>
              <w:left w:val="single" w:color="000000" w:sz="4" w:space="0"/>
              <w:bottom w:val="single" w:color="000000" w:sz="4" w:space="0"/>
              <w:right w:val="single" w:color="000000" w:sz="4" w:space="0"/>
            </w:tcBorders>
            <w:vAlign w:val="center"/>
          </w:tcPr>
          <w:p w14:paraId="53459C47">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4866FE90">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08EF33F6">
            <w:pPr>
              <w:widowControl/>
              <w:ind w:firstLine="0" w:firstLineChars="0"/>
              <w:jc w:val="center"/>
              <w:rPr>
                <w:rFonts w:ascii="宋体" w:cs="Arial"/>
                <w:kern w:val="0"/>
                <w:sz w:val="21"/>
                <w:szCs w:val="21"/>
                <w:highlight w:val="none"/>
              </w:rPr>
            </w:pPr>
          </w:p>
        </w:tc>
      </w:tr>
      <w:tr w14:paraId="5A5A971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3185E8FF">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17</w:t>
            </w:r>
          </w:p>
        </w:tc>
        <w:tc>
          <w:tcPr>
            <w:tcW w:w="3617" w:type="dxa"/>
            <w:tcBorders>
              <w:top w:val="single" w:color="000000" w:sz="4" w:space="0"/>
              <w:left w:val="single" w:color="000000" w:sz="4" w:space="0"/>
              <w:bottom w:val="single" w:color="000000" w:sz="4" w:space="0"/>
              <w:right w:val="single" w:color="000000" w:sz="4" w:space="0"/>
            </w:tcBorders>
            <w:vAlign w:val="center"/>
          </w:tcPr>
          <w:p w14:paraId="2568BE4C">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电子天平</w:t>
            </w:r>
          </w:p>
        </w:tc>
        <w:tc>
          <w:tcPr>
            <w:tcW w:w="2207" w:type="dxa"/>
            <w:tcBorders>
              <w:top w:val="single" w:color="000000" w:sz="4" w:space="0"/>
              <w:left w:val="single" w:color="000000" w:sz="4" w:space="0"/>
              <w:bottom w:val="single" w:color="000000" w:sz="4" w:space="0"/>
              <w:right w:val="single" w:color="000000" w:sz="4" w:space="0"/>
            </w:tcBorders>
            <w:vAlign w:val="center"/>
          </w:tcPr>
          <w:p w14:paraId="0D4F17DD">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6139B102">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963D765">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3FB9231C">
            <w:pPr>
              <w:widowControl/>
              <w:ind w:firstLine="0" w:firstLineChars="0"/>
              <w:jc w:val="center"/>
              <w:rPr>
                <w:rFonts w:ascii="宋体" w:cs="Arial"/>
                <w:kern w:val="0"/>
                <w:sz w:val="21"/>
                <w:szCs w:val="21"/>
                <w:highlight w:val="none"/>
              </w:rPr>
            </w:pPr>
          </w:p>
        </w:tc>
      </w:tr>
      <w:tr w14:paraId="66B0E016">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4A20974">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18</w:t>
            </w:r>
          </w:p>
        </w:tc>
        <w:tc>
          <w:tcPr>
            <w:tcW w:w="3617" w:type="dxa"/>
            <w:tcBorders>
              <w:top w:val="single" w:color="000000" w:sz="4" w:space="0"/>
              <w:left w:val="single" w:color="000000" w:sz="4" w:space="0"/>
              <w:bottom w:val="single" w:color="000000" w:sz="4" w:space="0"/>
              <w:right w:val="single" w:color="000000" w:sz="4" w:space="0"/>
            </w:tcBorders>
            <w:vAlign w:val="center"/>
          </w:tcPr>
          <w:p w14:paraId="7B1E01BB">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电子天平</w:t>
            </w:r>
          </w:p>
        </w:tc>
        <w:tc>
          <w:tcPr>
            <w:tcW w:w="2207" w:type="dxa"/>
            <w:tcBorders>
              <w:top w:val="single" w:color="000000" w:sz="4" w:space="0"/>
              <w:left w:val="single" w:color="000000" w:sz="4" w:space="0"/>
              <w:bottom w:val="single" w:color="000000" w:sz="4" w:space="0"/>
              <w:right w:val="single" w:color="000000" w:sz="4" w:space="0"/>
            </w:tcBorders>
            <w:vAlign w:val="center"/>
          </w:tcPr>
          <w:p w14:paraId="4E48A9FD">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4D7CAAFE">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FC04C12">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B21C326">
            <w:pPr>
              <w:widowControl/>
              <w:ind w:firstLine="0" w:firstLineChars="0"/>
              <w:jc w:val="center"/>
              <w:rPr>
                <w:rFonts w:ascii="宋体" w:cs="Arial"/>
                <w:kern w:val="0"/>
                <w:sz w:val="21"/>
                <w:szCs w:val="21"/>
                <w:highlight w:val="none"/>
              </w:rPr>
            </w:pPr>
          </w:p>
        </w:tc>
      </w:tr>
      <w:tr w14:paraId="72813603">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362AFA1">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19</w:t>
            </w:r>
          </w:p>
        </w:tc>
        <w:tc>
          <w:tcPr>
            <w:tcW w:w="3617" w:type="dxa"/>
            <w:tcBorders>
              <w:top w:val="single" w:color="000000" w:sz="4" w:space="0"/>
              <w:left w:val="single" w:color="000000" w:sz="4" w:space="0"/>
              <w:bottom w:val="single" w:color="000000" w:sz="4" w:space="0"/>
              <w:right w:val="single" w:color="000000" w:sz="4" w:space="0"/>
            </w:tcBorders>
            <w:vAlign w:val="center"/>
          </w:tcPr>
          <w:p w14:paraId="71BCDE77">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维勃稠度仪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14FA6CCC">
            <w:pPr>
              <w:widowControl/>
              <w:ind w:left="0" w:leftChars="0" w:firstLine="0" w:firstLineChars="0"/>
              <w:jc w:val="center"/>
              <w:textAlignment w:val="center"/>
              <w:rPr>
                <w:rFonts w:hint="eastAsia" w:ascii="宋体" w:hAnsi="宋体" w:cs="宋体"/>
                <w:color w:val="000000"/>
                <w:kern w:val="0"/>
                <w:sz w:val="21"/>
                <w:szCs w:val="21"/>
                <w:highlight w:val="none"/>
              </w:rPr>
            </w:pPr>
          </w:p>
        </w:tc>
        <w:tc>
          <w:tcPr>
            <w:tcW w:w="732" w:type="dxa"/>
            <w:tcBorders>
              <w:top w:val="single" w:color="000000" w:sz="4" w:space="0"/>
              <w:left w:val="single" w:color="000000" w:sz="4" w:space="0"/>
              <w:bottom w:val="single" w:color="000000" w:sz="4" w:space="0"/>
              <w:right w:val="single" w:color="000000" w:sz="4" w:space="0"/>
            </w:tcBorders>
            <w:vAlign w:val="center"/>
          </w:tcPr>
          <w:p w14:paraId="4CC7AEFA">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168D79C">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678008A">
            <w:pPr>
              <w:widowControl/>
              <w:ind w:firstLine="0" w:firstLineChars="0"/>
              <w:jc w:val="center"/>
              <w:rPr>
                <w:rFonts w:ascii="宋体" w:cs="Arial"/>
                <w:kern w:val="0"/>
                <w:sz w:val="21"/>
                <w:szCs w:val="21"/>
                <w:highlight w:val="none"/>
              </w:rPr>
            </w:pPr>
          </w:p>
        </w:tc>
      </w:tr>
      <w:tr w14:paraId="5DE5DD98">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DCC2F6A">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20</w:t>
            </w:r>
          </w:p>
        </w:tc>
        <w:tc>
          <w:tcPr>
            <w:tcW w:w="3617" w:type="dxa"/>
            <w:tcBorders>
              <w:top w:val="single" w:color="000000" w:sz="4" w:space="0"/>
              <w:left w:val="single" w:color="000000" w:sz="4" w:space="0"/>
              <w:bottom w:val="single" w:color="000000" w:sz="4" w:space="0"/>
              <w:right w:val="single" w:color="000000" w:sz="4" w:space="0"/>
            </w:tcBorders>
            <w:vAlign w:val="center"/>
          </w:tcPr>
          <w:p w14:paraId="1EB6629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分层度试验仪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76E3102A">
            <w:pPr>
              <w:widowControl/>
              <w:ind w:left="0" w:leftChars="0" w:firstLine="0" w:firstLineChars="0"/>
              <w:jc w:val="center"/>
              <w:textAlignment w:val="center"/>
              <w:rPr>
                <w:rFonts w:hint="eastAsia" w:ascii="宋体" w:hAnsi="宋体" w:cs="宋体"/>
                <w:color w:val="000000"/>
                <w:kern w:val="0"/>
                <w:sz w:val="21"/>
                <w:szCs w:val="21"/>
                <w:highlight w:val="none"/>
              </w:rPr>
            </w:pPr>
          </w:p>
        </w:tc>
        <w:tc>
          <w:tcPr>
            <w:tcW w:w="732" w:type="dxa"/>
            <w:tcBorders>
              <w:top w:val="single" w:color="000000" w:sz="4" w:space="0"/>
              <w:left w:val="single" w:color="000000" w:sz="4" w:space="0"/>
              <w:bottom w:val="single" w:color="000000" w:sz="4" w:space="0"/>
              <w:right w:val="single" w:color="000000" w:sz="4" w:space="0"/>
            </w:tcBorders>
            <w:vAlign w:val="center"/>
          </w:tcPr>
          <w:p w14:paraId="0037BD1C">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12B3D9C">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0BA5B41C">
            <w:pPr>
              <w:widowControl/>
              <w:ind w:firstLine="0" w:firstLineChars="0"/>
              <w:jc w:val="center"/>
              <w:rPr>
                <w:rFonts w:ascii="宋体" w:cs="Arial"/>
                <w:kern w:val="0"/>
                <w:sz w:val="21"/>
                <w:szCs w:val="21"/>
                <w:highlight w:val="none"/>
              </w:rPr>
            </w:pPr>
          </w:p>
        </w:tc>
      </w:tr>
      <w:tr w14:paraId="2EF3EFB1">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31F9766C">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21</w:t>
            </w:r>
          </w:p>
        </w:tc>
        <w:tc>
          <w:tcPr>
            <w:tcW w:w="3617" w:type="dxa"/>
            <w:tcBorders>
              <w:top w:val="single" w:color="000000" w:sz="4" w:space="0"/>
              <w:left w:val="single" w:color="000000" w:sz="4" w:space="0"/>
              <w:bottom w:val="single" w:color="000000" w:sz="4" w:space="0"/>
              <w:right w:val="single" w:color="000000" w:sz="4" w:space="0"/>
            </w:tcBorders>
            <w:vAlign w:val="center"/>
          </w:tcPr>
          <w:p w14:paraId="798C9CF7">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砼芯样劈裂夹具</w:t>
            </w:r>
          </w:p>
        </w:tc>
        <w:tc>
          <w:tcPr>
            <w:tcW w:w="2207" w:type="dxa"/>
            <w:tcBorders>
              <w:top w:val="single" w:color="000000" w:sz="4" w:space="0"/>
              <w:left w:val="single" w:color="000000" w:sz="4" w:space="0"/>
              <w:bottom w:val="single" w:color="000000" w:sz="4" w:space="0"/>
              <w:right w:val="single" w:color="000000" w:sz="4" w:space="0"/>
            </w:tcBorders>
            <w:vAlign w:val="center"/>
          </w:tcPr>
          <w:p w14:paraId="65710692">
            <w:pPr>
              <w:widowControl/>
              <w:ind w:left="0" w:leftChars="0" w:firstLine="0" w:firstLineChars="0"/>
              <w:jc w:val="center"/>
              <w:textAlignment w:val="center"/>
              <w:rPr>
                <w:rFonts w:hint="eastAsia" w:ascii="宋体" w:hAnsi="宋体" w:cs="宋体"/>
                <w:color w:val="000000"/>
                <w:kern w:val="0"/>
                <w:sz w:val="21"/>
                <w:szCs w:val="21"/>
                <w:highlight w:val="none"/>
              </w:rPr>
            </w:pPr>
          </w:p>
        </w:tc>
        <w:tc>
          <w:tcPr>
            <w:tcW w:w="732" w:type="dxa"/>
            <w:tcBorders>
              <w:top w:val="single" w:color="000000" w:sz="4" w:space="0"/>
              <w:left w:val="single" w:color="000000" w:sz="4" w:space="0"/>
              <w:bottom w:val="single" w:color="000000" w:sz="4" w:space="0"/>
              <w:right w:val="single" w:color="000000" w:sz="4" w:space="0"/>
            </w:tcBorders>
            <w:vAlign w:val="center"/>
          </w:tcPr>
          <w:p w14:paraId="27A666DB">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5590315">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A54F0E4">
            <w:pPr>
              <w:widowControl/>
              <w:ind w:firstLine="0" w:firstLineChars="0"/>
              <w:jc w:val="center"/>
              <w:rPr>
                <w:rFonts w:ascii="宋体" w:cs="Arial"/>
                <w:kern w:val="0"/>
                <w:sz w:val="21"/>
                <w:szCs w:val="21"/>
                <w:highlight w:val="none"/>
              </w:rPr>
            </w:pPr>
          </w:p>
        </w:tc>
      </w:tr>
      <w:tr w14:paraId="3FED66B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1BBC139">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22</w:t>
            </w:r>
          </w:p>
        </w:tc>
        <w:tc>
          <w:tcPr>
            <w:tcW w:w="3617" w:type="dxa"/>
            <w:tcBorders>
              <w:top w:val="single" w:color="000000" w:sz="4" w:space="0"/>
              <w:left w:val="single" w:color="000000" w:sz="4" w:space="0"/>
              <w:bottom w:val="single" w:color="000000" w:sz="4" w:space="0"/>
              <w:right w:val="single" w:color="000000" w:sz="4" w:space="0"/>
            </w:tcBorders>
            <w:vAlign w:val="center"/>
          </w:tcPr>
          <w:p w14:paraId="557A959B">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lang w:val="en-US" w:eastAsia="zh-CN"/>
              </w:rPr>
              <w:t>混凝土抗折夹具</w:t>
            </w:r>
          </w:p>
        </w:tc>
        <w:tc>
          <w:tcPr>
            <w:tcW w:w="2207" w:type="dxa"/>
            <w:tcBorders>
              <w:top w:val="single" w:color="000000" w:sz="4" w:space="0"/>
              <w:left w:val="single" w:color="000000" w:sz="4" w:space="0"/>
              <w:bottom w:val="single" w:color="000000" w:sz="4" w:space="0"/>
              <w:right w:val="single" w:color="000000" w:sz="4" w:space="0"/>
            </w:tcBorders>
            <w:vAlign w:val="center"/>
          </w:tcPr>
          <w:p w14:paraId="220EF5B5">
            <w:pPr>
              <w:widowControl/>
              <w:ind w:left="0" w:leftChars="0" w:firstLine="0" w:firstLineChars="0"/>
              <w:jc w:val="center"/>
              <w:textAlignment w:val="center"/>
              <w:rPr>
                <w:rFonts w:hint="eastAsia" w:ascii="宋体" w:hAnsi="宋体" w:cs="宋体"/>
                <w:color w:val="000000"/>
                <w:kern w:val="0"/>
                <w:sz w:val="21"/>
                <w:szCs w:val="21"/>
                <w:highlight w:val="none"/>
              </w:rPr>
            </w:pPr>
          </w:p>
        </w:tc>
        <w:tc>
          <w:tcPr>
            <w:tcW w:w="732" w:type="dxa"/>
            <w:tcBorders>
              <w:top w:val="single" w:color="000000" w:sz="4" w:space="0"/>
              <w:left w:val="single" w:color="000000" w:sz="4" w:space="0"/>
              <w:bottom w:val="single" w:color="000000" w:sz="4" w:space="0"/>
              <w:right w:val="single" w:color="000000" w:sz="4" w:space="0"/>
            </w:tcBorders>
            <w:vAlign w:val="center"/>
          </w:tcPr>
          <w:p w14:paraId="14805406">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3D6B0FD9">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74B45D82">
            <w:pPr>
              <w:widowControl/>
              <w:ind w:firstLine="0" w:firstLineChars="0"/>
              <w:jc w:val="center"/>
              <w:rPr>
                <w:rFonts w:ascii="宋体" w:cs="Arial"/>
                <w:kern w:val="0"/>
                <w:sz w:val="21"/>
                <w:szCs w:val="21"/>
                <w:highlight w:val="none"/>
              </w:rPr>
            </w:pPr>
          </w:p>
        </w:tc>
      </w:tr>
      <w:tr w14:paraId="2870B804">
        <w:tblPrEx>
          <w:tblCellMar>
            <w:top w:w="0" w:type="dxa"/>
            <w:left w:w="108" w:type="dxa"/>
            <w:bottom w:w="0" w:type="dxa"/>
            <w:right w:w="108" w:type="dxa"/>
          </w:tblCellMar>
        </w:tblPrEx>
        <w:trPr>
          <w:trHeight w:val="860"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DF6CBB5">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23</w:t>
            </w:r>
          </w:p>
        </w:tc>
        <w:tc>
          <w:tcPr>
            <w:tcW w:w="3617" w:type="dxa"/>
            <w:tcBorders>
              <w:top w:val="single" w:color="000000" w:sz="4" w:space="0"/>
              <w:left w:val="single" w:color="000000" w:sz="4" w:space="0"/>
              <w:bottom w:val="single" w:color="000000" w:sz="4" w:space="0"/>
              <w:right w:val="single" w:color="000000" w:sz="4" w:space="0"/>
            </w:tcBorders>
            <w:vAlign w:val="center"/>
          </w:tcPr>
          <w:p w14:paraId="6533610D">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全自动恒温恒湿</w:t>
            </w:r>
          </w:p>
          <w:p w14:paraId="1758DD32">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养护室控制仪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64ECEEB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BYS-Ⅲ</w:t>
            </w:r>
          </w:p>
        </w:tc>
        <w:tc>
          <w:tcPr>
            <w:tcW w:w="732" w:type="dxa"/>
            <w:tcBorders>
              <w:top w:val="single" w:color="000000" w:sz="4" w:space="0"/>
              <w:left w:val="single" w:color="000000" w:sz="4" w:space="0"/>
              <w:bottom w:val="single" w:color="000000" w:sz="4" w:space="0"/>
              <w:right w:val="single" w:color="000000" w:sz="4" w:space="0"/>
            </w:tcBorders>
            <w:vAlign w:val="center"/>
          </w:tcPr>
          <w:p w14:paraId="36EB8F20">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7C255A76">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E75E4CB">
            <w:pPr>
              <w:widowControl/>
              <w:ind w:firstLine="0" w:firstLineChars="0"/>
              <w:jc w:val="center"/>
              <w:rPr>
                <w:rFonts w:ascii="宋体" w:cs="Arial"/>
                <w:kern w:val="0"/>
                <w:sz w:val="21"/>
                <w:szCs w:val="21"/>
                <w:highlight w:val="none"/>
              </w:rPr>
            </w:pPr>
          </w:p>
        </w:tc>
      </w:tr>
      <w:tr w14:paraId="4E664D3A">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C9E4116">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24</w:t>
            </w:r>
          </w:p>
        </w:tc>
        <w:tc>
          <w:tcPr>
            <w:tcW w:w="3617" w:type="dxa"/>
            <w:tcBorders>
              <w:top w:val="single" w:color="000000" w:sz="4" w:space="0"/>
              <w:left w:val="single" w:color="000000" w:sz="4" w:space="0"/>
              <w:bottom w:val="single" w:color="000000" w:sz="4" w:space="0"/>
              <w:right w:val="single" w:color="000000" w:sz="4" w:space="0"/>
            </w:tcBorders>
            <w:vAlign w:val="center"/>
          </w:tcPr>
          <w:p w14:paraId="6C356BFA">
            <w:pPr>
              <w:widowControl/>
              <w:ind w:firstLine="360"/>
              <w:jc w:val="both"/>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电动脱模器</w:t>
            </w:r>
          </w:p>
        </w:tc>
        <w:tc>
          <w:tcPr>
            <w:tcW w:w="2207" w:type="dxa"/>
            <w:tcBorders>
              <w:top w:val="single" w:color="000000" w:sz="4" w:space="0"/>
              <w:left w:val="single" w:color="000000" w:sz="4" w:space="0"/>
              <w:bottom w:val="single" w:color="000000" w:sz="4" w:space="0"/>
              <w:right w:val="single" w:color="000000" w:sz="4" w:space="0"/>
            </w:tcBorders>
            <w:vAlign w:val="center"/>
          </w:tcPr>
          <w:p w14:paraId="5712B9E4">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LD-141</w:t>
            </w:r>
          </w:p>
        </w:tc>
        <w:tc>
          <w:tcPr>
            <w:tcW w:w="732" w:type="dxa"/>
            <w:tcBorders>
              <w:top w:val="single" w:color="000000" w:sz="4" w:space="0"/>
              <w:left w:val="single" w:color="000000" w:sz="4" w:space="0"/>
              <w:bottom w:val="single" w:color="000000" w:sz="4" w:space="0"/>
              <w:right w:val="single" w:color="000000" w:sz="4" w:space="0"/>
            </w:tcBorders>
            <w:vAlign w:val="center"/>
          </w:tcPr>
          <w:p w14:paraId="7850C03A">
            <w:pPr>
              <w:widowControl/>
              <w:ind w:left="0" w:leftChars="0" w:firstLine="0" w:firstLineChars="0"/>
              <w:jc w:val="center"/>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694D310A">
            <w:pPr>
              <w:widowControl/>
              <w:ind w:firstLine="360"/>
              <w:jc w:val="both"/>
              <w:textAlignment w:val="center"/>
              <w:rPr>
                <w:rFonts w:hint="eastAsia" w:ascii="宋体" w:hAnsi="宋体" w:cs="宋体"/>
                <w:color w:val="000000"/>
                <w:kern w:val="0"/>
                <w:sz w:val="21"/>
                <w:szCs w:val="21"/>
                <w:highlight w:val="none"/>
              </w:rPr>
            </w:pPr>
            <w:r>
              <w:rPr>
                <w:rFonts w:hint="eastAsia" w:ascii="宋体" w:hAnsi="宋体" w:cs="宋体"/>
                <w:color w:val="000000"/>
                <w:kern w:val="0"/>
                <w:sz w:val="21"/>
                <w:szCs w:val="21"/>
                <w:highlight w:val="none"/>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5D15A28">
            <w:pPr>
              <w:widowControl/>
              <w:ind w:firstLine="0" w:firstLineChars="0"/>
              <w:jc w:val="center"/>
              <w:rPr>
                <w:rFonts w:ascii="宋体" w:cs="Arial"/>
                <w:kern w:val="0"/>
                <w:sz w:val="21"/>
                <w:szCs w:val="21"/>
                <w:highlight w:val="none"/>
              </w:rPr>
            </w:pPr>
          </w:p>
        </w:tc>
      </w:tr>
      <w:tr w14:paraId="33B76294">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B01B8F1">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25</w:t>
            </w:r>
          </w:p>
        </w:tc>
        <w:tc>
          <w:tcPr>
            <w:tcW w:w="3617" w:type="dxa"/>
            <w:tcBorders>
              <w:top w:val="single" w:color="000000" w:sz="4" w:space="0"/>
              <w:left w:val="single" w:color="000000" w:sz="4" w:space="0"/>
              <w:bottom w:val="single" w:color="000000" w:sz="4" w:space="0"/>
              <w:right w:val="single" w:color="000000" w:sz="4" w:space="0"/>
            </w:tcBorders>
            <w:vAlign w:val="center"/>
          </w:tcPr>
          <w:p w14:paraId="10188660">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液塑限联合测定仪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656E3CE0">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LP-100D</w:t>
            </w:r>
          </w:p>
        </w:tc>
        <w:tc>
          <w:tcPr>
            <w:tcW w:w="732" w:type="dxa"/>
            <w:tcBorders>
              <w:top w:val="single" w:color="000000" w:sz="4" w:space="0"/>
              <w:left w:val="single" w:color="000000" w:sz="4" w:space="0"/>
              <w:bottom w:val="single" w:color="000000" w:sz="4" w:space="0"/>
              <w:right w:val="single" w:color="000000" w:sz="4" w:space="0"/>
            </w:tcBorders>
            <w:vAlign w:val="center"/>
          </w:tcPr>
          <w:p w14:paraId="4822A1CD">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66A89D31">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0733F6E5">
            <w:pPr>
              <w:widowControl/>
              <w:ind w:firstLine="0" w:firstLineChars="0"/>
              <w:jc w:val="center"/>
              <w:rPr>
                <w:rFonts w:ascii="宋体" w:cs="Arial"/>
                <w:kern w:val="0"/>
                <w:sz w:val="21"/>
                <w:szCs w:val="21"/>
                <w:highlight w:val="none"/>
              </w:rPr>
            </w:pPr>
          </w:p>
        </w:tc>
      </w:tr>
      <w:tr w14:paraId="467012B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01F00542">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26</w:t>
            </w:r>
          </w:p>
        </w:tc>
        <w:tc>
          <w:tcPr>
            <w:tcW w:w="3617" w:type="dxa"/>
            <w:tcBorders>
              <w:top w:val="single" w:color="000000" w:sz="4" w:space="0"/>
              <w:left w:val="single" w:color="000000" w:sz="4" w:space="0"/>
              <w:bottom w:val="single" w:color="000000" w:sz="4" w:space="0"/>
              <w:right w:val="single" w:color="000000" w:sz="4" w:space="0"/>
            </w:tcBorders>
            <w:vAlign w:val="center"/>
          </w:tcPr>
          <w:p w14:paraId="39C6BBE3">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水泥净浆搅拌机</w:t>
            </w:r>
          </w:p>
        </w:tc>
        <w:tc>
          <w:tcPr>
            <w:tcW w:w="2207" w:type="dxa"/>
            <w:tcBorders>
              <w:top w:val="single" w:color="000000" w:sz="4" w:space="0"/>
              <w:left w:val="single" w:color="000000" w:sz="4" w:space="0"/>
              <w:bottom w:val="single" w:color="000000" w:sz="4" w:space="0"/>
              <w:right w:val="single" w:color="000000" w:sz="4" w:space="0"/>
            </w:tcBorders>
            <w:vAlign w:val="center"/>
          </w:tcPr>
          <w:p w14:paraId="2AA33FA5">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NJ-160B</w:t>
            </w:r>
          </w:p>
        </w:tc>
        <w:tc>
          <w:tcPr>
            <w:tcW w:w="732" w:type="dxa"/>
            <w:tcBorders>
              <w:top w:val="single" w:color="000000" w:sz="4" w:space="0"/>
              <w:left w:val="single" w:color="000000" w:sz="4" w:space="0"/>
              <w:bottom w:val="single" w:color="000000" w:sz="4" w:space="0"/>
              <w:right w:val="single" w:color="000000" w:sz="4" w:space="0"/>
            </w:tcBorders>
            <w:vAlign w:val="center"/>
          </w:tcPr>
          <w:p w14:paraId="4E269B6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360F31C5">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BA1D9E7">
            <w:pPr>
              <w:widowControl/>
              <w:ind w:firstLine="0" w:firstLineChars="0"/>
              <w:jc w:val="center"/>
              <w:rPr>
                <w:rFonts w:ascii="宋体" w:cs="Arial"/>
                <w:kern w:val="0"/>
                <w:sz w:val="21"/>
                <w:szCs w:val="21"/>
                <w:highlight w:val="none"/>
              </w:rPr>
            </w:pPr>
          </w:p>
        </w:tc>
      </w:tr>
      <w:tr w14:paraId="143E7932">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1F6967B">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27</w:t>
            </w:r>
          </w:p>
        </w:tc>
        <w:tc>
          <w:tcPr>
            <w:tcW w:w="3617" w:type="dxa"/>
            <w:tcBorders>
              <w:top w:val="single" w:color="000000" w:sz="4" w:space="0"/>
              <w:left w:val="single" w:color="000000" w:sz="4" w:space="0"/>
              <w:bottom w:val="single" w:color="000000" w:sz="4" w:space="0"/>
              <w:right w:val="single" w:color="000000" w:sz="4" w:space="0"/>
            </w:tcBorders>
            <w:vAlign w:val="center"/>
          </w:tcPr>
          <w:p w14:paraId="1D7C45F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胶砂搅拌机</w:t>
            </w:r>
          </w:p>
        </w:tc>
        <w:tc>
          <w:tcPr>
            <w:tcW w:w="2207" w:type="dxa"/>
            <w:tcBorders>
              <w:top w:val="single" w:color="000000" w:sz="4" w:space="0"/>
              <w:left w:val="single" w:color="000000" w:sz="4" w:space="0"/>
              <w:bottom w:val="single" w:color="000000" w:sz="4" w:space="0"/>
              <w:right w:val="single" w:color="000000" w:sz="4" w:space="0"/>
            </w:tcBorders>
            <w:vAlign w:val="center"/>
          </w:tcPr>
          <w:p w14:paraId="1BE5148B">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JJ-5</w:t>
            </w:r>
          </w:p>
        </w:tc>
        <w:tc>
          <w:tcPr>
            <w:tcW w:w="732" w:type="dxa"/>
            <w:tcBorders>
              <w:top w:val="single" w:color="000000" w:sz="4" w:space="0"/>
              <w:left w:val="single" w:color="000000" w:sz="4" w:space="0"/>
              <w:bottom w:val="single" w:color="000000" w:sz="4" w:space="0"/>
              <w:right w:val="single" w:color="000000" w:sz="4" w:space="0"/>
            </w:tcBorders>
            <w:vAlign w:val="center"/>
          </w:tcPr>
          <w:p w14:paraId="5E940CFD">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0DF8700">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10E7455">
            <w:pPr>
              <w:widowControl/>
              <w:ind w:firstLine="0" w:firstLineChars="0"/>
              <w:jc w:val="center"/>
              <w:rPr>
                <w:rFonts w:ascii="宋体" w:cs="Arial"/>
                <w:kern w:val="0"/>
                <w:sz w:val="21"/>
                <w:szCs w:val="21"/>
                <w:highlight w:val="none"/>
              </w:rPr>
            </w:pPr>
          </w:p>
        </w:tc>
      </w:tr>
      <w:tr w14:paraId="51C2D470">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31066E5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28</w:t>
            </w:r>
          </w:p>
        </w:tc>
        <w:tc>
          <w:tcPr>
            <w:tcW w:w="3617" w:type="dxa"/>
            <w:tcBorders>
              <w:top w:val="single" w:color="000000" w:sz="4" w:space="0"/>
              <w:left w:val="single" w:color="000000" w:sz="4" w:space="0"/>
              <w:bottom w:val="single" w:color="000000" w:sz="4" w:space="0"/>
              <w:right w:val="single" w:color="000000" w:sz="4" w:space="0"/>
            </w:tcBorders>
            <w:vAlign w:val="center"/>
          </w:tcPr>
          <w:p w14:paraId="0274A516">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雷氏夹测定仪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1FF9675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LD-50</w:t>
            </w:r>
          </w:p>
        </w:tc>
        <w:tc>
          <w:tcPr>
            <w:tcW w:w="732" w:type="dxa"/>
            <w:tcBorders>
              <w:top w:val="single" w:color="000000" w:sz="4" w:space="0"/>
              <w:left w:val="single" w:color="000000" w:sz="4" w:space="0"/>
              <w:bottom w:val="single" w:color="000000" w:sz="4" w:space="0"/>
              <w:right w:val="single" w:color="000000" w:sz="4" w:space="0"/>
            </w:tcBorders>
            <w:vAlign w:val="center"/>
          </w:tcPr>
          <w:p w14:paraId="0E02EAD7">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BFE83DB">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13793F1">
            <w:pPr>
              <w:widowControl/>
              <w:ind w:firstLine="0" w:firstLineChars="0"/>
              <w:jc w:val="center"/>
              <w:rPr>
                <w:rFonts w:ascii="宋体" w:cs="Arial"/>
                <w:kern w:val="0"/>
                <w:sz w:val="21"/>
                <w:szCs w:val="21"/>
                <w:highlight w:val="none"/>
              </w:rPr>
            </w:pPr>
          </w:p>
        </w:tc>
      </w:tr>
      <w:tr w14:paraId="68D00D62">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57497C0">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29</w:t>
            </w:r>
          </w:p>
        </w:tc>
        <w:tc>
          <w:tcPr>
            <w:tcW w:w="3617" w:type="dxa"/>
            <w:tcBorders>
              <w:top w:val="single" w:color="000000" w:sz="4" w:space="0"/>
              <w:left w:val="single" w:color="000000" w:sz="4" w:space="0"/>
              <w:bottom w:val="single" w:color="000000" w:sz="4" w:space="0"/>
              <w:right w:val="single" w:color="000000" w:sz="4" w:space="0"/>
            </w:tcBorders>
            <w:vAlign w:val="center"/>
          </w:tcPr>
          <w:p w14:paraId="59CCB2C6">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沸煮箱</w:t>
            </w:r>
          </w:p>
        </w:tc>
        <w:tc>
          <w:tcPr>
            <w:tcW w:w="2207" w:type="dxa"/>
            <w:tcBorders>
              <w:top w:val="single" w:color="000000" w:sz="4" w:space="0"/>
              <w:left w:val="single" w:color="000000" w:sz="4" w:space="0"/>
              <w:bottom w:val="single" w:color="000000" w:sz="4" w:space="0"/>
              <w:right w:val="single" w:color="000000" w:sz="4" w:space="0"/>
            </w:tcBorders>
            <w:vAlign w:val="center"/>
          </w:tcPr>
          <w:p w14:paraId="03928F10">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FZ-31A</w:t>
            </w:r>
          </w:p>
        </w:tc>
        <w:tc>
          <w:tcPr>
            <w:tcW w:w="732" w:type="dxa"/>
            <w:tcBorders>
              <w:top w:val="single" w:color="000000" w:sz="4" w:space="0"/>
              <w:left w:val="single" w:color="000000" w:sz="4" w:space="0"/>
              <w:bottom w:val="single" w:color="000000" w:sz="4" w:space="0"/>
              <w:right w:val="single" w:color="000000" w:sz="4" w:space="0"/>
            </w:tcBorders>
            <w:vAlign w:val="center"/>
          </w:tcPr>
          <w:p w14:paraId="44556EB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70A67D46">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D962B17">
            <w:pPr>
              <w:widowControl/>
              <w:ind w:firstLine="0" w:firstLineChars="0"/>
              <w:jc w:val="center"/>
              <w:rPr>
                <w:rFonts w:ascii="宋体" w:cs="Arial"/>
                <w:kern w:val="0"/>
                <w:sz w:val="21"/>
                <w:szCs w:val="21"/>
                <w:highlight w:val="none"/>
              </w:rPr>
            </w:pPr>
          </w:p>
        </w:tc>
      </w:tr>
      <w:tr w14:paraId="09B4FDB4">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01D59AC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30</w:t>
            </w:r>
          </w:p>
        </w:tc>
        <w:tc>
          <w:tcPr>
            <w:tcW w:w="3617" w:type="dxa"/>
            <w:tcBorders>
              <w:top w:val="single" w:color="000000" w:sz="4" w:space="0"/>
              <w:left w:val="single" w:color="000000" w:sz="4" w:space="0"/>
              <w:bottom w:val="single" w:color="000000" w:sz="4" w:space="0"/>
              <w:right w:val="single" w:color="000000" w:sz="4" w:space="0"/>
            </w:tcBorders>
            <w:vAlign w:val="center"/>
          </w:tcPr>
          <w:p w14:paraId="49648C72">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水泥胶砂振实台</w:t>
            </w:r>
          </w:p>
        </w:tc>
        <w:tc>
          <w:tcPr>
            <w:tcW w:w="2207" w:type="dxa"/>
            <w:tcBorders>
              <w:top w:val="single" w:color="000000" w:sz="4" w:space="0"/>
              <w:left w:val="single" w:color="000000" w:sz="4" w:space="0"/>
              <w:bottom w:val="single" w:color="000000" w:sz="4" w:space="0"/>
              <w:right w:val="single" w:color="000000" w:sz="4" w:space="0"/>
            </w:tcBorders>
            <w:vAlign w:val="center"/>
          </w:tcPr>
          <w:p w14:paraId="5BFAD28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ZS-15</w:t>
            </w:r>
          </w:p>
        </w:tc>
        <w:tc>
          <w:tcPr>
            <w:tcW w:w="732" w:type="dxa"/>
            <w:tcBorders>
              <w:top w:val="single" w:color="000000" w:sz="4" w:space="0"/>
              <w:left w:val="single" w:color="000000" w:sz="4" w:space="0"/>
              <w:bottom w:val="single" w:color="000000" w:sz="4" w:space="0"/>
              <w:right w:val="single" w:color="000000" w:sz="4" w:space="0"/>
            </w:tcBorders>
            <w:vAlign w:val="center"/>
          </w:tcPr>
          <w:p w14:paraId="1DF52160">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417AF1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E6C4809">
            <w:pPr>
              <w:widowControl/>
              <w:ind w:firstLine="0" w:firstLineChars="0"/>
              <w:jc w:val="center"/>
              <w:rPr>
                <w:rFonts w:ascii="宋体" w:cs="Arial"/>
                <w:kern w:val="0"/>
                <w:sz w:val="21"/>
                <w:szCs w:val="21"/>
                <w:highlight w:val="none"/>
              </w:rPr>
            </w:pPr>
          </w:p>
        </w:tc>
      </w:tr>
      <w:tr w14:paraId="5153BE4D">
        <w:tblPrEx>
          <w:tblCellMar>
            <w:top w:w="0" w:type="dxa"/>
            <w:left w:w="108" w:type="dxa"/>
            <w:bottom w:w="0" w:type="dxa"/>
            <w:right w:w="108" w:type="dxa"/>
          </w:tblCellMar>
        </w:tblPrEx>
        <w:trPr>
          <w:trHeight w:val="860"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015FFA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31</w:t>
            </w:r>
          </w:p>
        </w:tc>
        <w:tc>
          <w:tcPr>
            <w:tcW w:w="3617" w:type="dxa"/>
            <w:tcBorders>
              <w:top w:val="single" w:color="000000" w:sz="4" w:space="0"/>
              <w:left w:val="single" w:color="000000" w:sz="4" w:space="0"/>
              <w:bottom w:val="single" w:color="000000" w:sz="4" w:space="0"/>
              <w:right w:val="single" w:color="000000" w:sz="4" w:space="0"/>
            </w:tcBorders>
            <w:vAlign w:val="center"/>
          </w:tcPr>
          <w:p w14:paraId="66F7ABDC">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水泥胶砂流动度测试仪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4C79B90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NLD-3</w:t>
            </w:r>
          </w:p>
        </w:tc>
        <w:tc>
          <w:tcPr>
            <w:tcW w:w="732" w:type="dxa"/>
            <w:tcBorders>
              <w:top w:val="single" w:color="000000" w:sz="4" w:space="0"/>
              <w:left w:val="single" w:color="000000" w:sz="4" w:space="0"/>
              <w:bottom w:val="single" w:color="000000" w:sz="4" w:space="0"/>
              <w:right w:val="single" w:color="000000" w:sz="4" w:space="0"/>
            </w:tcBorders>
            <w:vAlign w:val="center"/>
          </w:tcPr>
          <w:p w14:paraId="6EFACD6C">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D9A400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3C0F04A">
            <w:pPr>
              <w:widowControl/>
              <w:ind w:firstLine="0" w:firstLineChars="0"/>
              <w:jc w:val="center"/>
              <w:rPr>
                <w:rFonts w:ascii="宋体" w:cs="Arial"/>
                <w:kern w:val="0"/>
                <w:sz w:val="21"/>
                <w:szCs w:val="21"/>
                <w:highlight w:val="none"/>
              </w:rPr>
            </w:pPr>
          </w:p>
        </w:tc>
      </w:tr>
      <w:tr w14:paraId="0E5B2F9D">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38F7BC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32</w:t>
            </w:r>
          </w:p>
        </w:tc>
        <w:tc>
          <w:tcPr>
            <w:tcW w:w="3617" w:type="dxa"/>
            <w:tcBorders>
              <w:top w:val="single" w:color="000000" w:sz="4" w:space="0"/>
              <w:left w:val="single" w:color="000000" w:sz="4" w:space="0"/>
              <w:bottom w:val="single" w:color="000000" w:sz="4" w:space="0"/>
              <w:right w:val="single" w:color="000000" w:sz="4" w:space="0"/>
            </w:tcBorders>
            <w:vAlign w:val="center"/>
          </w:tcPr>
          <w:p w14:paraId="1501A063">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维卡仪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0CFA427B">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（0-70）mm</w:t>
            </w:r>
          </w:p>
        </w:tc>
        <w:tc>
          <w:tcPr>
            <w:tcW w:w="732" w:type="dxa"/>
            <w:tcBorders>
              <w:top w:val="single" w:color="000000" w:sz="4" w:space="0"/>
              <w:left w:val="single" w:color="000000" w:sz="4" w:space="0"/>
              <w:bottom w:val="single" w:color="000000" w:sz="4" w:space="0"/>
              <w:right w:val="single" w:color="000000" w:sz="4" w:space="0"/>
            </w:tcBorders>
            <w:vAlign w:val="center"/>
          </w:tcPr>
          <w:p w14:paraId="0F57C5F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A8CD156">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1FEB652">
            <w:pPr>
              <w:widowControl/>
              <w:ind w:firstLine="0" w:firstLineChars="0"/>
              <w:jc w:val="center"/>
              <w:rPr>
                <w:rFonts w:ascii="宋体" w:cs="Arial"/>
                <w:kern w:val="0"/>
                <w:sz w:val="21"/>
                <w:szCs w:val="21"/>
                <w:highlight w:val="none"/>
              </w:rPr>
            </w:pPr>
          </w:p>
        </w:tc>
      </w:tr>
      <w:tr w14:paraId="26DC5A9C">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DFF2CC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33</w:t>
            </w:r>
          </w:p>
        </w:tc>
        <w:tc>
          <w:tcPr>
            <w:tcW w:w="3617" w:type="dxa"/>
            <w:tcBorders>
              <w:top w:val="single" w:color="000000" w:sz="4" w:space="0"/>
              <w:left w:val="single" w:color="000000" w:sz="4" w:space="0"/>
              <w:bottom w:val="single" w:color="000000" w:sz="4" w:space="0"/>
              <w:right w:val="single" w:color="000000" w:sz="4" w:space="0"/>
            </w:tcBorders>
            <w:vAlign w:val="center"/>
          </w:tcPr>
          <w:p w14:paraId="3F869E06">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全自动比表面积测定仪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03F939D6">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FBT-9B</w:t>
            </w:r>
          </w:p>
        </w:tc>
        <w:tc>
          <w:tcPr>
            <w:tcW w:w="732" w:type="dxa"/>
            <w:tcBorders>
              <w:top w:val="single" w:color="000000" w:sz="4" w:space="0"/>
              <w:left w:val="single" w:color="000000" w:sz="4" w:space="0"/>
              <w:bottom w:val="single" w:color="000000" w:sz="4" w:space="0"/>
              <w:right w:val="single" w:color="000000" w:sz="4" w:space="0"/>
            </w:tcBorders>
            <w:vAlign w:val="center"/>
          </w:tcPr>
          <w:p w14:paraId="7FED63A5">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F34BC7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2274020B">
            <w:pPr>
              <w:widowControl/>
              <w:ind w:firstLine="0" w:firstLineChars="0"/>
              <w:jc w:val="center"/>
              <w:rPr>
                <w:rFonts w:ascii="宋体" w:cs="Arial"/>
                <w:kern w:val="0"/>
                <w:sz w:val="21"/>
                <w:szCs w:val="21"/>
                <w:highlight w:val="none"/>
              </w:rPr>
            </w:pPr>
          </w:p>
        </w:tc>
      </w:tr>
      <w:tr w14:paraId="63F8EF00">
        <w:tblPrEx>
          <w:tblCellMar>
            <w:top w:w="0" w:type="dxa"/>
            <w:left w:w="108" w:type="dxa"/>
            <w:bottom w:w="0" w:type="dxa"/>
            <w:right w:w="108" w:type="dxa"/>
          </w:tblCellMar>
        </w:tblPrEx>
        <w:trPr>
          <w:trHeight w:val="860"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7913192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34</w:t>
            </w:r>
          </w:p>
        </w:tc>
        <w:tc>
          <w:tcPr>
            <w:tcW w:w="3617" w:type="dxa"/>
            <w:tcBorders>
              <w:top w:val="single" w:color="000000" w:sz="4" w:space="0"/>
              <w:left w:val="single" w:color="000000" w:sz="4" w:space="0"/>
              <w:bottom w:val="single" w:color="000000" w:sz="4" w:space="0"/>
              <w:right w:val="single" w:color="000000" w:sz="4" w:space="0"/>
            </w:tcBorders>
            <w:vAlign w:val="center"/>
          </w:tcPr>
          <w:p w14:paraId="4A2DB2B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标准恒温恒湿</w:t>
            </w:r>
          </w:p>
          <w:p w14:paraId="70101269">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养护箱（养护室）</w:t>
            </w:r>
          </w:p>
        </w:tc>
        <w:tc>
          <w:tcPr>
            <w:tcW w:w="2207" w:type="dxa"/>
            <w:tcBorders>
              <w:top w:val="single" w:color="000000" w:sz="4" w:space="0"/>
              <w:left w:val="single" w:color="000000" w:sz="4" w:space="0"/>
              <w:bottom w:val="single" w:color="000000" w:sz="4" w:space="0"/>
              <w:right w:val="single" w:color="000000" w:sz="4" w:space="0"/>
            </w:tcBorders>
            <w:vAlign w:val="center"/>
          </w:tcPr>
          <w:p w14:paraId="72A5FEF9">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YH-40B</w:t>
            </w:r>
          </w:p>
        </w:tc>
        <w:tc>
          <w:tcPr>
            <w:tcW w:w="732" w:type="dxa"/>
            <w:tcBorders>
              <w:top w:val="single" w:color="000000" w:sz="4" w:space="0"/>
              <w:left w:val="single" w:color="000000" w:sz="4" w:space="0"/>
              <w:bottom w:val="single" w:color="000000" w:sz="4" w:space="0"/>
              <w:right w:val="single" w:color="000000" w:sz="4" w:space="0"/>
            </w:tcBorders>
            <w:vAlign w:val="center"/>
          </w:tcPr>
          <w:p w14:paraId="124E5837">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F7232C5">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75E2057">
            <w:pPr>
              <w:widowControl/>
              <w:ind w:firstLine="0" w:firstLineChars="0"/>
              <w:jc w:val="center"/>
              <w:rPr>
                <w:rFonts w:ascii="宋体" w:cs="Arial"/>
                <w:kern w:val="0"/>
                <w:sz w:val="21"/>
                <w:szCs w:val="21"/>
                <w:highlight w:val="none"/>
              </w:rPr>
            </w:pPr>
          </w:p>
        </w:tc>
      </w:tr>
      <w:tr w14:paraId="4A0F91FF">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2FEB92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35</w:t>
            </w:r>
          </w:p>
        </w:tc>
        <w:tc>
          <w:tcPr>
            <w:tcW w:w="3617" w:type="dxa"/>
            <w:tcBorders>
              <w:top w:val="single" w:color="000000" w:sz="4" w:space="0"/>
              <w:left w:val="single" w:color="000000" w:sz="4" w:space="0"/>
              <w:bottom w:val="single" w:color="000000" w:sz="4" w:space="0"/>
              <w:right w:val="single" w:color="000000" w:sz="4" w:space="0"/>
            </w:tcBorders>
            <w:vAlign w:val="center"/>
          </w:tcPr>
          <w:p w14:paraId="10F832E8">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路面回弹模量测定仪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4D3CFC96">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HM-1</w:t>
            </w:r>
          </w:p>
        </w:tc>
        <w:tc>
          <w:tcPr>
            <w:tcW w:w="732" w:type="dxa"/>
            <w:tcBorders>
              <w:top w:val="single" w:color="000000" w:sz="4" w:space="0"/>
              <w:left w:val="single" w:color="000000" w:sz="4" w:space="0"/>
              <w:bottom w:val="single" w:color="000000" w:sz="4" w:space="0"/>
              <w:right w:val="single" w:color="000000" w:sz="4" w:space="0"/>
            </w:tcBorders>
            <w:vAlign w:val="center"/>
          </w:tcPr>
          <w:p w14:paraId="5C197CCA">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C2EADA2">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73C4FBA">
            <w:pPr>
              <w:widowControl/>
              <w:ind w:firstLine="0" w:firstLineChars="0"/>
              <w:jc w:val="center"/>
              <w:rPr>
                <w:rFonts w:ascii="宋体" w:cs="Arial"/>
                <w:kern w:val="0"/>
                <w:sz w:val="21"/>
                <w:szCs w:val="21"/>
                <w:highlight w:val="none"/>
              </w:rPr>
            </w:pPr>
          </w:p>
        </w:tc>
      </w:tr>
      <w:tr w14:paraId="40182BB0">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7A0989D5">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36</w:t>
            </w:r>
          </w:p>
        </w:tc>
        <w:tc>
          <w:tcPr>
            <w:tcW w:w="3617" w:type="dxa"/>
            <w:tcBorders>
              <w:top w:val="single" w:color="000000" w:sz="4" w:space="0"/>
              <w:left w:val="single" w:color="000000" w:sz="4" w:space="0"/>
              <w:bottom w:val="single" w:color="000000" w:sz="4" w:space="0"/>
              <w:right w:val="single" w:color="000000" w:sz="4" w:space="0"/>
            </w:tcBorders>
            <w:vAlign w:val="center"/>
          </w:tcPr>
          <w:p w14:paraId="78D3E9FC">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针片状规准仪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41E2C9B6">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7608E79C">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28703B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35713DFB">
            <w:pPr>
              <w:widowControl/>
              <w:ind w:firstLine="0" w:firstLineChars="0"/>
              <w:jc w:val="center"/>
              <w:rPr>
                <w:rFonts w:ascii="宋体" w:cs="Arial"/>
                <w:kern w:val="0"/>
                <w:sz w:val="21"/>
                <w:szCs w:val="21"/>
                <w:highlight w:val="none"/>
              </w:rPr>
            </w:pPr>
          </w:p>
        </w:tc>
      </w:tr>
      <w:tr w14:paraId="31F4ACCB">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59B0619">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37</w:t>
            </w:r>
          </w:p>
        </w:tc>
        <w:tc>
          <w:tcPr>
            <w:tcW w:w="3617" w:type="dxa"/>
            <w:tcBorders>
              <w:top w:val="single" w:color="000000" w:sz="4" w:space="0"/>
              <w:left w:val="single" w:color="000000" w:sz="4" w:space="0"/>
              <w:bottom w:val="single" w:color="000000" w:sz="4" w:space="0"/>
              <w:right w:val="single" w:color="000000" w:sz="4" w:space="0"/>
            </w:tcBorders>
            <w:vAlign w:val="center"/>
          </w:tcPr>
          <w:p w14:paraId="380E6549">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双外爪游标卡尺</w:t>
            </w:r>
          </w:p>
        </w:tc>
        <w:tc>
          <w:tcPr>
            <w:tcW w:w="2207" w:type="dxa"/>
            <w:tcBorders>
              <w:top w:val="single" w:color="000000" w:sz="4" w:space="0"/>
              <w:left w:val="single" w:color="000000" w:sz="4" w:space="0"/>
              <w:bottom w:val="single" w:color="000000" w:sz="4" w:space="0"/>
              <w:right w:val="single" w:color="000000" w:sz="4" w:space="0"/>
            </w:tcBorders>
            <w:vAlign w:val="center"/>
          </w:tcPr>
          <w:p w14:paraId="6AD27720">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0-300mm</w:t>
            </w:r>
          </w:p>
        </w:tc>
        <w:tc>
          <w:tcPr>
            <w:tcW w:w="732" w:type="dxa"/>
            <w:tcBorders>
              <w:top w:val="single" w:color="000000" w:sz="4" w:space="0"/>
              <w:left w:val="single" w:color="000000" w:sz="4" w:space="0"/>
              <w:bottom w:val="single" w:color="000000" w:sz="4" w:space="0"/>
              <w:right w:val="single" w:color="000000" w:sz="4" w:space="0"/>
            </w:tcBorders>
            <w:vAlign w:val="center"/>
          </w:tcPr>
          <w:p w14:paraId="29049155">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1F1665B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6D5ED59">
            <w:pPr>
              <w:widowControl/>
              <w:ind w:firstLine="0" w:firstLineChars="0"/>
              <w:jc w:val="center"/>
              <w:rPr>
                <w:rFonts w:ascii="宋体" w:cs="Arial"/>
                <w:kern w:val="0"/>
                <w:sz w:val="21"/>
                <w:szCs w:val="21"/>
                <w:highlight w:val="none"/>
              </w:rPr>
            </w:pPr>
          </w:p>
        </w:tc>
      </w:tr>
      <w:tr w14:paraId="561C7C23">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A3E05F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38</w:t>
            </w:r>
          </w:p>
        </w:tc>
        <w:tc>
          <w:tcPr>
            <w:tcW w:w="3617" w:type="dxa"/>
            <w:tcBorders>
              <w:top w:val="single" w:color="000000" w:sz="4" w:space="0"/>
              <w:left w:val="single" w:color="000000" w:sz="4" w:space="0"/>
              <w:bottom w:val="single" w:color="000000" w:sz="4" w:space="0"/>
              <w:right w:val="single" w:color="000000" w:sz="4" w:space="0"/>
            </w:tcBorders>
            <w:vAlign w:val="center"/>
          </w:tcPr>
          <w:p w14:paraId="79FCACF7">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路面弯沉仪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749B000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5.4m</w:t>
            </w:r>
          </w:p>
        </w:tc>
        <w:tc>
          <w:tcPr>
            <w:tcW w:w="732" w:type="dxa"/>
            <w:tcBorders>
              <w:top w:val="single" w:color="000000" w:sz="4" w:space="0"/>
              <w:left w:val="single" w:color="000000" w:sz="4" w:space="0"/>
              <w:bottom w:val="single" w:color="000000" w:sz="4" w:space="0"/>
              <w:right w:val="single" w:color="000000" w:sz="4" w:space="0"/>
            </w:tcBorders>
            <w:vAlign w:val="center"/>
          </w:tcPr>
          <w:p w14:paraId="025FDE6B">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418D1F53">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3F24ABC">
            <w:pPr>
              <w:widowControl/>
              <w:ind w:firstLine="0" w:firstLineChars="0"/>
              <w:jc w:val="center"/>
              <w:rPr>
                <w:rFonts w:ascii="宋体" w:cs="Arial"/>
                <w:kern w:val="0"/>
                <w:sz w:val="21"/>
                <w:szCs w:val="21"/>
                <w:highlight w:val="none"/>
              </w:rPr>
            </w:pPr>
          </w:p>
        </w:tc>
      </w:tr>
      <w:tr w14:paraId="5BC903CD">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795B85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39</w:t>
            </w:r>
          </w:p>
        </w:tc>
        <w:tc>
          <w:tcPr>
            <w:tcW w:w="3617" w:type="dxa"/>
            <w:tcBorders>
              <w:top w:val="single" w:color="000000" w:sz="4" w:space="0"/>
              <w:left w:val="single" w:color="000000" w:sz="4" w:space="0"/>
              <w:bottom w:val="single" w:color="000000" w:sz="4" w:space="0"/>
              <w:right w:val="single" w:color="000000" w:sz="4" w:space="0"/>
            </w:tcBorders>
            <w:vAlign w:val="center"/>
          </w:tcPr>
          <w:p w14:paraId="684A1F31">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构造深度</w:t>
            </w:r>
          </w:p>
        </w:tc>
        <w:tc>
          <w:tcPr>
            <w:tcW w:w="2207" w:type="dxa"/>
            <w:tcBorders>
              <w:top w:val="single" w:color="000000" w:sz="4" w:space="0"/>
              <w:left w:val="single" w:color="000000" w:sz="4" w:space="0"/>
              <w:bottom w:val="single" w:color="000000" w:sz="4" w:space="0"/>
              <w:right w:val="single" w:color="000000" w:sz="4" w:space="0"/>
            </w:tcBorders>
            <w:vAlign w:val="center"/>
          </w:tcPr>
          <w:p w14:paraId="77DF70E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728F11EE">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6DE5AF48">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7C8ED92C">
            <w:pPr>
              <w:widowControl/>
              <w:ind w:firstLine="0" w:firstLineChars="0"/>
              <w:jc w:val="center"/>
              <w:rPr>
                <w:rFonts w:ascii="宋体" w:cs="Arial"/>
                <w:kern w:val="0"/>
                <w:sz w:val="21"/>
                <w:szCs w:val="21"/>
                <w:highlight w:val="none"/>
              </w:rPr>
            </w:pPr>
          </w:p>
        </w:tc>
      </w:tr>
      <w:tr w14:paraId="0F50F7C9">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0B319508">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40</w:t>
            </w:r>
          </w:p>
        </w:tc>
        <w:tc>
          <w:tcPr>
            <w:tcW w:w="3617" w:type="dxa"/>
            <w:tcBorders>
              <w:top w:val="single" w:color="000000" w:sz="4" w:space="0"/>
              <w:left w:val="single" w:color="000000" w:sz="4" w:space="0"/>
              <w:bottom w:val="single" w:color="000000" w:sz="4" w:space="0"/>
              <w:right w:val="single" w:color="000000" w:sz="4" w:space="0"/>
            </w:tcBorders>
            <w:vAlign w:val="center"/>
          </w:tcPr>
          <w:p w14:paraId="5620F1D4">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轻型触探仪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435872F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6D0A373C">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7464DC70">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383B1B6">
            <w:pPr>
              <w:widowControl/>
              <w:ind w:firstLine="0" w:firstLineChars="0"/>
              <w:jc w:val="center"/>
              <w:rPr>
                <w:rFonts w:ascii="宋体" w:cs="Arial"/>
                <w:kern w:val="0"/>
                <w:sz w:val="21"/>
                <w:szCs w:val="21"/>
                <w:highlight w:val="none"/>
              </w:rPr>
            </w:pPr>
          </w:p>
        </w:tc>
      </w:tr>
      <w:tr w14:paraId="27699FBF">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1B790D2">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41</w:t>
            </w:r>
          </w:p>
        </w:tc>
        <w:tc>
          <w:tcPr>
            <w:tcW w:w="3617" w:type="dxa"/>
            <w:tcBorders>
              <w:top w:val="single" w:color="000000" w:sz="4" w:space="0"/>
              <w:left w:val="single" w:color="000000" w:sz="4" w:space="0"/>
              <w:bottom w:val="single" w:color="000000" w:sz="4" w:space="0"/>
              <w:right w:val="single" w:color="000000" w:sz="4" w:space="0"/>
            </w:tcBorders>
            <w:vAlign w:val="center"/>
          </w:tcPr>
          <w:p w14:paraId="2497BED8">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万能材料试验机300KN</w:t>
            </w:r>
          </w:p>
        </w:tc>
        <w:tc>
          <w:tcPr>
            <w:tcW w:w="2207" w:type="dxa"/>
            <w:tcBorders>
              <w:top w:val="single" w:color="000000" w:sz="4" w:space="0"/>
              <w:left w:val="single" w:color="000000" w:sz="4" w:space="0"/>
              <w:bottom w:val="single" w:color="000000" w:sz="4" w:space="0"/>
              <w:right w:val="single" w:color="000000" w:sz="4" w:space="0"/>
            </w:tcBorders>
            <w:vAlign w:val="center"/>
          </w:tcPr>
          <w:p w14:paraId="5C78E6B3">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WE-300B</w:t>
            </w:r>
          </w:p>
        </w:tc>
        <w:tc>
          <w:tcPr>
            <w:tcW w:w="732" w:type="dxa"/>
            <w:tcBorders>
              <w:top w:val="single" w:color="000000" w:sz="4" w:space="0"/>
              <w:left w:val="single" w:color="000000" w:sz="4" w:space="0"/>
              <w:bottom w:val="single" w:color="000000" w:sz="4" w:space="0"/>
              <w:right w:val="single" w:color="000000" w:sz="4" w:space="0"/>
            </w:tcBorders>
            <w:vAlign w:val="center"/>
          </w:tcPr>
          <w:p w14:paraId="18C9C913">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5268BA1">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70B74D6">
            <w:pPr>
              <w:widowControl/>
              <w:ind w:firstLine="0" w:firstLineChars="0"/>
              <w:jc w:val="center"/>
              <w:rPr>
                <w:rFonts w:ascii="宋体" w:cs="Arial"/>
                <w:kern w:val="0"/>
                <w:sz w:val="21"/>
                <w:szCs w:val="21"/>
                <w:highlight w:val="none"/>
              </w:rPr>
            </w:pPr>
          </w:p>
        </w:tc>
      </w:tr>
      <w:tr w14:paraId="05A20092">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3E31B9E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42</w:t>
            </w:r>
          </w:p>
        </w:tc>
        <w:tc>
          <w:tcPr>
            <w:tcW w:w="3617" w:type="dxa"/>
            <w:tcBorders>
              <w:top w:val="single" w:color="000000" w:sz="4" w:space="0"/>
              <w:left w:val="single" w:color="000000" w:sz="4" w:space="0"/>
              <w:bottom w:val="single" w:color="000000" w:sz="4" w:space="0"/>
              <w:right w:val="single" w:color="000000" w:sz="4" w:space="0"/>
            </w:tcBorders>
            <w:vAlign w:val="center"/>
          </w:tcPr>
          <w:p w14:paraId="4E59AF21">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万能材料试验机1000KN</w:t>
            </w:r>
          </w:p>
        </w:tc>
        <w:tc>
          <w:tcPr>
            <w:tcW w:w="2207" w:type="dxa"/>
            <w:tcBorders>
              <w:top w:val="single" w:color="000000" w:sz="4" w:space="0"/>
              <w:left w:val="single" w:color="000000" w:sz="4" w:space="0"/>
              <w:bottom w:val="single" w:color="000000" w:sz="4" w:space="0"/>
              <w:right w:val="single" w:color="000000" w:sz="4" w:space="0"/>
            </w:tcBorders>
            <w:vAlign w:val="center"/>
          </w:tcPr>
          <w:p w14:paraId="093223B2">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WE-1000B</w:t>
            </w:r>
          </w:p>
        </w:tc>
        <w:tc>
          <w:tcPr>
            <w:tcW w:w="732" w:type="dxa"/>
            <w:tcBorders>
              <w:top w:val="single" w:color="000000" w:sz="4" w:space="0"/>
              <w:left w:val="single" w:color="000000" w:sz="4" w:space="0"/>
              <w:bottom w:val="single" w:color="000000" w:sz="4" w:space="0"/>
              <w:right w:val="single" w:color="000000" w:sz="4" w:space="0"/>
            </w:tcBorders>
            <w:vAlign w:val="center"/>
          </w:tcPr>
          <w:p w14:paraId="0E98E095">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3A8B1B9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8D58F54">
            <w:pPr>
              <w:widowControl/>
              <w:ind w:firstLine="0" w:firstLineChars="0"/>
              <w:jc w:val="center"/>
              <w:rPr>
                <w:rFonts w:ascii="宋体" w:cs="Arial"/>
                <w:kern w:val="0"/>
                <w:sz w:val="21"/>
                <w:szCs w:val="21"/>
                <w:highlight w:val="none"/>
              </w:rPr>
            </w:pPr>
          </w:p>
        </w:tc>
      </w:tr>
      <w:tr w14:paraId="63435A1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8DBED4B">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43</w:t>
            </w:r>
          </w:p>
        </w:tc>
        <w:tc>
          <w:tcPr>
            <w:tcW w:w="3617" w:type="dxa"/>
            <w:tcBorders>
              <w:top w:val="single" w:color="000000" w:sz="4" w:space="0"/>
              <w:left w:val="single" w:color="000000" w:sz="4" w:space="0"/>
              <w:bottom w:val="single" w:color="000000" w:sz="4" w:space="0"/>
              <w:right w:val="single" w:color="000000" w:sz="4" w:space="0"/>
            </w:tcBorders>
            <w:vAlign w:val="center"/>
          </w:tcPr>
          <w:p w14:paraId="742C7F3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混凝土钢筋保护层厚度测定仪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747BF0EE">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77D03838">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0F06E045">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F09077F">
            <w:pPr>
              <w:widowControl/>
              <w:ind w:firstLine="0" w:firstLineChars="0"/>
              <w:jc w:val="center"/>
              <w:rPr>
                <w:rFonts w:ascii="宋体" w:cs="Arial"/>
                <w:kern w:val="0"/>
                <w:sz w:val="21"/>
                <w:szCs w:val="21"/>
                <w:highlight w:val="none"/>
              </w:rPr>
            </w:pPr>
          </w:p>
        </w:tc>
      </w:tr>
      <w:tr w14:paraId="5563DB6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5EC700F9">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44</w:t>
            </w:r>
          </w:p>
        </w:tc>
        <w:tc>
          <w:tcPr>
            <w:tcW w:w="3617" w:type="dxa"/>
            <w:tcBorders>
              <w:top w:val="single" w:color="000000" w:sz="4" w:space="0"/>
              <w:left w:val="single" w:color="000000" w:sz="4" w:space="0"/>
              <w:bottom w:val="single" w:color="000000" w:sz="4" w:space="0"/>
              <w:right w:val="single" w:color="000000" w:sz="4" w:space="0"/>
            </w:tcBorders>
            <w:vAlign w:val="center"/>
          </w:tcPr>
          <w:p w14:paraId="79079322">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标准养护室加湿设备</w:t>
            </w:r>
            <w:r>
              <w:rPr>
                <w:rFonts w:hint="eastAsia" w:ascii="宋体" w:hAnsi="宋体" w:cs="宋体"/>
                <w:color w:val="000000"/>
                <w:kern w:val="0"/>
                <w:sz w:val="21"/>
                <w:szCs w:val="21"/>
                <w:highlight w:val="none"/>
                <w:lang w:val="en-US" w:eastAsia="zh-CN"/>
              </w:rPr>
              <w:tab/>
            </w:r>
            <w:r>
              <w:rPr>
                <w:rFonts w:hint="eastAsia" w:ascii="宋体" w:hAnsi="宋体" w:cs="宋体"/>
                <w:color w:val="000000"/>
                <w:kern w:val="0"/>
                <w:sz w:val="21"/>
                <w:szCs w:val="21"/>
                <w:highlight w:val="none"/>
                <w:lang w:val="en-US" w:eastAsia="zh-CN"/>
              </w:rPr>
              <w:t>NPR-120</w:t>
            </w:r>
          </w:p>
        </w:tc>
        <w:tc>
          <w:tcPr>
            <w:tcW w:w="2207" w:type="dxa"/>
            <w:tcBorders>
              <w:top w:val="single" w:color="000000" w:sz="4" w:space="0"/>
              <w:left w:val="single" w:color="000000" w:sz="4" w:space="0"/>
              <w:bottom w:val="single" w:color="000000" w:sz="4" w:space="0"/>
              <w:right w:val="single" w:color="000000" w:sz="4" w:space="0"/>
            </w:tcBorders>
            <w:vAlign w:val="center"/>
          </w:tcPr>
          <w:p w14:paraId="756237EA">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501A155D">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271C4CA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19CB629B">
            <w:pPr>
              <w:widowControl/>
              <w:ind w:firstLine="0" w:firstLineChars="0"/>
              <w:jc w:val="center"/>
              <w:rPr>
                <w:rFonts w:ascii="宋体" w:cs="Arial"/>
                <w:kern w:val="0"/>
                <w:sz w:val="21"/>
                <w:szCs w:val="21"/>
                <w:highlight w:val="none"/>
              </w:rPr>
            </w:pPr>
          </w:p>
        </w:tc>
      </w:tr>
      <w:tr w14:paraId="5E37C037">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5388EF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45</w:t>
            </w:r>
          </w:p>
        </w:tc>
        <w:tc>
          <w:tcPr>
            <w:tcW w:w="3617" w:type="dxa"/>
            <w:tcBorders>
              <w:top w:val="single" w:color="000000" w:sz="4" w:space="0"/>
              <w:left w:val="single" w:color="000000" w:sz="4" w:space="0"/>
              <w:bottom w:val="single" w:color="000000" w:sz="4" w:space="0"/>
              <w:right w:val="single" w:color="000000" w:sz="4" w:space="0"/>
            </w:tcBorders>
            <w:vAlign w:val="center"/>
          </w:tcPr>
          <w:p w14:paraId="78FBDAE1">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标准养护室加湿设备</w:t>
            </w:r>
          </w:p>
        </w:tc>
        <w:tc>
          <w:tcPr>
            <w:tcW w:w="2207" w:type="dxa"/>
            <w:tcBorders>
              <w:top w:val="single" w:color="000000" w:sz="4" w:space="0"/>
              <w:left w:val="single" w:color="000000" w:sz="4" w:space="0"/>
              <w:bottom w:val="single" w:color="000000" w:sz="4" w:space="0"/>
              <w:right w:val="single" w:color="000000" w:sz="4" w:space="0"/>
            </w:tcBorders>
            <w:vAlign w:val="center"/>
          </w:tcPr>
          <w:p w14:paraId="2414DE1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NPR-120</w:t>
            </w:r>
          </w:p>
        </w:tc>
        <w:tc>
          <w:tcPr>
            <w:tcW w:w="732" w:type="dxa"/>
            <w:tcBorders>
              <w:top w:val="single" w:color="000000" w:sz="4" w:space="0"/>
              <w:left w:val="single" w:color="000000" w:sz="4" w:space="0"/>
              <w:bottom w:val="single" w:color="000000" w:sz="4" w:space="0"/>
              <w:right w:val="single" w:color="000000" w:sz="4" w:space="0"/>
            </w:tcBorders>
            <w:vAlign w:val="center"/>
          </w:tcPr>
          <w:p w14:paraId="66016DF5">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套</w:t>
            </w:r>
          </w:p>
        </w:tc>
        <w:tc>
          <w:tcPr>
            <w:tcW w:w="1076" w:type="dxa"/>
            <w:tcBorders>
              <w:top w:val="single" w:color="000000" w:sz="4" w:space="0"/>
              <w:left w:val="single" w:color="000000" w:sz="4" w:space="0"/>
              <w:bottom w:val="single" w:color="000000" w:sz="4" w:space="0"/>
              <w:right w:val="single" w:color="000000" w:sz="4" w:space="0"/>
            </w:tcBorders>
            <w:vAlign w:val="center"/>
          </w:tcPr>
          <w:p w14:paraId="504DB5E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A959A5E">
            <w:pPr>
              <w:widowControl/>
              <w:ind w:firstLine="0" w:firstLineChars="0"/>
              <w:jc w:val="center"/>
              <w:rPr>
                <w:rFonts w:ascii="宋体" w:cs="Arial"/>
                <w:kern w:val="0"/>
                <w:sz w:val="21"/>
                <w:szCs w:val="21"/>
                <w:highlight w:val="none"/>
              </w:rPr>
            </w:pPr>
          </w:p>
        </w:tc>
      </w:tr>
      <w:tr w14:paraId="1C63652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63BAE09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46</w:t>
            </w:r>
          </w:p>
        </w:tc>
        <w:tc>
          <w:tcPr>
            <w:tcW w:w="3617" w:type="dxa"/>
            <w:tcBorders>
              <w:top w:val="single" w:color="000000" w:sz="4" w:space="0"/>
              <w:left w:val="single" w:color="000000" w:sz="4" w:space="0"/>
              <w:bottom w:val="single" w:color="000000" w:sz="4" w:space="0"/>
              <w:right w:val="single" w:color="000000" w:sz="4" w:space="0"/>
            </w:tcBorders>
            <w:vAlign w:val="center"/>
          </w:tcPr>
          <w:p w14:paraId="075DE0BD">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石粉含量测定仪（亚甲蓝）</w:t>
            </w:r>
          </w:p>
        </w:tc>
        <w:tc>
          <w:tcPr>
            <w:tcW w:w="2207" w:type="dxa"/>
            <w:tcBorders>
              <w:top w:val="single" w:color="000000" w:sz="4" w:space="0"/>
              <w:left w:val="single" w:color="000000" w:sz="4" w:space="0"/>
              <w:bottom w:val="single" w:color="000000" w:sz="4" w:space="0"/>
              <w:right w:val="single" w:color="000000" w:sz="4" w:space="0"/>
            </w:tcBorders>
            <w:vAlign w:val="center"/>
          </w:tcPr>
          <w:p w14:paraId="5524019A">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15482C21">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530B9ECC">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7165C145">
            <w:pPr>
              <w:widowControl/>
              <w:ind w:firstLine="0" w:firstLineChars="0"/>
              <w:jc w:val="center"/>
              <w:rPr>
                <w:rFonts w:ascii="宋体" w:cs="Arial"/>
                <w:kern w:val="0"/>
                <w:sz w:val="21"/>
                <w:szCs w:val="21"/>
                <w:highlight w:val="none"/>
              </w:rPr>
            </w:pPr>
          </w:p>
        </w:tc>
      </w:tr>
      <w:tr w14:paraId="5AC9E35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1DBB4F18">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47</w:t>
            </w:r>
          </w:p>
        </w:tc>
        <w:tc>
          <w:tcPr>
            <w:tcW w:w="3617" w:type="dxa"/>
            <w:tcBorders>
              <w:top w:val="single" w:color="000000" w:sz="4" w:space="0"/>
              <w:left w:val="single" w:color="000000" w:sz="4" w:space="0"/>
              <w:bottom w:val="single" w:color="000000" w:sz="4" w:space="0"/>
              <w:right w:val="single" w:color="000000" w:sz="4" w:space="0"/>
            </w:tcBorders>
            <w:vAlign w:val="center"/>
          </w:tcPr>
          <w:p w14:paraId="03DE396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灌砂筒、标定罐</w:t>
            </w:r>
          </w:p>
        </w:tc>
        <w:tc>
          <w:tcPr>
            <w:tcW w:w="2207" w:type="dxa"/>
            <w:tcBorders>
              <w:top w:val="single" w:color="000000" w:sz="4" w:space="0"/>
              <w:left w:val="single" w:color="000000" w:sz="4" w:space="0"/>
              <w:bottom w:val="single" w:color="000000" w:sz="4" w:space="0"/>
              <w:right w:val="single" w:color="000000" w:sz="4" w:space="0"/>
            </w:tcBorders>
            <w:vAlign w:val="center"/>
          </w:tcPr>
          <w:p w14:paraId="093F44F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150</w:t>
            </w:r>
          </w:p>
        </w:tc>
        <w:tc>
          <w:tcPr>
            <w:tcW w:w="732" w:type="dxa"/>
            <w:tcBorders>
              <w:top w:val="single" w:color="000000" w:sz="4" w:space="0"/>
              <w:left w:val="single" w:color="000000" w:sz="4" w:space="0"/>
              <w:bottom w:val="single" w:color="000000" w:sz="4" w:space="0"/>
              <w:right w:val="single" w:color="000000" w:sz="4" w:space="0"/>
            </w:tcBorders>
            <w:vAlign w:val="center"/>
          </w:tcPr>
          <w:p w14:paraId="7ED80EAB">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套</w:t>
            </w:r>
          </w:p>
        </w:tc>
        <w:tc>
          <w:tcPr>
            <w:tcW w:w="1076" w:type="dxa"/>
            <w:tcBorders>
              <w:top w:val="single" w:color="000000" w:sz="4" w:space="0"/>
              <w:left w:val="single" w:color="000000" w:sz="4" w:space="0"/>
              <w:bottom w:val="single" w:color="000000" w:sz="4" w:space="0"/>
              <w:right w:val="single" w:color="000000" w:sz="4" w:space="0"/>
            </w:tcBorders>
            <w:vAlign w:val="center"/>
          </w:tcPr>
          <w:p w14:paraId="07A9E8A9">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69EFC98E">
            <w:pPr>
              <w:widowControl/>
              <w:ind w:firstLine="0" w:firstLineChars="0"/>
              <w:jc w:val="center"/>
              <w:rPr>
                <w:rFonts w:ascii="宋体" w:cs="Arial"/>
                <w:kern w:val="0"/>
                <w:sz w:val="21"/>
                <w:szCs w:val="21"/>
                <w:highlight w:val="none"/>
              </w:rPr>
            </w:pPr>
          </w:p>
        </w:tc>
      </w:tr>
      <w:tr w14:paraId="6FC9819E">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4901A47E">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48</w:t>
            </w:r>
          </w:p>
        </w:tc>
        <w:tc>
          <w:tcPr>
            <w:tcW w:w="3617" w:type="dxa"/>
            <w:tcBorders>
              <w:top w:val="single" w:color="000000" w:sz="4" w:space="0"/>
              <w:left w:val="single" w:color="000000" w:sz="4" w:space="0"/>
              <w:bottom w:val="single" w:color="000000" w:sz="4" w:space="0"/>
              <w:right w:val="single" w:color="000000" w:sz="4" w:space="0"/>
            </w:tcBorders>
            <w:vAlign w:val="center"/>
          </w:tcPr>
          <w:p w14:paraId="5EA0EC2C">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负压筛析仪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473728F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555DE4F7">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32CD51CC">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5F3F4C6">
            <w:pPr>
              <w:widowControl/>
              <w:ind w:firstLine="0" w:firstLineChars="0"/>
              <w:jc w:val="center"/>
              <w:rPr>
                <w:rFonts w:ascii="宋体" w:cs="Arial"/>
                <w:kern w:val="0"/>
                <w:sz w:val="21"/>
                <w:szCs w:val="21"/>
                <w:highlight w:val="none"/>
              </w:rPr>
            </w:pPr>
          </w:p>
        </w:tc>
      </w:tr>
      <w:tr w14:paraId="01E7BF4B">
        <w:tblPrEx>
          <w:tblCellMar>
            <w:top w:w="0" w:type="dxa"/>
            <w:left w:w="108" w:type="dxa"/>
            <w:bottom w:w="0" w:type="dxa"/>
            <w:right w:w="108" w:type="dxa"/>
          </w:tblCellMar>
        </w:tblPrEx>
        <w:trPr>
          <w:trHeight w:val="439"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62E6D2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49</w:t>
            </w:r>
          </w:p>
        </w:tc>
        <w:tc>
          <w:tcPr>
            <w:tcW w:w="3617" w:type="dxa"/>
            <w:tcBorders>
              <w:top w:val="single" w:color="000000" w:sz="4" w:space="0"/>
              <w:left w:val="single" w:color="000000" w:sz="4" w:space="0"/>
              <w:bottom w:val="single" w:color="000000" w:sz="4" w:space="0"/>
              <w:right w:val="single" w:color="000000" w:sz="4" w:space="0"/>
            </w:tcBorders>
            <w:vAlign w:val="center"/>
          </w:tcPr>
          <w:p w14:paraId="5BE7CC5A">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混凝土碳化深度测定仪</w:t>
            </w:r>
          </w:p>
        </w:tc>
        <w:tc>
          <w:tcPr>
            <w:tcW w:w="2207" w:type="dxa"/>
            <w:tcBorders>
              <w:top w:val="single" w:color="000000" w:sz="4" w:space="0"/>
              <w:left w:val="single" w:color="000000" w:sz="4" w:space="0"/>
              <w:bottom w:val="single" w:color="000000" w:sz="4" w:space="0"/>
              <w:right w:val="single" w:color="000000" w:sz="4" w:space="0"/>
            </w:tcBorders>
            <w:vAlign w:val="center"/>
          </w:tcPr>
          <w:p w14:paraId="02FFB5F2">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w:t>
            </w:r>
          </w:p>
        </w:tc>
        <w:tc>
          <w:tcPr>
            <w:tcW w:w="732" w:type="dxa"/>
            <w:tcBorders>
              <w:top w:val="single" w:color="000000" w:sz="4" w:space="0"/>
              <w:left w:val="single" w:color="000000" w:sz="4" w:space="0"/>
              <w:bottom w:val="single" w:color="000000" w:sz="4" w:space="0"/>
              <w:right w:val="single" w:color="000000" w:sz="4" w:space="0"/>
            </w:tcBorders>
            <w:vAlign w:val="center"/>
          </w:tcPr>
          <w:p w14:paraId="3360BD52">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台</w:t>
            </w:r>
          </w:p>
        </w:tc>
        <w:tc>
          <w:tcPr>
            <w:tcW w:w="1076" w:type="dxa"/>
            <w:tcBorders>
              <w:top w:val="single" w:color="000000" w:sz="4" w:space="0"/>
              <w:left w:val="single" w:color="000000" w:sz="4" w:space="0"/>
              <w:bottom w:val="single" w:color="000000" w:sz="4" w:space="0"/>
              <w:right w:val="single" w:color="000000" w:sz="4" w:space="0"/>
            </w:tcBorders>
            <w:vAlign w:val="center"/>
          </w:tcPr>
          <w:p w14:paraId="478EEF1F">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5B1D6026">
            <w:pPr>
              <w:widowControl/>
              <w:ind w:firstLine="0" w:firstLineChars="0"/>
              <w:jc w:val="center"/>
              <w:rPr>
                <w:rFonts w:ascii="宋体" w:cs="Arial"/>
                <w:kern w:val="0"/>
                <w:sz w:val="21"/>
                <w:szCs w:val="21"/>
                <w:highlight w:val="none"/>
              </w:rPr>
            </w:pPr>
          </w:p>
        </w:tc>
      </w:tr>
      <w:tr w14:paraId="5EC2981F">
        <w:tblPrEx>
          <w:tblCellMar>
            <w:top w:w="0" w:type="dxa"/>
            <w:left w:w="108" w:type="dxa"/>
            <w:bottom w:w="0" w:type="dxa"/>
            <w:right w:w="108" w:type="dxa"/>
          </w:tblCellMar>
        </w:tblPrEx>
        <w:trPr>
          <w:trHeight w:val="1300" w:hRule="atLeast"/>
        </w:trPr>
        <w:tc>
          <w:tcPr>
            <w:tcW w:w="1055" w:type="dxa"/>
            <w:tcBorders>
              <w:top w:val="single" w:color="000000" w:sz="4" w:space="0"/>
              <w:left w:val="single" w:color="000000" w:sz="8" w:space="0"/>
              <w:bottom w:val="single" w:color="000000" w:sz="4" w:space="0"/>
              <w:right w:val="single" w:color="000000" w:sz="4" w:space="0"/>
            </w:tcBorders>
            <w:vAlign w:val="center"/>
          </w:tcPr>
          <w:p w14:paraId="2944F1B7">
            <w:pPr>
              <w:widowControl/>
              <w:ind w:firstLine="360"/>
              <w:jc w:val="center"/>
              <w:textAlignment w:val="center"/>
              <w:rPr>
                <w:rFonts w:hint="default"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50</w:t>
            </w:r>
          </w:p>
        </w:tc>
        <w:tc>
          <w:tcPr>
            <w:tcW w:w="3617" w:type="dxa"/>
            <w:tcBorders>
              <w:top w:val="single" w:color="000000" w:sz="4" w:space="0"/>
              <w:left w:val="single" w:color="000000" w:sz="4" w:space="0"/>
              <w:bottom w:val="single" w:color="000000" w:sz="4" w:space="0"/>
              <w:right w:val="single" w:color="000000" w:sz="4" w:space="0"/>
            </w:tcBorders>
            <w:vAlign w:val="center"/>
          </w:tcPr>
          <w:p w14:paraId="676EA468">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小型击实筒</w:t>
            </w:r>
          </w:p>
        </w:tc>
        <w:tc>
          <w:tcPr>
            <w:tcW w:w="2207" w:type="dxa"/>
            <w:tcBorders>
              <w:top w:val="single" w:color="000000" w:sz="4" w:space="0"/>
              <w:left w:val="single" w:color="000000" w:sz="4" w:space="0"/>
              <w:bottom w:val="single" w:color="000000" w:sz="4" w:space="0"/>
              <w:right w:val="single" w:color="000000" w:sz="4" w:space="0"/>
            </w:tcBorders>
            <w:vAlign w:val="center"/>
          </w:tcPr>
          <w:p w14:paraId="60D4140F">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内径100mm</w:t>
            </w:r>
          </w:p>
          <w:p w14:paraId="6F4B246C">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筒高127mm</w:t>
            </w:r>
          </w:p>
          <w:p w14:paraId="2DE1D212">
            <w:pPr>
              <w:widowControl/>
              <w:ind w:left="0" w:leftChars="0" w:firstLine="0" w:firstLineChars="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套筒高50mm</w:t>
            </w:r>
          </w:p>
        </w:tc>
        <w:tc>
          <w:tcPr>
            <w:tcW w:w="732" w:type="dxa"/>
            <w:tcBorders>
              <w:top w:val="single" w:color="000000" w:sz="4" w:space="0"/>
              <w:left w:val="single" w:color="000000" w:sz="4" w:space="0"/>
              <w:bottom w:val="single" w:color="000000" w:sz="4" w:space="0"/>
              <w:right w:val="single" w:color="000000" w:sz="4" w:space="0"/>
            </w:tcBorders>
            <w:vAlign w:val="center"/>
          </w:tcPr>
          <w:p w14:paraId="04AEDDB3">
            <w:pPr>
              <w:widowControl/>
              <w:ind w:left="0" w:leftChars="0" w:firstLine="0" w:firstLineChars="0"/>
              <w:jc w:val="center"/>
              <w:textAlignment w:val="center"/>
              <w:rPr>
                <w:rFonts w:hint="default"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套</w:t>
            </w:r>
          </w:p>
        </w:tc>
        <w:tc>
          <w:tcPr>
            <w:tcW w:w="1076" w:type="dxa"/>
            <w:tcBorders>
              <w:top w:val="single" w:color="000000" w:sz="4" w:space="0"/>
              <w:left w:val="single" w:color="000000" w:sz="4" w:space="0"/>
              <w:bottom w:val="single" w:color="000000" w:sz="4" w:space="0"/>
              <w:right w:val="single" w:color="000000" w:sz="4" w:space="0"/>
            </w:tcBorders>
            <w:vAlign w:val="center"/>
          </w:tcPr>
          <w:p w14:paraId="2A259790">
            <w:pPr>
              <w:widowControl/>
              <w:ind w:firstLine="360"/>
              <w:jc w:val="center"/>
              <w:textAlignment w:val="center"/>
              <w:rPr>
                <w:rFonts w:hint="eastAsia" w:ascii="宋体" w:hAnsi="宋体" w:cs="宋体"/>
                <w:color w:val="000000"/>
                <w:kern w:val="0"/>
                <w:sz w:val="21"/>
                <w:szCs w:val="21"/>
                <w:highlight w:val="none"/>
                <w:lang w:val="en-US" w:eastAsia="zh-CN"/>
              </w:rPr>
            </w:pPr>
            <w:r>
              <w:rPr>
                <w:rFonts w:hint="eastAsia" w:ascii="宋体" w:hAnsi="宋体" w:cs="宋体"/>
                <w:color w:val="000000"/>
                <w:kern w:val="0"/>
                <w:sz w:val="21"/>
                <w:szCs w:val="21"/>
                <w:highlight w:val="none"/>
                <w:lang w:val="en-US" w:eastAsia="zh-CN"/>
              </w:rPr>
              <w:t>1</w:t>
            </w:r>
          </w:p>
        </w:tc>
        <w:tc>
          <w:tcPr>
            <w:tcW w:w="1125" w:type="dxa"/>
            <w:tcBorders>
              <w:top w:val="single" w:color="000000" w:sz="4" w:space="0"/>
              <w:left w:val="single" w:color="000000" w:sz="4" w:space="0"/>
              <w:bottom w:val="single" w:color="000000" w:sz="4" w:space="0"/>
              <w:right w:val="single" w:color="000000" w:sz="8" w:space="0"/>
            </w:tcBorders>
            <w:noWrap/>
            <w:vAlign w:val="bottom"/>
          </w:tcPr>
          <w:p w14:paraId="08ED0E7C">
            <w:pPr>
              <w:widowControl/>
              <w:ind w:firstLine="0" w:firstLineChars="0"/>
              <w:jc w:val="center"/>
              <w:rPr>
                <w:rFonts w:ascii="宋体" w:cs="Arial"/>
                <w:kern w:val="0"/>
                <w:sz w:val="21"/>
                <w:szCs w:val="21"/>
                <w:highlight w:val="none"/>
              </w:rPr>
            </w:pPr>
          </w:p>
        </w:tc>
      </w:tr>
    </w:tbl>
    <w:p w14:paraId="4F107F54">
      <w:pPr>
        <w:ind w:firstLine="420"/>
        <w:rPr>
          <w:rFonts w:ascii="Times New Roman" w:hAnsi="Times New Roman"/>
          <w:sz w:val="21"/>
        </w:rPr>
      </w:pPr>
    </w:p>
    <w:p w14:paraId="0C0A7EF8">
      <w:pPr>
        <w:ind w:firstLine="0" w:firstLineChars="0"/>
        <w:rPr>
          <w:rFonts w:ascii="Times New Roman" w:hAnsi="Times New Roman"/>
          <w:sz w:val="21"/>
        </w:rPr>
        <w:sectPr>
          <w:headerReference r:id="rId13" w:type="default"/>
          <w:footerReference r:id="rId14" w:type="default"/>
          <w:pgSz w:w="11906" w:h="16838"/>
          <w:pgMar w:top="1440" w:right="1134" w:bottom="1440" w:left="1247" w:header="850" w:footer="992" w:gutter="0"/>
          <w:pgNumType w:fmt="numberInDash"/>
          <w:cols w:space="720" w:num="1"/>
          <w:docGrid w:linePitch="326" w:charSpace="0"/>
        </w:sectPr>
      </w:pPr>
    </w:p>
    <w:p w14:paraId="026D4705">
      <w:pPr>
        <w:pStyle w:val="36"/>
        <w:spacing w:line="360" w:lineRule="auto"/>
        <w:ind w:left="0" w:leftChars="0" w:firstLine="0" w:firstLineChars="0"/>
        <w:jc w:val="center"/>
        <w:rPr>
          <w:b w:val="0"/>
          <w:bCs/>
          <w:highlight w:val="none"/>
        </w:rPr>
      </w:pPr>
      <w:bookmarkStart w:id="3049" w:name="_Toc12244"/>
      <w:bookmarkStart w:id="3050" w:name="_Toc10109"/>
      <w:r>
        <w:rPr>
          <w:rFonts w:hint="eastAsia"/>
          <w:lang w:val="en-US" w:eastAsia="zh-CN"/>
        </w:rPr>
        <w:t>附件六、进场主要人员表</w:t>
      </w:r>
      <w:bookmarkEnd w:id="3049"/>
      <w:bookmarkEnd w:id="3050"/>
    </w:p>
    <w:tbl>
      <w:tblPr>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0" w:type="dxa"/>
          <w:left w:w="108" w:type="dxa"/>
          <w:bottom w:w="0" w:type="dxa"/>
          <w:right w:w="108" w:type="dxa"/>
        </w:tblCellMar>
      </w:tblPr>
      <w:tblGrid>
        <w:gridCol w:w="659"/>
        <w:gridCol w:w="880"/>
        <w:gridCol w:w="664"/>
        <w:gridCol w:w="997"/>
        <w:gridCol w:w="1043"/>
        <w:gridCol w:w="2224"/>
        <w:gridCol w:w="2055"/>
      </w:tblGrid>
      <w:tr w14:paraId="003BFA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70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5B5C8BD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序号</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802299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姓名</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4D66DD0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性别</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2A7D687D">
            <w:pPr>
              <w:keepNext w:val="0"/>
              <w:keepLines w:val="0"/>
              <w:widowControl/>
              <w:suppressLineNumbers w:val="0"/>
              <w:ind w:left="0" w:leftChars="0" w:firstLine="0" w:firstLineChars="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职务</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7154562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职称 /执业资格证</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31E5AA8C">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证件编码</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AA9F8CC">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身份证号码</w:t>
            </w:r>
          </w:p>
        </w:tc>
      </w:tr>
      <w:tr w14:paraId="43FC6E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797DA00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91535A3">
            <w:pPr>
              <w:keepNext w:val="0"/>
              <w:keepLines w:val="0"/>
              <w:widowControl/>
              <w:suppressLineNumbers w:val="0"/>
              <w:ind w:left="0" w:leftChars="0" w:firstLine="0" w:firstLineChars="0"/>
              <w:jc w:val="left"/>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李令举</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91969E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111DDFC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项目经理</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DAC70C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工程师/一级建造师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43D5F7B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9342024200601081661</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皖1342023202400642</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39C1E7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342222199006141630</w:t>
            </w:r>
          </w:p>
        </w:tc>
      </w:tr>
      <w:tr w14:paraId="6AD804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11B7ABF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3C22A73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何彦祥</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68F3B03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3639EC8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党支部书记</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3E5B088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高工</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633568D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9342021000602013125</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49D772F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51082219860607277X</w:t>
            </w:r>
          </w:p>
        </w:tc>
      </w:tr>
      <w:tr w14:paraId="5FB2B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20BC48E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3CD31DA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王磊</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74F0532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7AB304F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总工</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1A9D950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高工</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79AAF1C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9342021000602013130</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1C419E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340603198201200815</w:t>
            </w:r>
          </w:p>
        </w:tc>
      </w:tr>
      <w:tr w14:paraId="36F407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499FE3C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4</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0270DDD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陈天</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78BB70C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B06D51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项目副经理</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75D9017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高工/安全生产考核合格证书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6C5CC2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9342023000602093698</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皖交安B20G05682</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7D0821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34220119850118907X</w:t>
            </w:r>
          </w:p>
        </w:tc>
      </w:tr>
      <w:tr w14:paraId="04C81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0F42258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5</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1A52191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刘重阳</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47C4408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6C5B49B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项目副经理</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192BDF4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32E2780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ZMKJ2019123009</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皖交安B22G03963</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FA7255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342623198910291913</w:t>
            </w:r>
          </w:p>
        </w:tc>
      </w:tr>
      <w:tr w14:paraId="30385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08CE2AF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6</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424098E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费露</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3CB0CD1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D42FB9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安全总监</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6E4DB7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工程师/注册安全工程师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6932D53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ZMSJ2020123002</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201810033340000909</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7BDAEFF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340221199109200412</w:t>
            </w:r>
          </w:p>
        </w:tc>
      </w:tr>
      <w:tr w14:paraId="0154A9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7B372AF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7</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67F9FFE">
            <w:pPr>
              <w:keepNext w:val="0"/>
              <w:keepLines w:val="0"/>
              <w:widowControl/>
              <w:suppressLineNumbers w:val="0"/>
              <w:ind w:left="0" w:leftChars="0" w:firstLine="0" w:firstLineChars="0"/>
              <w:jc w:val="left"/>
              <w:textAlignment w:val="cente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王磊</w:t>
            </w:r>
          </w:p>
          <w:p w14:paraId="49A034B5">
            <w:pPr>
              <w:keepNext w:val="0"/>
              <w:keepLines w:val="0"/>
              <w:widowControl/>
              <w:suppressLineNumbers w:val="0"/>
              <w:ind w:left="0" w:leftChars="0" w:firstLine="0" w:firstLineChars="0"/>
              <w:jc w:val="left"/>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（小）</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BF3946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D1C1E8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质检工程师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96330E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49B208B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9342023200601046564</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140C4FC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342201198410082496</w:t>
            </w:r>
          </w:p>
        </w:tc>
      </w:tr>
      <w:tr w14:paraId="75C76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63D0721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8</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005F771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赵守宝</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2E1F96E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17B2ED6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质检工程师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431ED83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4618AE1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9342024200601081662</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3B1F2F0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342422198608081256</w:t>
            </w:r>
          </w:p>
        </w:tc>
      </w:tr>
      <w:tr w14:paraId="333898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5746CE5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4419B05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王帅军</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4D69876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C9E783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试验室主任</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10F0F01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工程师/公路水运工程试验检测师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6CF9282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9342021000601006131</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31620191101010012360（道路）</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31620201101020036409（桥隧）</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1B05ECA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410521198811222515</w:t>
            </w:r>
          </w:p>
        </w:tc>
      </w:tr>
      <w:tr w14:paraId="6A8370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2AA132C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10</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0A872C7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徐洪娟</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DA02FA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女</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B14C63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试验检测工程师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B01D85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公路水运工程试验检测师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1EB99DC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31620230601010006835（道路）</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31620241001020053831（桥隧）</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70EC206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340827199507172729</w:t>
            </w:r>
          </w:p>
        </w:tc>
      </w:tr>
      <w:tr w14:paraId="711568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3866FBA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11</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75156A0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杨涛</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1A1C1F1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7F7EE9E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试验检测工程师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6317811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公路水运工程试验检测师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775F11E4">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201711002526（道路）</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31620191101020032703（桥隧）</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240982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342623198902112110</w:t>
            </w:r>
          </w:p>
        </w:tc>
      </w:tr>
      <w:tr w14:paraId="658BA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7CDE34E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12</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2081982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陈东</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750A95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1EB07AE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测量工程师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F16F2E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3C3AD7A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9342023200601045913</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BCD987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340881199309045196</w:t>
            </w:r>
          </w:p>
        </w:tc>
      </w:tr>
      <w:tr w14:paraId="217BDB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5133C06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13</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6877522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邹仁澍</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192C89F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0D6E579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测量工程师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20825B1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53D3C9A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9342024200601081745</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2866EE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210282199407076310</w:t>
            </w:r>
          </w:p>
        </w:tc>
      </w:tr>
      <w:tr w14:paraId="11E0C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4874E64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14</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4429912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叶卫卫</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3F37ED6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66E85F0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内业负责人</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26ADD5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5AC0851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9342024200601081705</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2BF3E4A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340323199608106015</w:t>
            </w:r>
          </w:p>
        </w:tc>
      </w:tr>
      <w:tr w14:paraId="77E12D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7DCB6EA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15</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583064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陈泽祥</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6380597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EE6E22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合同计量工程师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47428A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中级经济师/一级造价工程师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2CEE8A9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20231100134000000817</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建[造]12243454036718</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1463B37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340823199111201217</w:t>
            </w:r>
          </w:p>
        </w:tc>
      </w:tr>
      <w:tr w14:paraId="7EE1E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64B7795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16</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31901CB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方海斌</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2DA829D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2CC9734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路基工程师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224343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1A1FDA7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9342024200601081744</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DBA6A8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340824198612061816</w:t>
            </w:r>
          </w:p>
        </w:tc>
      </w:tr>
      <w:tr w14:paraId="65E88A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14888F3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17</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468DBE7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王尧村</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FBE916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787988F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路基工程师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087937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7ED39532">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闽Z009－95484</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7730FBF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350124198912254613</w:t>
            </w:r>
          </w:p>
        </w:tc>
      </w:tr>
      <w:tr w14:paraId="74E739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58BD42F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18</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AE71C5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崔泗平</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1965FD0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B79A22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桥梁工程师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2FDD00F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高工</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C1811B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9342024000602080710</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7EDA9B9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340881198711115610</w:t>
            </w:r>
          </w:p>
        </w:tc>
      </w:tr>
      <w:tr w14:paraId="6FB3DD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1BD9E34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19</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6568BB0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程小兵</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78A335B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12FA48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桥梁工程师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0F20DD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2CCB975F">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62202113082214</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0CF7B10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622727199012231110</w:t>
            </w:r>
          </w:p>
        </w:tc>
      </w:tr>
      <w:tr w14:paraId="7D8CB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38F5E17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20</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09EECB2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阙胜永</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2F1B577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3DE69AD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桥梁工程师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473B679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6DCAEF5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9342022200601054620</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0D24BD0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342222199205050897</w:t>
            </w:r>
          </w:p>
        </w:tc>
      </w:tr>
      <w:tr w14:paraId="36CE8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36D94DF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21</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18845CF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刘真霆</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7837781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DAD2C0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地质工程师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0368F4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5EE3948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9342023200601046037</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328F61E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342201199111090618</w:t>
            </w:r>
          </w:p>
        </w:tc>
      </w:tr>
      <w:tr w14:paraId="4EF05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638D4C9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22</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0FACAD6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张森</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7766FAE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lang w:val="en-US" w:eastAsia="zh-CN"/>
              </w:rPr>
            </w:pPr>
            <w:r>
              <w:rPr>
                <w:rFonts w:hint="eastAsia" w:asciiTheme="minorEastAsia" w:hAnsiTheme="minorEastAsia" w:eastAsiaTheme="minorEastAsia" w:cstheme="minorEastAsia"/>
                <w:i w:val="0"/>
                <w:iCs w:val="0"/>
                <w:color w:val="000000"/>
                <w:sz w:val="20"/>
                <w:szCs w:val="20"/>
                <w:u w:val="none"/>
                <w:lang w:val="en-US" w:eastAsia="zh-CN"/>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6AA60FE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财务负责人</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DB0CDC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中级会计师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6A4AAD8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31701230934085116699</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41520A9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342221199410036035</w:t>
            </w:r>
          </w:p>
        </w:tc>
      </w:tr>
      <w:tr w14:paraId="76EF14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4DB63516">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23</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47E9035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黄俊杰</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593F34C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223A0CC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专职安全员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145F873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474E4A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闽交安C22G002108</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9BCF23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350622199607152513</w:t>
            </w:r>
          </w:p>
        </w:tc>
      </w:tr>
      <w:tr w14:paraId="57022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2EF0FF4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24</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14AB543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康阿弟</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37D96BE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474398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专职安全员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4FBAC4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5F4B516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闽交安C21G000877</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298CEFF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350702198108047415</w:t>
            </w:r>
          </w:p>
        </w:tc>
      </w:tr>
      <w:tr w14:paraId="72BFE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722E700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25</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6B1451F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陶涛</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1723EED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75207E7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专职安全员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5B3324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F621F3C">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皖交安C24G02723</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443FE25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340121200101217615</w:t>
            </w:r>
          </w:p>
        </w:tc>
      </w:tr>
      <w:tr w14:paraId="196DDB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1ECF3457">
            <w:pPr>
              <w:keepNext w:val="0"/>
              <w:keepLines w:val="0"/>
              <w:widowControl/>
              <w:suppressLineNumbers w:val="0"/>
              <w:ind w:left="0" w:leftChars="0" w:firstLine="0" w:firstLineChars="0"/>
              <w:jc w:val="both"/>
              <w:textAlignment w:val="center"/>
              <w:rPr>
                <w:rFonts w:hint="default" w:asciiTheme="minorEastAsia" w:hAnsiTheme="minorEastAsia" w:eastAsiaTheme="minorEastAsia" w:cstheme="minorEastAsia"/>
                <w:i w:val="0"/>
                <w:iCs w:val="0"/>
                <w:color w:val="000000"/>
                <w:sz w:val="20"/>
                <w:szCs w:val="20"/>
                <w:u w:val="none"/>
                <w:lang w:val="en-US"/>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26</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462BB73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吴英兵</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67B1CF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5452FE5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专职安全员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01871F9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E757666">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皖交安C23G04438</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75C9C3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340223200005258116</w:t>
            </w:r>
          </w:p>
        </w:tc>
      </w:tr>
      <w:tr w14:paraId="3DE295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7145546D">
            <w:pPr>
              <w:keepNext w:val="0"/>
              <w:keepLines w:val="0"/>
              <w:widowControl/>
              <w:suppressLineNumbers w:val="0"/>
              <w:ind w:left="0" w:leftChars="0" w:firstLine="0" w:firstLineChars="0"/>
              <w:jc w:val="both"/>
              <w:textAlignment w:val="center"/>
              <w:rPr>
                <w:rFonts w:hint="default" w:asciiTheme="minorEastAsia" w:hAnsiTheme="minorEastAsia" w:eastAsiaTheme="minorEastAsia" w:cstheme="minorEastAsia"/>
                <w:i w:val="0"/>
                <w:iCs w:val="0"/>
                <w:color w:val="000000"/>
                <w:sz w:val="20"/>
                <w:szCs w:val="20"/>
                <w:u w:val="none"/>
                <w:lang w:val="en-US"/>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27</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645A3EA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薛家鑫</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265DBD8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D1FC48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专职安全员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25C60D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安全生产考核合格证书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79E0737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闽交安C22G002231</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13A976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350181199411232119</w:t>
            </w:r>
          </w:p>
        </w:tc>
      </w:tr>
      <w:tr w14:paraId="21DD67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635C03B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28</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463D2A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巫宇轩</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54CDD412">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9F5D1C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特种设备（起重</w:t>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br w:type="textWrapping"/>
            </w: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机械）安全管理员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3C1D0B2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特种设备安全管理人员资格证书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510E830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513029198802021631</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4FB1F4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513029198802021631</w:t>
            </w:r>
          </w:p>
        </w:tc>
      </w:tr>
      <w:tr w14:paraId="644C3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65D62DB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29</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3353365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胡迪</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54C9B1F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1D94E33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环（水）保工程师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3999543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高工</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3FFF42D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9342021000602013141</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7731868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342222198701043237</w:t>
            </w:r>
          </w:p>
        </w:tc>
      </w:tr>
      <w:tr w14:paraId="13FDD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1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397E4A7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30</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1638A3F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沙永生</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06F9786E">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02FB2DE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绿化工程师</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2773536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工程师</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AACEC4B">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ZMKJ2019123013</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2E4B0588">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340122198008133317</w:t>
            </w:r>
          </w:p>
        </w:tc>
      </w:tr>
      <w:tr w14:paraId="629B4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866"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309A05C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31</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13FB7740">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袁训兵</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1789A1DD">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4BBB0809">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党建专职人员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4352FD4A">
            <w:pPr>
              <w:keepNext w:val="0"/>
              <w:keepLines w:val="0"/>
              <w:widowControl/>
              <w:suppressLineNumbers w:val="0"/>
              <w:ind w:left="0" w:leftChars="0" w:firstLine="400" w:firstLineChars="20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0FC08618">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1D2D1685">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340827199208025219</w:t>
            </w:r>
          </w:p>
        </w:tc>
      </w:tr>
      <w:tr w14:paraId="7A7EBE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14"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48CC24B3">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32</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22E86771">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宁金花</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402A434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女</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0154BE24">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专职信息员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55E40473">
            <w:pPr>
              <w:keepNext w:val="0"/>
              <w:keepLines w:val="0"/>
              <w:widowControl/>
              <w:suppressLineNumbers w:val="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7E31887F">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6DA32A0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350430199705022025</w:t>
            </w:r>
          </w:p>
        </w:tc>
      </w:tr>
      <w:tr w14:paraId="62AFC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40" w:hRule="atLeast"/>
        </w:trPr>
        <w:tc>
          <w:tcPr>
            <w:tcW w:w="386" w:type="pct"/>
            <w:tcBorders>
              <w:top w:val="single" w:color="000000" w:sz="4" w:space="0"/>
              <w:left w:val="single" w:color="000000" w:sz="4" w:space="0"/>
              <w:bottom w:val="single" w:color="000000" w:sz="4" w:space="0"/>
              <w:right w:val="single" w:color="000000" w:sz="4" w:space="0"/>
            </w:tcBorders>
            <w:shd w:val="clear"/>
            <w:vAlign w:val="center"/>
          </w:tcPr>
          <w:p w14:paraId="3AEA605A">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33</w:t>
            </w:r>
          </w:p>
        </w:tc>
        <w:tc>
          <w:tcPr>
            <w:tcW w:w="516" w:type="pct"/>
            <w:tcBorders>
              <w:top w:val="single" w:color="000000" w:sz="4" w:space="0"/>
              <w:left w:val="single" w:color="000000" w:sz="4" w:space="0"/>
              <w:bottom w:val="single" w:color="000000" w:sz="4" w:space="0"/>
              <w:right w:val="single" w:color="000000" w:sz="4" w:space="0"/>
            </w:tcBorders>
            <w:shd w:val="clear"/>
            <w:vAlign w:val="center"/>
          </w:tcPr>
          <w:p w14:paraId="50B9122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常思远</w:t>
            </w:r>
          </w:p>
        </w:tc>
        <w:tc>
          <w:tcPr>
            <w:tcW w:w="389" w:type="pct"/>
            <w:tcBorders>
              <w:top w:val="single" w:color="000000" w:sz="4" w:space="0"/>
              <w:left w:val="single" w:color="000000" w:sz="4" w:space="0"/>
              <w:bottom w:val="single" w:color="000000" w:sz="4" w:space="0"/>
              <w:right w:val="single" w:color="000000" w:sz="4" w:space="0"/>
            </w:tcBorders>
            <w:shd w:val="clear"/>
            <w:vAlign w:val="center"/>
          </w:tcPr>
          <w:p w14:paraId="55FCC8D7">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男</w:t>
            </w:r>
          </w:p>
        </w:tc>
        <w:tc>
          <w:tcPr>
            <w:tcW w:w="584" w:type="pct"/>
            <w:tcBorders>
              <w:top w:val="single" w:color="000000" w:sz="4" w:space="0"/>
              <w:left w:val="single" w:color="000000" w:sz="4" w:space="0"/>
              <w:bottom w:val="single" w:color="000000" w:sz="4" w:space="0"/>
              <w:right w:val="single" w:color="000000" w:sz="4" w:space="0"/>
            </w:tcBorders>
            <w:shd w:val="clear"/>
            <w:vAlign w:val="center"/>
          </w:tcPr>
          <w:p w14:paraId="6474C80C">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劳资专管员</w:t>
            </w:r>
          </w:p>
        </w:tc>
        <w:tc>
          <w:tcPr>
            <w:tcW w:w="611" w:type="pct"/>
            <w:tcBorders>
              <w:top w:val="single" w:color="000000" w:sz="4" w:space="0"/>
              <w:left w:val="single" w:color="000000" w:sz="4" w:space="0"/>
              <w:bottom w:val="single" w:color="000000" w:sz="4" w:space="0"/>
              <w:right w:val="single" w:color="000000" w:sz="4" w:space="0"/>
            </w:tcBorders>
            <w:shd w:val="clear"/>
            <w:vAlign w:val="center"/>
          </w:tcPr>
          <w:p w14:paraId="7A52B06F">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劳资专管员岗位证书</w:t>
            </w:r>
          </w:p>
        </w:tc>
        <w:tc>
          <w:tcPr>
            <w:tcW w:w="1304" w:type="pct"/>
            <w:tcBorders>
              <w:top w:val="single" w:color="000000" w:sz="4" w:space="0"/>
              <w:left w:val="single" w:color="000000" w:sz="4" w:space="0"/>
              <w:bottom w:val="single" w:color="000000" w:sz="4" w:space="0"/>
              <w:right w:val="single" w:color="000000" w:sz="4" w:space="0"/>
            </w:tcBorders>
            <w:shd w:val="clear"/>
            <w:vAlign w:val="center"/>
          </w:tcPr>
          <w:p w14:paraId="19E33FFE">
            <w:pPr>
              <w:keepNext w:val="0"/>
              <w:keepLines w:val="0"/>
              <w:widowControl/>
              <w:suppressLineNumbers w:val="0"/>
              <w:jc w:val="center"/>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HZQ243916</w:t>
            </w:r>
          </w:p>
        </w:tc>
        <w:tc>
          <w:tcPr>
            <w:tcW w:w="1205" w:type="pct"/>
            <w:tcBorders>
              <w:top w:val="single" w:color="000000" w:sz="4" w:space="0"/>
              <w:left w:val="single" w:color="000000" w:sz="4" w:space="0"/>
              <w:bottom w:val="single" w:color="000000" w:sz="4" w:space="0"/>
              <w:right w:val="single" w:color="000000" w:sz="4" w:space="0"/>
            </w:tcBorders>
            <w:shd w:val="clear"/>
            <w:vAlign w:val="center"/>
          </w:tcPr>
          <w:p w14:paraId="54FBF0AB">
            <w:pPr>
              <w:keepNext w:val="0"/>
              <w:keepLines w:val="0"/>
              <w:widowControl/>
              <w:suppressLineNumbers w:val="0"/>
              <w:ind w:left="0" w:leftChars="0" w:firstLine="0" w:firstLineChars="0"/>
              <w:jc w:val="both"/>
              <w:textAlignment w:val="center"/>
              <w:rPr>
                <w:rFonts w:hint="eastAsia" w:asciiTheme="minorEastAsia" w:hAnsiTheme="minorEastAsia" w:eastAsiaTheme="minorEastAsia" w:cstheme="minorEastAsia"/>
                <w:i w:val="0"/>
                <w:iCs w:val="0"/>
                <w:color w:val="000000"/>
                <w:sz w:val="20"/>
                <w:szCs w:val="20"/>
                <w:u w:val="none"/>
              </w:rPr>
            </w:pPr>
            <w:r>
              <w:rPr>
                <w:rFonts w:hint="eastAsia" w:asciiTheme="minorEastAsia" w:hAnsiTheme="minorEastAsia" w:eastAsiaTheme="minorEastAsia" w:cstheme="minorEastAsia"/>
                <w:i w:val="0"/>
                <w:iCs w:val="0"/>
                <w:color w:val="000000"/>
                <w:kern w:val="0"/>
                <w:sz w:val="20"/>
                <w:szCs w:val="20"/>
                <w:u w:val="none"/>
                <w:bdr w:val="none" w:color="auto" w:sz="0" w:space="0"/>
                <w:lang w:val="en-US" w:eastAsia="zh-CN" w:bidi="ar"/>
              </w:rPr>
              <w:t>342422199709274596</w:t>
            </w:r>
          </w:p>
        </w:tc>
      </w:tr>
    </w:tbl>
    <w:p w14:paraId="5A99193B">
      <w:pPr>
        <w:ind w:left="0" w:leftChars="0" w:firstLine="0" w:firstLineChars="0"/>
        <w:rPr>
          <w:rFonts w:hint="eastAsia" w:asciiTheme="minorEastAsia" w:hAnsiTheme="minorEastAsia" w:eastAsiaTheme="minorEastAsia" w:cstheme="minorEastAsia"/>
          <w:b w:val="0"/>
          <w:bCs/>
          <w:sz w:val="20"/>
          <w:szCs w:val="20"/>
          <w:highlight w:val="none"/>
        </w:rPr>
      </w:pPr>
    </w:p>
    <w:sectPr>
      <w:headerReference r:id="rId15" w:type="default"/>
      <w:footerReference r:id="rId16" w:type="default"/>
      <w:pgSz w:w="11906" w:h="16838"/>
      <w:pgMar w:top="1440" w:right="1800" w:bottom="1440" w:left="1800" w:header="851" w:footer="992" w:gutter="0"/>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swiss"/>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auto"/>
    <w:pitch w:val="default"/>
    <w:sig w:usb0="00000203" w:usb1="288F0000" w:usb2="00000006" w:usb3="00000000" w:csb0="00040001" w:csb1="00000000"/>
  </w:font>
  <w:font w:name="TimesNewRomanPS-BoldMT">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TimesNewRomanPSMT-Identity-H">
    <w:altName w:val="MS Gothic"/>
    <w:panose1 w:val="00000000000000000000"/>
    <w:charset w:val="80"/>
    <w:family w:val="auto"/>
    <w:pitch w:val="default"/>
    <w:sig w:usb0="00000000" w:usb1="00000000" w:usb2="00000010" w:usb3="00000000" w:csb0="00020000" w:csb1="00000000"/>
  </w:font>
  <w:font w:name="MS Gothic">
    <w:panose1 w:val="020B0609070205080204"/>
    <w:charset w:val="80"/>
    <w:family w:val="auto"/>
    <w:pitch w:val="default"/>
    <w:sig w:usb0="E00002FF" w:usb1="6AC7FDFB" w:usb2="08000012" w:usb3="00000000" w:csb0="4002009F" w:csb1="DFD70000"/>
  </w:font>
  <w:font w:name="SimSun-Identity-H">
    <w:altName w:val="黑体"/>
    <w:panose1 w:val="00000000000000000000"/>
    <w:charset w:val="86"/>
    <w:family w:val="auto"/>
    <w:pitch w:val="default"/>
    <w:sig w:usb0="00000000" w:usb1="00000000" w:usb2="00000010" w:usb3="00000000" w:csb0="00040000" w:csb1="00000000"/>
  </w:font>
  <w:font w:name="AdobeSongStd-Light">
    <w:altName w:val="宋体"/>
    <w:panose1 w:val="00000000000000000000"/>
    <w:charset w:val="86"/>
    <w:family w:val="auto"/>
    <w:pitch w:val="default"/>
    <w:sig w:usb0="00000000" w:usb1="00000000" w:usb2="00000010" w:usb3="00000000" w:csb0="00040000" w:csb1="00000000"/>
  </w:font>
  <w:font w:name="幼圆">
    <w:altName w:val="宋体"/>
    <w:panose1 w:val="02010509060101010101"/>
    <w:charset w:val="86"/>
    <w:family w:val="modern"/>
    <w:pitch w:val="default"/>
    <w:sig w:usb0="00000000" w:usb1="00000000" w:usb2="00000000" w:usb3="00000000" w:csb0="00040000" w:csb1="00000000"/>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ACD622">
    <w:pPr>
      <w:pStyle w:val="31"/>
      <w:ind w:firstLine="0" w:firstLineChars="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238125" cy="114300"/>
              <wp:effectExtent l="0" t="0" r="0" b="0"/>
              <wp:wrapNone/>
              <wp:docPr id="1520" name="文本框 2"/>
              <wp:cNvGraphicFramePr/>
              <a:graphic xmlns:a="http://schemas.openxmlformats.org/drawingml/2006/main">
                <a:graphicData uri="http://schemas.microsoft.com/office/word/2010/wordprocessingShape">
                  <wps:wsp>
                    <wps:cNvSpPr txBox="1"/>
                    <wps:spPr>
                      <a:xfrm>
                        <a:off x="0" y="0"/>
                        <a:ext cx="238125" cy="114300"/>
                      </a:xfrm>
                      <a:prstGeom prst="rect">
                        <a:avLst/>
                      </a:prstGeom>
                      <a:noFill/>
                      <a:ln>
                        <a:noFill/>
                      </a:ln>
                    </wps:spPr>
                    <wps:txbx>
                      <w:txbxContent>
                        <w:p w14:paraId="3D105D4E">
                          <w:pPr>
                            <w:pStyle w:val="31"/>
                            <w:wordWrap w:val="0"/>
                            <w:spacing w:line="180" w:lineRule="exact"/>
                            <w:ind w:right="360" w:firstLine="0" w:firstLineChars="0"/>
                          </w:pP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9pt;width:18.75pt;mso-position-horizontal:center;mso-position-horizontal-relative:margin;mso-wrap-style:none;z-index:251660288;mso-width-relative:page;mso-height-relative:page;" filled="f" stroked="f" coordsize="21600,21600" o:gfxdata="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v+G1L0AAAAAMBAAAPAAAAAAAAAAEAIAAAACIAAABkcnMvZG93&#10;bnJldi54bWxQSwECFAAUAAAACACHTuJAFqrAmc8BAACaAwAADgAAAAAAAAABACAAAAAfAQAAZHJz&#10;L2Uyb0RvYy54bWxQSwUGAAAAAAYABgBZAQAAYAUAAAAA&#10;">
              <v:fill on="f" focussize="0,0"/>
              <v:stroke on="f"/>
              <v:imagedata o:title=""/>
              <o:lock v:ext="edit" aspectratio="f"/>
              <v:textbox inset="0mm,0mm,0mm,0mm" style="mso-fit-shape-to-text:t;">
                <w:txbxContent>
                  <w:p w14:paraId="3D105D4E">
                    <w:pPr>
                      <w:pStyle w:val="31"/>
                      <w:wordWrap w:val="0"/>
                      <w:spacing w:line="180" w:lineRule="exact"/>
                      <w:ind w:right="360" w:firstLine="0" w:firstLineChars="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BFDB67">
    <w:pPr>
      <w:pStyle w:val="31"/>
      <w:ind w:firstLine="0" w:firstLineChars="0"/>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238125" cy="114300"/>
              <wp:effectExtent l="0" t="0" r="0" b="0"/>
              <wp:wrapNone/>
              <wp:docPr id="1523" name="文本框 9"/>
              <wp:cNvGraphicFramePr/>
              <a:graphic xmlns:a="http://schemas.openxmlformats.org/drawingml/2006/main">
                <a:graphicData uri="http://schemas.microsoft.com/office/word/2010/wordprocessingShape">
                  <wps:wsp>
                    <wps:cNvSpPr txBox="1"/>
                    <wps:spPr>
                      <a:xfrm>
                        <a:off x="0" y="0"/>
                        <a:ext cx="238125" cy="114300"/>
                      </a:xfrm>
                      <a:prstGeom prst="rect">
                        <a:avLst/>
                      </a:prstGeom>
                      <a:noFill/>
                      <a:ln>
                        <a:noFill/>
                      </a:ln>
                    </wps:spPr>
                    <wps:txbx>
                      <w:txbxContent>
                        <w:p w14:paraId="4F2216EC">
                          <w:pPr>
                            <w:pStyle w:val="31"/>
                            <w:wordWrap w:val="0"/>
                            <w:spacing w:line="180" w:lineRule="exact"/>
                            <w:ind w:right="360" w:firstLine="0" w:firstLineChars="0"/>
                          </w:pPr>
                        </w:p>
                      </w:txbxContent>
                    </wps:txbx>
                    <wps:bodyPr wrap="none" lIns="0" tIns="0" rIns="0" bIns="0" upright="1">
                      <a:spAutoFit/>
                    </wps:bodyPr>
                  </wps:wsp>
                </a:graphicData>
              </a:graphic>
            </wp:anchor>
          </w:drawing>
        </mc:Choice>
        <mc:Fallback>
          <w:pict>
            <v:shape id="文本框 9" o:spid="_x0000_s1026" o:spt="202" type="#_x0000_t202" style="position:absolute;left:0pt;margin-top:0pt;height:9pt;width:18.75pt;mso-position-horizontal:center;mso-position-horizontal-relative:margin;mso-wrap-style:none;z-index:251675648;mso-width-relative:page;mso-height-relative:page;" filled="f" stroked="f" coordsize="21600,21600" o:gfxdata="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O/4bUvQAAAAAwEAAA8AAAAAAAAAAQAgAAAAIgAAAGRycy9k&#10;b3ducmV2LnhtbFBLAQIUABQAAAAIAIdO4kAzu83q0QEAAJoDAAAOAAAAAAAAAAEAIAAAAB8BAABk&#10;cnMvZTJvRG9jLnhtbFBLBQYAAAAABgAGAFkBAABiBQAAAAA=&#10;">
              <v:fill on="f" focussize="0,0"/>
              <v:stroke on="f"/>
              <v:imagedata o:title=""/>
              <o:lock v:ext="edit" aspectratio="f"/>
              <v:textbox inset="0mm,0mm,0mm,0mm" style="mso-fit-shape-to-text:t;">
                <w:txbxContent>
                  <w:p w14:paraId="4F2216EC">
                    <w:pPr>
                      <w:pStyle w:val="31"/>
                      <w:wordWrap w:val="0"/>
                      <w:spacing w:line="180" w:lineRule="exact"/>
                      <w:ind w:right="360" w:firstLine="0" w:firstLineChars="0"/>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4CB71A">
    <w:pPr>
      <w:pStyle w:val="31"/>
    </w:pPr>
    <w:r>
      <w:rPr>
        <w:sz w:val="18"/>
      </w:rPr>
      <mc:AlternateContent>
        <mc:Choice Requires="wps">
          <w:drawing>
            <wp:anchor distT="0" distB="0" distL="114300" distR="114300" simplePos="0" relativeHeight="251681792" behindDoc="0" locked="0" layoutInCell="1" allowOverlap="1">
              <wp:simplePos x="0" y="0"/>
              <wp:positionH relativeFrom="margin">
                <wp:posOffset>2581910</wp:posOffset>
              </wp:positionH>
              <wp:positionV relativeFrom="paragraph">
                <wp:posOffset>10795</wp:posOffset>
              </wp:positionV>
              <wp:extent cx="223520" cy="120650"/>
              <wp:effectExtent l="0" t="0" r="0" b="0"/>
              <wp:wrapNone/>
              <wp:docPr id="1606" name="文本框 1606"/>
              <wp:cNvGraphicFramePr/>
              <a:graphic xmlns:a="http://schemas.openxmlformats.org/drawingml/2006/main">
                <a:graphicData uri="http://schemas.microsoft.com/office/word/2010/wordprocessingShape">
                  <wps:wsp>
                    <wps:cNvSpPr txBox="1"/>
                    <wps:spPr>
                      <a:xfrm>
                        <a:off x="0" y="0"/>
                        <a:ext cx="223520" cy="120650"/>
                      </a:xfrm>
                      <a:prstGeom prst="rect">
                        <a:avLst/>
                      </a:prstGeom>
                      <a:noFill/>
                      <a:ln>
                        <a:noFill/>
                      </a:ln>
                    </wps:spPr>
                    <wps:txbx>
                      <w:txbxContent>
                        <w:p w14:paraId="1FC060CB">
                          <w:pPr>
                            <w:pStyle w:val="31"/>
                          </w:pPr>
                          <w:r>
                            <w:fldChar w:fldCharType="begin"/>
                          </w:r>
                          <w:r>
                            <w:instrText xml:space="preserve"> PAGE  \* MERGEFORMAT </w:instrText>
                          </w:r>
                          <w:r>
                            <w:fldChar w:fldCharType="separate"/>
                          </w:r>
                          <w:r>
                            <w:t>6</w:t>
                          </w:r>
                          <w:r>
                            <w:fldChar w:fldCharType="end"/>
                          </w:r>
                        </w:p>
                      </w:txbxContent>
                    </wps:txbx>
                    <wps:bodyPr lIns="0" tIns="0" rIns="0" bIns="0" upright="0"/>
                  </wps:wsp>
                </a:graphicData>
              </a:graphic>
            </wp:anchor>
          </w:drawing>
        </mc:Choice>
        <mc:Fallback>
          <w:pict>
            <v:shape id="_x0000_s1026" o:spid="_x0000_s1026" o:spt="202" type="#_x0000_t202" style="position:absolute;left:0pt;margin-left:203.3pt;margin-top:0.85pt;height:9.5pt;width:17.6pt;mso-position-horizontal-relative:margin;z-index:251681792;mso-width-relative:page;mso-height-relative:page;" filled="f" stroked="f" coordsize="21600,21600" o:gfxdata="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qzU1wAAAAgBAAAPAAAAAAAAAAEAIAAAACIAAABkcnMvZG93bnJldi54bWxQSwEC&#10;FAAUAAAACACHTuJADdL2RLwBAAB3AwAADgAAAAAAAAABACAAAAAmAQAAZHJzL2Uyb0RvYy54bWxQ&#10;SwUGAAAAAAYABgBZAQAAVAUAAAAA&#10;">
              <v:fill on="f" focussize="0,0"/>
              <v:stroke on="f"/>
              <v:imagedata o:title=""/>
              <o:lock v:ext="edit" aspectratio="f"/>
              <v:textbox inset="0mm,0mm,0mm,0mm">
                <w:txbxContent>
                  <w:p w14:paraId="1FC060CB">
                    <w:pPr>
                      <w:pStyle w:val="31"/>
                    </w:pPr>
                    <w:r>
                      <w:fldChar w:fldCharType="begin"/>
                    </w:r>
                    <w:r>
                      <w:instrText xml:space="preserve"> PAGE  \* MERGEFORMAT </w:instrText>
                    </w:r>
                    <w:r>
                      <w:fldChar w:fldCharType="separate"/>
                    </w:r>
                    <w:r>
                      <w:t>6</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81B22">
    <w:pPr>
      <w:pStyle w:val="31"/>
      <w:ind w:firstLine="0" w:firstLineChars="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238125" cy="114300"/>
              <wp:effectExtent l="0" t="0" r="0" b="0"/>
              <wp:wrapNone/>
              <wp:docPr id="1521" name="文本框 4"/>
              <wp:cNvGraphicFramePr/>
              <a:graphic xmlns:a="http://schemas.openxmlformats.org/drawingml/2006/main">
                <a:graphicData uri="http://schemas.microsoft.com/office/word/2010/wordprocessingShape">
                  <wps:wsp>
                    <wps:cNvSpPr txBox="1"/>
                    <wps:spPr>
                      <a:xfrm>
                        <a:off x="0" y="0"/>
                        <a:ext cx="238125" cy="114300"/>
                      </a:xfrm>
                      <a:prstGeom prst="rect">
                        <a:avLst/>
                      </a:prstGeom>
                      <a:noFill/>
                      <a:ln>
                        <a:noFill/>
                      </a:ln>
                    </wps:spPr>
                    <wps:txbx>
                      <w:txbxContent>
                        <w:p w14:paraId="7FC7D470">
                          <w:pPr>
                            <w:pStyle w:val="31"/>
                            <w:wordWrap w:val="0"/>
                            <w:spacing w:line="180" w:lineRule="exact"/>
                            <w:ind w:right="360" w:firstLine="0" w:firstLineChars="0"/>
                          </w:pPr>
                        </w:p>
                      </w:txbxContent>
                    </wps:txbx>
                    <wps:bodyPr wrap="none" lIns="0" tIns="0" rIns="0" bIns="0" upright="1">
                      <a:spAutoFit/>
                    </wps:bodyPr>
                  </wps:wsp>
                </a:graphicData>
              </a:graphic>
            </wp:anchor>
          </w:drawing>
        </mc:Choice>
        <mc:Fallback>
          <w:pict>
            <v:shape id="文本框 4" o:spid="_x0000_s1026" o:spt="202" type="#_x0000_t202" style="position:absolute;left:0pt;margin-top:0pt;height:9pt;width:18.75pt;mso-position-horizontal:center;mso-position-horizontal-relative:margin;mso-wrap-style:none;z-index:251663360;mso-width-relative:page;mso-height-relative:page;" filled="f" stroked="f" coordsize="21600,21600" o:gfxdata="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7/htS9AAAAADAQAADwAAAAAAAAABACAAAAAiAAAAZHJzL2Rv&#10;d25yZXYueG1sUEsBAhQAFAAAAAgAh07iQFuGnHnQAQAAmgMAAA4AAAAAAAAAAQAgAAAAHwEAAGRy&#10;cy9lMm9Eb2MueG1sUEsFBgAAAAAGAAYAWQEAAGEFAAAAAA==&#10;">
              <v:fill on="f" focussize="0,0"/>
              <v:stroke on="f"/>
              <v:imagedata o:title=""/>
              <o:lock v:ext="edit" aspectratio="f"/>
              <v:textbox inset="0mm,0mm,0mm,0mm" style="mso-fit-shape-to-text:t;">
                <w:txbxContent>
                  <w:p w14:paraId="7FC7D470">
                    <w:pPr>
                      <w:pStyle w:val="31"/>
                      <w:wordWrap w:val="0"/>
                      <w:spacing w:line="180" w:lineRule="exact"/>
                      <w:ind w:right="360" w:firstLine="0" w:firstLineChars="0"/>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45E957">
    <w:pPr>
      <w:pStyle w:val="31"/>
      <w:ind w:firstLine="360"/>
      <w:jc w:val="center"/>
    </w:pPr>
  </w:p>
  <w:p w14:paraId="14800CB2">
    <w:pPr>
      <w:pStyle w:val="31"/>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186CF4">
    <w:pPr>
      <w:pStyle w:val="31"/>
      <w:ind w:firstLine="360"/>
      <w:jc w:val="center"/>
    </w:pPr>
  </w:p>
  <w:p w14:paraId="500D9B01">
    <w:pPr>
      <w:pStyle w:val="3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E71C6E">
    <w:pPr>
      <w:pStyle w:val="33"/>
      <w:pBdr>
        <w:bottom w:val="thinThickSmallGap" w:color="auto" w:sz="12" w:space="1"/>
      </w:pBdr>
      <w:ind w:firstLine="0" w:firstLineChars="0"/>
      <w:jc w:val="left"/>
      <w:rPr>
        <w:rFonts w:ascii="宋体"/>
        <w:bCs/>
        <w:sz w:val="18"/>
        <w:szCs w:val="18"/>
      </w:rPr>
    </w:pPr>
    <w:r>
      <w:rPr>
        <w:rFonts w:hint="eastAsia" w:ascii="Times New Roman" w:hAnsi="Times New Roman"/>
        <w:sz w:val="18"/>
        <w:szCs w:val="18"/>
      </w:rPr>
      <w:drawing>
        <wp:inline distT="0" distB="0" distL="114300" distR="114300">
          <wp:extent cx="229235" cy="189865"/>
          <wp:effectExtent l="0" t="0" r="14605" b="8255"/>
          <wp:docPr id="1524" name="图片 2" descr="TI(HCW`7NUMR~6K$(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图片 2" descr="TI(HCW`7NUMR~6K$(S}~}~C"/>
                  <pic:cNvPicPr>
                    <a:picLocks noChangeAspect="1"/>
                  </pic:cNvPicPr>
                </pic:nvPicPr>
                <pic:blipFill>
                  <a:blip r:embed="rId1"/>
                  <a:stretch>
                    <a:fillRect/>
                  </a:stretch>
                </pic:blipFill>
                <pic:spPr>
                  <a:xfrm>
                    <a:off x="0" y="0"/>
                    <a:ext cx="229235" cy="189865"/>
                  </a:xfrm>
                  <a:prstGeom prst="rect">
                    <a:avLst/>
                  </a:prstGeom>
                  <a:noFill/>
                  <a:ln>
                    <a:noFill/>
                  </a:ln>
                </pic:spPr>
              </pic:pic>
            </a:graphicData>
          </a:graphic>
        </wp:inline>
      </w:drawing>
    </w:r>
    <w:r>
      <w:rPr>
        <w:rFonts w:hint="eastAsia" w:ascii="宋体"/>
        <w:bCs/>
        <w:sz w:val="18"/>
        <w:szCs w:val="18"/>
        <w:lang w:val="en-US" w:eastAsia="zh-CN"/>
      </w:rPr>
      <w:t>沈海线漳州龙海至诏安段（</w:t>
    </w:r>
    <w:r>
      <w:rPr>
        <w:rFonts w:hint="eastAsia"/>
        <w:bCs/>
        <w:sz w:val="18"/>
        <w:szCs w:val="18"/>
        <w:lang w:val="en-US" w:eastAsia="zh-CN"/>
      </w:rPr>
      <w:t>龙海北溪头至诏安闽粤界</w:t>
    </w:r>
    <w:r>
      <w:rPr>
        <w:rFonts w:hint="eastAsia" w:ascii="宋体"/>
        <w:bCs/>
        <w:sz w:val="18"/>
        <w:szCs w:val="18"/>
        <w:lang w:val="en-US" w:eastAsia="zh-CN"/>
      </w:rPr>
      <w:t>）</w:t>
    </w:r>
    <w:r>
      <w:rPr>
        <w:rFonts w:hint="eastAsia"/>
        <w:bCs/>
        <w:sz w:val="18"/>
        <w:szCs w:val="18"/>
        <w:lang w:val="en-US" w:eastAsia="zh-CN"/>
      </w:rPr>
      <w:t>扩容工程A12合同段</w:t>
    </w:r>
    <w:r>
      <w:rPr>
        <w:rFonts w:hint="eastAsia" w:ascii="宋体"/>
        <w:bCs/>
        <w:sz w:val="18"/>
        <w:szCs w:val="18"/>
        <w:lang w:val="en-US" w:eastAsia="zh-CN"/>
      </w:rPr>
      <w:t xml:space="preserve"> </w:t>
    </w:r>
    <w:r>
      <w:rPr>
        <w:rFonts w:hint="eastAsia" w:ascii="宋体"/>
        <w:bCs/>
        <w:sz w:val="18"/>
        <w:szCs w:val="18"/>
      </w:rPr>
      <w:t xml:space="preserve"> </w:t>
    </w:r>
    <w:r>
      <w:rPr>
        <w:rFonts w:hint="eastAsia" w:ascii="宋体"/>
        <w:bCs/>
        <w:sz w:val="18"/>
        <w:szCs w:val="18"/>
        <w:lang w:val="en-US" w:eastAsia="zh-CN"/>
      </w:rPr>
      <w:t xml:space="preserve"> </w:t>
    </w:r>
    <w:r>
      <w:rPr>
        <w:rFonts w:hint="eastAsia" w:ascii="宋体"/>
        <w:bCs/>
        <w:sz w:val="18"/>
        <w:szCs w:val="18"/>
      </w:rPr>
      <w:t>实施性施工组织设计</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55E3D2">
    <w:pPr>
      <w:pStyle w:val="33"/>
      <w:pBdr>
        <w:bottom w:val="thinThickSmallGap" w:color="auto" w:sz="12" w:space="1"/>
      </w:pBdr>
      <w:ind w:firstLine="0" w:firstLineChars="0"/>
      <w:jc w:val="left"/>
      <w:rPr>
        <w:rFonts w:ascii="宋体"/>
        <w:bCs/>
        <w:sz w:val="18"/>
        <w:szCs w:val="18"/>
      </w:rPr>
    </w:pPr>
    <w:r>
      <w:rPr>
        <w:rFonts w:hint="eastAsia" w:ascii="Times New Roman" w:hAnsi="Times New Roman"/>
        <w:sz w:val="18"/>
        <w:szCs w:val="18"/>
      </w:rPr>
      <w:drawing>
        <wp:inline distT="0" distB="0" distL="114300" distR="114300">
          <wp:extent cx="229235" cy="189865"/>
          <wp:effectExtent l="0" t="0" r="14605" b="8255"/>
          <wp:docPr id="355" name="图片 2" descr="TI(HCW`7NUMR~6K$(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 descr="TI(HCW`7NUMR~6K$(S}~}~C"/>
                  <pic:cNvPicPr>
                    <a:picLocks noChangeAspect="1"/>
                  </pic:cNvPicPr>
                </pic:nvPicPr>
                <pic:blipFill>
                  <a:blip r:embed="rId1"/>
                  <a:stretch>
                    <a:fillRect/>
                  </a:stretch>
                </pic:blipFill>
                <pic:spPr>
                  <a:xfrm>
                    <a:off x="0" y="0"/>
                    <a:ext cx="229235" cy="189865"/>
                  </a:xfrm>
                  <a:prstGeom prst="rect">
                    <a:avLst/>
                  </a:prstGeom>
                  <a:noFill/>
                  <a:ln>
                    <a:noFill/>
                  </a:ln>
                </pic:spPr>
              </pic:pic>
            </a:graphicData>
          </a:graphic>
        </wp:inline>
      </w:drawing>
    </w:r>
    <w:r>
      <w:rPr>
        <w:rFonts w:hint="eastAsia" w:ascii="宋体"/>
        <w:bCs/>
        <w:sz w:val="18"/>
        <w:szCs w:val="18"/>
        <w:lang w:val="en-US" w:eastAsia="zh-CN"/>
      </w:rPr>
      <w:t>沈海线漳州龙海至诏安段（</w:t>
    </w:r>
    <w:r>
      <w:rPr>
        <w:rFonts w:hint="eastAsia"/>
        <w:bCs/>
        <w:sz w:val="18"/>
        <w:szCs w:val="18"/>
        <w:lang w:val="en-US" w:eastAsia="zh-CN"/>
      </w:rPr>
      <w:t>龙海北溪头至诏安闽粤界</w:t>
    </w:r>
    <w:r>
      <w:rPr>
        <w:rFonts w:hint="eastAsia" w:ascii="宋体"/>
        <w:bCs/>
        <w:sz w:val="18"/>
        <w:szCs w:val="18"/>
        <w:lang w:val="en-US" w:eastAsia="zh-CN"/>
      </w:rPr>
      <w:t>）</w:t>
    </w:r>
    <w:r>
      <w:rPr>
        <w:rFonts w:hint="eastAsia"/>
        <w:bCs/>
        <w:sz w:val="18"/>
        <w:szCs w:val="18"/>
        <w:lang w:val="en-US" w:eastAsia="zh-CN"/>
      </w:rPr>
      <w:t>扩容工程A12合同段</w:t>
    </w:r>
    <w:r>
      <w:rPr>
        <w:rFonts w:hint="eastAsia" w:ascii="宋体"/>
        <w:bCs/>
        <w:sz w:val="18"/>
        <w:szCs w:val="18"/>
        <w:lang w:val="en-US" w:eastAsia="zh-CN"/>
      </w:rPr>
      <w:t xml:space="preserve"> </w:t>
    </w:r>
    <w:r>
      <w:rPr>
        <w:rFonts w:hint="eastAsia" w:ascii="宋体"/>
        <w:bCs/>
        <w:sz w:val="18"/>
        <w:szCs w:val="18"/>
      </w:rPr>
      <w:t xml:space="preserve"> </w:t>
    </w:r>
    <w:r>
      <w:rPr>
        <w:rFonts w:hint="eastAsia" w:ascii="宋体"/>
        <w:bCs/>
        <w:sz w:val="18"/>
        <w:szCs w:val="18"/>
        <w:lang w:val="en-US" w:eastAsia="zh-CN"/>
      </w:rPr>
      <w:t xml:space="preserve"> </w:t>
    </w:r>
    <w:r>
      <w:rPr>
        <w:rFonts w:hint="eastAsia" w:ascii="宋体"/>
        <w:bCs/>
        <w:sz w:val="18"/>
        <w:szCs w:val="18"/>
      </w:rPr>
      <w:t>实施性施工组织设计</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B9B95C">
    <w:pPr>
      <w:pBdr>
        <w:bottom w:val="thickThinSmallGap" w:color="000000" w:sz="12" w:space="0"/>
      </w:pBdr>
      <w:spacing w:line="240" w:lineRule="auto"/>
      <w:ind w:firstLine="0" w:firstLineChars="0"/>
      <w:rPr>
        <w:rFonts w:ascii="宋体"/>
        <w:bCs/>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FA9184">
    <w:pPr>
      <w:pStyle w:val="33"/>
      <w:jc w:val="both"/>
      <w:rPr>
        <w:rFonts w:hint="eastAsia" w:ascii="宋体"/>
        <w:bCs/>
        <w:sz w:val="18"/>
        <w:szCs w:val="18"/>
      </w:rPr>
    </w:pPr>
    <w:r>
      <w:rPr>
        <w:rFonts w:hint="eastAsia" w:ascii="宋体"/>
        <w:bCs/>
        <w:sz w:val="18"/>
        <w:szCs w:val="18"/>
      </w:rPr>
      <w:t xml:space="preserve">沈海线漳州龙海至诏安段（龙海北溪头至诏安闽粤界）扩容工程A12合同段   </w:t>
    </w:r>
    <w:r>
      <w:rPr>
        <w:rFonts w:hint="eastAsia" w:ascii="宋体"/>
        <w:bCs/>
        <w:sz w:val="18"/>
        <w:szCs w:val="18"/>
        <w:lang w:val="en-US" w:eastAsia="zh-CN"/>
      </w:rPr>
      <w:t xml:space="preserve">                                                                                                               </w:t>
    </w:r>
    <w:r>
      <w:rPr>
        <w:rFonts w:hint="eastAsia" w:ascii="宋体"/>
        <w:bCs/>
        <w:sz w:val="18"/>
        <w:szCs w:val="18"/>
      </w:rPr>
      <w:t>实施性施工组织设计</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153C62">
    <w:pPr>
      <w:pStyle w:val="33"/>
      <w:pBdr>
        <w:bottom w:val="thinThickSmallGap" w:color="auto" w:sz="12" w:space="1"/>
      </w:pBdr>
      <w:ind w:firstLine="0" w:firstLineChars="0"/>
      <w:jc w:val="left"/>
    </w:pPr>
    <w:r>
      <w:rPr>
        <w:rFonts w:hint="eastAsia" w:ascii="Times New Roman" w:hAnsi="Times New Roman"/>
        <w:sz w:val="18"/>
        <w:szCs w:val="18"/>
      </w:rPr>
      <w:drawing>
        <wp:inline distT="0" distB="0" distL="114300" distR="114300">
          <wp:extent cx="229235" cy="189865"/>
          <wp:effectExtent l="0" t="0" r="14605" b="8255"/>
          <wp:docPr id="340" name="图片 2" descr="TI(HCW`7NUMR~6K$(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2" descr="TI(HCW`7NUMR~6K$(S}~}~C"/>
                  <pic:cNvPicPr>
                    <a:picLocks noChangeAspect="1"/>
                  </pic:cNvPicPr>
                </pic:nvPicPr>
                <pic:blipFill>
                  <a:blip r:embed="rId1"/>
                  <a:stretch>
                    <a:fillRect/>
                  </a:stretch>
                </pic:blipFill>
                <pic:spPr>
                  <a:xfrm>
                    <a:off x="0" y="0"/>
                    <a:ext cx="229235" cy="189865"/>
                  </a:xfrm>
                  <a:prstGeom prst="rect">
                    <a:avLst/>
                  </a:prstGeom>
                  <a:noFill/>
                  <a:ln>
                    <a:noFill/>
                  </a:ln>
                </pic:spPr>
              </pic:pic>
            </a:graphicData>
          </a:graphic>
        </wp:inline>
      </w:drawing>
    </w:r>
    <w:r>
      <w:rPr>
        <w:rFonts w:hint="eastAsia" w:ascii="宋体"/>
        <w:bCs/>
        <w:sz w:val="18"/>
        <w:szCs w:val="18"/>
        <w:lang w:val="en-US" w:eastAsia="zh-CN"/>
      </w:rPr>
      <w:t>沈海线漳州龙海至诏安段（</w:t>
    </w:r>
    <w:r>
      <w:rPr>
        <w:rFonts w:hint="eastAsia"/>
        <w:bCs/>
        <w:sz w:val="18"/>
        <w:szCs w:val="18"/>
        <w:lang w:val="en-US" w:eastAsia="zh-CN"/>
      </w:rPr>
      <w:t>龙海北溪头至诏安闽粤界</w:t>
    </w:r>
    <w:r>
      <w:rPr>
        <w:rFonts w:hint="eastAsia" w:ascii="宋体"/>
        <w:bCs/>
        <w:sz w:val="18"/>
        <w:szCs w:val="18"/>
        <w:lang w:val="en-US" w:eastAsia="zh-CN"/>
      </w:rPr>
      <w:t>）</w:t>
    </w:r>
    <w:r>
      <w:rPr>
        <w:rFonts w:hint="eastAsia"/>
        <w:bCs/>
        <w:sz w:val="18"/>
        <w:szCs w:val="18"/>
        <w:lang w:val="en-US" w:eastAsia="zh-CN"/>
      </w:rPr>
      <w:t>扩容工程A12合同段</w:t>
    </w:r>
    <w:r>
      <w:rPr>
        <w:rFonts w:hint="eastAsia" w:ascii="宋体"/>
        <w:bCs/>
        <w:sz w:val="18"/>
        <w:szCs w:val="18"/>
        <w:lang w:val="en-US" w:eastAsia="zh-CN"/>
      </w:rPr>
      <w:t xml:space="preserve"> </w:t>
    </w:r>
    <w:r>
      <w:rPr>
        <w:rFonts w:hint="eastAsia" w:ascii="宋体"/>
        <w:bCs/>
        <w:sz w:val="18"/>
        <w:szCs w:val="18"/>
      </w:rPr>
      <w:t xml:space="preserve"> </w:t>
    </w:r>
    <w:r>
      <w:rPr>
        <w:rFonts w:hint="eastAsia" w:ascii="宋体"/>
        <w:bCs/>
        <w:sz w:val="18"/>
        <w:szCs w:val="18"/>
        <w:lang w:val="en-US" w:eastAsia="zh-CN"/>
      </w:rPr>
      <w:t xml:space="preserve">         </w:t>
    </w:r>
    <w:r>
      <w:rPr>
        <w:rFonts w:hint="eastAsia" w:ascii="宋体"/>
        <w:bCs/>
        <w:sz w:val="18"/>
        <w:szCs w:val="18"/>
      </w:rPr>
      <w:t>实施性施工组织设计</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768C3A">
    <w:pPr>
      <w:pStyle w:val="33"/>
      <w:pBdr>
        <w:bottom w:val="thinThickSmallGap" w:color="auto" w:sz="12" w:space="1"/>
      </w:pBdr>
      <w:ind w:firstLine="0" w:firstLineChars="0"/>
      <w:jc w:val="left"/>
      <w:rPr>
        <w:rFonts w:ascii="宋体"/>
        <w:bCs/>
        <w:sz w:val="18"/>
        <w:szCs w:val="18"/>
      </w:rPr>
    </w:pPr>
    <w:r>
      <w:rPr>
        <w:rFonts w:hint="eastAsia" w:ascii="Times New Roman" w:hAnsi="Times New Roman"/>
        <w:sz w:val="18"/>
        <w:szCs w:val="18"/>
      </w:rPr>
      <w:drawing>
        <wp:inline distT="0" distB="0" distL="114300" distR="114300">
          <wp:extent cx="229235" cy="189865"/>
          <wp:effectExtent l="0" t="0" r="14605" b="8255"/>
          <wp:docPr id="347" name="图片 2" descr="TI(HCW`7NUMR~6K$(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2" descr="TI(HCW`7NUMR~6K$(S}~}~C"/>
                  <pic:cNvPicPr>
                    <a:picLocks noChangeAspect="1"/>
                  </pic:cNvPicPr>
                </pic:nvPicPr>
                <pic:blipFill>
                  <a:blip r:embed="rId1"/>
                  <a:stretch>
                    <a:fillRect/>
                  </a:stretch>
                </pic:blipFill>
                <pic:spPr>
                  <a:xfrm>
                    <a:off x="0" y="0"/>
                    <a:ext cx="229235" cy="189865"/>
                  </a:xfrm>
                  <a:prstGeom prst="rect">
                    <a:avLst/>
                  </a:prstGeom>
                  <a:noFill/>
                  <a:ln>
                    <a:noFill/>
                  </a:ln>
                </pic:spPr>
              </pic:pic>
            </a:graphicData>
          </a:graphic>
        </wp:inline>
      </w:drawing>
    </w:r>
    <w:r>
      <w:rPr>
        <w:rFonts w:hint="eastAsia" w:ascii="宋体"/>
        <w:bCs/>
        <w:sz w:val="18"/>
        <w:szCs w:val="18"/>
        <w:lang w:val="en-US" w:eastAsia="zh-CN"/>
      </w:rPr>
      <w:t>沈海线漳州龙海至诏安段（</w:t>
    </w:r>
    <w:r>
      <w:rPr>
        <w:rFonts w:hint="eastAsia"/>
        <w:bCs/>
        <w:sz w:val="18"/>
        <w:szCs w:val="18"/>
        <w:lang w:val="en-US" w:eastAsia="zh-CN"/>
      </w:rPr>
      <w:t>龙海北溪头至诏安闽粤界</w:t>
    </w:r>
    <w:r>
      <w:rPr>
        <w:rFonts w:hint="eastAsia" w:ascii="宋体"/>
        <w:bCs/>
        <w:sz w:val="18"/>
        <w:szCs w:val="18"/>
        <w:lang w:val="en-US" w:eastAsia="zh-CN"/>
      </w:rPr>
      <w:t>）</w:t>
    </w:r>
    <w:r>
      <w:rPr>
        <w:rFonts w:hint="eastAsia"/>
        <w:bCs/>
        <w:sz w:val="18"/>
        <w:szCs w:val="18"/>
        <w:lang w:val="en-US" w:eastAsia="zh-CN"/>
      </w:rPr>
      <w:t>扩容工程A12合同段</w:t>
    </w:r>
    <w:r>
      <w:rPr>
        <w:rFonts w:hint="eastAsia" w:ascii="宋体"/>
        <w:bCs/>
        <w:sz w:val="18"/>
        <w:szCs w:val="18"/>
        <w:lang w:val="en-US" w:eastAsia="zh-CN"/>
      </w:rPr>
      <w:t xml:space="preserve"> </w:t>
    </w:r>
    <w:r>
      <w:rPr>
        <w:rFonts w:hint="eastAsia" w:ascii="宋体"/>
        <w:bCs/>
        <w:sz w:val="18"/>
        <w:szCs w:val="18"/>
      </w:rPr>
      <w:t xml:space="preserve"> </w:t>
    </w:r>
    <w:r>
      <w:rPr>
        <w:rFonts w:hint="eastAsia" w:ascii="宋体"/>
        <w:bCs/>
        <w:sz w:val="18"/>
        <w:szCs w:val="18"/>
        <w:lang w:val="en-US" w:eastAsia="zh-CN"/>
      </w:rPr>
      <w:t xml:space="preserve"> </w:t>
    </w:r>
    <w:r>
      <w:rPr>
        <w:rFonts w:hint="eastAsia" w:ascii="宋体"/>
        <w:bCs/>
        <w:sz w:val="18"/>
        <w:szCs w:val="18"/>
      </w:rPr>
      <w:t>实施性施工组织设计</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439E54"/>
    <w:multiLevelType w:val="singleLevel"/>
    <w:tmpl w:val="8B439E54"/>
    <w:lvl w:ilvl="0" w:tentative="0">
      <w:start w:val="3"/>
      <w:numFmt w:val="decimal"/>
      <w:lvlText w:val="%1."/>
      <w:lvlJc w:val="left"/>
      <w:pPr>
        <w:tabs>
          <w:tab w:val="left" w:pos="312"/>
        </w:tabs>
      </w:pPr>
      <w:rPr>
        <w:rFonts w:cs="Times New Roman"/>
      </w:rPr>
    </w:lvl>
  </w:abstractNum>
  <w:abstractNum w:abstractNumId="1">
    <w:nsid w:val="926D7D1F"/>
    <w:multiLevelType w:val="singleLevel"/>
    <w:tmpl w:val="926D7D1F"/>
    <w:lvl w:ilvl="0" w:tentative="0">
      <w:start w:val="1"/>
      <w:numFmt w:val="decimal"/>
      <w:suff w:val="nothing"/>
      <w:lvlText w:val="%1）"/>
      <w:lvlJc w:val="left"/>
      <w:rPr>
        <w:rFonts w:cs="Times New Roman"/>
      </w:rPr>
    </w:lvl>
  </w:abstractNum>
  <w:abstractNum w:abstractNumId="2">
    <w:nsid w:val="9322CA7B"/>
    <w:multiLevelType w:val="singleLevel"/>
    <w:tmpl w:val="9322CA7B"/>
    <w:lvl w:ilvl="0" w:tentative="0">
      <w:start w:val="1"/>
      <w:numFmt w:val="chineseCounting"/>
      <w:suff w:val="nothing"/>
      <w:lvlText w:val="（%1）"/>
      <w:lvlJc w:val="left"/>
      <w:rPr>
        <w:rFonts w:hint="eastAsia" w:cs="Times New Roman"/>
      </w:rPr>
    </w:lvl>
  </w:abstractNum>
  <w:abstractNum w:abstractNumId="3">
    <w:nsid w:val="A0F39F8B"/>
    <w:multiLevelType w:val="singleLevel"/>
    <w:tmpl w:val="A0F39F8B"/>
    <w:lvl w:ilvl="0" w:tentative="0">
      <w:start w:val="3"/>
      <w:numFmt w:val="decimal"/>
      <w:suff w:val="nothing"/>
      <w:lvlText w:val="%1）"/>
      <w:lvlJc w:val="left"/>
      <w:pPr>
        <w:tabs>
          <w:tab w:val="left" w:pos="0"/>
        </w:tabs>
      </w:pPr>
      <w:rPr>
        <w:rFonts w:cs="Times New Roman"/>
      </w:rPr>
    </w:lvl>
  </w:abstractNum>
  <w:abstractNum w:abstractNumId="4">
    <w:nsid w:val="AEC35227"/>
    <w:multiLevelType w:val="singleLevel"/>
    <w:tmpl w:val="AEC35227"/>
    <w:lvl w:ilvl="0" w:tentative="0">
      <w:start w:val="1"/>
      <w:numFmt w:val="chineseCounting"/>
      <w:suff w:val="nothing"/>
      <w:lvlText w:val="（%1）"/>
      <w:lvlJc w:val="left"/>
      <w:rPr>
        <w:rFonts w:hint="eastAsia"/>
      </w:rPr>
    </w:lvl>
  </w:abstractNum>
  <w:abstractNum w:abstractNumId="5">
    <w:nsid w:val="BCB507B8"/>
    <w:multiLevelType w:val="singleLevel"/>
    <w:tmpl w:val="BCB507B8"/>
    <w:lvl w:ilvl="0" w:tentative="0">
      <w:start w:val="1"/>
      <w:numFmt w:val="chineseCounting"/>
      <w:suff w:val="nothing"/>
      <w:lvlText w:val="（%1）"/>
      <w:lvlJc w:val="left"/>
      <w:pPr>
        <w:tabs>
          <w:tab w:val="left" w:pos="0"/>
        </w:tabs>
      </w:pPr>
      <w:rPr>
        <w:rFonts w:hint="eastAsia" w:cs="Times New Roman"/>
      </w:rPr>
    </w:lvl>
  </w:abstractNum>
  <w:abstractNum w:abstractNumId="6">
    <w:nsid w:val="C976437E"/>
    <w:multiLevelType w:val="singleLevel"/>
    <w:tmpl w:val="C976437E"/>
    <w:lvl w:ilvl="0" w:tentative="0">
      <w:start w:val="1"/>
      <w:numFmt w:val="decimal"/>
      <w:suff w:val="nothing"/>
      <w:lvlText w:val="（%1）"/>
      <w:lvlJc w:val="left"/>
      <w:pPr>
        <w:tabs>
          <w:tab w:val="left" w:pos="0"/>
        </w:tabs>
      </w:pPr>
      <w:rPr>
        <w:rFonts w:cs="Times New Roman"/>
      </w:rPr>
    </w:lvl>
  </w:abstractNum>
  <w:abstractNum w:abstractNumId="7">
    <w:nsid w:val="D650B27F"/>
    <w:multiLevelType w:val="singleLevel"/>
    <w:tmpl w:val="D650B27F"/>
    <w:lvl w:ilvl="0" w:tentative="0">
      <w:start w:val="1"/>
      <w:numFmt w:val="chineseCounting"/>
      <w:suff w:val="nothing"/>
      <w:lvlText w:val="（%1）"/>
      <w:lvlJc w:val="left"/>
      <w:rPr>
        <w:rFonts w:hint="eastAsia"/>
      </w:rPr>
    </w:lvl>
  </w:abstractNum>
  <w:abstractNum w:abstractNumId="8">
    <w:nsid w:val="D8380885"/>
    <w:multiLevelType w:val="singleLevel"/>
    <w:tmpl w:val="D8380885"/>
    <w:lvl w:ilvl="0" w:tentative="0">
      <w:start w:val="1"/>
      <w:numFmt w:val="decimal"/>
      <w:suff w:val="nothing"/>
      <w:lvlText w:val="%1、"/>
      <w:lvlJc w:val="left"/>
    </w:lvl>
  </w:abstractNum>
  <w:abstractNum w:abstractNumId="9">
    <w:nsid w:val="DA1C0FD9"/>
    <w:multiLevelType w:val="singleLevel"/>
    <w:tmpl w:val="DA1C0FD9"/>
    <w:lvl w:ilvl="0" w:tentative="0">
      <w:start w:val="5"/>
      <w:numFmt w:val="decimal"/>
      <w:suff w:val="space"/>
      <w:lvlText w:val="%1、"/>
      <w:lvlJc w:val="left"/>
    </w:lvl>
  </w:abstractNum>
  <w:abstractNum w:abstractNumId="10">
    <w:nsid w:val="FA5E665D"/>
    <w:multiLevelType w:val="singleLevel"/>
    <w:tmpl w:val="FA5E665D"/>
    <w:lvl w:ilvl="0" w:tentative="0">
      <w:start w:val="1"/>
      <w:numFmt w:val="chineseCounting"/>
      <w:suff w:val="nothing"/>
      <w:lvlText w:val="（%1）"/>
      <w:lvlJc w:val="left"/>
      <w:rPr>
        <w:rFonts w:hint="eastAsia"/>
      </w:rPr>
    </w:lvl>
  </w:abstractNum>
  <w:abstractNum w:abstractNumId="11">
    <w:nsid w:val="FFFFFF88"/>
    <w:multiLevelType w:val="singleLevel"/>
    <w:tmpl w:val="FFFFFF88"/>
    <w:lvl w:ilvl="0" w:tentative="0">
      <w:start w:val="1"/>
      <w:numFmt w:val="decimal"/>
      <w:pStyle w:val="2"/>
      <w:lvlText w:val="%1."/>
      <w:lvlJc w:val="left"/>
      <w:pPr>
        <w:tabs>
          <w:tab w:val="left" w:pos="360"/>
        </w:tabs>
        <w:ind w:left="360" w:hanging="360" w:hangingChars="200"/>
      </w:pPr>
    </w:lvl>
  </w:abstractNum>
  <w:abstractNum w:abstractNumId="12">
    <w:nsid w:val="1387B348"/>
    <w:multiLevelType w:val="singleLevel"/>
    <w:tmpl w:val="1387B348"/>
    <w:lvl w:ilvl="0" w:tentative="0">
      <w:start w:val="1"/>
      <w:numFmt w:val="chineseCounting"/>
      <w:suff w:val="nothing"/>
      <w:lvlText w:val="（%1）"/>
      <w:lvlJc w:val="left"/>
      <w:rPr>
        <w:rFonts w:hint="eastAsia" w:cs="Times New Roman"/>
      </w:rPr>
    </w:lvl>
  </w:abstractNum>
  <w:abstractNum w:abstractNumId="13">
    <w:nsid w:val="1D077977"/>
    <w:multiLevelType w:val="singleLevel"/>
    <w:tmpl w:val="1D077977"/>
    <w:lvl w:ilvl="0" w:tentative="0">
      <w:start w:val="1"/>
      <w:numFmt w:val="chineseCounting"/>
      <w:suff w:val="nothing"/>
      <w:lvlText w:val="（%1）"/>
      <w:lvlJc w:val="left"/>
      <w:pPr>
        <w:tabs>
          <w:tab w:val="left" w:pos="0"/>
        </w:tabs>
      </w:pPr>
      <w:rPr>
        <w:rFonts w:hint="eastAsia" w:cs="Times New Roman"/>
      </w:rPr>
    </w:lvl>
  </w:abstractNum>
  <w:abstractNum w:abstractNumId="14">
    <w:nsid w:val="23E9FB51"/>
    <w:multiLevelType w:val="singleLevel"/>
    <w:tmpl w:val="23E9FB51"/>
    <w:lvl w:ilvl="0" w:tentative="0">
      <w:start w:val="1"/>
      <w:numFmt w:val="chineseCounting"/>
      <w:suff w:val="nothing"/>
      <w:lvlText w:val="%1、"/>
      <w:lvlJc w:val="left"/>
      <w:rPr>
        <w:rFonts w:hint="eastAsia" w:cs="Times New Roman"/>
      </w:rPr>
    </w:lvl>
  </w:abstractNum>
  <w:abstractNum w:abstractNumId="15">
    <w:nsid w:val="321526D9"/>
    <w:multiLevelType w:val="singleLevel"/>
    <w:tmpl w:val="321526D9"/>
    <w:lvl w:ilvl="0" w:tentative="0">
      <w:start w:val="1"/>
      <w:numFmt w:val="chineseCounting"/>
      <w:suff w:val="nothing"/>
      <w:lvlText w:val="（%1）"/>
      <w:lvlJc w:val="left"/>
      <w:pPr>
        <w:tabs>
          <w:tab w:val="left" w:pos="0"/>
        </w:tabs>
      </w:pPr>
      <w:rPr>
        <w:rFonts w:hint="eastAsia" w:cs="Times New Roman"/>
      </w:rPr>
    </w:lvl>
  </w:abstractNum>
  <w:abstractNum w:abstractNumId="16">
    <w:nsid w:val="3BD3FDEF"/>
    <w:multiLevelType w:val="singleLevel"/>
    <w:tmpl w:val="3BD3FDEF"/>
    <w:lvl w:ilvl="0" w:tentative="0">
      <w:start w:val="1"/>
      <w:numFmt w:val="decimalEnclosedCircleChinese"/>
      <w:suff w:val="nothing"/>
      <w:lvlText w:val="%1　"/>
      <w:lvlJc w:val="left"/>
      <w:pPr>
        <w:ind w:left="0" w:firstLine="400"/>
      </w:pPr>
      <w:rPr>
        <w:rFonts w:hint="eastAsia"/>
      </w:rPr>
    </w:lvl>
  </w:abstractNum>
  <w:abstractNum w:abstractNumId="17">
    <w:nsid w:val="671DCECF"/>
    <w:multiLevelType w:val="singleLevel"/>
    <w:tmpl w:val="671DCECF"/>
    <w:lvl w:ilvl="0" w:tentative="0">
      <w:start w:val="1"/>
      <w:numFmt w:val="chineseCounting"/>
      <w:suff w:val="nothing"/>
      <w:lvlText w:val="（%1）"/>
      <w:lvlJc w:val="left"/>
      <w:pPr>
        <w:tabs>
          <w:tab w:val="left" w:pos="0"/>
        </w:tabs>
      </w:pPr>
      <w:rPr>
        <w:rFonts w:hint="eastAsia" w:cs="Times New Roman"/>
      </w:rPr>
    </w:lvl>
  </w:abstractNum>
  <w:num w:numId="1">
    <w:abstractNumId w:val="11"/>
  </w:num>
  <w:num w:numId="2">
    <w:abstractNumId w:val="16"/>
  </w:num>
  <w:num w:numId="3">
    <w:abstractNumId w:val="9"/>
  </w:num>
  <w:num w:numId="4">
    <w:abstractNumId w:val="5"/>
  </w:num>
  <w:num w:numId="5">
    <w:abstractNumId w:val="0"/>
  </w:num>
  <w:num w:numId="6">
    <w:abstractNumId w:val="8"/>
  </w:num>
  <w:num w:numId="7">
    <w:abstractNumId w:val="7"/>
  </w:num>
  <w:num w:numId="8">
    <w:abstractNumId w:val="4"/>
  </w:num>
  <w:num w:numId="9">
    <w:abstractNumId w:val="12"/>
  </w:num>
  <w:num w:numId="10">
    <w:abstractNumId w:val="17"/>
  </w:num>
  <w:num w:numId="11">
    <w:abstractNumId w:val="13"/>
  </w:num>
  <w:num w:numId="12">
    <w:abstractNumId w:val="15"/>
  </w:num>
  <w:num w:numId="13">
    <w:abstractNumId w:val="2"/>
  </w:num>
  <w:num w:numId="14">
    <w:abstractNumId w:val="10"/>
  </w:num>
  <w:num w:numId="15">
    <w:abstractNumId w:val="14"/>
  </w:num>
  <w:num w:numId="16">
    <w:abstractNumId w:val="1"/>
  </w:num>
  <w:num w:numId="17">
    <w:abstractNumId w:val="3"/>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NotTrackMove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noLineBreaksAfter w:lang="zh-CN" w:val="([_i{·ӟ֠ᴛ‘“〈《「『【〒〔〖脁（．［｛￡￥"/>
  <w:noLineBreaksBefore w:lang="zh-CN" w:val="!(),.:;?[]_i{}¨·ˇˉӟ֠ᴛ―‖‘’“”…∶、。〃々〈〉《》「」『』【】〒〔〕〖〗脁！＂＇（），．：；？［］｀｛｜｝～￠￡￥"/>
  <w:doNotValidateAgainstSchema/>
  <w:doNotDemarcateInvalidXml/>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M5NzMzY2YxYmNjYWU0MTY3YjFlZGRjNmY4Y2M5NzUifQ=="/>
  </w:docVars>
  <w:rsids>
    <w:rsidRoot w:val="00172A27"/>
    <w:rsid w:val="00172A27"/>
    <w:rsid w:val="001E2AC3"/>
    <w:rsid w:val="002E6413"/>
    <w:rsid w:val="0034268B"/>
    <w:rsid w:val="00430FC3"/>
    <w:rsid w:val="005135CA"/>
    <w:rsid w:val="006D0CE9"/>
    <w:rsid w:val="006F2ED3"/>
    <w:rsid w:val="00935DE7"/>
    <w:rsid w:val="00AE6A26"/>
    <w:rsid w:val="00AF63FE"/>
    <w:rsid w:val="00C71888"/>
    <w:rsid w:val="00D01278"/>
    <w:rsid w:val="00D04F54"/>
    <w:rsid w:val="00D834A9"/>
    <w:rsid w:val="00DA7F61"/>
    <w:rsid w:val="00E73863"/>
    <w:rsid w:val="00E86140"/>
    <w:rsid w:val="00FA2DD8"/>
    <w:rsid w:val="01087460"/>
    <w:rsid w:val="01152867"/>
    <w:rsid w:val="012952DE"/>
    <w:rsid w:val="013547E6"/>
    <w:rsid w:val="016740AA"/>
    <w:rsid w:val="01997AFA"/>
    <w:rsid w:val="01C4077B"/>
    <w:rsid w:val="01E54719"/>
    <w:rsid w:val="01F176F8"/>
    <w:rsid w:val="020902CF"/>
    <w:rsid w:val="0219379B"/>
    <w:rsid w:val="02700E69"/>
    <w:rsid w:val="02711EE2"/>
    <w:rsid w:val="02844A69"/>
    <w:rsid w:val="028B3600"/>
    <w:rsid w:val="02A77336"/>
    <w:rsid w:val="02B472B5"/>
    <w:rsid w:val="02B57009"/>
    <w:rsid w:val="02C020C2"/>
    <w:rsid w:val="02D527EF"/>
    <w:rsid w:val="02EF1A9C"/>
    <w:rsid w:val="032267C5"/>
    <w:rsid w:val="03414160"/>
    <w:rsid w:val="03EF1A15"/>
    <w:rsid w:val="041C5A70"/>
    <w:rsid w:val="04231666"/>
    <w:rsid w:val="045C3485"/>
    <w:rsid w:val="04603FC1"/>
    <w:rsid w:val="04650E18"/>
    <w:rsid w:val="04802032"/>
    <w:rsid w:val="04A50624"/>
    <w:rsid w:val="04B1084F"/>
    <w:rsid w:val="04B53D1B"/>
    <w:rsid w:val="04B65AC7"/>
    <w:rsid w:val="04BD614F"/>
    <w:rsid w:val="04BF4390"/>
    <w:rsid w:val="04C42EA2"/>
    <w:rsid w:val="04E106AB"/>
    <w:rsid w:val="050F3C62"/>
    <w:rsid w:val="051B6D7A"/>
    <w:rsid w:val="05390302"/>
    <w:rsid w:val="053C79EF"/>
    <w:rsid w:val="054E1884"/>
    <w:rsid w:val="0570782C"/>
    <w:rsid w:val="05850883"/>
    <w:rsid w:val="058D76F5"/>
    <w:rsid w:val="05953DEE"/>
    <w:rsid w:val="05AD3753"/>
    <w:rsid w:val="05CE2604"/>
    <w:rsid w:val="05E97064"/>
    <w:rsid w:val="06237FDC"/>
    <w:rsid w:val="06241CC6"/>
    <w:rsid w:val="066B1E9D"/>
    <w:rsid w:val="06AF7FB7"/>
    <w:rsid w:val="06E45A7E"/>
    <w:rsid w:val="07302A71"/>
    <w:rsid w:val="081817AF"/>
    <w:rsid w:val="08193505"/>
    <w:rsid w:val="081B0FBC"/>
    <w:rsid w:val="08236C88"/>
    <w:rsid w:val="0827520F"/>
    <w:rsid w:val="082C5DE5"/>
    <w:rsid w:val="08311CF1"/>
    <w:rsid w:val="084E4B69"/>
    <w:rsid w:val="088D342B"/>
    <w:rsid w:val="089C3EC1"/>
    <w:rsid w:val="08C62FEB"/>
    <w:rsid w:val="08D22573"/>
    <w:rsid w:val="08FB2D73"/>
    <w:rsid w:val="09153E54"/>
    <w:rsid w:val="091F4EAE"/>
    <w:rsid w:val="09563713"/>
    <w:rsid w:val="096A23ED"/>
    <w:rsid w:val="096C763B"/>
    <w:rsid w:val="097A4991"/>
    <w:rsid w:val="097C58ED"/>
    <w:rsid w:val="09C55189"/>
    <w:rsid w:val="09CB082F"/>
    <w:rsid w:val="09EB1B0F"/>
    <w:rsid w:val="0A0A645B"/>
    <w:rsid w:val="0A175241"/>
    <w:rsid w:val="0A187F18"/>
    <w:rsid w:val="0A2B4CE3"/>
    <w:rsid w:val="0A775C69"/>
    <w:rsid w:val="0A8F7AAE"/>
    <w:rsid w:val="0AB556E2"/>
    <w:rsid w:val="0ACE05D7"/>
    <w:rsid w:val="0ADC4202"/>
    <w:rsid w:val="0AFB14F8"/>
    <w:rsid w:val="0B122802"/>
    <w:rsid w:val="0B163D2C"/>
    <w:rsid w:val="0B1A0653"/>
    <w:rsid w:val="0B5A7A34"/>
    <w:rsid w:val="0B5B4426"/>
    <w:rsid w:val="0B985CCB"/>
    <w:rsid w:val="0BB93035"/>
    <w:rsid w:val="0BE34556"/>
    <w:rsid w:val="0BFF569C"/>
    <w:rsid w:val="0C0C4B94"/>
    <w:rsid w:val="0C34437F"/>
    <w:rsid w:val="0C4B7B79"/>
    <w:rsid w:val="0CA02447"/>
    <w:rsid w:val="0CA96815"/>
    <w:rsid w:val="0CE65163"/>
    <w:rsid w:val="0D120857"/>
    <w:rsid w:val="0D4E59FF"/>
    <w:rsid w:val="0D6D1EC5"/>
    <w:rsid w:val="0D746747"/>
    <w:rsid w:val="0D750760"/>
    <w:rsid w:val="0D7865A5"/>
    <w:rsid w:val="0DAD7CD5"/>
    <w:rsid w:val="0DBA174D"/>
    <w:rsid w:val="0DFA4F22"/>
    <w:rsid w:val="0E1D41CA"/>
    <w:rsid w:val="0E595396"/>
    <w:rsid w:val="0E5B44AE"/>
    <w:rsid w:val="0E7F3CFB"/>
    <w:rsid w:val="0E850481"/>
    <w:rsid w:val="0E92732A"/>
    <w:rsid w:val="0E9479A5"/>
    <w:rsid w:val="0E9D0A88"/>
    <w:rsid w:val="0E9D314A"/>
    <w:rsid w:val="0EAF0FDD"/>
    <w:rsid w:val="0EB818FA"/>
    <w:rsid w:val="0F291EBA"/>
    <w:rsid w:val="0F4A3397"/>
    <w:rsid w:val="0F8937E5"/>
    <w:rsid w:val="0FCB08CE"/>
    <w:rsid w:val="0FEA282E"/>
    <w:rsid w:val="0FF3113E"/>
    <w:rsid w:val="0FF9736B"/>
    <w:rsid w:val="1035036E"/>
    <w:rsid w:val="10861954"/>
    <w:rsid w:val="11130C75"/>
    <w:rsid w:val="111D091D"/>
    <w:rsid w:val="11837696"/>
    <w:rsid w:val="11AF0A31"/>
    <w:rsid w:val="11AF385D"/>
    <w:rsid w:val="11D84D40"/>
    <w:rsid w:val="11DB182B"/>
    <w:rsid w:val="11E919EB"/>
    <w:rsid w:val="11EE155E"/>
    <w:rsid w:val="11F03528"/>
    <w:rsid w:val="11F06557"/>
    <w:rsid w:val="12683003"/>
    <w:rsid w:val="126868CF"/>
    <w:rsid w:val="12971124"/>
    <w:rsid w:val="12A8795F"/>
    <w:rsid w:val="12B04174"/>
    <w:rsid w:val="12D40188"/>
    <w:rsid w:val="12E34AB8"/>
    <w:rsid w:val="132C6784"/>
    <w:rsid w:val="133074B0"/>
    <w:rsid w:val="13430321"/>
    <w:rsid w:val="1380268A"/>
    <w:rsid w:val="13844A11"/>
    <w:rsid w:val="13876FEF"/>
    <w:rsid w:val="13D221E3"/>
    <w:rsid w:val="13D33102"/>
    <w:rsid w:val="13D83998"/>
    <w:rsid w:val="13E72709"/>
    <w:rsid w:val="13F81F6B"/>
    <w:rsid w:val="141D1DAB"/>
    <w:rsid w:val="145726A4"/>
    <w:rsid w:val="145C6C53"/>
    <w:rsid w:val="14602E58"/>
    <w:rsid w:val="14AE78FC"/>
    <w:rsid w:val="14B720DC"/>
    <w:rsid w:val="14BA7E1E"/>
    <w:rsid w:val="14E762E5"/>
    <w:rsid w:val="15114352"/>
    <w:rsid w:val="156323B1"/>
    <w:rsid w:val="15C060C7"/>
    <w:rsid w:val="15C70A44"/>
    <w:rsid w:val="15E518D3"/>
    <w:rsid w:val="15F9358A"/>
    <w:rsid w:val="166777B9"/>
    <w:rsid w:val="16B234A2"/>
    <w:rsid w:val="16D12EF2"/>
    <w:rsid w:val="16F81CB2"/>
    <w:rsid w:val="17095392"/>
    <w:rsid w:val="17326590"/>
    <w:rsid w:val="17477F8E"/>
    <w:rsid w:val="17485BB5"/>
    <w:rsid w:val="174C3EC4"/>
    <w:rsid w:val="175D4E15"/>
    <w:rsid w:val="177D68BD"/>
    <w:rsid w:val="179E1A6C"/>
    <w:rsid w:val="17B66609"/>
    <w:rsid w:val="17E36469"/>
    <w:rsid w:val="17F65BC3"/>
    <w:rsid w:val="18154FE0"/>
    <w:rsid w:val="18176399"/>
    <w:rsid w:val="18267BB7"/>
    <w:rsid w:val="18295983"/>
    <w:rsid w:val="18360C1B"/>
    <w:rsid w:val="18473DC1"/>
    <w:rsid w:val="184D0854"/>
    <w:rsid w:val="184D5A48"/>
    <w:rsid w:val="18D45952"/>
    <w:rsid w:val="18D66883"/>
    <w:rsid w:val="18E05F92"/>
    <w:rsid w:val="18EE7016"/>
    <w:rsid w:val="18F73BF3"/>
    <w:rsid w:val="191F67AE"/>
    <w:rsid w:val="192862E5"/>
    <w:rsid w:val="193E22F4"/>
    <w:rsid w:val="193F235C"/>
    <w:rsid w:val="194779EE"/>
    <w:rsid w:val="195645B9"/>
    <w:rsid w:val="195B0955"/>
    <w:rsid w:val="19671E6B"/>
    <w:rsid w:val="19832ED4"/>
    <w:rsid w:val="19911823"/>
    <w:rsid w:val="19A2423D"/>
    <w:rsid w:val="19DF45AE"/>
    <w:rsid w:val="1A10223A"/>
    <w:rsid w:val="1A2469F7"/>
    <w:rsid w:val="1A2D7758"/>
    <w:rsid w:val="1A434150"/>
    <w:rsid w:val="1A6C3968"/>
    <w:rsid w:val="1A6C5716"/>
    <w:rsid w:val="1AA36A01"/>
    <w:rsid w:val="1AB62E35"/>
    <w:rsid w:val="1AB74D2A"/>
    <w:rsid w:val="1ABE3F2D"/>
    <w:rsid w:val="1AD16E95"/>
    <w:rsid w:val="1B17732B"/>
    <w:rsid w:val="1B1A229C"/>
    <w:rsid w:val="1B1F1B76"/>
    <w:rsid w:val="1B4C39FE"/>
    <w:rsid w:val="1B682381"/>
    <w:rsid w:val="1B6A1EE2"/>
    <w:rsid w:val="1B813A52"/>
    <w:rsid w:val="1B83337F"/>
    <w:rsid w:val="1BB92573"/>
    <w:rsid w:val="1BF620CE"/>
    <w:rsid w:val="1C2A7704"/>
    <w:rsid w:val="1C431C5B"/>
    <w:rsid w:val="1C735482"/>
    <w:rsid w:val="1C8E0C9C"/>
    <w:rsid w:val="1C95557B"/>
    <w:rsid w:val="1CED0321"/>
    <w:rsid w:val="1CF01741"/>
    <w:rsid w:val="1CF172C8"/>
    <w:rsid w:val="1D244BB6"/>
    <w:rsid w:val="1D2F6EBA"/>
    <w:rsid w:val="1D3D57C0"/>
    <w:rsid w:val="1D41732E"/>
    <w:rsid w:val="1D6F5768"/>
    <w:rsid w:val="1D786852"/>
    <w:rsid w:val="1D86598E"/>
    <w:rsid w:val="1DB309D8"/>
    <w:rsid w:val="1DD43CFE"/>
    <w:rsid w:val="1DF71147"/>
    <w:rsid w:val="1E137287"/>
    <w:rsid w:val="1E1D38F7"/>
    <w:rsid w:val="1E2B153C"/>
    <w:rsid w:val="1E337A1C"/>
    <w:rsid w:val="1E36536A"/>
    <w:rsid w:val="1E4C0A71"/>
    <w:rsid w:val="1E7F32C5"/>
    <w:rsid w:val="1E8A0861"/>
    <w:rsid w:val="1EC93137"/>
    <w:rsid w:val="1EF450EB"/>
    <w:rsid w:val="1F095D51"/>
    <w:rsid w:val="1F1A474F"/>
    <w:rsid w:val="1F212194"/>
    <w:rsid w:val="1F697B49"/>
    <w:rsid w:val="1F745799"/>
    <w:rsid w:val="1F785EAE"/>
    <w:rsid w:val="1F9905F3"/>
    <w:rsid w:val="1FBF1586"/>
    <w:rsid w:val="1FF1373D"/>
    <w:rsid w:val="20577E1E"/>
    <w:rsid w:val="206A0C3C"/>
    <w:rsid w:val="206D1FC1"/>
    <w:rsid w:val="209B5C1C"/>
    <w:rsid w:val="20A53730"/>
    <w:rsid w:val="20C452C0"/>
    <w:rsid w:val="20D85114"/>
    <w:rsid w:val="20F364FE"/>
    <w:rsid w:val="21036A75"/>
    <w:rsid w:val="212345DA"/>
    <w:rsid w:val="214F23A0"/>
    <w:rsid w:val="215B2910"/>
    <w:rsid w:val="21615144"/>
    <w:rsid w:val="2173502D"/>
    <w:rsid w:val="21745470"/>
    <w:rsid w:val="217D1799"/>
    <w:rsid w:val="219C708E"/>
    <w:rsid w:val="21BC069B"/>
    <w:rsid w:val="21C41BDB"/>
    <w:rsid w:val="21D6400A"/>
    <w:rsid w:val="21D668EE"/>
    <w:rsid w:val="21FB776D"/>
    <w:rsid w:val="22162B37"/>
    <w:rsid w:val="22391098"/>
    <w:rsid w:val="22421259"/>
    <w:rsid w:val="22A75E85"/>
    <w:rsid w:val="23034332"/>
    <w:rsid w:val="230E5D08"/>
    <w:rsid w:val="232E6D8A"/>
    <w:rsid w:val="238E6400"/>
    <w:rsid w:val="2423472E"/>
    <w:rsid w:val="242B219E"/>
    <w:rsid w:val="2461368B"/>
    <w:rsid w:val="247A4EE4"/>
    <w:rsid w:val="24822706"/>
    <w:rsid w:val="248E743E"/>
    <w:rsid w:val="24A361D8"/>
    <w:rsid w:val="24B142C0"/>
    <w:rsid w:val="24BE6B39"/>
    <w:rsid w:val="24E0139C"/>
    <w:rsid w:val="2517754B"/>
    <w:rsid w:val="25345345"/>
    <w:rsid w:val="25455B3E"/>
    <w:rsid w:val="2567721F"/>
    <w:rsid w:val="257137BB"/>
    <w:rsid w:val="25951FC5"/>
    <w:rsid w:val="25AB204D"/>
    <w:rsid w:val="25E116AE"/>
    <w:rsid w:val="260E3B25"/>
    <w:rsid w:val="2655505B"/>
    <w:rsid w:val="26B8477C"/>
    <w:rsid w:val="26B917D0"/>
    <w:rsid w:val="26BB3803"/>
    <w:rsid w:val="26DC373D"/>
    <w:rsid w:val="26DE6A53"/>
    <w:rsid w:val="26E63DE0"/>
    <w:rsid w:val="26F21E4F"/>
    <w:rsid w:val="271147DD"/>
    <w:rsid w:val="274200B7"/>
    <w:rsid w:val="276E0D20"/>
    <w:rsid w:val="277512E9"/>
    <w:rsid w:val="27C83FC7"/>
    <w:rsid w:val="27C97004"/>
    <w:rsid w:val="27D050F6"/>
    <w:rsid w:val="28155F84"/>
    <w:rsid w:val="28375291"/>
    <w:rsid w:val="28640B8A"/>
    <w:rsid w:val="2878267E"/>
    <w:rsid w:val="288322BC"/>
    <w:rsid w:val="28843333"/>
    <w:rsid w:val="28852C5D"/>
    <w:rsid w:val="28977AD9"/>
    <w:rsid w:val="29252304"/>
    <w:rsid w:val="292D71DB"/>
    <w:rsid w:val="29465F48"/>
    <w:rsid w:val="29872A74"/>
    <w:rsid w:val="29A662A7"/>
    <w:rsid w:val="29AA4D90"/>
    <w:rsid w:val="29D268A2"/>
    <w:rsid w:val="29EC0802"/>
    <w:rsid w:val="29F21A72"/>
    <w:rsid w:val="2A35007E"/>
    <w:rsid w:val="2AA17E88"/>
    <w:rsid w:val="2AA73987"/>
    <w:rsid w:val="2AB4694F"/>
    <w:rsid w:val="2AE337D3"/>
    <w:rsid w:val="2AEC5F71"/>
    <w:rsid w:val="2B087C32"/>
    <w:rsid w:val="2B0D3790"/>
    <w:rsid w:val="2B312790"/>
    <w:rsid w:val="2B575ED9"/>
    <w:rsid w:val="2B5D643F"/>
    <w:rsid w:val="2B6568DD"/>
    <w:rsid w:val="2BAC1B8E"/>
    <w:rsid w:val="2C622CAD"/>
    <w:rsid w:val="2C804D80"/>
    <w:rsid w:val="2CDA5934"/>
    <w:rsid w:val="2D0A5870"/>
    <w:rsid w:val="2D6E2125"/>
    <w:rsid w:val="2D773B83"/>
    <w:rsid w:val="2DA05BAF"/>
    <w:rsid w:val="2DC52F84"/>
    <w:rsid w:val="2DCD69DF"/>
    <w:rsid w:val="2DEA4519"/>
    <w:rsid w:val="2E3A195C"/>
    <w:rsid w:val="2EA26A5E"/>
    <w:rsid w:val="2EAB6259"/>
    <w:rsid w:val="2ECA3A33"/>
    <w:rsid w:val="2EDD1E3A"/>
    <w:rsid w:val="2EEE2983"/>
    <w:rsid w:val="2EF173B8"/>
    <w:rsid w:val="2F0B1086"/>
    <w:rsid w:val="2F2030FD"/>
    <w:rsid w:val="2F320BA5"/>
    <w:rsid w:val="2F3C6DC2"/>
    <w:rsid w:val="2F4B7B98"/>
    <w:rsid w:val="2F5F7371"/>
    <w:rsid w:val="2F77273B"/>
    <w:rsid w:val="2FAA0B6F"/>
    <w:rsid w:val="30156AF1"/>
    <w:rsid w:val="301B42FE"/>
    <w:rsid w:val="30202425"/>
    <w:rsid w:val="3021036F"/>
    <w:rsid w:val="30354473"/>
    <w:rsid w:val="3077201B"/>
    <w:rsid w:val="30840E28"/>
    <w:rsid w:val="30927E66"/>
    <w:rsid w:val="30982D0A"/>
    <w:rsid w:val="30B730F4"/>
    <w:rsid w:val="30DF7547"/>
    <w:rsid w:val="310224D9"/>
    <w:rsid w:val="31112B8F"/>
    <w:rsid w:val="312B1A2F"/>
    <w:rsid w:val="313E79B5"/>
    <w:rsid w:val="314026A9"/>
    <w:rsid w:val="3148086F"/>
    <w:rsid w:val="31484FE7"/>
    <w:rsid w:val="315C51FE"/>
    <w:rsid w:val="31672408"/>
    <w:rsid w:val="319B6D33"/>
    <w:rsid w:val="31A05315"/>
    <w:rsid w:val="31B646F4"/>
    <w:rsid w:val="31E85CC2"/>
    <w:rsid w:val="31F527CE"/>
    <w:rsid w:val="32586854"/>
    <w:rsid w:val="325B00F2"/>
    <w:rsid w:val="325B2D0D"/>
    <w:rsid w:val="326D02E5"/>
    <w:rsid w:val="326E2761"/>
    <w:rsid w:val="329655CE"/>
    <w:rsid w:val="32C60DC7"/>
    <w:rsid w:val="32D21971"/>
    <w:rsid w:val="330E06D3"/>
    <w:rsid w:val="33192A80"/>
    <w:rsid w:val="33231084"/>
    <w:rsid w:val="332B04E3"/>
    <w:rsid w:val="332F3D0C"/>
    <w:rsid w:val="3338586D"/>
    <w:rsid w:val="335632BE"/>
    <w:rsid w:val="33B05323"/>
    <w:rsid w:val="33B47208"/>
    <w:rsid w:val="344C455C"/>
    <w:rsid w:val="34526234"/>
    <w:rsid w:val="345E3ECF"/>
    <w:rsid w:val="34793AA8"/>
    <w:rsid w:val="34965B6C"/>
    <w:rsid w:val="34DD1293"/>
    <w:rsid w:val="35257EF7"/>
    <w:rsid w:val="352D221A"/>
    <w:rsid w:val="35340823"/>
    <w:rsid w:val="35470132"/>
    <w:rsid w:val="35880521"/>
    <w:rsid w:val="358A3601"/>
    <w:rsid w:val="35A10B79"/>
    <w:rsid w:val="35EF5186"/>
    <w:rsid w:val="361453D3"/>
    <w:rsid w:val="365E69A8"/>
    <w:rsid w:val="3679123F"/>
    <w:rsid w:val="36797162"/>
    <w:rsid w:val="369260AD"/>
    <w:rsid w:val="36B401D9"/>
    <w:rsid w:val="36F177C4"/>
    <w:rsid w:val="37572466"/>
    <w:rsid w:val="37590ECC"/>
    <w:rsid w:val="376C0F6C"/>
    <w:rsid w:val="378575D7"/>
    <w:rsid w:val="378F02E3"/>
    <w:rsid w:val="37976071"/>
    <w:rsid w:val="37A62EE2"/>
    <w:rsid w:val="37B004F8"/>
    <w:rsid w:val="37BB49E2"/>
    <w:rsid w:val="37D04261"/>
    <w:rsid w:val="37E645E0"/>
    <w:rsid w:val="387301FD"/>
    <w:rsid w:val="38A3478D"/>
    <w:rsid w:val="38A642DF"/>
    <w:rsid w:val="38B14F10"/>
    <w:rsid w:val="38C735B6"/>
    <w:rsid w:val="38E850FA"/>
    <w:rsid w:val="397C24A4"/>
    <w:rsid w:val="398D5E2D"/>
    <w:rsid w:val="399D596B"/>
    <w:rsid w:val="39B2560F"/>
    <w:rsid w:val="39B72202"/>
    <w:rsid w:val="39C67E98"/>
    <w:rsid w:val="39E0670A"/>
    <w:rsid w:val="3A2256EE"/>
    <w:rsid w:val="3A2D5B98"/>
    <w:rsid w:val="3A3B34D3"/>
    <w:rsid w:val="3A4251ED"/>
    <w:rsid w:val="3A4B3142"/>
    <w:rsid w:val="3A4E17D0"/>
    <w:rsid w:val="3A641D7C"/>
    <w:rsid w:val="3A6B5AD7"/>
    <w:rsid w:val="3A947F68"/>
    <w:rsid w:val="3A99691A"/>
    <w:rsid w:val="3AE447A4"/>
    <w:rsid w:val="3AEC222F"/>
    <w:rsid w:val="3AFE4FBA"/>
    <w:rsid w:val="3B0124A0"/>
    <w:rsid w:val="3B1D1ECA"/>
    <w:rsid w:val="3B365BA1"/>
    <w:rsid w:val="3B4C443A"/>
    <w:rsid w:val="3B7F382C"/>
    <w:rsid w:val="3B8843F1"/>
    <w:rsid w:val="3BDA477E"/>
    <w:rsid w:val="3BE63123"/>
    <w:rsid w:val="3C305C98"/>
    <w:rsid w:val="3C357453"/>
    <w:rsid w:val="3C357C06"/>
    <w:rsid w:val="3C467402"/>
    <w:rsid w:val="3C8312C1"/>
    <w:rsid w:val="3C935612"/>
    <w:rsid w:val="3C960AF8"/>
    <w:rsid w:val="3CAB66C8"/>
    <w:rsid w:val="3CD33F37"/>
    <w:rsid w:val="3D022379"/>
    <w:rsid w:val="3D071132"/>
    <w:rsid w:val="3D5B73B5"/>
    <w:rsid w:val="3D9129FA"/>
    <w:rsid w:val="3D94140B"/>
    <w:rsid w:val="3D977DF4"/>
    <w:rsid w:val="3DAA3A58"/>
    <w:rsid w:val="3DB039E8"/>
    <w:rsid w:val="3DC813B6"/>
    <w:rsid w:val="3DE4215B"/>
    <w:rsid w:val="3DFF0E87"/>
    <w:rsid w:val="3E251925"/>
    <w:rsid w:val="3E2C4AED"/>
    <w:rsid w:val="3E485EC5"/>
    <w:rsid w:val="3E4D5930"/>
    <w:rsid w:val="3E5720B6"/>
    <w:rsid w:val="3E7C23FF"/>
    <w:rsid w:val="3E89610C"/>
    <w:rsid w:val="3E8D56DF"/>
    <w:rsid w:val="3EAD17CA"/>
    <w:rsid w:val="3EF34D78"/>
    <w:rsid w:val="3F6B149A"/>
    <w:rsid w:val="3F6C0DF5"/>
    <w:rsid w:val="3F721A74"/>
    <w:rsid w:val="3FBF703D"/>
    <w:rsid w:val="3FD66862"/>
    <w:rsid w:val="3FDD1A9F"/>
    <w:rsid w:val="3FF37EEE"/>
    <w:rsid w:val="3FFF2A05"/>
    <w:rsid w:val="403109C4"/>
    <w:rsid w:val="40613965"/>
    <w:rsid w:val="407809B7"/>
    <w:rsid w:val="40A72105"/>
    <w:rsid w:val="40C003E6"/>
    <w:rsid w:val="40C05758"/>
    <w:rsid w:val="40C41827"/>
    <w:rsid w:val="40E1125B"/>
    <w:rsid w:val="41136864"/>
    <w:rsid w:val="41257303"/>
    <w:rsid w:val="412A63B8"/>
    <w:rsid w:val="413A6513"/>
    <w:rsid w:val="4173467B"/>
    <w:rsid w:val="41A27AEC"/>
    <w:rsid w:val="41B058D6"/>
    <w:rsid w:val="41B8446B"/>
    <w:rsid w:val="41BE682F"/>
    <w:rsid w:val="41C844A3"/>
    <w:rsid w:val="41CF676B"/>
    <w:rsid w:val="41DD1A6F"/>
    <w:rsid w:val="42480D4C"/>
    <w:rsid w:val="424C5CAA"/>
    <w:rsid w:val="424E4F06"/>
    <w:rsid w:val="426D634C"/>
    <w:rsid w:val="428F5ABA"/>
    <w:rsid w:val="429D3955"/>
    <w:rsid w:val="42BD210E"/>
    <w:rsid w:val="42CD2ECD"/>
    <w:rsid w:val="42F25FC7"/>
    <w:rsid w:val="42FB0BFD"/>
    <w:rsid w:val="433576C6"/>
    <w:rsid w:val="4339622E"/>
    <w:rsid w:val="435A6035"/>
    <w:rsid w:val="438A6A89"/>
    <w:rsid w:val="43943087"/>
    <w:rsid w:val="439E0787"/>
    <w:rsid w:val="43A1143F"/>
    <w:rsid w:val="43CC52F4"/>
    <w:rsid w:val="43D80310"/>
    <w:rsid w:val="43E70F3D"/>
    <w:rsid w:val="43F51C13"/>
    <w:rsid w:val="44131EEB"/>
    <w:rsid w:val="44311C7A"/>
    <w:rsid w:val="44902E9E"/>
    <w:rsid w:val="44AD6B8D"/>
    <w:rsid w:val="44FA379B"/>
    <w:rsid w:val="456F0EA5"/>
    <w:rsid w:val="45A543E8"/>
    <w:rsid w:val="45AC0555"/>
    <w:rsid w:val="45C14F8F"/>
    <w:rsid w:val="45D95EA7"/>
    <w:rsid w:val="45F12DF0"/>
    <w:rsid w:val="46164F43"/>
    <w:rsid w:val="464473C4"/>
    <w:rsid w:val="46950424"/>
    <w:rsid w:val="46B87EF9"/>
    <w:rsid w:val="470D3C59"/>
    <w:rsid w:val="47765BA7"/>
    <w:rsid w:val="47835AD0"/>
    <w:rsid w:val="47E26E94"/>
    <w:rsid w:val="47E97480"/>
    <w:rsid w:val="47F24BFD"/>
    <w:rsid w:val="483B47F6"/>
    <w:rsid w:val="484B2D3D"/>
    <w:rsid w:val="48931109"/>
    <w:rsid w:val="48A85B76"/>
    <w:rsid w:val="48B56357"/>
    <w:rsid w:val="48C25C43"/>
    <w:rsid w:val="491C474A"/>
    <w:rsid w:val="492B07E1"/>
    <w:rsid w:val="495711BC"/>
    <w:rsid w:val="496F70A4"/>
    <w:rsid w:val="4971408E"/>
    <w:rsid w:val="497C7460"/>
    <w:rsid w:val="499244F7"/>
    <w:rsid w:val="49AF2079"/>
    <w:rsid w:val="49CA452D"/>
    <w:rsid w:val="49CC16BB"/>
    <w:rsid w:val="49D17C2D"/>
    <w:rsid w:val="49F04140"/>
    <w:rsid w:val="4A667A74"/>
    <w:rsid w:val="4AA27AEC"/>
    <w:rsid w:val="4AA86C9C"/>
    <w:rsid w:val="4ABA4412"/>
    <w:rsid w:val="4ACA3BAC"/>
    <w:rsid w:val="4ACB3EFE"/>
    <w:rsid w:val="4ACC3E46"/>
    <w:rsid w:val="4AFE3598"/>
    <w:rsid w:val="4B1E3170"/>
    <w:rsid w:val="4B3C4B0D"/>
    <w:rsid w:val="4B403EA1"/>
    <w:rsid w:val="4B46773A"/>
    <w:rsid w:val="4B607C8E"/>
    <w:rsid w:val="4B880D76"/>
    <w:rsid w:val="4BA173FA"/>
    <w:rsid w:val="4BB1663F"/>
    <w:rsid w:val="4C25579F"/>
    <w:rsid w:val="4C536E11"/>
    <w:rsid w:val="4C581C81"/>
    <w:rsid w:val="4CA50490"/>
    <w:rsid w:val="4CA86AD3"/>
    <w:rsid w:val="4CC40081"/>
    <w:rsid w:val="4D01672A"/>
    <w:rsid w:val="4D083ED2"/>
    <w:rsid w:val="4D355CFB"/>
    <w:rsid w:val="4D897DB2"/>
    <w:rsid w:val="4D9130E3"/>
    <w:rsid w:val="4DA6686F"/>
    <w:rsid w:val="4DB90697"/>
    <w:rsid w:val="4DBB23D9"/>
    <w:rsid w:val="4DE47156"/>
    <w:rsid w:val="4E0B07C7"/>
    <w:rsid w:val="4E1612E1"/>
    <w:rsid w:val="4E1B5DD7"/>
    <w:rsid w:val="4E41719E"/>
    <w:rsid w:val="4E746BD5"/>
    <w:rsid w:val="4E760ECF"/>
    <w:rsid w:val="4E7A5E02"/>
    <w:rsid w:val="4E8430BC"/>
    <w:rsid w:val="4E943BAD"/>
    <w:rsid w:val="4E95707A"/>
    <w:rsid w:val="4EC575CA"/>
    <w:rsid w:val="4ED374A6"/>
    <w:rsid w:val="4ED631A8"/>
    <w:rsid w:val="4ED91CA8"/>
    <w:rsid w:val="4F4B51B9"/>
    <w:rsid w:val="4F5A4101"/>
    <w:rsid w:val="4F5B577E"/>
    <w:rsid w:val="4F633337"/>
    <w:rsid w:val="4FAF5056"/>
    <w:rsid w:val="4FC675BC"/>
    <w:rsid w:val="4FD32575"/>
    <w:rsid w:val="4FD8392A"/>
    <w:rsid w:val="4FE7169E"/>
    <w:rsid w:val="50085F14"/>
    <w:rsid w:val="500D13D3"/>
    <w:rsid w:val="500E459E"/>
    <w:rsid w:val="501E75E6"/>
    <w:rsid w:val="50457D45"/>
    <w:rsid w:val="505F38DD"/>
    <w:rsid w:val="50751A53"/>
    <w:rsid w:val="509776F7"/>
    <w:rsid w:val="50BF6559"/>
    <w:rsid w:val="50C95C85"/>
    <w:rsid w:val="50D80E87"/>
    <w:rsid w:val="51037E7B"/>
    <w:rsid w:val="51176C84"/>
    <w:rsid w:val="51227798"/>
    <w:rsid w:val="51256043"/>
    <w:rsid w:val="5178029F"/>
    <w:rsid w:val="51AD7231"/>
    <w:rsid w:val="51BF281A"/>
    <w:rsid w:val="51DC58B5"/>
    <w:rsid w:val="51F73589"/>
    <w:rsid w:val="52062F45"/>
    <w:rsid w:val="520D5B57"/>
    <w:rsid w:val="52411C52"/>
    <w:rsid w:val="52627772"/>
    <w:rsid w:val="526C0B82"/>
    <w:rsid w:val="528648C0"/>
    <w:rsid w:val="52896D00"/>
    <w:rsid w:val="52BE44F0"/>
    <w:rsid w:val="52CD30F8"/>
    <w:rsid w:val="52D977C5"/>
    <w:rsid w:val="531221C7"/>
    <w:rsid w:val="5325242C"/>
    <w:rsid w:val="53392819"/>
    <w:rsid w:val="534813F5"/>
    <w:rsid w:val="53557CA0"/>
    <w:rsid w:val="53BD36C9"/>
    <w:rsid w:val="543B5CA9"/>
    <w:rsid w:val="54565D2F"/>
    <w:rsid w:val="54690E3E"/>
    <w:rsid w:val="54731173"/>
    <w:rsid w:val="548E4A57"/>
    <w:rsid w:val="54931516"/>
    <w:rsid w:val="54BE03C0"/>
    <w:rsid w:val="55180399"/>
    <w:rsid w:val="55255EA7"/>
    <w:rsid w:val="557378B6"/>
    <w:rsid w:val="55774994"/>
    <w:rsid w:val="55995249"/>
    <w:rsid w:val="55B2409F"/>
    <w:rsid w:val="55B7511A"/>
    <w:rsid w:val="55BB6F76"/>
    <w:rsid w:val="56586796"/>
    <w:rsid w:val="565F437A"/>
    <w:rsid w:val="566E44C5"/>
    <w:rsid w:val="56776810"/>
    <w:rsid w:val="568832FC"/>
    <w:rsid w:val="569A10BC"/>
    <w:rsid w:val="56B868D2"/>
    <w:rsid w:val="56C86AB1"/>
    <w:rsid w:val="56D32028"/>
    <w:rsid w:val="57211128"/>
    <w:rsid w:val="572D51BB"/>
    <w:rsid w:val="572F0E60"/>
    <w:rsid w:val="57351A5F"/>
    <w:rsid w:val="573C5F32"/>
    <w:rsid w:val="573C68DD"/>
    <w:rsid w:val="574E60B9"/>
    <w:rsid w:val="578C0DE1"/>
    <w:rsid w:val="57B66CA6"/>
    <w:rsid w:val="57CE5290"/>
    <w:rsid w:val="57E519E1"/>
    <w:rsid w:val="57EF1F0F"/>
    <w:rsid w:val="57F604D5"/>
    <w:rsid w:val="58383C56"/>
    <w:rsid w:val="588500FC"/>
    <w:rsid w:val="58A315BC"/>
    <w:rsid w:val="58AF1D05"/>
    <w:rsid w:val="58C21782"/>
    <w:rsid w:val="58EB01C7"/>
    <w:rsid w:val="591B5D7C"/>
    <w:rsid w:val="595A2677"/>
    <w:rsid w:val="596927E5"/>
    <w:rsid w:val="598B2957"/>
    <w:rsid w:val="59903118"/>
    <w:rsid w:val="59CC58C1"/>
    <w:rsid w:val="59D03840"/>
    <w:rsid w:val="5A180741"/>
    <w:rsid w:val="5A2204BE"/>
    <w:rsid w:val="5A4822F3"/>
    <w:rsid w:val="5A5863F3"/>
    <w:rsid w:val="5A8633F7"/>
    <w:rsid w:val="5A950D03"/>
    <w:rsid w:val="5AB12F14"/>
    <w:rsid w:val="5AE65FBA"/>
    <w:rsid w:val="5AF36F63"/>
    <w:rsid w:val="5B154C31"/>
    <w:rsid w:val="5B1B57C3"/>
    <w:rsid w:val="5B67211C"/>
    <w:rsid w:val="5B7700E8"/>
    <w:rsid w:val="5B8941DE"/>
    <w:rsid w:val="5BB30012"/>
    <w:rsid w:val="5BD3501A"/>
    <w:rsid w:val="5BD41FC1"/>
    <w:rsid w:val="5C224E8D"/>
    <w:rsid w:val="5C495CE1"/>
    <w:rsid w:val="5C9C2B46"/>
    <w:rsid w:val="5CAA30E9"/>
    <w:rsid w:val="5CCA27E1"/>
    <w:rsid w:val="5CD437AF"/>
    <w:rsid w:val="5D052893"/>
    <w:rsid w:val="5D4810F0"/>
    <w:rsid w:val="5D660D12"/>
    <w:rsid w:val="5D7142FD"/>
    <w:rsid w:val="5D964551"/>
    <w:rsid w:val="5D996F7E"/>
    <w:rsid w:val="5DA9008D"/>
    <w:rsid w:val="5DC600E2"/>
    <w:rsid w:val="5DCA1196"/>
    <w:rsid w:val="5DCB3B09"/>
    <w:rsid w:val="5DE52DE2"/>
    <w:rsid w:val="5E421753"/>
    <w:rsid w:val="5E4F6384"/>
    <w:rsid w:val="5E7C624F"/>
    <w:rsid w:val="5EBE6BDF"/>
    <w:rsid w:val="5EDA221B"/>
    <w:rsid w:val="5EE23CFB"/>
    <w:rsid w:val="5EFD4618"/>
    <w:rsid w:val="5EFF21BC"/>
    <w:rsid w:val="5F6C79D5"/>
    <w:rsid w:val="5F887EC9"/>
    <w:rsid w:val="5F9338C0"/>
    <w:rsid w:val="5F9A13E1"/>
    <w:rsid w:val="5FC32A36"/>
    <w:rsid w:val="5FC37153"/>
    <w:rsid w:val="5FDE2D2B"/>
    <w:rsid w:val="5FEE3FDA"/>
    <w:rsid w:val="5FF6294F"/>
    <w:rsid w:val="60275ED5"/>
    <w:rsid w:val="60443CFE"/>
    <w:rsid w:val="604552A0"/>
    <w:rsid w:val="60540C50"/>
    <w:rsid w:val="606D74B6"/>
    <w:rsid w:val="60802449"/>
    <w:rsid w:val="60857C4C"/>
    <w:rsid w:val="6094155A"/>
    <w:rsid w:val="60A91480"/>
    <w:rsid w:val="610F5329"/>
    <w:rsid w:val="61100BC1"/>
    <w:rsid w:val="61491556"/>
    <w:rsid w:val="61521F2D"/>
    <w:rsid w:val="61680945"/>
    <w:rsid w:val="61774699"/>
    <w:rsid w:val="6178519D"/>
    <w:rsid w:val="61811557"/>
    <w:rsid w:val="61871447"/>
    <w:rsid w:val="61D350C3"/>
    <w:rsid w:val="61DE6A19"/>
    <w:rsid w:val="61ED495B"/>
    <w:rsid w:val="61F22F51"/>
    <w:rsid w:val="621A6DD3"/>
    <w:rsid w:val="62361E5F"/>
    <w:rsid w:val="62487DE4"/>
    <w:rsid w:val="6260512D"/>
    <w:rsid w:val="62606EDB"/>
    <w:rsid w:val="62783DF7"/>
    <w:rsid w:val="62816E52"/>
    <w:rsid w:val="628F6524"/>
    <w:rsid w:val="62E573E1"/>
    <w:rsid w:val="630525D3"/>
    <w:rsid w:val="630B4596"/>
    <w:rsid w:val="63430A70"/>
    <w:rsid w:val="634C2D87"/>
    <w:rsid w:val="637D21E2"/>
    <w:rsid w:val="638A307A"/>
    <w:rsid w:val="638A5742"/>
    <w:rsid w:val="639D5F0D"/>
    <w:rsid w:val="63A44063"/>
    <w:rsid w:val="63CB2A7A"/>
    <w:rsid w:val="63E1798D"/>
    <w:rsid w:val="63E96B34"/>
    <w:rsid w:val="63EA73A4"/>
    <w:rsid w:val="64596D04"/>
    <w:rsid w:val="648A46E4"/>
    <w:rsid w:val="64AE077C"/>
    <w:rsid w:val="651234A5"/>
    <w:rsid w:val="65257306"/>
    <w:rsid w:val="65503EEA"/>
    <w:rsid w:val="65BB098D"/>
    <w:rsid w:val="65BE6669"/>
    <w:rsid w:val="65C754F1"/>
    <w:rsid w:val="65CA520E"/>
    <w:rsid w:val="65E4683D"/>
    <w:rsid w:val="65F63CF3"/>
    <w:rsid w:val="65F84EDA"/>
    <w:rsid w:val="66276F60"/>
    <w:rsid w:val="66680A54"/>
    <w:rsid w:val="666D3F31"/>
    <w:rsid w:val="667D77BF"/>
    <w:rsid w:val="66826A6F"/>
    <w:rsid w:val="668768F3"/>
    <w:rsid w:val="66A610A1"/>
    <w:rsid w:val="66A77E45"/>
    <w:rsid w:val="66C0503F"/>
    <w:rsid w:val="66D05690"/>
    <w:rsid w:val="66D734E4"/>
    <w:rsid w:val="66D863DF"/>
    <w:rsid w:val="66E96A4C"/>
    <w:rsid w:val="66FB3A84"/>
    <w:rsid w:val="673145A4"/>
    <w:rsid w:val="67374E34"/>
    <w:rsid w:val="673F5F2F"/>
    <w:rsid w:val="67455D3C"/>
    <w:rsid w:val="674A015A"/>
    <w:rsid w:val="67642E86"/>
    <w:rsid w:val="6784082D"/>
    <w:rsid w:val="678418BE"/>
    <w:rsid w:val="678C1393"/>
    <w:rsid w:val="67F86100"/>
    <w:rsid w:val="6813679E"/>
    <w:rsid w:val="68210821"/>
    <w:rsid w:val="683541A2"/>
    <w:rsid w:val="684541ED"/>
    <w:rsid w:val="685045D7"/>
    <w:rsid w:val="68631655"/>
    <w:rsid w:val="68675DF2"/>
    <w:rsid w:val="68E9693C"/>
    <w:rsid w:val="691A03B5"/>
    <w:rsid w:val="691F422B"/>
    <w:rsid w:val="69352FB2"/>
    <w:rsid w:val="6951491E"/>
    <w:rsid w:val="698B25DD"/>
    <w:rsid w:val="69AC3878"/>
    <w:rsid w:val="69AE16CD"/>
    <w:rsid w:val="69E307E7"/>
    <w:rsid w:val="69F96E0C"/>
    <w:rsid w:val="6A1862EE"/>
    <w:rsid w:val="6A465404"/>
    <w:rsid w:val="6A5F0602"/>
    <w:rsid w:val="6A6F3715"/>
    <w:rsid w:val="6A8D1D75"/>
    <w:rsid w:val="6AA0388B"/>
    <w:rsid w:val="6AE616BF"/>
    <w:rsid w:val="6AFA0E77"/>
    <w:rsid w:val="6B0F76F1"/>
    <w:rsid w:val="6BB40B76"/>
    <w:rsid w:val="6BB90BF2"/>
    <w:rsid w:val="6BD2305F"/>
    <w:rsid w:val="6BE71AFF"/>
    <w:rsid w:val="6BF031C1"/>
    <w:rsid w:val="6BF1329A"/>
    <w:rsid w:val="6BF24828"/>
    <w:rsid w:val="6C1A2DE5"/>
    <w:rsid w:val="6C253F0E"/>
    <w:rsid w:val="6C5F36A0"/>
    <w:rsid w:val="6CA55937"/>
    <w:rsid w:val="6CBD29B8"/>
    <w:rsid w:val="6CC607FE"/>
    <w:rsid w:val="6CD83DBC"/>
    <w:rsid w:val="6D0515C8"/>
    <w:rsid w:val="6D2775A1"/>
    <w:rsid w:val="6D7B73DB"/>
    <w:rsid w:val="6D922DEA"/>
    <w:rsid w:val="6DA26A31"/>
    <w:rsid w:val="6DD23D90"/>
    <w:rsid w:val="6DE546DD"/>
    <w:rsid w:val="6DE57EF0"/>
    <w:rsid w:val="6DEE0641"/>
    <w:rsid w:val="6DFF1C9E"/>
    <w:rsid w:val="6E0C2BAE"/>
    <w:rsid w:val="6E0E0D08"/>
    <w:rsid w:val="6E431E90"/>
    <w:rsid w:val="6E507759"/>
    <w:rsid w:val="6E571008"/>
    <w:rsid w:val="6E705AA1"/>
    <w:rsid w:val="6EE21A00"/>
    <w:rsid w:val="6EEE341E"/>
    <w:rsid w:val="6EFD4F88"/>
    <w:rsid w:val="6EFE4223"/>
    <w:rsid w:val="6F5C48D7"/>
    <w:rsid w:val="6F6C0CDE"/>
    <w:rsid w:val="6F89093E"/>
    <w:rsid w:val="6F997D89"/>
    <w:rsid w:val="6FB01208"/>
    <w:rsid w:val="6FCF5EA7"/>
    <w:rsid w:val="6FE52FC0"/>
    <w:rsid w:val="6FFC7A80"/>
    <w:rsid w:val="703531D2"/>
    <w:rsid w:val="704155A0"/>
    <w:rsid w:val="704401DE"/>
    <w:rsid w:val="706C3C5D"/>
    <w:rsid w:val="70A703CB"/>
    <w:rsid w:val="70AA7C67"/>
    <w:rsid w:val="70B32370"/>
    <w:rsid w:val="70BF74C3"/>
    <w:rsid w:val="70FA43DF"/>
    <w:rsid w:val="713D0E00"/>
    <w:rsid w:val="71D865E0"/>
    <w:rsid w:val="71E37A7C"/>
    <w:rsid w:val="71E95BCC"/>
    <w:rsid w:val="71F907D4"/>
    <w:rsid w:val="71FD4747"/>
    <w:rsid w:val="72001DC1"/>
    <w:rsid w:val="720A02BB"/>
    <w:rsid w:val="721143CC"/>
    <w:rsid w:val="72250DED"/>
    <w:rsid w:val="722F1A94"/>
    <w:rsid w:val="72367553"/>
    <w:rsid w:val="724D1C44"/>
    <w:rsid w:val="72734A09"/>
    <w:rsid w:val="73071100"/>
    <w:rsid w:val="73124253"/>
    <w:rsid w:val="733D536A"/>
    <w:rsid w:val="73666F0F"/>
    <w:rsid w:val="73734595"/>
    <w:rsid w:val="73751C99"/>
    <w:rsid w:val="738B7B30"/>
    <w:rsid w:val="73A22E3B"/>
    <w:rsid w:val="73D70FC8"/>
    <w:rsid w:val="73DC1636"/>
    <w:rsid w:val="73DF14EB"/>
    <w:rsid w:val="73F60CD5"/>
    <w:rsid w:val="73F87EA5"/>
    <w:rsid w:val="73FF3ACF"/>
    <w:rsid w:val="73FF7E81"/>
    <w:rsid w:val="74415447"/>
    <w:rsid w:val="744935D1"/>
    <w:rsid w:val="744D06B5"/>
    <w:rsid w:val="744E1421"/>
    <w:rsid w:val="7452393E"/>
    <w:rsid w:val="74562936"/>
    <w:rsid w:val="74684FA5"/>
    <w:rsid w:val="74A44316"/>
    <w:rsid w:val="74F127D9"/>
    <w:rsid w:val="75030EFE"/>
    <w:rsid w:val="75260EE2"/>
    <w:rsid w:val="75373E29"/>
    <w:rsid w:val="75433A71"/>
    <w:rsid w:val="754A2595"/>
    <w:rsid w:val="754A2918"/>
    <w:rsid w:val="75511F39"/>
    <w:rsid w:val="755B35F4"/>
    <w:rsid w:val="75FB3A28"/>
    <w:rsid w:val="760249A9"/>
    <w:rsid w:val="760A5E00"/>
    <w:rsid w:val="769040A2"/>
    <w:rsid w:val="76AC673B"/>
    <w:rsid w:val="76E94E08"/>
    <w:rsid w:val="77361F5B"/>
    <w:rsid w:val="773A78A3"/>
    <w:rsid w:val="775A56F8"/>
    <w:rsid w:val="775C3CBE"/>
    <w:rsid w:val="77766BD8"/>
    <w:rsid w:val="77BE493B"/>
    <w:rsid w:val="77DB2385"/>
    <w:rsid w:val="77DE4783"/>
    <w:rsid w:val="77EB6DF0"/>
    <w:rsid w:val="77F9775E"/>
    <w:rsid w:val="782E6737"/>
    <w:rsid w:val="782F782F"/>
    <w:rsid w:val="788E2000"/>
    <w:rsid w:val="78910451"/>
    <w:rsid w:val="78A149E6"/>
    <w:rsid w:val="78A74FCA"/>
    <w:rsid w:val="78BD47E1"/>
    <w:rsid w:val="78E52D65"/>
    <w:rsid w:val="78F821C0"/>
    <w:rsid w:val="78F85C68"/>
    <w:rsid w:val="79131639"/>
    <w:rsid w:val="792A0798"/>
    <w:rsid w:val="792F71B0"/>
    <w:rsid w:val="794013BD"/>
    <w:rsid w:val="79565319"/>
    <w:rsid w:val="796F6017"/>
    <w:rsid w:val="79745B56"/>
    <w:rsid w:val="79A43CA5"/>
    <w:rsid w:val="79C36276"/>
    <w:rsid w:val="7A640EA4"/>
    <w:rsid w:val="7A8672C5"/>
    <w:rsid w:val="7A9C557E"/>
    <w:rsid w:val="7AAC6478"/>
    <w:rsid w:val="7AB038BD"/>
    <w:rsid w:val="7B1F20BB"/>
    <w:rsid w:val="7B5A6932"/>
    <w:rsid w:val="7B68794E"/>
    <w:rsid w:val="7B956385"/>
    <w:rsid w:val="7BB33088"/>
    <w:rsid w:val="7C2C4E92"/>
    <w:rsid w:val="7C8166BE"/>
    <w:rsid w:val="7C8A28A0"/>
    <w:rsid w:val="7CA22CE8"/>
    <w:rsid w:val="7CD346E5"/>
    <w:rsid w:val="7CFA5447"/>
    <w:rsid w:val="7D26309C"/>
    <w:rsid w:val="7D292894"/>
    <w:rsid w:val="7D4D27D4"/>
    <w:rsid w:val="7D54572F"/>
    <w:rsid w:val="7D5C6EFB"/>
    <w:rsid w:val="7D8127EA"/>
    <w:rsid w:val="7DC12BBE"/>
    <w:rsid w:val="7DC91975"/>
    <w:rsid w:val="7DFB79CE"/>
    <w:rsid w:val="7E292420"/>
    <w:rsid w:val="7E376147"/>
    <w:rsid w:val="7E4E10BB"/>
    <w:rsid w:val="7E6E73F8"/>
    <w:rsid w:val="7E772D8A"/>
    <w:rsid w:val="7E9035CD"/>
    <w:rsid w:val="7E9B5641"/>
    <w:rsid w:val="7EA82CFF"/>
    <w:rsid w:val="7EAC1441"/>
    <w:rsid w:val="7EE02E1E"/>
    <w:rsid w:val="7F0C7346"/>
    <w:rsid w:val="7F190BD4"/>
    <w:rsid w:val="7F1E069C"/>
    <w:rsid w:val="7F2613DD"/>
    <w:rsid w:val="7F806037"/>
    <w:rsid w:val="7FB3473F"/>
    <w:rsid w:val="7FC87738"/>
  </w:rsids>
  <m:mathPr>
    <m:mathFont m:val="Cambria Math"/>
    <m:brkBin m:val="before"/>
    <m:brkBinSub m:val="--"/>
    <m:smallFrac m:val="1"/>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5,6"/>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semiHidden="0" w:name="index 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99" w:semiHidden="0" w:name="toc 1"/>
    <w:lsdException w:qFormat="1" w:unhideWhenUsed="0" w:uiPriority="9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unhideWhenUsed="0" w:uiPriority="0" w:semiHidden="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nhideWhenUsed="0" w:uiPriority="99" w:semiHidden="0" w:name="caption"/>
    <w:lsdException w:unhideWhenUsed="0" w:uiPriority="0" w:semiHidden="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99"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99" w:semiHidden="0" w:name="List"/>
    <w:lsdException w:qFormat="1" w:unhideWhenUsed="0" w:uiPriority="99" w:semiHidden="0" w:name="List Bullet"/>
    <w:lsdException w:qFormat="1" w:unhideWhenUsed="0" w:uiPriority="99" w:semiHidden="0" w:name="List Number"/>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99" w:semiHidden="0" w:name="Title"/>
    <w:lsdException w:unhideWhenUsed="0" w:uiPriority="0" w:semiHidden="0" w:name="Closing" w:locked="1"/>
    <w:lsdException w:unhideWhenUsed="0" w:uiPriority="0" w:semiHidden="0" w:name="Signature" w:locked="1"/>
    <w:lsdException w:qFormat="1" w:uiPriority="1"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99" w:semiHidden="0" w:name="Subtitle"/>
    <w:lsdException w:unhideWhenUsed="0" w:uiPriority="0" w:semiHidden="0" w:name="Salutation" w:locked="1"/>
    <w:lsdException w:qFormat="1" w:unhideWhenUsed="0" w:uiPriority="99" w:semiHidden="0" w:name="Date"/>
    <w:lsdException w:uiPriority="99" w:name="Body Text First Indent"/>
    <w:lsdException w:qFormat="1" w:unhideWhenUsed="0" w:uiPriority="0" w:semiHidden="0" w:name="Body Text First Indent 2"/>
    <w:lsdException w:unhideWhenUsed="0" w:uiPriority="0" w:semiHidden="0" w:name="Note Heading" w:locked="1"/>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unhideWhenUsed="0" w:uiPriority="0" w:semiHidden="0" w:name="Block Text" w:locked="1"/>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99" w:semiHidden="0" w:name="Emphasis"/>
    <w:lsdException w:qFormat="1" w:unhideWhenUsed="0" w:uiPriority="99" w:semiHidden="0" w:name="Document Map"/>
    <w:lsdException w:qFormat="1" w:unhideWhenUsed="0" w:uiPriority="99" w:semiHidden="0" w:name="Plain Text"/>
    <w:lsdException w:uiPriority="99" w:name="E-mail Signature"/>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240" w:lineRule="auto"/>
      <w:ind w:firstLine="200" w:firstLineChars="200"/>
    </w:pPr>
    <w:rPr>
      <w:rFonts w:ascii="Calibri" w:hAnsi="Calibri" w:eastAsia="宋体" w:cs="Times New Roman"/>
      <w:kern w:val="2"/>
      <w:sz w:val="24"/>
      <w:szCs w:val="21"/>
      <w:lang w:val="en-US" w:eastAsia="zh-CN" w:bidi="ar-SA"/>
    </w:rPr>
  </w:style>
  <w:style w:type="paragraph" w:styleId="2">
    <w:name w:val="heading 1"/>
    <w:basedOn w:val="3"/>
    <w:next w:val="1"/>
    <w:link w:val="70"/>
    <w:qFormat/>
    <w:uiPriority w:val="99"/>
    <w:pPr>
      <w:widowControl/>
      <w:numPr>
        <w:ilvl w:val="0"/>
        <w:numId w:val="1"/>
      </w:numPr>
      <w:tabs>
        <w:tab w:val="left" w:pos="0"/>
        <w:tab w:val="clear" w:pos="360"/>
      </w:tabs>
      <w:spacing w:before="240" w:after="240" w:line="240" w:lineRule="auto"/>
      <w:ind w:left="432" w:hanging="432" w:firstLineChars="0"/>
      <w:jc w:val="center"/>
      <w:outlineLvl w:val="0"/>
    </w:pPr>
    <w:rPr>
      <w:rFonts w:ascii="宋体" w:hAnsi="宋体" w:eastAsia="宋体" w:cs="宋体"/>
      <w:color w:val="FF0000"/>
      <w:kern w:val="36"/>
      <w:sz w:val="36"/>
      <w:szCs w:val="48"/>
    </w:rPr>
  </w:style>
  <w:style w:type="paragraph" w:styleId="4">
    <w:name w:val="heading 2"/>
    <w:basedOn w:val="1"/>
    <w:next w:val="1"/>
    <w:link w:val="71"/>
    <w:qFormat/>
    <w:uiPriority w:val="99"/>
    <w:pPr>
      <w:tabs>
        <w:tab w:val="left" w:pos="0"/>
        <w:tab w:val="left" w:pos="113"/>
        <w:tab w:val="left" w:pos="283"/>
        <w:tab w:val="left" w:pos="360"/>
        <w:tab w:val="left" w:pos="1506"/>
      </w:tabs>
      <w:kinsoku w:val="0"/>
      <w:wordWrap w:val="0"/>
      <w:overflowPunct w:val="0"/>
      <w:topLinePunct/>
      <w:autoSpaceDE w:val="0"/>
      <w:autoSpaceDN w:val="0"/>
      <w:adjustRightInd w:val="0"/>
      <w:spacing w:after="50" w:afterLines="50" w:line="240" w:lineRule="auto"/>
      <w:ind w:firstLine="0" w:firstLineChars="0"/>
      <w:outlineLvl w:val="1"/>
    </w:pPr>
    <w:rPr>
      <w:rFonts w:ascii="Arial" w:hAnsi="Arial" w:eastAsia="宋体" w:cs="宋体"/>
      <w:b/>
      <w:bCs/>
      <w:color w:val="00B050"/>
      <w:sz w:val="32"/>
      <w:szCs w:val="32"/>
    </w:rPr>
  </w:style>
  <w:style w:type="paragraph" w:styleId="5">
    <w:name w:val="heading 3"/>
    <w:basedOn w:val="1"/>
    <w:next w:val="1"/>
    <w:link w:val="72"/>
    <w:qFormat/>
    <w:uiPriority w:val="99"/>
    <w:pPr>
      <w:keepNext/>
      <w:keepLines/>
      <w:tabs>
        <w:tab w:val="left" w:pos="0"/>
        <w:tab w:val="left" w:pos="360"/>
      </w:tabs>
      <w:adjustRightInd w:val="0"/>
      <w:spacing w:before="120" w:after="120" w:line="240" w:lineRule="auto"/>
      <w:ind w:left="720" w:hanging="720" w:firstLineChars="0"/>
      <w:outlineLvl w:val="2"/>
    </w:pPr>
    <w:rPr>
      <w:rFonts w:ascii="Times New Roman" w:hAnsi="Times New Roman" w:eastAsia="宋体" w:cs="宋体"/>
      <w:b/>
      <w:bCs/>
      <w:color w:val="2A33EC"/>
      <w:sz w:val="28"/>
      <w:szCs w:val="32"/>
    </w:rPr>
  </w:style>
  <w:style w:type="paragraph" w:styleId="6">
    <w:name w:val="heading 4"/>
    <w:basedOn w:val="1"/>
    <w:next w:val="1"/>
    <w:link w:val="73"/>
    <w:qFormat/>
    <w:uiPriority w:val="99"/>
    <w:pPr>
      <w:keepNext/>
      <w:keepLines/>
      <w:tabs>
        <w:tab w:val="left" w:pos="0"/>
        <w:tab w:val="left" w:pos="360"/>
      </w:tabs>
      <w:ind w:firstLine="0" w:firstLineChars="0"/>
      <w:outlineLvl w:val="3"/>
    </w:pPr>
    <w:rPr>
      <w:rFonts w:ascii="Cambria" w:hAnsi="Cambria"/>
      <w:b/>
      <w:bCs/>
      <w:szCs w:val="28"/>
    </w:rPr>
  </w:style>
  <w:style w:type="paragraph" w:styleId="7">
    <w:name w:val="heading 5"/>
    <w:basedOn w:val="1"/>
    <w:next w:val="1"/>
    <w:link w:val="64"/>
    <w:qFormat/>
    <w:uiPriority w:val="99"/>
    <w:pPr>
      <w:keepNext/>
      <w:keepLines/>
      <w:tabs>
        <w:tab w:val="left" w:pos="0"/>
        <w:tab w:val="left" w:pos="360"/>
      </w:tabs>
      <w:spacing w:line="240" w:lineRule="auto"/>
      <w:ind w:left="1008" w:hanging="1008" w:firstLineChars="0"/>
      <w:outlineLvl w:val="4"/>
    </w:pPr>
    <w:rPr>
      <w:rFonts w:ascii="Times New Roman" w:hAnsi="Times New Roman"/>
      <w:b/>
      <w:bCs/>
      <w:sz w:val="28"/>
      <w:szCs w:val="28"/>
    </w:rPr>
  </w:style>
  <w:style w:type="paragraph" w:styleId="8">
    <w:name w:val="heading 6"/>
    <w:basedOn w:val="1"/>
    <w:next w:val="1"/>
    <w:link w:val="65"/>
    <w:qFormat/>
    <w:uiPriority w:val="99"/>
    <w:pPr>
      <w:keepNext/>
      <w:keepLines/>
      <w:tabs>
        <w:tab w:val="left" w:pos="0"/>
        <w:tab w:val="left" w:pos="360"/>
      </w:tabs>
      <w:spacing w:before="240" w:after="64"/>
      <w:ind w:left="1151" w:hanging="1151" w:firstLineChars="0"/>
      <w:outlineLvl w:val="5"/>
    </w:pPr>
    <w:rPr>
      <w:rFonts w:ascii="Arial" w:hAnsi="Arial"/>
      <w:b/>
      <w:bCs/>
      <w:szCs w:val="24"/>
    </w:rPr>
  </w:style>
  <w:style w:type="paragraph" w:styleId="9">
    <w:name w:val="heading 7"/>
    <w:basedOn w:val="1"/>
    <w:next w:val="1"/>
    <w:link w:val="66"/>
    <w:qFormat/>
    <w:uiPriority w:val="99"/>
    <w:pPr>
      <w:keepNext/>
      <w:keepLines/>
      <w:tabs>
        <w:tab w:val="left" w:pos="0"/>
        <w:tab w:val="left" w:pos="360"/>
      </w:tabs>
      <w:spacing w:before="240" w:after="64" w:line="319" w:lineRule="auto"/>
      <w:ind w:left="1296" w:hanging="1296" w:firstLineChars="0"/>
      <w:outlineLvl w:val="6"/>
    </w:pPr>
    <w:rPr>
      <w:rFonts w:ascii="仿宋" w:eastAsia="仿宋"/>
      <w:b/>
      <w:bCs/>
      <w:szCs w:val="24"/>
    </w:rPr>
  </w:style>
  <w:style w:type="paragraph" w:styleId="10">
    <w:name w:val="heading 8"/>
    <w:basedOn w:val="1"/>
    <w:next w:val="1"/>
    <w:link w:val="67"/>
    <w:qFormat/>
    <w:uiPriority w:val="99"/>
    <w:pPr>
      <w:keepNext/>
      <w:keepLines/>
      <w:tabs>
        <w:tab w:val="left" w:pos="0"/>
        <w:tab w:val="left" w:pos="360"/>
      </w:tabs>
      <w:spacing w:before="240" w:after="64" w:line="319" w:lineRule="auto"/>
      <w:ind w:left="1440" w:hanging="1440" w:firstLineChars="0"/>
      <w:outlineLvl w:val="7"/>
    </w:pPr>
    <w:rPr>
      <w:rFonts w:ascii="Cambria" w:hAnsi="Cambria"/>
      <w:szCs w:val="24"/>
    </w:rPr>
  </w:style>
  <w:style w:type="paragraph" w:styleId="11">
    <w:name w:val="heading 9"/>
    <w:basedOn w:val="1"/>
    <w:next w:val="1"/>
    <w:link w:val="68"/>
    <w:qFormat/>
    <w:uiPriority w:val="99"/>
    <w:pPr>
      <w:keepNext/>
      <w:keepLines/>
      <w:tabs>
        <w:tab w:val="left" w:pos="0"/>
        <w:tab w:val="left" w:pos="360"/>
      </w:tabs>
      <w:spacing w:before="240" w:after="64" w:line="319" w:lineRule="auto"/>
      <w:ind w:left="1583" w:hanging="1583" w:firstLineChars="0"/>
      <w:outlineLvl w:val="8"/>
    </w:pPr>
    <w:rPr>
      <w:rFonts w:ascii="Arial" w:hAnsi="Arial" w:eastAsia="黑体"/>
      <w:sz w:val="32"/>
    </w:rPr>
  </w:style>
  <w:style w:type="character" w:default="1" w:styleId="49">
    <w:name w:val="Default Paragraph Font"/>
    <w:semiHidden/>
    <w:unhideWhenUsed/>
    <w:qFormat/>
    <w:uiPriority w:val="1"/>
  </w:style>
  <w:style w:type="table" w:default="1" w:styleId="47">
    <w:name w:val="Normal Table"/>
    <w:semiHidden/>
    <w:unhideWhenUsed/>
    <w:qFormat/>
    <w:uiPriority w:val="99"/>
    <w:tblPr>
      <w:tblCellMar>
        <w:top w:w="0" w:type="dxa"/>
        <w:left w:w="108" w:type="dxa"/>
        <w:bottom w:w="0" w:type="dxa"/>
        <w:right w:w="108" w:type="dxa"/>
      </w:tblCellMar>
    </w:tblPr>
  </w:style>
  <w:style w:type="paragraph" w:styleId="3">
    <w:name w:val="Title"/>
    <w:basedOn w:val="1"/>
    <w:next w:val="1"/>
    <w:link w:val="91"/>
    <w:qFormat/>
    <w:uiPriority w:val="99"/>
    <w:pPr>
      <w:outlineLvl w:val="0"/>
    </w:pPr>
    <w:rPr>
      <w:rFonts w:ascii="Arial" w:hAnsi="Arial" w:cs="Arial"/>
      <w:b/>
      <w:bCs/>
      <w:sz w:val="30"/>
      <w:szCs w:val="32"/>
    </w:rPr>
  </w:style>
  <w:style w:type="paragraph" w:styleId="12">
    <w:name w:val="toc 7"/>
    <w:basedOn w:val="1"/>
    <w:next w:val="1"/>
    <w:qFormat/>
    <w:uiPriority w:val="99"/>
    <w:pPr>
      <w:ind w:left="1260"/>
    </w:pPr>
    <w:rPr>
      <w:rFonts w:ascii="Times New Roman" w:hAnsi="Times New Roman"/>
      <w:sz w:val="18"/>
      <w:szCs w:val="18"/>
    </w:rPr>
  </w:style>
  <w:style w:type="paragraph" w:styleId="13">
    <w:name w:val="List Number"/>
    <w:basedOn w:val="1"/>
    <w:qFormat/>
    <w:uiPriority w:val="99"/>
    <w:pPr>
      <w:tabs>
        <w:tab w:val="left" w:pos="360"/>
      </w:tabs>
      <w:spacing w:line="400" w:lineRule="exact"/>
      <w:ind w:left="200" w:leftChars="200"/>
    </w:pPr>
    <w:rPr>
      <w:rFonts w:ascii="Times New Roman" w:hAnsi="Times New Roman"/>
      <w:szCs w:val="24"/>
    </w:rPr>
  </w:style>
  <w:style w:type="paragraph" w:styleId="14">
    <w:name w:val="Normal Indent"/>
    <w:basedOn w:val="1"/>
    <w:next w:val="15"/>
    <w:link w:val="74"/>
    <w:qFormat/>
    <w:uiPriority w:val="99"/>
    <w:rPr>
      <w:szCs w:val="20"/>
    </w:rPr>
  </w:style>
  <w:style w:type="paragraph" w:customStyle="1" w:styleId="15">
    <w:name w:val="图表文字居中"/>
    <w:basedOn w:val="16"/>
    <w:qFormat/>
    <w:uiPriority w:val="99"/>
    <w:pPr>
      <w:adjustRightInd w:val="0"/>
      <w:snapToGrid w:val="0"/>
      <w:jc w:val="center"/>
    </w:pPr>
    <w:rPr>
      <w:rFonts w:ascii="仿宋_GB2312" w:eastAsia="仿宋_GB2312"/>
      <w:spacing w:val="-20"/>
      <w:kern w:val="28"/>
      <w:sz w:val="18"/>
      <w:szCs w:val="20"/>
    </w:rPr>
  </w:style>
  <w:style w:type="paragraph" w:customStyle="1" w:styleId="16">
    <w:name w:val="图表标题"/>
    <w:basedOn w:val="1"/>
    <w:qFormat/>
    <w:uiPriority w:val="99"/>
    <w:pPr>
      <w:spacing w:beforeLines="50" w:afterLines="50" w:line="288" w:lineRule="auto"/>
      <w:jc w:val="center"/>
    </w:pPr>
    <w:rPr>
      <w:rFonts w:ascii="Times New Roman" w:hAnsi="Times New Roman"/>
      <w:b/>
    </w:rPr>
  </w:style>
  <w:style w:type="paragraph" w:styleId="17">
    <w:name w:val="caption"/>
    <w:basedOn w:val="1"/>
    <w:next w:val="1"/>
    <w:qFormat/>
    <w:uiPriority w:val="99"/>
    <w:pPr>
      <w:spacing w:before="152" w:after="160"/>
    </w:pPr>
    <w:rPr>
      <w:rFonts w:ascii="Arial" w:hAnsi="Arial" w:eastAsia="黑体" w:cs="Arial"/>
      <w:szCs w:val="24"/>
    </w:rPr>
  </w:style>
  <w:style w:type="paragraph" w:styleId="18">
    <w:name w:val="List Bullet"/>
    <w:basedOn w:val="8"/>
    <w:qFormat/>
    <w:uiPriority w:val="99"/>
    <w:pPr>
      <w:keepNext w:val="0"/>
      <w:keepLines w:val="0"/>
      <w:tabs>
        <w:tab w:val="left" w:pos="992"/>
        <w:tab w:val="left" w:pos="1055"/>
        <w:tab w:val="left" w:pos="1134"/>
        <w:tab w:val="left" w:pos="1440"/>
        <w:tab w:val="left" w:pos="2040"/>
      </w:tabs>
      <w:autoSpaceDE w:val="0"/>
      <w:autoSpaceDN w:val="0"/>
      <w:adjustRightInd w:val="0"/>
      <w:snapToGrid w:val="0"/>
      <w:spacing w:before="60" w:after="0"/>
      <w:ind w:left="1334" w:leftChars="200" w:right="227" w:hanging="1134"/>
      <w:textAlignment w:val="center"/>
      <w:outlineLvl w:val="6"/>
    </w:pPr>
    <w:rPr>
      <w:rFonts w:ascii="Times New Roman" w:hAnsi="Times New Roman"/>
      <w:b w:val="0"/>
      <w:bCs w:val="0"/>
      <w:kern w:val="0"/>
      <w:sz w:val="20"/>
      <w:szCs w:val="20"/>
    </w:rPr>
  </w:style>
  <w:style w:type="paragraph" w:styleId="19">
    <w:name w:val="Document Map"/>
    <w:basedOn w:val="1"/>
    <w:link w:val="165"/>
    <w:qFormat/>
    <w:uiPriority w:val="99"/>
    <w:pPr>
      <w:framePr w:wrap="notBeside" w:vAnchor="text" w:hAnchor="text" w:y="1"/>
      <w:spacing w:line="240" w:lineRule="auto"/>
      <w:ind w:firstLine="0" w:firstLineChars="0"/>
      <w:jc w:val="center"/>
    </w:pPr>
    <w:rPr>
      <w:rFonts w:ascii="微软雅黑" w:hAnsi="微软雅黑"/>
      <w:sz w:val="21"/>
      <w:szCs w:val="24"/>
    </w:rPr>
  </w:style>
  <w:style w:type="paragraph" w:styleId="20">
    <w:name w:val="annotation text"/>
    <w:basedOn w:val="1"/>
    <w:link w:val="77"/>
    <w:qFormat/>
    <w:uiPriority w:val="99"/>
    <w:rPr>
      <w:kern w:val="0"/>
      <w:sz w:val="22"/>
      <w:szCs w:val="22"/>
    </w:rPr>
  </w:style>
  <w:style w:type="paragraph" w:styleId="21">
    <w:name w:val="Body Text 3"/>
    <w:basedOn w:val="1"/>
    <w:link w:val="78"/>
    <w:qFormat/>
    <w:uiPriority w:val="99"/>
    <w:rPr>
      <w:sz w:val="28"/>
    </w:rPr>
  </w:style>
  <w:style w:type="paragraph" w:styleId="22">
    <w:name w:val="Body Text"/>
    <w:basedOn w:val="1"/>
    <w:link w:val="69"/>
    <w:qFormat/>
    <w:uiPriority w:val="99"/>
    <w:pPr>
      <w:jc w:val="center"/>
    </w:pPr>
    <w:rPr>
      <w:rFonts w:ascii="宋体" w:hAnsi="宋体"/>
      <w:w w:val="90"/>
      <w:szCs w:val="20"/>
    </w:rPr>
  </w:style>
  <w:style w:type="paragraph" w:styleId="23">
    <w:name w:val="Body Text Indent"/>
    <w:basedOn w:val="1"/>
    <w:next w:val="22"/>
    <w:link w:val="79"/>
    <w:qFormat/>
    <w:uiPriority w:val="99"/>
    <w:pPr>
      <w:spacing w:after="120"/>
      <w:ind w:left="200" w:leftChars="200"/>
    </w:pPr>
    <w:rPr>
      <w:rFonts w:eastAsia="宋体"/>
    </w:rPr>
  </w:style>
  <w:style w:type="paragraph" w:styleId="24">
    <w:name w:val="toc 5"/>
    <w:basedOn w:val="1"/>
    <w:next w:val="1"/>
    <w:qFormat/>
    <w:uiPriority w:val="99"/>
    <w:pPr>
      <w:ind w:left="840"/>
    </w:pPr>
    <w:rPr>
      <w:rFonts w:ascii="Times New Roman" w:hAnsi="Times New Roman"/>
      <w:sz w:val="18"/>
      <w:szCs w:val="18"/>
    </w:rPr>
  </w:style>
  <w:style w:type="paragraph" w:styleId="25">
    <w:name w:val="toc 3"/>
    <w:basedOn w:val="1"/>
    <w:next w:val="1"/>
    <w:qFormat/>
    <w:uiPriority w:val="99"/>
    <w:pPr>
      <w:ind w:left="420"/>
    </w:pPr>
    <w:rPr>
      <w:rFonts w:ascii="Times New Roman" w:hAnsi="Times New Roman" w:eastAsia="宋体"/>
      <w:iCs/>
      <w:sz w:val="28"/>
      <w:szCs w:val="20"/>
    </w:rPr>
  </w:style>
  <w:style w:type="paragraph" w:styleId="26">
    <w:name w:val="Plain Text"/>
    <w:basedOn w:val="1"/>
    <w:link w:val="80"/>
    <w:qFormat/>
    <w:uiPriority w:val="99"/>
    <w:rPr>
      <w:rFonts w:ascii="宋体"/>
      <w:szCs w:val="20"/>
    </w:rPr>
  </w:style>
  <w:style w:type="paragraph" w:styleId="27">
    <w:name w:val="toc 8"/>
    <w:basedOn w:val="1"/>
    <w:next w:val="1"/>
    <w:qFormat/>
    <w:uiPriority w:val="99"/>
    <w:pPr>
      <w:ind w:left="1470"/>
    </w:pPr>
    <w:rPr>
      <w:rFonts w:ascii="Times New Roman" w:hAnsi="Times New Roman"/>
      <w:sz w:val="18"/>
      <w:szCs w:val="18"/>
    </w:rPr>
  </w:style>
  <w:style w:type="paragraph" w:styleId="28">
    <w:name w:val="Date"/>
    <w:basedOn w:val="1"/>
    <w:next w:val="1"/>
    <w:link w:val="81"/>
    <w:qFormat/>
    <w:uiPriority w:val="99"/>
    <w:rPr>
      <w:rFonts w:ascii="Arial" w:hAnsi="Arial"/>
      <w:sz w:val="28"/>
      <w:szCs w:val="20"/>
    </w:rPr>
  </w:style>
  <w:style w:type="paragraph" w:styleId="29">
    <w:name w:val="Body Text Indent 2"/>
    <w:basedOn w:val="1"/>
    <w:link w:val="82"/>
    <w:qFormat/>
    <w:uiPriority w:val="99"/>
    <w:pPr>
      <w:spacing w:after="120" w:line="480" w:lineRule="auto"/>
      <w:ind w:left="200" w:leftChars="200"/>
    </w:pPr>
    <w:rPr>
      <w:rFonts w:ascii="Times New Roman" w:hAnsi="Times New Roman"/>
      <w:szCs w:val="24"/>
    </w:rPr>
  </w:style>
  <w:style w:type="paragraph" w:styleId="30">
    <w:name w:val="Balloon Text"/>
    <w:basedOn w:val="1"/>
    <w:link w:val="83"/>
    <w:qFormat/>
    <w:uiPriority w:val="99"/>
    <w:rPr>
      <w:sz w:val="18"/>
      <w:szCs w:val="18"/>
    </w:rPr>
  </w:style>
  <w:style w:type="paragraph" w:styleId="31">
    <w:name w:val="footer"/>
    <w:basedOn w:val="1"/>
    <w:link w:val="84"/>
    <w:qFormat/>
    <w:uiPriority w:val="99"/>
    <w:pPr>
      <w:tabs>
        <w:tab w:val="center" w:pos="4153"/>
        <w:tab w:val="right" w:pos="8306"/>
      </w:tabs>
      <w:snapToGrid w:val="0"/>
    </w:pPr>
    <w:rPr>
      <w:sz w:val="18"/>
      <w:szCs w:val="18"/>
    </w:rPr>
  </w:style>
  <w:style w:type="paragraph" w:styleId="32">
    <w:name w:val="envelope return"/>
    <w:basedOn w:val="1"/>
    <w:qFormat/>
    <w:locked/>
    <w:uiPriority w:val="0"/>
    <w:pPr>
      <w:snapToGrid w:val="0"/>
      <w:spacing w:line="360" w:lineRule="auto"/>
      <w:ind w:firstLine="200" w:firstLineChars="200"/>
    </w:pPr>
    <w:rPr>
      <w:rFonts w:ascii="Arial" w:hAnsi="Arial" w:cs="Arial"/>
      <w:szCs w:val="20"/>
    </w:rPr>
  </w:style>
  <w:style w:type="paragraph" w:styleId="33">
    <w:name w:val="header"/>
    <w:basedOn w:val="1"/>
    <w:link w:val="85"/>
    <w:qFormat/>
    <w:uiPriority w:val="99"/>
    <w:pPr>
      <w:pBdr>
        <w:bottom w:val="single" w:color="auto" w:sz="6" w:space="1"/>
      </w:pBdr>
      <w:tabs>
        <w:tab w:val="center" w:pos="4153"/>
        <w:tab w:val="right" w:pos="8306"/>
      </w:tabs>
      <w:snapToGrid w:val="0"/>
      <w:jc w:val="center"/>
    </w:pPr>
    <w:rPr>
      <w:sz w:val="18"/>
      <w:szCs w:val="18"/>
    </w:rPr>
  </w:style>
  <w:style w:type="paragraph" w:styleId="34">
    <w:name w:val="toc 1"/>
    <w:basedOn w:val="1"/>
    <w:next w:val="1"/>
    <w:qFormat/>
    <w:uiPriority w:val="99"/>
    <w:pPr>
      <w:tabs>
        <w:tab w:val="right" w:leader="dot" w:pos="8930"/>
      </w:tabs>
      <w:spacing w:before="120" w:after="120"/>
    </w:pPr>
    <w:rPr>
      <w:rFonts w:ascii="Times New Roman" w:hAnsi="Times New Roman" w:eastAsia="宋体"/>
      <w:b/>
      <w:caps/>
      <w:kern w:val="0"/>
      <w:sz w:val="28"/>
      <w:szCs w:val="20"/>
    </w:rPr>
  </w:style>
  <w:style w:type="paragraph" w:styleId="35">
    <w:name w:val="toc 4"/>
    <w:basedOn w:val="1"/>
    <w:next w:val="1"/>
    <w:qFormat/>
    <w:uiPriority w:val="99"/>
    <w:pPr>
      <w:ind w:left="630"/>
    </w:pPr>
    <w:rPr>
      <w:rFonts w:ascii="Times New Roman" w:hAnsi="Times New Roman"/>
      <w:sz w:val="18"/>
      <w:szCs w:val="18"/>
    </w:rPr>
  </w:style>
  <w:style w:type="paragraph" w:styleId="36">
    <w:name w:val="Subtitle"/>
    <w:basedOn w:val="1"/>
    <w:next w:val="1"/>
    <w:link w:val="87"/>
    <w:qFormat/>
    <w:uiPriority w:val="99"/>
    <w:pPr>
      <w:spacing w:before="120" w:after="120" w:line="400" w:lineRule="exact"/>
      <w:ind w:left="200" w:leftChars="200"/>
      <w:jc w:val="center"/>
      <w:outlineLvl w:val="1"/>
    </w:pPr>
    <w:rPr>
      <w:rFonts w:ascii="Cambria" w:hAnsi="Cambria"/>
      <w:b/>
      <w:kern w:val="28"/>
      <w:sz w:val="32"/>
      <w:szCs w:val="20"/>
    </w:rPr>
  </w:style>
  <w:style w:type="paragraph" w:styleId="37">
    <w:name w:val="List"/>
    <w:basedOn w:val="1"/>
    <w:qFormat/>
    <w:uiPriority w:val="99"/>
    <w:pPr>
      <w:spacing w:beforeLines="25" w:afterLines="25" w:line="240" w:lineRule="auto"/>
      <w:ind w:firstLine="0" w:firstLineChars="0"/>
    </w:pPr>
    <w:rPr>
      <w:rFonts w:ascii="仿宋_GB2312" w:hAnsi="仿宋_GB2312" w:eastAsia="仿宋"/>
      <w:sz w:val="21"/>
      <w:szCs w:val="20"/>
    </w:rPr>
  </w:style>
  <w:style w:type="paragraph" w:styleId="38">
    <w:name w:val="toc 6"/>
    <w:basedOn w:val="1"/>
    <w:next w:val="1"/>
    <w:qFormat/>
    <w:uiPriority w:val="99"/>
    <w:pPr>
      <w:ind w:left="1050"/>
    </w:pPr>
    <w:rPr>
      <w:rFonts w:ascii="Times New Roman" w:hAnsi="Times New Roman"/>
      <w:sz w:val="18"/>
      <w:szCs w:val="18"/>
    </w:rPr>
  </w:style>
  <w:style w:type="paragraph" w:styleId="39">
    <w:name w:val="Body Text Indent 3"/>
    <w:basedOn w:val="1"/>
    <w:link w:val="89"/>
    <w:qFormat/>
    <w:uiPriority w:val="99"/>
    <w:pPr>
      <w:spacing w:after="120"/>
      <w:ind w:left="200" w:leftChars="200"/>
    </w:pPr>
    <w:rPr>
      <w:rFonts w:ascii="Times New Roman" w:hAnsi="Times New Roman"/>
      <w:sz w:val="16"/>
      <w:szCs w:val="16"/>
    </w:rPr>
  </w:style>
  <w:style w:type="paragraph" w:styleId="40">
    <w:name w:val="toc 2"/>
    <w:basedOn w:val="1"/>
    <w:next w:val="1"/>
    <w:qFormat/>
    <w:uiPriority w:val="99"/>
    <w:pPr>
      <w:tabs>
        <w:tab w:val="left" w:pos="1330"/>
        <w:tab w:val="right" w:leader="dot" w:pos="8930"/>
      </w:tabs>
      <w:ind w:left="210"/>
    </w:pPr>
    <w:rPr>
      <w:rFonts w:ascii="Times New Roman" w:hAnsi="Times New Roman"/>
      <w:smallCaps/>
      <w:sz w:val="28"/>
      <w:szCs w:val="28"/>
    </w:rPr>
  </w:style>
  <w:style w:type="paragraph" w:styleId="41">
    <w:name w:val="toc 9"/>
    <w:basedOn w:val="1"/>
    <w:next w:val="1"/>
    <w:qFormat/>
    <w:uiPriority w:val="99"/>
    <w:pPr>
      <w:ind w:left="1680"/>
    </w:pPr>
    <w:rPr>
      <w:rFonts w:ascii="Times New Roman" w:hAnsi="Times New Roman"/>
      <w:sz w:val="18"/>
      <w:szCs w:val="18"/>
    </w:rPr>
  </w:style>
  <w:style w:type="paragraph" w:styleId="42">
    <w:name w:val="Body Text 2"/>
    <w:basedOn w:val="1"/>
    <w:link w:val="90"/>
    <w:qFormat/>
    <w:uiPriority w:val="99"/>
    <w:rPr>
      <w:rFonts w:eastAsia="仿宋_GB2312"/>
      <w:sz w:val="21"/>
    </w:rPr>
  </w:style>
  <w:style w:type="paragraph" w:styleId="43">
    <w:name w:val="Normal (Web)"/>
    <w:basedOn w:val="1"/>
    <w:qFormat/>
    <w:uiPriority w:val="99"/>
    <w:pPr>
      <w:widowControl/>
      <w:spacing w:beforeAutospacing="1" w:after="100" w:afterAutospacing="1" w:line="240" w:lineRule="auto"/>
      <w:ind w:firstLine="0" w:firstLineChars="0"/>
      <w:jc w:val="center"/>
    </w:pPr>
    <w:rPr>
      <w:rFonts w:ascii="宋体" w:hAnsi="宋体" w:cs="宋体"/>
      <w:kern w:val="0"/>
      <w:sz w:val="21"/>
      <w:szCs w:val="24"/>
    </w:rPr>
  </w:style>
  <w:style w:type="paragraph" w:styleId="44">
    <w:name w:val="index 1"/>
    <w:basedOn w:val="1"/>
    <w:next w:val="1"/>
    <w:qFormat/>
    <w:uiPriority w:val="99"/>
    <w:rPr>
      <w:rFonts w:ascii="Times New Roman" w:hAnsi="Times New Roman"/>
      <w:szCs w:val="24"/>
    </w:rPr>
  </w:style>
  <w:style w:type="paragraph" w:styleId="45">
    <w:name w:val="annotation subject"/>
    <w:basedOn w:val="20"/>
    <w:next w:val="20"/>
    <w:link w:val="92"/>
    <w:qFormat/>
    <w:uiPriority w:val="99"/>
    <w:rPr>
      <w:b/>
      <w:bCs/>
    </w:rPr>
  </w:style>
  <w:style w:type="paragraph" w:styleId="46">
    <w:name w:val="Body Text First Indent 2"/>
    <w:basedOn w:val="23"/>
    <w:next w:val="22"/>
    <w:qFormat/>
    <w:uiPriority w:val="0"/>
    <w:pPr>
      <w:ind w:firstLine="420"/>
    </w:pPr>
  </w:style>
  <w:style w:type="table" w:styleId="48">
    <w:name w:val="Table Grid"/>
    <w:basedOn w:val="47"/>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0">
    <w:name w:val="Strong"/>
    <w:basedOn w:val="49"/>
    <w:qFormat/>
    <w:uiPriority w:val="22"/>
    <w:rPr>
      <w:b/>
    </w:rPr>
  </w:style>
  <w:style w:type="character" w:styleId="51">
    <w:name w:val="page number"/>
    <w:basedOn w:val="49"/>
    <w:qFormat/>
    <w:uiPriority w:val="99"/>
    <w:rPr>
      <w:rFonts w:cs="Times New Roman"/>
      <w:lang w:bidi="ar-SA"/>
    </w:rPr>
  </w:style>
  <w:style w:type="character" w:styleId="52">
    <w:name w:val="FollowedHyperlink"/>
    <w:basedOn w:val="49"/>
    <w:qFormat/>
    <w:uiPriority w:val="99"/>
    <w:rPr>
      <w:color w:val="800080"/>
      <w:u w:val="single"/>
    </w:rPr>
  </w:style>
  <w:style w:type="character" w:styleId="53">
    <w:name w:val="Emphasis"/>
    <w:basedOn w:val="49"/>
    <w:qFormat/>
    <w:uiPriority w:val="99"/>
    <w:rPr>
      <w:i/>
    </w:rPr>
  </w:style>
  <w:style w:type="character" w:styleId="54">
    <w:name w:val="Hyperlink"/>
    <w:basedOn w:val="49"/>
    <w:qFormat/>
    <w:uiPriority w:val="99"/>
    <w:rPr>
      <w:rFonts w:cs="Times New Roman"/>
      <w:color w:val="0000FF"/>
      <w:u w:val="none"/>
      <w:lang w:bidi="ar-SA"/>
    </w:rPr>
  </w:style>
  <w:style w:type="character" w:styleId="55">
    <w:name w:val="annotation reference"/>
    <w:basedOn w:val="49"/>
    <w:qFormat/>
    <w:uiPriority w:val="99"/>
    <w:rPr>
      <w:sz w:val="21"/>
    </w:rPr>
  </w:style>
  <w:style w:type="paragraph" w:customStyle="1" w:styleId="56">
    <w:name w:val="_Style 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7">
    <w:name w:val="文档标题"/>
    <w:basedOn w:val="58"/>
    <w:qFormat/>
    <w:uiPriority w:val="0"/>
    <w:pPr>
      <w:spacing w:beforeLines="100" w:afterLines="100"/>
      <w:ind w:firstLine="0"/>
      <w:jc w:val="center"/>
    </w:pPr>
    <w:rPr>
      <w:b/>
      <w:sz w:val="36"/>
    </w:rPr>
  </w:style>
  <w:style w:type="paragraph" w:customStyle="1" w:styleId="58">
    <w:name w:val="正文文稿"/>
    <w:basedOn w:val="1"/>
    <w:qFormat/>
    <w:uiPriority w:val="0"/>
    <w:pPr>
      <w:adjustRightInd w:val="0"/>
      <w:spacing w:line="480" w:lineRule="exact"/>
      <w:ind w:firstLine="200"/>
      <w:textAlignment w:val="baseline"/>
    </w:pPr>
    <w:rPr>
      <w:rFonts w:ascii="仿宋_GB2312" w:eastAsia="仿宋_GB2312"/>
      <w:kern w:val="28"/>
      <w:sz w:val="28"/>
    </w:rPr>
  </w:style>
  <w:style w:type="paragraph" w:customStyle="1" w:styleId="59">
    <w:name w:val="表头"/>
    <w:basedOn w:val="1"/>
    <w:next w:val="1"/>
    <w:qFormat/>
    <w:uiPriority w:val="99"/>
    <w:pPr>
      <w:jc w:val="center"/>
    </w:pPr>
    <w:rPr>
      <w:rFonts w:ascii="仿宋" w:eastAsia="仿宋"/>
      <w:b/>
      <w:kern w:val="0"/>
      <w:sz w:val="20"/>
      <w:szCs w:val="20"/>
    </w:rPr>
  </w:style>
  <w:style w:type="character" w:customStyle="1" w:styleId="60">
    <w:name w:val="Heading 1 Char"/>
    <w:basedOn w:val="49"/>
    <w:link w:val="2"/>
    <w:qFormat/>
    <w:uiPriority w:val="9"/>
    <w:rPr>
      <w:rFonts w:ascii="Calibri" w:hAnsi="Calibri"/>
      <w:b/>
      <w:bCs/>
      <w:kern w:val="44"/>
      <w:sz w:val="44"/>
      <w:szCs w:val="44"/>
    </w:rPr>
  </w:style>
  <w:style w:type="character" w:customStyle="1" w:styleId="61">
    <w:name w:val="Heading 2 Char"/>
    <w:basedOn w:val="49"/>
    <w:link w:val="4"/>
    <w:semiHidden/>
    <w:qFormat/>
    <w:uiPriority w:val="9"/>
    <w:rPr>
      <w:rFonts w:ascii="Cambria" w:hAnsi="Cambria" w:eastAsia="宋体" w:cs="Times New Roman"/>
      <w:b/>
      <w:bCs/>
      <w:sz w:val="32"/>
      <w:szCs w:val="32"/>
    </w:rPr>
  </w:style>
  <w:style w:type="character" w:customStyle="1" w:styleId="62">
    <w:name w:val="Heading 3 Char"/>
    <w:basedOn w:val="49"/>
    <w:link w:val="5"/>
    <w:semiHidden/>
    <w:qFormat/>
    <w:uiPriority w:val="9"/>
    <w:rPr>
      <w:rFonts w:ascii="Calibri" w:hAnsi="Calibri"/>
      <w:b/>
      <w:bCs/>
      <w:sz w:val="32"/>
      <w:szCs w:val="32"/>
    </w:rPr>
  </w:style>
  <w:style w:type="character" w:customStyle="1" w:styleId="63">
    <w:name w:val="Heading 4 Char"/>
    <w:basedOn w:val="49"/>
    <w:link w:val="6"/>
    <w:semiHidden/>
    <w:qFormat/>
    <w:uiPriority w:val="9"/>
    <w:rPr>
      <w:rFonts w:ascii="Cambria" w:hAnsi="Cambria" w:eastAsia="宋体" w:cs="Times New Roman"/>
      <w:b/>
      <w:bCs/>
      <w:sz w:val="28"/>
      <w:szCs w:val="28"/>
    </w:rPr>
  </w:style>
  <w:style w:type="character" w:customStyle="1" w:styleId="64">
    <w:name w:val="标题 5 Char"/>
    <w:basedOn w:val="49"/>
    <w:link w:val="7"/>
    <w:qFormat/>
    <w:uiPriority w:val="99"/>
    <w:rPr>
      <w:b/>
      <w:bCs/>
      <w:kern w:val="2"/>
      <w:sz w:val="28"/>
      <w:szCs w:val="28"/>
    </w:rPr>
  </w:style>
  <w:style w:type="character" w:customStyle="1" w:styleId="65">
    <w:name w:val="标题 6 Char"/>
    <w:basedOn w:val="49"/>
    <w:link w:val="8"/>
    <w:qFormat/>
    <w:uiPriority w:val="99"/>
    <w:rPr>
      <w:rFonts w:ascii="Arial" w:hAnsi="Arial"/>
      <w:b/>
      <w:bCs/>
      <w:kern w:val="2"/>
      <w:sz w:val="24"/>
      <w:szCs w:val="24"/>
    </w:rPr>
  </w:style>
  <w:style w:type="character" w:customStyle="1" w:styleId="66">
    <w:name w:val="标题 7 Char"/>
    <w:basedOn w:val="49"/>
    <w:link w:val="9"/>
    <w:qFormat/>
    <w:uiPriority w:val="99"/>
    <w:rPr>
      <w:rFonts w:ascii="仿宋" w:hAnsi="Calibri" w:eastAsia="仿宋"/>
      <w:b/>
      <w:bCs/>
      <w:kern w:val="2"/>
      <w:sz w:val="24"/>
      <w:szCs w:val="24"/>
    </w:rPr>
  </w:style>
  <w:style w:type="character" w:customStyle="1" w:styleId="67">
    <w:name w:val="标题 8 Char"/>
    <w:basedOn w:val="49"/>
    <w:link w:val="10"/>
    <w:qFormat/>
    <w:uiPriority w:val="99"/>
    <w:rPr>
      <w:rFonts w:ascii="Cambria" w:hAnsi="Cambria"/>
      <w:kern w:val="2"/>
      <w:sz w:val="24"/>
      <w:szCs w:val="24"/>
    </w:rPr>
  </w:style>
  <w:style w:type="character" w:customStyle="1" w:styleId="68">
    <w:name w:val="标题 9 Char"/>
    <w:basedOn w:val="49"/>
    <w:link w:val="11"/>
    <w:qFormat/>
    <w:uiPriority w:val="99"/>
    <w:rPr>
      <w:rFonts w:ascii="Arial" w:hAnsi="Arial" w:eastAsia="黑体"/>
      <w:kern w:val="2"/>
      <w:sz w:val="32"/>
      <w:szCs w:val="21"/>
    </w:rPr>
  </w:style>
  <w:style w:type="character" w:customStyle="1" w:styleId="69">
    <w:name w:val="正文文本 Char"/>
    <w:basedOn w:val="49"/>
    <w:link w:val="22"/>
    <w:semiHidden/>
    <w:qFormat/>
    <w:uiPriority w:val="99"/>
    <w:rPr>
      <w:rFonts w:ascii="Calibri" w:hAnsi="Calibri"/>
      <w:sz w:val="24"/>
      <w:szCs w:val="21"/>
    </w:rPr>
  </w:style>
  <w:style w:type="character" w:customStyle="1" w:styleId="70">
    <w:name w:val="标题 1 Char"/>
    <w:basedOn w:val="49"/>
    <w:link w:val="2"/>
    <w:qFormat/>
    <w:locked/>
    <w:uiPriority w:val="99"/>
    <w:rPr>
      <w:rFonts w:ascii="宋体" w:hAnsi="宋体" w:eastAsia="宋体" w:cs="宋体"/>
      <w:b/>
      <w:bCs/>
      <w:color w:val="FF0000"/>
      <w:kern w:val="36"/>
      <w:sz w:val="48"/>
      <w:szCs w:val="48"/>
    </w:rPr>
  </w:style>
  <w:style w:type="character" w:customStyle="1" w:styleId="71">
    <w:name w:val="标题 2 Char"/>
    <w:basedOn w:val="49"/>
    <w:link w:val="4"/>
    <w:qFormat/>
    <w:locked/>
    <w:uiPriority w:val="99"/>
    <w:rPr>
      <w:rFonts w:ascii="Arial" w:hAnsi="Arial" w:eastAsia="宋体" w:cs="宋体"/>
      <w:b/>
      <w:bCs/>
      <w:color w:val="00B050"/>
      <w:kern w:val="2"/>
      <w:sz w:val="32"/>
      <w:szCs w:val="32"/>
    </w:rPr>
  </w:style>
  <w:style w:type="character" w:customStyle="1" w:styleId="72">
    <w:name w:val="标题 3 Char"/>
    <w:basedOn w:val="49"/>
    <w:link w:val="5"/>
    <w:qFormat/>
    <w:locked/>
    <w:uiPriority w:val="99"/>
    <w:rPr>
      <w:rFonts w:ascii="Times New Roman" w:hAnsi="Times New Roman" w:eastAsia="宋体" w:cs="宋体"/>
      <w:b/>
      <w:bCs/>
      <w:color w:val="2A33EC"/>
      <w:kern w:val="2"/>
      <w:sz w:val="28"/>
      <w:szCs w:val="32"/>
    </w:rPr>
  </w:style>
  <w:style w:type="character" w:customStyle="1" w:styleId="73">
    <w:name w:val="标题 4 Char"/>
    <w:link w:val="6"/>
    <w:qFormat/>
    <w:locked/>
    <w:uiPriority w:val="99"/>
    <w:rPr>
      <w:rFonts w:ascii="Cambria" w:hAnsi="Cambria"/>
      <w:b/>
      <w:bCs/>
      <w:kern w:val="2"/>
      <w:sz w:val="24"/>
      <w:szCs w:val="28"/>
    </w:rPr>
  </w:style>
  <w:style w:type="character" w:customStyle="1" w:styleId="74">
    <w:name w:val="正文缩进 Char"/>
    <w:basedOn w:val="49"/>
    <w:link w:val="14"/>
    <w:qFormat/>
    <w:locked/>
    <w:uiPriority w:val="99"/>
    <w:rPr>
      <w:rFonts w:cs="Times New Roman"/>
      <w:kern w:val="22"/>
      <w:position w:val="-3"/>
      <w:sz w:val="24"/>
      <w:szCs w:val="24"/>
    </w:rPr>
  </w:style>
  <w:style w:type="character" w:customStyle="1" w:styleId="75">
    <w:name w:val="Document Map Char"/>
    <w:basedOn w:val="49"/>
    <w:link w:val="19"/>
    <w:semiHidden/>
    <w:qFormat/>
    <w:uiPriority w:val="99"/>
    <w:rPr>
      <w:sz w:val="0"/>
      <w:szCs w:val="0"/>
    </w:rPr>
  </w:style>
  <w:style w:type="character" w:customStyle="1" w:styleId="76">
    <w:name w:val="文档结构图 Char"/>
    <w:basedOn w:val="49"/>
    <w:link w:val="19"/>
    <w:qFormat/>
    <w:locked/>
    <w:uiPriority w:val="99"/>
    <w:rPr>
      <w:rFonts w:ascii="微软雅黑" w:hAnsi="微软雅黑" w:eastAsia="宋体" w:cs="Times New Roman"/>
      <w:kern w:val="2"/>
      <w:sz w:val="24"/>
      <w:szCs w:val="24"/>
    </w:rPr>
  </w:style>
  <w:style w:type="character" w:customStyle="1" w:styleId="77">
    <w:name w:val="批注文字 Char"/>
    <w:basedOn w:val="49"/>
    <w:link w:val="20"/>
    <w:semiHidden/>
    <w:qFormat/>
    <w:uiPriority w:val="99"/>
    <w:rPr>
      <w:rFonts w:ascii="Calibri" w:hAnsi="Calibri"/>
      <w:sz w:val="24"/>
      <w:szCs w:val="21"/>
    </w:rPr>
  </w:style>
  <w:style w:type="character" w:customStyle="1" w:styleId="78">
    <w:name w:val="正文文本 3 Char"/>
    <w:basedOn w:val="49"/>
    <w:link w:val="21"/>
    <w:semiHidden/>
    <w:qFormat/>
    <w:uiPriority w:val="99"/>
    <w:rPr>
      <w:rFonts w:ascii="Calibri" w:hAnsi="Calibri"/>
      <w:sz w:val="16"/>
      <w:szCs w:val="16"/>
    </w:rPr>
  </w:style>
  <w:style w:type="character" w:customStyle="1" w:styleId="79">
    <w:name w:val="正文文本缩进 Char"/>
    <w:basedOn w:val="49"/>
    <w:link w:val="23"/>
    <w:semiHidden/>
    <w:qFormat/>
    <w:uiPriority w:val="99"/>
    <w:rPr>
      <w:rFonts w:ascii="Calibri" w:hAnsi="Calibri" w:eastAsia="宋体"/>
      <w:sz w:val="24"/>
      <w:szCs w:val="21"/>
    </w:rPr>
  </w:style>
  <w:style w:type="character" w:customStyle="1" w:styleId="80">
    <w:name w:val="纯文本 Char"/>
    <w:basedOn w:val="49"/>
    <w:link w:val="26"/>
    <w:semiHidden/>
    <w:qFormat/>
    <w:uiPriority w:val="99"/>
    <w:rPr>
      <w:rFonts w:ascii="宋体" w:hAnsi="Courier New" w:cs="Courier New"/>
      <w:szCs w:val="21"/>
    </w:rPr>
  </w:style>
  <w:style w:type="character" w:customStyle="1" w:styleId="81">
    <w:name w:val="日期 Char"/>
    <w:basedOn w:val="49"/>
    <w:link w:val="28"/>
    <w:semiHidden/>
    <w:qFormat/>
    <w:uiPriority w:val="99"/>
    <w:rPr>
      <w:rFonts w:ascii="Calibri" w:hAnsi="Calibri"/>
      <w:sz w:val="24"/>
      <w:szCs w:val="21"/>
    </w:rPr>
  </w:style>
  <w:style w:type="character" w:customStyle="1" w:styleId="82">
    <w:name w:val="正文文本缩进 2 Char"/>
    <w:basedOn w:val="49"/>
    <w:link w:val="29"/>
    <w:semiHidden/>
    <w:qFormat/>
    <w:uiPriority w:val="99"/>
    <w:rPr>
      <w:rFonts w:ascii="Calibri" w:hAnsi="Calibri"/>
      <w:sz w:val="24"/>
      <w:szCs w:val="21"/>
    </w:rPr>
  </w:style>
  <w:style w:type="character" w:customStyle="1" w:styleId="83">
    <w:name w:val="批注框文本 Char"/>
    <w:basedOn w:val="49"/>
    <w:link w:val="30"/>
    <w:semiHidden/>
    <w:qFormat/>
    <w:uiPriority w:val="99"/>
    <w:rPr>
      <w:rFonts w:ascii="Calibri" w:hAnsi="Calibri"/>
      <w:sz w:val="0"/>
      <w:szCs w:val="0"/>
    </w:rPr>
  </w:style>
  <w:style w:type="character" w:customStyle="1" w:styleId="84">
    <w:name w:val="页脚 Char"/>
    <w:basedOn w:val="49"/>
    <w:link w:val="31"/>
    <w:semiHidden/>
    <w:qFormat/>
    <w:uiPriority w:val="99"/>
    <w:rPr>
      <w:rFonts w:ascii="Calibri" w:hAnsi="Calibri"/>
      <w:sz w:val="18"/>
      <w:szCs w:val="18"/>
    </w:rPr>
  </w:style>
  <w:style w:type="character" w:customStyle="1" w:styleId="85">
    <w:name w:val="页眉 Char"/>
    <w:basedOn w:val="49"/>
    <w:link w:val="33"/>
    <w:semiHidden/>
    <w:qFormat/>
    <w:uiPriority w:val="99"/>
    <w:rPr>
      <w:rFonts w:ascii="Calibri" w:hAnsi="Calibri"/>
      <w:sz w:val="18"/>
      <w:szCs w:val="18"/>
    </w:rPr>
  </w:style>
  <w:style w:type="character" w:customStyle="1" w:styleId="86">
    <w:name w:val="Subtitle Char"/>
    <w:basedOn w:val="49"/>
    <w:link w:val="36"/>
    <w:qFormat/>
    <w:uiPriority w:val="11"/>
    <w:rPr>
      <w:rFonts w:ascii="Cambria" w:hAnsi="Cambria" w:cs="Times New Roman"/>
      <w:b/>
      <w:bCs/>
      <w:kern w:val="28"/>
      <w:sz w:val="32"/>
      <w:szCs w:val="32"/>
    </w:rPr>
  </w:style>
  <w:style w:type="character" w:customStyle="1" w:styleId="87">
    <w:name w:val="副标题 Char"/>
    <w:link w:val="36"/>
    <w:qFormat/>
    <w:locked/>
    <w:uiPriority w:val="99"/>
    <w:rPr>
      <w:rFonts w:ascii="Cambria" w:hAnsi="Cambria"/>
      <w:b/>
      <w:kern w:val="28"/>
      <w:sz w:val="32"/>
    </w:rPr>
  </w:style>
  <w:style w:type="character" w:customStyle="1" w:styleId="88">
    <w:name w:val="Body Text Indent 3 Char"/>
    <w:basedOn w:val="49"/>
    <w:link w:val="39"/>
    <w:semiHidden/>
    <w:qFormat/>
    <w:uiPriority w:val="99"/>
    <w:rPr>
      <w:rFonts w:ascii="Calibri" w:hAnsi="Calibri"/>
      <w:sz w:val="16"/>
      <w:szCs w:val="16"/>
    </w:rPr>
  </w:style>
  <w:style w:type="character" w:customStyle="1" w:styleId="89">
    <w:name w:val="正文文本缩进 3 Char1"/>
    <w:basedOn w:val="49"/>
    <w:link w:val="39"/>
    <w:qFormat/>
    <w:locked/>
    <w:uiPriority w:val="99"/>
    <w:rPr>
      <w:rFonts w:cs="Times New Roman"/>
      <w:kern w:val="2"/>
      <w:sz w:val="16"/>
      <w:szCs w:val="16"/>
    </w:rPr>
  </w:style>
  <w:style w:type="character" w:customStyle="1" w:styleId="90">
    <w:name w:val="正文文本 2 Char"/>
    <w:basedOn w:val="49"/>
    <w:link w:val="42"/>
    <w:semiHidden/>
    <w:qFormat/>
    <w:uiPriority w:val="99"/>
    <w:rPr>
      <w:rFonts w:ascii="Calibri" w:hAnsi="Calibri"/>
      <w:sz w:val="24"/>
      <w:szCs w:val="21"/>
    </w:rPr>
  </w:style>
  <w:style w:type="character" w:customStyle="1" w:styleId="91">
    <w:name w:val="标题 Char"/>
    <w:basedOn w:val="49"/>
    <w:link w:val="3"/>
    <w:qFormat/>
    <w:uiPriority w:val="10"/>
    <w:rPr>
      <w:rFonts w:ascii="Cambria" w:hAnsi="Cambria" w:cs="Times New Roman"/>
      <w:b/>
      <w:bCs/>
      <w:sz w:val="32"/>
      <w:szCs w:val="32"/>
    </w:rPr>
  </w:style>
  <w:style w:type="character" w:customStyle="1" w:styleId="92">
    <w:name w:val="批注主题 Char"/>
    <w:basedOn w:val="77"/>
    <w:link w:val="45"/>
    <w:semiHidden/>
    <w:qFormat/>
    <w:uiPriority w:val="99"/>
    <w:rPr>
      <w:b/>
      <w:bCs/>
    </w:rPr>
  </w:style>
  <w:style w:type="character" w:customStyle="1" w:styleId="93">
    <w:name w:val="font11"/>
    <w:basedOn w:val="49"/>
    <w:qFormat/>
    <w:uiPriority w:val="99"/>
    <w:rPr>
      <w:rFonts w:ascii="仿宋" w:hAnsi="仿宋" w:eastAsia="仿宋" w:cs="仿宋"/>
      <w:color w:val="000000"/>
      <w:sz w:val="21"/>
      <w:szCs w:val="21"/>
      <w:u w:val="none"/>
    </w:rPr>
  </w:style>
  <w:style w:type="character" w:customStyle="1" w:styleId="94">
    <w:name w:val="正文文本缩进 3 字符1"/>
    <w:basedOn w:val="49"/>
    <w:qFormat/>
    <w:uiPriority w:val="99"/>
    <w:rPr>
      <w:rFonts w:cs="Times New Roman"/>
      <w:kern w:val="22"/>
      <w:position w:val="-3"/>
      <w:sz w:val="16"/>
      <w:szCs w:val="16"/>
    </w:rPr>
  </w:style>
  <w:style w:type="character" w:customStyle="1" w:styleId="95">
    <w:name w:val="font41"/>
    <w:basedOn w:val="49"/>
    <w:qFormat/>
    <w:uiPriority w:val="99"/>
    <w:rPr>
      <w:rFonts w:ascii="宋体" w:hAnsi="宋体" w:eastAsia="宋体" w:cs="宋体"/>
      <w:color w:val="000000"/>
      <w:sz w:val="18"/>
      <w:szCs w:val="18"/>
      <w:u w:val="none"/>
      <w:vertAlign w:val="superscript"/>
    </w:rPr>
  </w:style>
  <w:style w:type="character" w:customStyle="1" w:styleId="96">
    <w:name w:val="正文 Char Char Char"/>
    <w:link w:val="97"/>
    <w:qFormat/>
    <w:locked/>
    <w:uiPriority w:val="99"/>
    <w:rPr>
      <w:rFonts w:ascii="仿宋_GB2312" w:eastAsia="仿宋_GB2312"/>
      <w:kern w:val="0"/>
      <w:sz w:val="20"/>
      <w:lang w:val="de-DE" w:eastAsia="de-DE"/>
    </w:rPr>
  </w:style>
  <w:style w:type="paragraph" w:customStyle="1" w:styleId="97">
    <w:name w:val="正文 Char Char"/>
    <w:basedOn w:val="1"/>
    <w:link w:val="96"/>
    <w:qFormat/>
    <w:uiPriority w:val="99"/>
    <w:pPr>
      <w:spacing w:line="440" w:lineRule="exact"/>
    </w:pPr>
    <w:rPr>
      <w:rFonts w:ascii="仿宋_GB2312" w:hAnsi="Times New Roman" w:eastAsia="仿宋_GB2312"/>
      <w:kern w:val="0"/>
      <w:sz w:val="20"/>
      <w:szCs w:val="20"/>
      <w:lang w:val="de-DE" w:eastAsia="de-DE"/>
    </w:rPr>
  </w:style>
  <w:style w:type="character" w:customStyle="1" w:styleId="98">
    <w:name w:val="样式1 Char"/>
    <w:link w:val="99"/>
    <w:qFormat/>
    <w:locked/>
    <w:uiPriority w:val="99"/>
    <w:rPr>
      <w:rFonts w:ascii="宋体" w:eastAsia="宋体"/>
      <w:kern w:val="0"/>
      <w:sz w:val="21"/>
    </w:rPr>
  </w:style>
  <w:style w:type="paragraph" w:customStyle="1" w:styleId="99">
    <w:name w:val="样式1"/>
    <w:basedOn w:val="1"/>
    <w:link w:val="98"/>
    <w:qFormat/>
    <w:uiPriority w:val="99"/>
    <w:pPr>
      <w:tabs>
        <w:tab w:val="left" w:pos="6825"/>
      </w:tabs>
      <w:spacing w:line="240" w:lineRule="auto"/>
      <w:ind w:firstLine="0" w:firstLineChars="0"/>
      <w:jc w:val="center"/>
    </w:pPr>
    <w:rPr>
      <w:rFonts w:ascii="宋体" w:hAnsi="Times New Roman"/>
      <w:kern w:val="0"/>
      <w:sz w:val="21"/>
      <w:szCs w:val="20"/>
    </w:rPr>
  </w:style>
  <w:style w:type="character" w:customStyle="1" w:styleId="100">
    <w:name w:val="font01"/>
    <w:basedOn w:val="49"/>
    <w:qFormat/>
    <w:uiPriority w:val="99"/>
    <w:rPr>
      <w:rFonts w:ascii="仿宋_GB2312" w:eastAsia="仿宋_GB2312" w:cs="仿宋_GB2312"/>
      <w:color w:val="000000"/>
      <w:sz w:val="21"/>
      <w:szCs w:val="21"/>
      <w:u w:val="none"/>
    </w:rPr>
  </w:style>
  <w:style w:type="character" w:customStyle="1" w:styleId="101">
    <w:name w:val="图表 Char2"/>
    <w:semiHidden/>
    <w:qFormat/>
    <w:uiPriority w:val="99"/>
    <w:rPr>
      <w:rFonts w:ascii="仿宋_GB2312" w:eastAsia="仿宋_GB2312"/>
      <w:kern w:val="21"/>
      <w:sz w:val="21"/>
      <w:lang w:val="en-US" w:eastAsia="zh-CN"/>
    </w:rPr>
  </w:style>
  <w:style w:type="character" w:customStyle="1" w:styleId="102">
    <w:name w:val="表标题 Char"/>
    <w:basedOn w:val="49"/>
    <w:link w:val="103"/>
    <w:qFormat/>
    <w:locked/>
    <w:uiPriority w:val="99"/>
    <w:rPr>
      <w:rFonts w:ascii="宋体" w:hAnsi="宋体" w:eastAsia="宋体" w:cs="Times New Roman"/>
      <w:b/>
      <w:color w:val="000000"/>
      <w:spacing w:val="-5"/>
      <w:kern w:val="2"/>
      <w:sz w:val="24"/>
      <w:szCs w:val="24"/>
      <w:u w:val="double"/>
    </w:rPr>
  </w:style>
  <w:style w:type="paragraph" w:customStyle="1" w:styleId="103">
    <w:name w:val="表标题"/>
    <w:basedOn w:val="1"/>
    <w:link w:val="102"/>
    <w:qFormat/>
    <w:uiPriority w:val="99"/>
    <w:pPr>
      <w:snapToGrid w:val="0"/>
      <w:ind w:firstLine="0" w:firstLineChars="0"/>
      <w:jc w:val="center"/>
    </w:pPr>
    <w:rPr>
      <w:rFonts w:ascii="宋体" w:hAnsi="宋体"/>
      <w:b/>
      <w:color w:val="000000"/>
      <w:spacing w:val="-5"/>
      <w:szCs w:val="24"/>
      <w:u w:val="double"/>
    </w:rPr>
  </w:style>
  <w:style w:type="character" w:customStyle="1" w:styleId="104">
    <w:name w:val="表格 Char"/>
    <w:basedOn w:val="49"/>
    <w:link w:val="105"/>
    <w:qFormat/>
    <w:locked/>
    <w:uiPriority w:val="99"/>
    <w:rPr>
      <w:rFonts w:ascii="Calibri" w:hAnsi="Calibri" w:eastAsia="宋体" w:cs="Times New Roman"/>
      <w:kern w:val="15"/>
      <w:sz w:val="21"/>
      <w:szCs w:val="21"/>
    </w:rPr>
  </w:style>
  <w:style w:type="paragraph" w:customStyle="1" w:styleId="105">
    <w:name w:val="表格"/>
    <w:basedOn w:val="1"/>
    <w:next w:val="1"/>
    <w:link w:val="104"/>
    <w:qFormat/>
    <w:uiPriority w:val="99"/>
    <w:pPr>
      <w:adjustRightInd w:val="0"/>
      <w:spacing w:line="240" w:lineRule="auto"/>
      <w:ind w:firstLine="0" w:firstLineChars="0"/>
      <w:jc w:val="center"/>
      <w:textAlignment w:val="baseline"/>
    </w:pPr>
    <w:rPr>
      <w:kern w:val="15"/>
      <w:sz w:val="21"/>
    </w:rPr>
  </w:style>
  <w:style w:type="character" w:customStyle="1" w:styleId="106">
    <w:name w:val="正文文本缩进 3 Char"/>
    <w:basedOn w:val="49"/>
    <w:qFormat/>
    <w:uiPriority w:val="99"/>
    <w:rPr>
      <w:rFonts w:ascii="Times New Roman" w:hAnsi="Times New Roman" w:eastAsia="宋体" w:cs="Times New Roman"/>
      <w:kern w:val="2"/>
      <w:sz w:val="16"/>
      <w:szCs w:val="16"/>
    </w:rPr>
  </w:style>
  <w:style w:type="character" w:customStyle="1" w:styleId="107">
    <w:name w:val="居中 Char"/>
    <w:qFormat/>
    <w:uiPriority w:val="99"/>
    <w:rPr>
      <w:rFonts w:eastAsia="仿宋_GB2312"/>
      <w:kern w:val="2"/>
      <w:sz w:val="24"/>
      <w:lang w:val="en-US" w:eastAsia="zh-CN"/>
    </w:rPr>
  </w:style>
  <w:style w:type="character" w:customStyle="1" w:styleId="108">
    <w:name w:val="明显强调1"/>
    <w:qFormat/>
    <w:uiPriority w:val="99"/>
    <w:rPr>
      <w:b/>
      <w:i/>
      <w:color w:val="4F81BD"/>
    </w:rPr>
  </w:style>
  <w:style w:type="paragraph" w:customStyle="1" w:styleId="109">
    <w:name w:val="表字居中"/>
    <w:basedOn w:val="1"/>
    <w:qFormat/>
    <w:uiPriority w:val="99"/>
    <w:pPr>
      <w:spacing w:line="240" w:lineRule="atLeast"/>
      <w:ind w:left="200" w:leftChars="200"/>
      <w:jc w:val="center"/>
    </w:pPr>
    <w:rPr>
      <w:szCs w:val="24"/>
    </w:rPr>
  </w:style>
  <w:style w:type="paragraph" w:customStyle="1" w:styleId="110">
    <w:name w:val="5正文"/>
    <w:basedOn w:val="1"/>
    <w:qFormat/>
    <w:uiPriority w:val="99"/>
    <w:pPr>
      <w:jc w:val="both"/>
    </w:pPr>
    <w:rPr>
      <w:rFonts w:ascii="楷体_GB2312" w:eastAsia="楷体_GB2312"/>
      <w:szCs w:val="24"/>
    </w:rPr>
  </w:style>
  <w:style w:type="paragraph" w:customStyle="1" w:styleId="111">
    <w:name w:val="3级标题"/>
    <w:basedOn w:val="5"/>
    <w:qFormat/>
    <w:uiPriority w:val="99"/>
    <w:pPr>
      <w:spacing w:before="100" w:beforeAutospacing="1" w:after="0"/>
    </w:pPr>
    <w:rPr>
      <w:kern w:val="0"/>
    </w:rPr>
  </w:style>
  <w:style w:type="paragraph" w:customStyle="1" w:styleId="112">
    <w:name w:val="样式 3级标题 + 首行缩进:  2 字符"/>
    <w:basedOn w:val="111"/>
    <w:qFormat/>
    <w:uiPriority w:val="99"/>
    <w:pPr>
      <w:spacing w:beforeLines="100" w:beforeAutospacing="0" w:afterLines="100"/>
    </w:pPr>
    <w:rPr>
      <w:szCs w:val="20"/>
    </w:rPr>
  </w:style>
  <w:style w:type="paragraph" w:customStyle="1" w:styleId="113">
    <w:name w:val="表格1"/>
    <w:basedOn w:val="1"/>
    <w:qFormat/>
    <w:uiPriority w:val="99"/>
    <w:pPr>
      <w:framePr w:hSpace="180" w:wrap="around" w:vAnchor="text" w:hAnchor="margin" w:y="180"/>
      <w:spacing w:line="440" w:lineRule="exact"/>
    </w:pPr>
    <w:rPr>
      <w:rFonts w:ascii="宋体" w:hAnsi="宋体" w:eastAsia="仿宋_GB2312"/>
      <w:bCs/>
      <w:sz w:val="28"/>
      <w:szCs w:val="28"/>
    </w:rPr>
  </w:style>
  <w:style w:type="paragraph" w:customStyle="1" w:styleId="114">
    <w:name w:val="列出段落2"/>
    <w:basedOn w:val="1"/>
    <w:qFormat/>
    <w:uiPriority w:val="99"/>
    <w:rPr>
      <w:rFonts w:ascii="仿宋" w:eastAsia="仿宋"/>
      <w:szCs w:val="22"/>
    </w:rPr>
  </w:style>
  <w:style w:type="paragraph" w:customStyle="1" w:styleId="115">
    <w:name w:val="WPSOffice手动目录 1"/>
    <w:qFormat/>
    <w:uiPriority w:val="99"/>
    <w:rPr>
      <w:rFonts w:ascii="Calibri" w:hAnsi="Calibri" w:eastAsia="宋体" w:cs="Times New Roman"/>
      <w:lang w:val="en-US" w:eastAsia="zh-CN" w:bidi="ar-SA"/>
    </w:rPr>
  </w:style>
  <w:style w:type="paragraph" w:customStyle="1" w:styleId="116">
    <w:name w:val="WPSOffice手动目录 2"/>
    <w:qFormat/>
    <w:uiPriority w:val="99"/>
    <w:pPr>
      <w:ind w:left="200" w:leftChars="200"/>
    </w:pPr>
    <w:rPr>
      <w:rFonts w:ascii="Calibri" w:hAnsi="Calibri" w:eastAsia="宋体" w:cs="Times New Roman"/>
      <w:lang w:val="en-US" w:eastAsia="zh-CN" w:bidi="ar-SA"/>
    </w:rPr>
  </w:style>
  <w:style w:type="paragraph" w:customStyle="1" w:styleId="117">
    <w:name w:val="表格内文字"/>
    <w:basedOn w:val="1"/>
    <w:qFormat/>
    <w:uiPriority w:val="99"/>
    <w:pPr>
      <w:adjustRightInd w:val="0"/>
      <w:spacing w:line="240" w:lineRule="atLeast"/>
      <w:ind w:firstLine="0" w:firstLineChars="0"/>
      <w:jc w:val="center"/>
    </w:pPr>
    <w:rPr>
      <w:rFonts w:ascii="Times New Roman" w:hAnsi="Times New Roman"/>
      <w:kern w:val="0"/>
      <w:sz w:val="18"/>
      <w:szCs w:val="20"/>
    </w:rPr>
  </w:style>
  <w:style w:type="paragraph" w:customStyle="1" w:styleId="118">
    <w:name w:val="标书正文"/>
    <w:basedOn w:val="1"/>
    <w:qFormat/>
    <w:uiPriority w:val="99"/>
    <w:pPr>
      <w:topLinePunct/>
      <w:adjustRightInd w:val="0"/>
      <w:snapToGrid w:val="0"/>
      <w:spacing w:line="440" w:lineRule="exact"/>
    </w:pPr>
    <w:rPr>
      <w:rFonts w:ascii="仿宋_GB2312" w:eastAsia="仿宋_GB2312"/>
      <w:kern w:val="0"/>
      <w:szCs w:val="20"/>
    </w:rPr>
  </w:style>
  <w:style w:type="paragraph" w:customStyle="1" w:styleId="119">
    <w:name w:val="正文类"/>
    <w:basedOn w:val="23"/>
    <w:qFormat/>
    <w:uiPriority w:val="99"/>
    <w:pPr>
      <w:ind w:firstLine="420" w:firstLineChars="175"/>
      <w:jc w:val="both"/>
    </w:pPr>
    <w:rPr>
      <w:rFonts w:ascii="宋体" w:hAnsi="宋体" w:cs="宋体"/>
      <w:color w:val="000000"/>
      <w:kern w:val="0"/>
      <w:szCs w:val="24"/>
    </w:rPr>
  </w:style>
  <w:style w:type="paragraph" w:customStyle="1" w:styleId="120">
    <w:name w:val="表格标题"/>
    <w:basedOn w:val="1"/>
    <w:qFormat/>
    <w:uiPriority w:val="99"/>
    <w:pPr>
      <w:spacing w:line="240" w:lineRule="atLeast"/>
      <w:ind w:firstLine="0" w:firstLineChars="0"/>
      <w:jc w:val="center"/>
    </w:pPr>
    <w:rPr>
      <w:rFonts w:ascii="仿宋_GB2312" w:eastAsia="仿宋_GB2312"/>
      <w:b/>
      <w:bCs/>
      <w:sz w:val="21"/>
    </w:rPr>
  </w:style>
  <w:style w:type="paragraph" w:customStyle="1" w:styleId="121">
    <w:name w:val="无间隔1"/>
    <w:qFormat/>
    <w:uiPriority w:val="99"/>
    <w:pPr>
      <w:spacing w:before="120" w:after="120"/>
      <w:ind w:left="-50" w:leftChars="-50" w:firstLine="200" w:firstLineChars="200"/>
      <w:jc w:val="both"/>
    </w:pPr>
    <w:rPr>
      <w:rFonts w:ascii="等线" w:hAnsi="Times New Roman" w:eastAsia="等线" w:cs="Times New Roman"/>
      <w:sz w:val="22"/>
      <w:szCs w:val="22"/>
      <w:lang w:val="en-US" w:eastAsia="zh-CN" w:bidi="ar-SA"/>
    </w:rPr>
  </w:style>
  <w:style w:type="paragraph" w:customStyle="1" w:styleId="122">
    <w:name w:val="正文文字 4"/>
    <w:basedOn w:val="23"/>
    <w:qFormat/>
    <w:uiPriority w:val="99"/>
    <w:pPr>
      <w:adjustRightInd w:val="0"/>
      <w:spacing w:line="312" w:lineRule="atLeast"/>
      <w:ind w:left="0" w:leftChars="0" w:firstLine="0" w:firstLineChars="0"/>
      <w:textAlignment w:val="baseline"/>
    </w:pPr>
    <w:rPr>
      <w:kern w:val="0"/>
      <w:sz w:val="21"/>
      <w:szCs w:val="20"/>
    </w:rPr>
  </w:style>
  <w:style w:type="paragraph" w:customStyle="1" w:styleId="123">
    <w:name w:val="插图内容"/>
    <w:basedOn w:val="1"/>
    <w:qFormat/>
    <w:uiPriority w:val="99"/>
    <w:pPr>
      <w:tabs>
        <w:tab w:val="left" w:pos="560"/>
        <w:tab w:val="left" w:pos="1400"/>
      </w:tabs>
      <w:wordWrap w:val="0"/>
      <w:spacing w:line="400" w:lineRule="exact"/>
      <w:ind w:left="200" w:leftChars="200"/>
      <w:jc w:val="center"/>
    </w:pPr>
    <w:rPr>
      <w:rFonts w:ascii="宋体"/>
      <w:b/>
      <w:bCs/>
      <w:color w:val="FF00FF"/>
    </w:rPr>
  </w:style>
  <w:style w:type="paragraph" w:customStyle="1" w:styleId="124">
    <w:name w:val="图内文字"/>
    <w:basedOn w:val="117"/>
    <w:qFormat/>
    <w:uiPriority w:val="99"/>
    <w:pPr>
      <w:snapToGrid w:val="0"/>
      <w:spacing w:line="360" w:lineRule="exact"/>
    </w:pPr>
    <w:rPr>
      <w:rFonts w:ascii="宋体"/>
      <w:color w:val="000000"/>
      <w:sz w:val="21"/>
    </w:rPr>
  </w:style>
  <w:style w:type="paragraph" w:customStyle="1" w:styleId="125">
    <w:name w:val="正文缩进1"/>
    <w:basedOn w:val="1"/>
    <w:qFormat/>
    <w:uiPriority w:val="99"/>
    <w:rPr>
      <w:szCs w:val="24"/>
    </w:rPr>
  </w:style>
  <w:style w:type="paragraph" w:customStyle="1" w:styleId="126">
    <w:name w:val="表文字"/>
    <w:basedOn w:val="1"/>
    <w:qFormat/>
    <w:uiPriority w:val="99"/>
    <w:pPr>
      <w:jc w:val="center"/>
    </w:pPr>
    <w:rPr>
      <w:rFonts w:ascii="仿宋" w:eastAsia="仿宋"/>
      <w:kern w:val="0"/>
      <w:sz w:val="20"/>
      <w:szCs w:val="20"/>
    </w:rPr>
  </w:style>
  <w:style w:type="paragraph" w:customStyle="1" w:styleId="127">
    <w:name w:val="表内文字 Char"/>
    <w:basedOn w:val="1"/>
    <w:next w:val="1"/>
    <w:qFormat/>
    <w:uiPriority w:val="99"/>
    <w:pPr>
      <w:spacing w:line="320" w:lineRule="exact"/>
      <w:ind w:firstLine="0" w:firstLineChars="0"/>
      <w:jc w:val="center"/>
    </w:pPr>
    <w:rPr>
      <w:sz w:val="21"/>
    </w:rPr>
  </w:style>
  <w:style w:type="paragraph" w:customStyle="1" w:styleId="128">
    <w:name w:val="框图文字小五"/>
    <w:basedOn w:val="1"/>
    <w:qFormat/>
    <w:uiPriority w:val="99"/>
    <w:pPr>
      <w:snapToGrid w:val="0"/>
      <w:ind w:firstLine="0" w:firstLineChars="0"/>
      <w:jc w:val="center"/>
    </w:pPr>
    <w:rPr>
      <w:rFonts w:ascii="仿宋_GB2312" w:hAnsi="仿宋_GB2312"/>
      <w:kern w:val="0"/>
      <w:szCs w:val="20"/>
    </w:rPr>
  </w:style>
  <w:style w:type="paragraph" w:customStyle="1" w:styleId="129">
    <w:name w:val="表名、图名"/>
    <w:basedOn w:val="1"/>
    <w:next w:val="1"/>
    <w:qFormat/>
    <w:uiPriority w:val="99"/>
    <w:pPr>
      <w:jc w:val="center"/>
    </w:pPr>
    <w:rPr>
      <w:rFonts w:ascii="仿宋" w:hAnsi="仿宋" w:eastAsia="黑体"/>
      <w:szCs w:val="22"/>
    </w:rPr>
  </w:style>
  <w:style w:type="paragraph" w:customStyle="1" w:styleId="130">
    <w:name w:val="文章正文"/>
    <w:basedOn w:val="1"/>
    <w:qFormat/>
    <w:uiPriority w:val="99"/>
    <w:rPr>
      <w:szCs w:val="24"/>
    </w:rPr>
  </w:style>
  <w:style w:type="paragraph" w:customStyle="1" w:styleId="131">
    <w:name w:val="插图标题"/>
    <w:basedOn w:val="1"/>
    <w:qFormat/>
    <w:uiPriority w:val="99"/>
    <w:pPr>
      <w:ind w:firstLine="0" w:firstLineChars="0"/>
      <w:jc w:val="center"/>
    </w:pPr>
    <w:rPr>
      <w:b/>
    </w:rPr>
  </w:style>
  <w:style w:type="paragraph" w:customStyle="1" w:styleId="132">
    <w:name w:val="WPSOffice手动目录 3"/>
    <w:qFormat/>
    <w:uiPriority w:val="99"/>
    <w:pPr>
      <w:ind w:left="400" w:leftChars="400"/>
    </w:pPr>
    <w:rPr>
      <w:rFonts w:ascii="Calibri" w:hAnsi="Calibri" w:eastAsia="宋体" w:cs="Times New Roman"/>
      <w:lang w:val="en-US" w:eastAsia="zh-CN" w:bidi="ar-SA"/>
    </w:rPr>
  </w:style>
  <w:style w:type="paragraph" w:customStyle="1" w:styleId="133">
    <w:name w:val="图编号"/>
    <w:basedOn w:val="1"/>
    <w:qFormat/>
    <w:uiPriority w:val="99"/>
    <w:pPr>
      <w:jc w:val="center"/>
      <w:outlineLvl w:val="6"/>
    </w:pPr>
    <w:rPr>
      <w:rFonts w:ascii="Times New Roman" w:hAnsi="Times New Roman"/>
      <w:b/>
      <w:bCs/>
      <w:kern w:val="0"/>
      <w:szCs w:val="24"/>
    </w:rPr>
  </w:style>
  <w:style w:type="paragraph" w:customStyle="1" w:styleId="134">
    <w:name w:val="文本框"/>
    <w:basedOn w:val="1"/>
    <w:qFormat/>
    <w:uiPriority w:val="99"/>
    <w:pPr>
      <w:ind w:firstLine="0" w:firstLineChars="0"/>
      <w:jc w:val="center"/>
    </w:pPr>
    <w:rPr>
      <w:szCs w:val="20"/>
    </w:rPr>
  </w:style>
  <w:style w:type="paragraph" w:customStyle="1" w:styleId="135">
    <w:name w:val="reader-word-layer reader-word-s1-8"/>
    <w:basedOn w:val="1"/>
    <w:qFormat/>
    <w:uiPriority w:val="99"/>
    <w:pPr>
      <w:widowControl/>
      <w:spacing w:before="100" w:beforeAutospacing="1" w:after="100" w:afterAutospacing="1" w:line="240" w:lineRule="auto"/>
      <w:ind w:firstLine="0" w:firstLineChars="0"/>
    </w:pPr>
    <w:rPr>
      <w:rFonts w:ascii="宋体" w:hAnsi="宋体"/>
      <w:kern w:val="0"/>
      <w:sz w:val="10"/>
      <w:szCs w:val="24"/>
    </w:rPr>
  </w:style>
  <w:style w:type="paragraph" w:customStyle="1" w:styleId="136">
    <w:name w:val="标题6"/>
    <w:basedOn w:val="8"/>
    <w:next w:val="1"/>
    <w:qFormat/>
    <w:uiPriority w:val="99"/>
    <w:pPr>
      <w:spacing w:before="100" w:beforeAutospacing="1" w:after="100" w:afterAutospacing="1" w:line="240" w:lineRule="auto"/>
    </w:pPr>
    <w:rPr>
      <w:rFonts w:ascii="Times New Roman" w:hAnsi="Times New Roman" w:cs="宋体"/>
      <w:bCs w:val="0"/>
      <w:szCs w:val="20"/>
    </w:rPr>
  </w:style>
  <w:style w:type="paragraph" w:customStyle="1" w:styleId="137">
    <w:name w:val="正文2"/>
    <w:qFormat/>
    <w:uiPriority w:val="99"/>
    <w:pPr>
      <w:spacing w:before="120" w:after="120"/>
      <w:ind w:left="-50" w:leftChars="-50" w:firstLine="200" w:firstLineChars="200"/>
      <w:jc w:val="both"/>
    </w:pPr>
    <w:rPr>
      <w:rFonts w:ascii="Times New Roman" w:hAnsi="Times New Roman" w:eastAsia="宋体" w:cs="Times New Roman"/>
      <w:sz w:val="24"/>
      <w:szCs w:val="24"/>
      <w:lang w:val="en-US" w:eastAsia="en-US" w:bidi="ar-SA"/>
    </w:rPr>
  </w:style>
  <w:style w:type="paragraph" w:customStyle="1" w:styleId="138">
    <w:name w:val="图表"/>
    <w:basedOn w:val="1"/>
    <w:qFormat/>
    <w:uiPriority w:val="99"/>
    <w:pPr>
      <w:spacing w:line="280" w:lineRule="exact"/>
      <w:ind w:firstLine="0" w:firstLineChars="0"/>
      <w:jc w:val="center"/>
    </w:pPr>
    <w:rPr>
      <w:rFonts w:ascii="仿宋_GB2312" w:eastAsia="仿宋_GB2312"/>
      <w:kern w:val="21"/>
      <w:sz w:val="21"/>
    </w:rPr>
  </w:style>
  <w:style w:type="paragraph" w:customStyle="1" w:styleId="139">
    <w:name w:val="流程图标题"/>
    <w:basedOn w:val="103"/>
    <w:qFormat/>
    <w:uiPriority w:val="99"/>
    <w:pPr>
      <w:spacing w:line="400" w:lineRule="exact"/>
      <w:ind w:left="200"/>
    </w:pPr>
    <w:rPr>
      <w:rFonts w:ascii="Calibri" w:hAnsi="Calibri" w:eastAsia="楷体"/>
      <w:color w:val="auto"/>
      <w:spacing w:val="0"/>
      <w:kern w:val="0"/>
      <w:szCs w:val="20"/>
      <w:u w:val="none"/>
    </w:rPr>
  </w:style>
  <w:style w:type="paragraph" w:customStyle="1" w:styleId="140">
    <w:name w:val="图表题"/>
    <w:basedOn w:val="1"/>
    <w:qFormat/>
    <w:uiPriority w:val="99"/>
    <w:pPr>
      <w:spacing w:beforeLines="50" w:afterLines="50"/>
      <w:jc w:val="center"/>
    </w:pPr>
    <w:rPr>
      <w:rFonts w:ascii="Times New Roman" w:hAnsi="Times New Roman"/>
    </w:rPr>
  </w:style>
  <w:style w:type="paragraph" w:customStyle="1" w:styleId="141">
    <w:name w:val="列出段落1"/>
    <w:basedOn w:val="1"/>
    <w:qFormat/>
    <w:uiPriority w:val="99"/>
    <w:rPr>
      <w:rFonts w:ascii="仿宋" w:hAnsi="仿宋"/>
    </w:rPr>
  </w:style>
  <w:style w:type="paragraph" w:customStyle="1" w:styleId="142">
    <w:name w:val="表外文字"/>
    <w:basedOn w:val="1"/>
    <w:qFormat/>
    <w:uiPriority w:val="99"/>
    <w:pPr>
      <w:tabs>
        <w:tab w:val="left" w:pos="402"/>
        <w:tab w:val="left" w:pos="603"/>
      </w:tabs>
      <w:snapToGrid w:val="0"/>
      <w:spacing w:before="50" w:after="50"/>
      <w:ind w:firstLine="0" w:firstLineChars="0"/>
      <w:jc w:val="center"/>
    </w:pPr>
    <w:rPr>
      <w:rFonts w:ascii="黑体" w:hAnsi="Times New Roman" w:eastAsia="黑体"/>
      <w:b/>
      <w:bCs/>
    </w:rPr>
  </w:style>
  <w:style w:type="paragraph" w:customStyle="1" w:styleId="143">
    <w:name w:val="正文文字"/>
    <w:basedOn w:val="1"/>
    <w:qFormat/>
    <w:uiPriority w:val="99"/>
    <w:rPr>
      <w:rFonts w:ascii="Times New Roman" w:hAnsi="Times New Roman"/>
      <w:sz w:val="28"/>
      <w:szCs w:val="28"/>
    </w:rPr>
  </w:style>
  <w:style w:type="paragraph" w:customStyle="1" w:styleId="144">
    <w:name w:val="标准"/>
    <w:basedOn w:val="31"/>
    <w:qFormat/>
    <w:uiPriority w:val="99"/>
    <w:pPr>
      <w:adjustRightInd w:val="0"/>
      <w:spacing w:line="312" w:lineRule="atLeast"/>
      <w:ind w:left="200" w:leftChars="200"/>
      <w:textAlignment w:val="baseline"/>
    </w:pPr>
    <w:rPr>
      <w:rFonts w:ascii="Times New Roman" w:hAnsi="Times New Roman"/>
      <w:kern w:val="0"/>
      <w:szCs w:val="20"/>
    </w:rPr>
  </w:style>
  <w:style w:type="paragraph" w:customStyle="1" w:styleId="145">
    <w:name w:val="列出段落11"/>
    <w:basedOn w:val="1"/>
    <w:qFormat/>
    <w:uiPriority w:val="99"/>
    <w:rPr>
      <w:rFonts w:ascii="仿宋" w:hAnsi="仿宋"/>
      <w:sz w:val="28"/>
      <w:szCs w:val="22"/>
    </w:rPr>
  </w:style>
  <w:style w:type="paragraph" w:customStyle="1" w:styleId="146">
    <w:name w:val="兰海表格"/>
    <w:basedOn w:val="1"/>
    <w:qFormat/>
    <w:uiPriority w:val="99"/>
    <w:pPr>
      <w:adjustRightInd w:val="0"/>
      <w:snapToGrid w:val="0"/>
    </w:pPr>
    <w:rPr>
      <w:rFonts w:ascii="仿宋" w:hAnsi="仿宋" w:cs="宋体"/>
      <w:szCs w:val="20"/>
    </w:rPr>
  </w:style>
  <w:style w:type="paragraph" w:customStyle="1" w:styleId="147">
    <w:name w:val="列出段落3"/>
    <w:basedOn w:val="1"/>
    <w:qFormat/>
    <w:uiPriority w:val="99"/>
    <w:rPr>
      <w:rFonts w:ascii="仿宋" w:eastAsia="仿宋"/>
      <w:szCs w:val="22"/>
    </w:rPr>
  </w:style>
  <w:style w:type="paragraph" w:customStyle="1" w:styleId="148">
    <w:name w:val="表内文字"/>
    <w:basedOn w:val="1"/>
    <w:next w:val="1"/>
    <w:qFormat/>
    <w:uiPriority w:val="99"/>
    <w:pPr>
      <w:adjustRightInd w:val="0"/>
      <w:snapToGrid w:val="0"/>
      <w:spacing w:line="320" w:lineRule="exact"/>
      <w:jc w:val="center"/>
      <w:textAlignment w:val="baseline"/>
    </w:pPr>
    <w:rPr>
      <w:rFonts w:ascii="宋体"/>
    </w:rPr>
  </w:style>
  <w:style w:type="paragraph" w:customStyle="1" w:styleId="149">
    <w:name w:val="表格文本"/>
    <w:basedOn w:val="1"/>
    <w:qFormat/>
    <w:uiPriority w:val="99"/>
    <w:pPr>
      <w:jc w:val="center"/>
    </w:pPr>
    <w:rPr>
      <w:rFonts w:ascii="Arial" w:hAnsi="Arial"/>
    </w:rPr>
  </w:style>
  <w:style w:type="paragraph" w:customStyle="1" w:styleId="150">
    <w:name w:val="样式2"/>
    <w:basedOn w:val="6"/>
    <w:next w:val="1"/>
    <w:qFormat/>
    <w:uiPriority w:val="99"/>
    <w:pPr>
      <w:spacing w:line="240" w:lineRule="auto"/>
    </w:pPr>
    <w:rPr>
      <w:szCs w:val="24"/>
    </w:rPr>
  </w:style>
  <w:style w:type="paragraph" w:customStyle="1" w:styleId="151">
    <w:name w:val="k 正文"/>
    <w:basedOn w:val="1"/>
    <w:qFormat/>
    <w:uiPriority w:val="99"/>
    <w:pPr>
      <w:widowControl/>
    </w:pPr>
    <w:rPr>
      <w:szCs w:val="24"/>
    </w:rPr>
  </w:style>
  <w:style w:type="paragraph" w:customStyle="1" w:styleId="152">
    <w:name w:val="3标题"/>
    <w:basedOn w:val="1"/>
    <w:qFormat/>
    <w:uiPriority w:val="99"/>
    <w:pPr>
      <w:outlineLvl w:val="2"/>
    </w:pPr>
    <w:rPr>
      <w:kern w:val="0"/>
      <w:sz w:val="22"/>
      <w:szCs w:val="20"/>
    </w:rPr>
  </w:style>
  <w:style w:type="paragraph" w:customStyle="1" w:styleId="153">
    <w:name w:val="文本"/>
    <w:basedOn w:val="1"/>
    <w:qFormat/>
    <w:uiPriority w:val="99"/>
    <w:pPr>
      <w:ind w:firstLine="480"/>
    </w:pPr>
    <w:rPr>
      <w:rFonts w:ascii="宋体" w:hAnsi="宋体" w:cs="宋体"/>
      <w:szCs w:val="20"/>
    </w:rPr>
  </w:style>
  <w:style w:type="paragraph" w:customStyle="1" w:styleId="154">
    <w:name w:val="图表题注"/>
    <w:basedOn w:val="1"/>
    <w:qFormat/>
    <w:uiPriority w:val="99"/>
    <w:pPr>
      <w:jc w:val="center"/>
    </w:pPr>
    <w:rPr>
      <w:rFonts w:ascii="宋体" w:hAnsi="宋体"/>
      <w:b/>
      <w:bCs/>
      <w:szCs w:val="20"/>
    </w:rPr>
  </w:style>
  <w:style w:type="paragraph" w:customStyle="1" w:styleId="155">
    <w:name w:val="Body text|2"/>
    <w:basedOn w:val="1"/>
    <w:qFormat/>
    <w:uiPriority w:val="0"/>
    <w:pPr>
      <w:widowControl w:val="0"/>
      <w:shd w:val="clear" w:color="auto" w:fill="auto"/>
      <w:spacing w:line="463" w:lineRule="exact"/>
      <w:ind w:firstLine="460"/>
    </w:pPr>
    <w:rPr>
      <w:sz w:val="22"/>
      <w:szCs w:val="22"/>
      <w:u w:val="none"/>
      <w:shd w:val="clear" w:color="auto" w:fill="auto"/>
    </w:rPr>
  </w:style>
  <w:style w:type="paragraph" w:customStyle="1" w:styleId="156">
    <w:name w:val="Body text|1"/>
    <w:basedOn w:val="1"/>
    <w:qFormat/>
    <w:uiPriority w:val="0"/>
    <w:pPr>
      <w:widowControl w:val="0"/>
      <w:shd w:val="clear" w:color="auto" w:fill="auto"/>
      <w:spacing w:line="446" w:lineRule="auto"/>
      <w:ind w:firstLine="400"/>
    </w:pPr>
    <w:rPr>
      <w:rFonts w:ascii="宋体" w:hAnsi="宋体" w:eastAsia="宋体" w:cs="宋体"/>
      <w:sz w:val="20"/>
      <w:szCs w:val="20"/>
      <w:u w:val="none"/>
      <w:shd w:val="clear" w:color="auto" w:fill="auto"/>
      <w:lang w:val="zh-TW" w:eastAsia="zh-TW" w:bidi="zh-TW"/>
    </w:rPr>
  </w:style>
  <w:style w:type="paragraph" w:customStyle="1" w:styleId="157">
    <w:name w:val="Other|1"/>
    <w:basedOn w:val="1"/>
    <w:qFormat/>
    <w:uiPriority w:val="0"/>
    <w:pPr>
      <w:widowControl w:val="0"/>
      <w:shd w:val="clear" w:color="auto" w:fill="auto"/>
    </w:pPr>
    <w:rPr>
      <w:rFonts w:ascii="宋体" w:hAnsi="宋体" w:eastAsia="宋体" w:cs="宋体"/>
      <w:sz w:val="20"/>
      <w:szCs w:val="20"/>
      <w:u w:val="none"/>
      <w:shd w:val="clear" w:color="auto" w:fill="auto"/>
    </w:rPr>
  </w:style>
  <w:style w:type="paragraph" w:customStyle="1" w:styleId="158">
    <w:name w:val="Heading #5|1"/>
    <w:basedOn w:val="1"/>
    <w:qFormat/>
    <w:uiPriority w:val="0"/>
    <w:pPr>
      <w:widowControl w:val="0"/>
      <w:shd w:val="clear" w:color="auto" w:fill="auto"/>
      <w:spacing w:after="60" w:line="274" w:lineRule="auto"/>
      <w:ind w:firstLine="380"/>
      <w:outlineLvl w:val="4"/>
    </w:pPr>
    <w:rPr>
      <w:rFonts w:ascii="宋体" w:hAnsi="宋体" w:eastAsia="宋体" w:cs="宋体"/>
      <w:u w:val="none"/>
      <w:shd w:val="clear" w:color="auto" w:fill="auto"/>
      <w:lang w:val="zh-TW" w:eastAsia="zh-TW" w:bidi="zh-TW"/>
    </w:rPr>
  </w:style>
  <w:style w:type="paragraph" w:customStyle="1" w:styleId="159">
    <w:name w:val="Other|2"/>
    <w:basedOn w:val="1"/>
    <w:qFormat/>
    <w:uiPriority w:val="0"/>
    <w:pPr>
      <w:widowControl w:val="0"/>
      <w:shd w:val="clear" w:color="auto" w:fill="auto"/>
      <w:spacing w:before="50"/>
    </w:pPr>
    <w:rPr>
      <w:rFonts w:ascii="宋体" w:hAnsi="宋体" w:eastAsia="宋体" w:cs="宋体"/>
      <w:sz w:val="19"/>
      <w:szCs w:val="19"/>
      <w:u w:val="none"/>
      <w:shd w:val="clear" w:color="auto" w:fill="auto"/>
    </w:rPr>
  </w:style>
  <w:style w:type="paragraph" w:customStyle="1" w:styleId="160">
    <w:name w:val="龙4正文"/>
    <w:basedOn w:val="1"/>
    <w:qFormat/>
    <w:uiPriority w:val="0"/>
    <w:pPr>
      <w:spacing w:line="360" w:lineRule="auto"/>
      <w:ind w:firstLine="200" w:firstLineChars="200"/>
      <w:jc w:val="left"/>
    </w:pPr>
    <w:rPr>
      <w:rFonts w:ascii="宋体" w:hAnsi="宋体" w:eastAsia="宋体"/>
      <w:bCs/>
      <w:sz w:val="24"/>
      <w:szCs w:val="32"/>
    </w:rPr>
  </w:style>
  <w:style w:type="paragraph" w:customStyle="1" w:styleId="161">
    <w:name w:val="龙3"/>
    <w:basedOn w:val="162"/>
    <w:next w:val="160"/>
    <w:qFormat/>
    <w:uiPriority w:val="0"/>
    <w:pPr>
      <w:ind w:firstLine="200" w:firstLineChars="200"/>
      <w:jc w:val="left"/>
      <w:outlineLvl w:val="2"/>
    </w:pPr>
    <w:rPr>
      <w:rFonts w:ascii="宋体"/>
    </w:rPr>
  </w:style>
  <w:style w:type="paragraph" w:customStyle="1" w:styleId="162">
    <w:name w:val="龙2"/>
    <w:basedOn w:val="163"/>
    <w:next w:val="160"/>
    <w:qFormat/>
    <w:uiPriority w:val="0"/>
    <w:pPr>
      <w:outlineLvl w:val="1"/>
    </w:pPr>
  </w:style>
  <w:style w:type="paragraph" w:customStyle="1" w:styleId="163">
    <w:name w:val="龙1"/>
    <w:basedOn w:val="1"/>
    <w:next w:val="160"/>
    <w:qFormat/>
    <w:uiPriority w:val="0"/>
    <w:pPr>
      <w:spacing w:line="360" w:lineRule="auto"/>
      <w:jc w:val="center"/>
      <w:outlineLvl w:val="0"/>
    </w:pPr>
    <w:rPr>
      <w:rFonts w:eastAsia="宋体"/>
      <w:b/>
      <w:sz w:val="24"/>
    </w:rPr>
  </w:style>
  <w:style w:type="paragraph" w:customStyle="1" w:styleId="164">
    <w:name w:val="正文4#"/>
    <w:basedOn w:val="1"/>
    <w:qFormat/>
    <w:uiPriority w:val="0"/>
    <w:pPr>
      <w:adjustRightInd w:val="0"/>
      <w:snapToGrid w:val="0"/>
      <w:ind w:firstLine="200" w:firstLineChars="200"/>
      <w:jc w:val="left"/>
    </w:pPr>
    <w:rPr>
      <w:rFonts w:eastAsia="仿宋_GB2312" w:cs="宋体"/>
      <w:snapToGrid w:val="0"/>
      <w:kern w:val="0"/>
      <w:sz w:val="28"/>
      <w:szCs w:val="28"/>
    </w:rPr>
  </w:style>
  <w:style w:type="character" w:customStyle="1" w:styleId="165">
    <w:name w:val="Document Map Char1"/>
    <w:basedOn w:val="49"/>
    <w:link w:val="19"/>
    <w:qFormat/>
    <w:locked/>
    <w:uiPriority w:val="99"/>
    <w:rPr>
      <w:rFonts w:ascii="微软雅黑" w:hAnsi="微软雅黑" w:eastAsia="宋体" w:cs="Times New Roman"/>
      <w:kern w:val="2"/>
      <w:sz w:val="24"/>
      <w:szCs w:val="24"/>
    </w:rPr>
  </w:style>
  <w:style w:type="paragraph" w:customStyle="1" w:styleId="166">
    <w:name w:val="Heading #6|1"/>
    <w:basedOn w:val="1"/>
    <w:qFormat/>
    <w:uiPriority w:val="0"/>
    <w:pPr>
      <w:widowControl w:val="0"/>
      <w:shd w:val="clear" w:color="auto" w:fill="auto"/>
      <w:spacing w:after="30"/>
      <w:ind w:firstLine="480"/>
      <w:outlineLvl w:val="5"/>
    </w:pPr>
    <w:rPr>
      <w:rFonts w:ascii="宋体" w:hAnsi="宋体" w:eastAsia="宋体" w:cs="宋体"/>
      <w:b/>
      <w:bCs/>
      <w:sz w:val="28"/>
      <w:szCs w:val="28"/>
      <w:u w:val="none"/>
      <w:shd w:val="clear" w:color="auto" w:fill="auto"/>
      <w:lang w:val="zh-TW" w:eastAsia="zh-TW" w:bidi="zh-TW"/>
    </w:rPr>
  </w:style>
  <w:style w:type="paragraph" w:customStyle="1" w:styleId="167">
    <w:name w:val="Table caption|1"/>
    <w:basedOn w:val="1"/>
    <w:qFormat/>
    <w:uiPriority w:val="0"/>
    <w:pPr>
      <w:widowControl w:val="0"/>
      <w:shd w:val="clear" w:color="auto" w:fill="auto"/>
      <w:ind w:left="-10"/>
    </w:pPr>
    <w:rPr>
      <w:rFonts w:ascii="宋体" w:hAnsi="宋体" w:eastAsia="宋体" w:cs="宋体"/>
      <w:sz w:val="32"/>
      <w:szCs w:val="32"/>
      <w:u w:val="none"/>
      <w:shd w:val="clear" w:color="auto" w:fill="auto"/>
      <w:lang w:val="zh-TW" w:eastAsia="zh-TW" w:bidi="zh-TW"/>
    </w:rPr>
  </w:style>
  <w:style w:type="paragraph" w:customStyle="1" w:styleId="168">
    <w:name w:val="Header or footer|1"/>
    <w:basedOn w:val="1"/>
    <w:qFormat/>
    <w:uiPriority w:val="0"/>
    <w:pPr>
      <w:widowControl w:val="0"/>
      <w:shd w:val="clear" w:color="auto" w:fill="auto"/>
    </w:pPr>
    <w:rPr>
      <w:rFonts w:ascii="宋体" w:hAnsi="宋体" w:eastAsia="宋体" w:cs="宋体"/>
      <w:sz w:val="86"/>
      <w:szCs w:val="86"/>
      <w:u w:val="none"/>
      <w:shd w:val="clear" w:color="auto" w:fill="auto"/>
      <w:lang w:val="zh-TW" w:eastAsia="zh-TW" w:bidi="zh-TW"/>
    </w:rPr>
  </w:style>
  <w:style w:type="paragraph" w:customStyle="1" w:styleId="169">
    <w:name w:val="Heading #7|1"/>
    <w:basedOn w:val="1"/>
    <w:qFormat/>
    <w:uiPriority w:val="0"/>
    <w:pPr>
      <w:widowControl w:val="0"/>
      <w:shd w:val="clear" w:color="auto" w:fill="auto"/>
      <w:spacing w:line="467" w:lineRule="exact"/>
      <w:ind w:left="720" w:firstLine="230"/>
      <w:outlineLvl w:val="6"/>
    </w:pPr>
    <w:rPr>
      <w:rFonts w:ascii="宋体" w:hAnsi="宋体" w:eastAsia="宋体" w:cs="宋体"/>
      <w:u w:val="none"/>
      <w:shd w:val="clear" w:color="auto" w:fill="auto"/>
      <w:lang w:val="zh-TW" w:eastAsia="zh-TW" w:bidi="zh-TW"/>
    </w:rPr>
  </w:style>
  <w:style w:type="character" w:customStyle="1" w:styleId="170">
    <w:name w:val="font21"/>
    <w:basedOn w:val="49"/>
    <w:qFormat/>
    <w:uiPriority w:val="0"/>
    <w:rPr>
      <w:rFonts w:ascii="Calibri" w:hAnsi="Calibri" w:cs="Calibri"/>
      <w:color w:val="000000"/>
      <w:sz w:val="24"/>
      <w:szCs w:val="24"/>
      <w:u w:val="none"/>
    </w:rPr>
  </w:style>
  <w:style w:type="character" w:customStyle="1" w:styleId="171">
    <w:name w:val="font31"/>
    <w:basedOn w:val="49"/>
    <w:qFormat/>
    <w:uiPriority w:val="0"/>
    <w:rPr>
      <w:rFonts w:hint="default" w:ascii="Times New Roman" w:hAnsi="Times New Roman" w:cs="Times New Roman"/>
      <w:color w:val="000000"/>
      <w:sz w:val="24"/>
      <w:szCs w:val="24"/>
      <w:u w:val="none"/>
    </w:rPr>
  </w:style>
  <w:style w:type="paragraph" w:customStyle="1" w:styleId="17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3">
    <w:name w:val="封面文字"/>
    <w:qFormat/>
    <w:uiPriority w:val="0"/>
    <w:pPr>
      <w:spacing w:line="360" w:lineRule="auto"/>
      <w:jc w:val="center"/>
    </w:pPr>
    <w:rPr>
      <w:rFonts w:ascii="仿宋" w:hAnsi="仿宋" w:eastAsia="仿宋" w:cs="Times New Roman"/>
      <w:color w:val="000000"/>
      <w:sz w:val="36"/>
      <w:szCs w:val="36"/>
      <w:lang w:val="en-US" w:eastAsia="zh-CN" w:bidi="ar-SA"/>
    </w:rPr>
  </w:style>
  <w:style w:type="paragraph" w:customStyle="1" w:styleId="174">
    <w:name w:val="p0"/>
    <w:basedOn w:val="1"/>
    <w:qFormat/>
    <w:uiPriority w:val="0"/>
    <w:pPr>
      <w:widowControl/>
    </w:pPr>
    <w:rPr>
      <w:rFonts w:ascii="Calibri" w:hAnsi="Calibri" w:cs="宋体"/>
      <w:kern w:val="0"/>
      <w:sz w:val="20"/>
    </w:rPr>
  </w:style>
  <w:style w:type="paragraph" w:customStyle="1" w:styleId="175">
    <w:name w:val="Table Text"/>
    <w:basedOn w:val="1"/>
    <w:semiHidden/>
    <w:qFormat/>
    <w:uiPriority w:val="0"/>
    <w:rPr>
      <w:rFonts w:ascii="仿宋" w:hAnsi="仿宋" w:eastAsia="仿宋" w:cs="仿宋"/>
      <w:sz w:val="28"/>
      <w:szCs w:val="28"/>
      <w:lang w:val="en-US" w:eastAsia="en-US" w:bidi="ar-SA"/>
    </w:rPr>
  </w:style>
  <w:style w:type="table" w:customStyle="1" w:styleId="176">
    <w:name w:val="Table Normal"/>
    <w:semiHidden/>
    <w:unhideWhenUsed/>
    <w:qFormat/>
    <w:uiPriority w:val="0"/>
    <w:tblPr>
      <w:tblCellMar>
        <w:top w:w="0" w:type="dxa"/>
        <w:left w:w="0" w:type="dxa"/>
        <w:bottom w:w="0" w:type="dxa"/>
        <w:right w:w="0" w:type="dxa"/>
      </w:tblCellMar>
    </w:tblPr>
  </w:style>
  <w:style w:type="paragraph" w:customStyle="1" w:styleId="177">
    <w:name w:val="表"/>
    <w:basedOn w:val="1"/>
    <w:qFormat/>
    <w:uiPriority w:val="0"/>
    <w:pPr>
      <w:jc w:val="center"/>
    </w:pPr>
    <w:rPr>
      <w:rFonts w:ascii="Arial" w:hAnsi="Arial" w:eastAsia="宋体"/>
      <w:b/>
      <w:sz w:val="20"/>
    </w:rPr>
  </w:style>
  <w:style w:type="paragraph" w:customStyle="1" w:styleId="178">
    <w:name w:val="文"/>
    <w:basedOn w:val="1"/>
    <w:qFormat/>
    <w:uiPriority w:val="0"/>
    <w:pPr>
      <w:spacing w:line="360" w:lineRule="auto"/>
      <w:ind w:firstLine="480" w:firstLineChars="200"/>
    </w:pPr>
    <w:rPr>
      <w:rFonts w:ascii="Arial" w:hAnsi="Arial"/>
      <w:kern w:val="0"/>
      <w:sz w:val="24"/>
      <w:szCs w:val="20"/>
    </w:rPr>
  </w:style>
  <w:style w:type="character" w:customStyle="1" w:styleId="179">
    <w:name w:val="font61"/>
    <w:basedOn w:val="49"/>
    <w:qFormat/>
    <w:uiPriority w:val="0"/>
    <w:rPr>
      <w:rFonts w:hint="eastAsia" w:ascii="宋体" w:hAnsi="宋体" w:eastAsia="宋体" w:cs="宋体"/>
      <w:color w:val="000000"/>
      <w:sz w:val="16"/>
      <w:szCs w:val="16"/>
      <w:u w:val="none"/>
    </w:rPr>
  </w:style>
  <w:style w:type="character" w:customStyle="1" w:styleId="180">
    <w:name w:val="font101"/>
    <w:basedOn w:val="49"/>
    <w:qFormat/>
    <w:uiPriority w:val="0"/>
    <w:rPr>
      <w:rFonts w:hint="eastAsia" w:ascii="宋体" w:hAnsi="宋体" w:eastAsia="宋体" w:cs="宋体"/>
      <w:color w:val="000000"/>
      <w:sz w:val="14"/>
      <w:szCs w:val="14"/>
      <w:u w:val="none"/>
    </w:rPr>
  </w:style>
  <w:style w:type="character" w:customStyle="1" w:styleId="181">
    <w:name w:val="font112"/>
    <w:basedOn w:val="49"/>
    <w:qFormat/>
    <w:uiPriority w:val="0"/>
    <w:rPr>
      <w:rFonts w:ascii="宋体" w:hAnsi="宋体" w:eastAsia="宋体" w:cs="宋体"/>
      <w:b/>
      <w:bCs/>
      <w:color w:val="000000"/>
      <w:sz w:val="14"/>
      <w:szCs w:val="14"/>
      <w:u w:val="none"/>
    </w:rPr>
  </w:style>
  <w:style w:type="paragraph" w:styleId="182">
    <w:name w:val="List Paragraph"/>
    <w:basedOn w:val="1"/>
    <w:qFormat/>
    <w:uiPriority w:val="99"/>
    <w:pPr>
      <w:ind w:firstLine="420" w:firstLineChars="200"/>
    </w:pPr>
  </w:style>
  <w:style w:type="paragraph" w:customStyle="1" w:styleId="183">
    <w:name w:val="表格内容"/>
    <w:basedOn w:val="22"/>
    <w:qFormat/>
    <w:uiPriority w:val="0"/>
    <w:pPr>
      <w:adjustRightInd w:val="0"/>
      <w:snapToGrid w:val="0"/>
      <w:spacing w:line="240" w:lineRule="exact"/>
      <w:ind w:left="-105" w:leftChars="-50" w:right="-105" w:rightChars="-50"/>
      <w:jc w:val="center"/>
    </w:pPr>
    <w:rPr>
      <w:rFonts w:ascii="宋体" w:hAnsi="宋体"/>
      <w:szCs w:val="21"/>
    </w:rPr>
  </w:style>
  <w:style w:type="paragraph" w:customStyle="1" w:styleId="184">
    <w:name w:val="表格文字"/>
    <w:basedOn w:val="1"/>
    <w:qFormat/>
    <w:uiPriority w:val="0"/>
    <w:pPr>
      <w:spacing w:line="300" w:lineRule="exact"/>
      <w:jc w:val="center"/>
    </w:pPr>
    <w:rPr>
      <w:rFonts w:ascii="宋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68.png"/><Relationship Id="rId98" Type="http://schemas.openxmlformats.org/officeDocument/2006/relationships/image" Target="media/image67.png"/><Relationship Id="rId97" Type="http://schemas.openxmlformats.org/officeDocument/2006/relationships/image" Target="media/image66.png"/><Relationship Id="rId96" Type="http://schemas.openxmlformats.org/officeDocument/2006/relationships/image" Target="media/image65.png"/><Relationship Id="rId95" Type="http://schemas.openxmlformats.org/officeDocument/2006/relationships/image" Target="media/image64.png"/><Relationship Id="rId94" Type="http://schemas.openxmlformats.org/officeDocument/2006/relationships/image" Target="media/image63.png"/><Relationship Id="rId93" Type="http://schemas.openxmlformats.org/officeDocument/2006/relationships/image" Target="media/image62.png"/><Relationship Id="rId92" Type="http://schemas.openxmlformats.org/officeDocument/2006/relationships/image" Target="media/image61.png"/><Relationship Id="rId91" Type="http://schemas.openxmlformats.org/officeDocument/2006/relationships/image" Target="media/image60.png"/><Relationship Id="rId90" Type="http://schemas.openxmlformats.org/officeDocument/2006/relationships/image" Target="media/image59.png"/><Relationship Id="rId9" Type="http://schemas.openxmlformats.org/officeDocument/2006/relationships/footer" Target="footer4.xml"/><Relationship Id="rId89" Type="http://schemas.openxmlformats.org/officeDocument/2006/relationships/image" Target="media/image58.wmf"/><Relationship Id="rId88" Type="http://schemas.openxmlformats.org/officeDocument/2006/relationships/oleObject" Target="embeddings/oleObject15.bin"/><Relationship Id="rId87" Type="http://schemas.openxmlformats.org/officeDocument/2006/relationships/image" Target="media/image57.wmf"/><Relationship Id="rId86" Type="http://schemas.openxmlformats.org/officeDocument/2006/relationships/image" Target="media/image56.wmf"/><Relationship Id="rId85" Type="http://schemas.openxmlformats.org/officeDocument/2006/relationships/oleObject" Target="embeddings/oleObject14.bin"/><Relationship Id="rId84" Type="http://schemas.openxmlformats.org/officeDocument/2006/relationships/image" Target="media/image55.wmf"/><Relationship Id="rId83" Type="http://schemas.openxmlformats.org/officeDocument/2006/relationships/oleObject" Target="embeddings/oleObject13.bin"/><Relationship Id="rId82" Type="http://schemas.openxmlformats.org/officeDocument/2006/relationships/image" Target="media/image54.wmf"/><Relationship Id="rId81" Type="http://schemas.openxmlformats.org/officeDocument/2006/relationships/oleObject" Target="embeddings/oleObject12.bin"/><Relationship Id="rId80" Type="http://schemas.openxmlformats.org/officeDocument/2006/relationships/image" Target="media/image53.wmf"/><Relationship Id="rId8" Type="http://schemas.openxmlformats.org/officeDocument/2006/relationships/footer" Target="footer3.xml"/><Relationship Id="rId79" Type="http://schemas.openxmlformats.org/officeDocument/2006/relationships/oleObject" Target="embeddings/oleObject11.bin"/><Relationship Id="rId78" Type="http://schemas.openxmlformats.org/officeDocument/2006/relationships/image" Target="media/image52.wmf"/><Relationship Id="rId77" Type="http://schemas.openxmlformats.org/officeDocument/2006/relationships/oleObject" Target="embeddings/oleObject10.bin"/><Relationship Id="rId76" Type="http://schemas.openxmlformats.org/officeDocument/2006/relationships/image" Target="media/image51.wmf"/><Relationship Id="rId75" Type="http://schemas.openxmlformats.org/officeDocument/2006/relationships/oleObject" Target="embeddings/oleObject9.bin"/><Relationship Id="rId74" Type="http://schemas.openxmlformats.org/officeDocument/2006/relationships/image" Target="media/image50.wmf"/><Relationship Id="rId73" Type="http://schemas.openxmlformats.org/officeDocument/2006/relationships/oleObject" Target="embeddings/oleObject8.bin"/><Relationship Id="rId72" Type="http://schemas.openxmlformats.org/officeDocument/2006/relationships/image" Target="media/image49.wmf"/><Relationship Id="rId71" Type="http://schemas.openxmlformats.org/officeDocument/2006/relationships/oleObject" Target="embeddings/oleObject7.bin"/><Relationship Id="rId70" Type="http://schemas.openxmlformats.org/officeDocument/2006/relationships/image" Target="media/image48.wmf"/><Relationship Id="rId7" Type="http://schemas.openxmlformats.org/officeDocument/2006/relationships/footer" Target="footer2.xml"/><Relationship Id="rId69" Type="http://schemas.openxmlformats.org/officeDocument/2006/relationships/oleObject" Target="embeddings/oleObject6.bin"/><Relationship Id="rId68" Type="http://schemas.openxmlformats.org/officeDocument/2006/relationships/image" Target="media/image47.wmf"/><Relationship Id="rId67" Type="http://schemas.openxmlformats.org/officeDocument/2006/relationships/oleObject" Target="embeddings/oleObject5.bin"/><Relationship Id="rId66" Type="http://schemas.openxmlformats.org/officeDocument/2006/relationships/image" Target="media/image46.wmf"/><Relationship Id="rId65" Type="http://schemas.openxmlformats.org/officeDocument/2006/relationships/oleObject" Target="embeddings/oleObject4.bin"/><Relationship Id="rId64" Type="http://schemas.openxmlformats.org/officeDocument/2006/relationships/image" Target="media/image45.wmf"/><Relationship Id="rId63" Type="http://schemas.openxmlformats.org/officeDocument/2006/relationships/image" Target="media/image44.wmf"/><Relationship Id="rId62" Type="http://schemas.openxmlformats.org/officeDocument/2006/relationships/oleObject" Target="embeddings/oleObject3.bin"/><Relationship Id="rId61" Type="http://schemas.openxmlformats.org/officeDocument/2006/relationships/image" Target="media/image43.wmf"/><Relationship Id="rId60" Type="http://schemas.openxmlformats.org/officeDocument/2006/relationships/oleObject" Target="embeddings/oleObject2.bin"/><Relationship Id="rId6" Type="http://schemas.openxmlformats.org/officeDocument/2006/relationships/footer" Target="footer1.xml"/><Relationship Id="rId59" Type="http://schemas.openxmlformats.org/officeDocument/2006/relationships/image" Target="media/image42.wmf"/><Relationship Id="rId58" Type="http://schemas.openxmlformats.org/officeDocument/2006/relationships/oleObject" Target="embeddings/oleObject1.bin"/><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jpe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png"/><Relationship Id="rId17" Type="http://schemas.openxmlformats.org/officeDocument/2006/relationships/theme" Target="theme/theme1.xml"/><Relationship Id="rId163" Type="http://schemas.openxmlformats.org/officeDocument/2006/relationships/fontTable" Target="fontTable.xml"/><Relationship Id="rId162" Type="http://schemas.openxmlformats.org/officeDocument/2006/relationships/numbering" Target="numbering.xml"/><Relationship Id="rId161" Type="http://schemas.openxmlformats.org/officeDocument/2006/relationships/customXml" Target="../customXml/item1.xml"/><Relationship Id="rId160" Type="http://schemas.openxmlformats.org/officeDocument/2006/relationships/image" Target="media/image125.jpeg"/><Relationship Id="rId16" Type="http://schemas.openxmlformats.org/officeDocument/2006/relationships/footer" Target="footer6.xml"/><Relationship Id="rId159" Type="http://schemas.openxmlformats.org/officeDocument/2006/relationships/image" Target="media/image124.jpeg"/><Relationship Id="rId158" Type="http://schemas.openxmlformats.org/officeDocument/2006/relationships/image" Target="media/image123.png"/><Relationship Id="rId157" Type="http://schemas.openxmlformats.org/officeDocument/2006/relationships/image" Target="media/image122.png"/><Relationship Id="rId156" Type="http://schemas.openxmlformats.org/officeDocument/2006/relationships/image" Target="media/image121.png"/><Relationship Id="rId155" Type="http://schemas.openxmlformats.org/officeDocument/2006/relationships/image" Target="media/image120.png"/><Relationship Id="rId154" Type="http://schemas.openxmlformats.org/officeDocument/2006/relationships/image" Target="media/image119.png"/><Relationship Id="rId153" Type="http://schemas.openxmlformats.org/officeDocument/2006/relationships/image" Target="media/image118.png"/><Relationship Id="rId152" Type="http://schemas.openxmlformats.org/officeDocument/2006/relationships/image" Target="media/image117.jpeg"/><Relationship Id="rId151" Type="http://schemas.openxmlformats.org/officeDocument/2006/relationships/image" Target="media/image116.jpeg"/><Relationship Id="rId150" Type="http://schemas.openxmlformats.org/officeDocument/2006/relationships/image" Target="media/image115.wmf"/><Relationship Id="rId15" Type="http://schemas.openxmlformats.org/officeDocument/2006/relationships/header" Target="header6.xml"/><Relationship Id="rId149" Type="http://schemas.openxmlformats.org/officeDocument/2006/relationships/oleObject" Target="embeddings/oleObject19.bin"/><Relationship Id="rId148" Type="http://schemas.openxmlformats.org/officeDocument/2006/relationships/image" Target="media/image114.wmf"/><Relationship Id="rId147" Type="http://schemas.openxmlformats.org/officeDocument/2006/relationships/image" Target="media/image113.png"/><Relationship Id="rId146" Type="http://schemas.openxmlformats.org/officeDocument/2006/relationships/image" Target="media/image112.jpeg"/><Relationship Id="rId145" Type="http://schemas.openxmlformats.org/officeDocument/2006/relationships/image" Target="media/image111.jpeg"/><Relationship Id="rId144" Type="http://schemas.openxmlformats.org/officeDocument/2006/relationships/image" Target="media/image110.emf"/><Relationship Id="rId143" Type="http://schemas.openxmlformats.org/officeDocument/2006/relationships/oleObject" Target="embeddings/oleObject18.bin"/><Relationship Id="rId142" Type="http://schemas.openxmlformats.org/officeDocument/2006/relationships/image" Target="media/image109.png"/><Relationship Id="rId141" Type="http://schemas.openxmlformats.org/officeDocument/2006/relationships/image" Target="media/image108.jpeg"/><Relationship Id="rId140" Type="http://schemas.openxmlformats.org/officeDocument/2006/relationships/image" Target="media/image107.jpeg"/><Relationship Id="rId14" Type="http://schemas.openxmlformats.org/officeDocument/2006/relationships/footer" Target="footer5.xml"/><Relationship Id="rId139" Type="http://schemas.openxmlformats.org/officeDocument/2006/relationships/image" Target="media/image106.jpeg"/><Relationship Id="rId138" Type="http://schemas.openxmlformats.org/officeDocument/2006/relationships/image" Target="media/image105.png"/><Relationship Id="rId137" Type="http://schemas.openxmlformats.org/officeDocument/2006/relationships/image" Target="media/image104.jpeg"/><Relationship Id="rId136" Type="http://schemas.openxmlformats.org/officeDocument/2006/relationships/image" Target="media/image103.png"/><Relationship Id="rId135" Type="http://schemas.openxmlformats.org/officeDocument/2006/relationships/image" Target="media/image102.png"/><Relationship Id="rId134" Type="http://schemas.openxmlformats.org/officeDocument/2006/relationships/image" Target="media/image101.png"/><Relationship Id="rId133" Type="http://schemas.openxmlformats.org/officeDocument/2006/relationships/image" Target="media/image100.png"/><Relationship Id="rId132" Type="http://schemas.openxmlformats.org/officeDocument/2006/relationships/image" Target="media/image99.png"/><Relationship Id="rId131" Type="http://schemas.openxmlformats.org/officeDocument/2006/relationships/image" Target="media/image98.png"/><Relationship Id="rId130" Type="http://schemas.openxmlformats.org/officeDocument/2006/relationships/image" Target="media/image97.png"/><Relationship Id="rId13" Type="http://schemas.openxmlformats.org/officeDocument/2006/relationships/header" Target="header5.xml"/><Relationship Id="rId129" Type="http://schemas.openxmlformats.org/officeDocument/2006/relationships/image" Target="media/image96.png"/><Relationship Id="rId128" Type="http://schemas.openxmlformats.org/officeDocument/2006/relationships/image" Target="media/image95.jpeg"/><Relationship Id="rId127" Type="http://schemas.openxmlformats.org/officeDocument/2006/relationships/image" Target="media/image94.png"/><Relationship Id="rId126" Type="http://schemas.openxmlformats.org/officeDocument/2006/relationships/image" Target="media/image93.jpeg"/><Relationship Id="rId125" Type="http://schemas.openxmlformats.org/officeDocument/2006/relationships/image" Target="media/image92.png"/><Relationship Id="rId124" Type="http://schemas.openxmlformats.org/officeDocument/2006/relationships/image" Target="media/image91.jpeg"/><Relationship Id="rId123" Type="http://schemas.openxmlformats.org/officeDocument/2006/relationships/image" Target="media/image90.jpeg"/><Relationship Id="rId122" Type="http://schemas.openxmlformats.org/officeDocument/2006/relationships/image" Target="media/image89.jpeg"/><Relationship Id="rId121" Type="http://schemas.openxmlformats.org/officeDocument/2006/relationships/image" Target="media/image88.png"/><Relationship Id="rId120" Type="http://schemas.openxmlformats.org/officeDocument/2006/relationships/image" Target="media/image87.png"/><Relationship Id="rId12" Type="http://schemas.openxmlformats.org/officeDocument/2006/relationships/header" Target="header4.xml"/><Relationship Id="rId119" Type="http://schemas.openxmlformats.org/officeDocument/2006/relationships/image" Target="media/image86.png"/><Relationship Id="rId118" Type="http://schemas.openxmlformats.org/officeDocument/2006/relationships/image" Target="media/image85.emf"/><Relationship Id="rId117" Type="http://schemas.openxmlformats.org/officeDocument/2006/relationships/image" Target="media/image84.png"/><Relationship Id="rId116" Type="http://schemas.openxmlformats.org/officeDocument/2006/relationships/image" Target="media/image83.png"/><Relationship Id="rId115" Type="http://schemas.openxmlformats.org/officeDocument/2006/relationships/image" Target="media/image82.png"/><Relationship Id="rId114" Type="http://schemas.openxmlformats.org/officeDocument/2006/relationships/image" Target="media/image81.wmf"/><Relationship Id="rId113" Type="http://schemas.openxmlformats.org/officeDocument/2006/relationships/oleObject" Target="embeddings/oleObject17.bin"/><Relationship Id="rId112" Type="http://schemas.openxmlformats.org/officeDocument/2006/relationships/image" Target="media/image80.wmf"/><Relationship Id="rId111" Type="http://schemas.openxmlformats.org/officeDocument/2006/relationships/oleObject" Target="embeddings/oleObject16.bin"/><Relationship Id="rId110" Type="http://schemas.openxmlformats.org/officeDocument/2006/relationships/image" Target="media/image79.emf"/><Relationship Id="rId11" Type="http://schemas.openxmlformats.org/officeDocument/2006/relationships/header" Target="header3.xml"/><Relationship Id="rId109" Type="http://schemas.openxmlformats.org/officeDocument/2006/relationships/image" Target="media/image78.png"/><Relationship Id="rId108" Type="http://schemas.openxmlformats.org/officeDocument/2006/relationships/image" Target="media/image77.jpeg"/><Relationship Id="rId107" Type="http://schemas.openxmlformats.org/officeDocument/2006/relationships/image" Target="media/image76.png"/><Relationship Id="rId106" Type="http://schemas.openxmlformats.org/officeDocument/2006/relationships/image" Target="media/image75.png"/><Relationship Id="rId105" Type="http://schemas.openxmlformats.org/officeDocument/2006/relationships/image" Target="media/image74.png"/><Relationship Id="rId104" Type="http://schemas.openxmlformats.org/officeDocument/2006/relationships/image" Target="media/image73.png"/><Relationship Id="rId103" Type="http://schemas.openxmlformats.org/officeDocument/2006/relationships/image" Target="media/image72.png"/><Relationship Id="rId102" Type="http://schemas.openxmlformats.org/officeDocument/2006/relationships/image" Target="media/image71.png"/><Relationship Id="rId101" Type="http://schemas.openxmlformats.org/officeDocument/2006/relationships/image" Target="media/image70.png"/><Relationship Id="rId100" Type="http://schemas.openxmlformats.org/officeDocument/2006/relationships/image" Target="media/image69.png"/><Relationship Id="rId10" Type="http://schemas.openxmlformats.org/officeDocument/2006/relationships/header" Target="header2.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DcxOTA0ODc2NTA1IiwKCSJHcm91cElkIiA6ICIxMzg2MTExMzg0IiwKCSJJbWFnZSIgOiAiaVZCT1J3MEtHZ29BQUFBTlNVaEVVZ0FBQXFNQUFBTDdDQVlBQUFESlFvenlBQUFBQVhOU1IwSUFyczRjNlFBQUlBQkpSRUZVZUp6czNYbGNsTlgrQi9EUG1RMEdCbVJOWEZDdjRZWXJMdVdTdCt5YWV0V0xacVdwbFcybVdTNFYxMG96bDI2cE45UE1jcm1tNUpwTFpuWlQwMXp6Wis2Q2tndUNpcWtnZ2ppQU1NTnM1L2RITUpjUlVGRGtjZUR6ZnIxODVaem5QTTk4WjJLR2orZDV6bmtB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VFdYL3dmVXBhOFpTREUrb1FBQUFBQkpSVTVFcmtKZ2dnPT0iLAoJIlRoZW1lIiA6ICIiLAoJIlR5cGUiIDogImZsb3ciLAoJIlVzZXJJZCIgOiAiMTIwNjMyMjY4NiIsCgkiVmVyc2lvbiIgOiAiMzIiCn0K"/>
    </extobj>
    <extobj name="ECB019B1-382A-4266-B25C-5B523AA43C14-2">
      <extobjdata type="ECB019B1-382A-4266-B25C-5B523AA43C14" data="ewoJIkZpbGVJZCIgOiAiNDcxNzQyMjQxNDQzIiwKCSJHcm91cElkIiA6ICIxMzg2MTExMzg0IiwKCSJJbWFnZSIgOiAiaVZCT1J3MEtHZ29BQUFBTlNVaEVVZ0FBQXZRQUFBT3BDQVlBQUFCMXU3T0xBQUFBQVhOU1IwSUFyczRjNlFBQUlBQkpSRUZVZUp6czNYMmMxUFArLy9IbmV5NzJvbmE3VUt2cjYwaXBuTktGa0JTRlNCeFVrb1NTSThUcGtIUHdwYU12VGljVVhjZzNJWVNrdEFkMTBoVWxTVmVLVW0wcGJkZGI3ZlhPenM3TSsvZkgyWjNUdExzSk96dS9uUjczMjIxdk4vTit2ei92ZWMzYzdQYWN6N3cvNzQ4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1</Company>
  <Pages>275</Pages>
  <Words>3908</Words>
  <Characters>5780</Characters>
  <Lines>1446</Lines>
  <Paragraphs>407</Paragraphs>
  <TotalTime>3</TotalTime>
  <ScaleCrop>false</ScaleCrop>
  <LinksUpToDate>false</LinksUpToDate>
  <CharactersWithSpaces>6381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2021-07-09T04:37:00Z</dcterms:created>
  <dc:creator>xiaofei li</dc:creator>
  <cp:lastModifiedBy>珍惜你</cp:lastModifiedBy>
  <cp:lastPrinted>2022-10-29T10:57:00Z</cp:lastPrinted>
  <dcterms:modified xsi:type="dcterms:W3CDTF">2026-02-27T02:51:00Z</dcterms:modified>
  <dc:title>沈海高速杏林互通及接线工程（灌口中路-国道324复线段）第二标段</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2FF53201BCE642A2A34B8A9BD001E5DC_13</vt:lpwstr>
  </property>
  <property fmtid="{D5CDD505-2E9C-101B-9397-08002B2CF9AE}" pid="4" name="KSOTemplateDocerSaveRecord">
    <vt:lpwstr>eyJoZGlkIjoiOTIxMjk3YWExMjcwOTFhYjZhNzE0MTcxNmJjZDhhZDkiLCJ1c2VySWQiOiIyMjk3MzM5ODMifQ==</vt:lpwstr>
  </property>
</Properties>
</file>